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ECEFF" w14:textId="2B149C9C" w:rsidR="004B6201" w:rsidRPr="0053064C" w:rsidRDefault="004B6201" w:rsidP="004B6201">
      <w:pPr>
        <w:jc w:val="center"/>
        <w:rPr>
          <w:b/>
          <w:lang w:val="es-MX"/>
        </w:rPr>
      </w:pPr>
      <w:bookmarkStart w:id="0" w:name="_Hlk90028478"/>
      <w:bookmarkEnd w:id="0"/>
      <w:r w:rsidRPr="0053064C">
        <w:rPr>
          <w:b/>
          <w:lang w:val="es-MX"/>
        </w:rPr>
        <w:t>ENCUESTA ANUAL DEL COMERCIO (EAC) 2020</w:t>
      </w:r>
      <w:r w:rsidR="001507F5">
        <w:rPr>
          <w:b/>
          <w:lang w:val="es-MX"/>
        </w:rPr>
        <w:t xml:space="preserve">, </w:t>
      </w:r>
      <w:r w:rsidRPr="0053064C">
        <w:rPr>
          <w:b/>
          <w:lang w:val="es-MX"/>
        </w:rPr>
        <w:t>CIFRAS PRELIMINARES</w:t>
      </w:r>
    </w:p>
    <w:p w14:paraId="0AF807AC" w14:textId="77777777" w:rsidR="004B6201" w:rsidRDefault="004B6201" w:rsidP="004B6201">
      <w:pPr>
        <w:rPr>
          <w:sz w:val="22"/>
          <w:szCs w:val="22"/>
          <w:lang w:val="es-MX"/>
        </w:rPr>
      </w:pPr>
    </w:p>
    <w:p w14:paraId="684B0ED9" w14:textId="7BC9DE97" w:rsidR="004B6201" w:rsidRPr="0053064C" w:rsidRDefault="004B6201" w:rsidP="004B6201">
      <w:pPr>
        <w:ind w:left="-426" w:right="-233"/>
        <w:contextualSpacing/>
        <w:rPr>
          <w:noProof/>
          <w:lang w:eastAsia="es-MX"/>
        </w:rPr>
      </w:pPr>
      <w:r w:rsidRPr="0053064C">
        <w:rPr>
          <w:lang w:val="es-MX"/>
        </w:rPr>
        <w:t xml:space="preserve">El Instituto Nacional de Estadística y Geografía (INEGI) da a conocer los resultados </w:t>
      </w:r>
      <w:r>
        <w:rPr>
          <w:lang w:val="es-MX"/>
        </w:rPr>
        <w:t xml:space="preserve">preliminares </w:t>
      </w:r>
      <w:r w:rsidRPr="0053064C">
        <w:rPr>
          <w:lang w:val="es-MX"/>
        </w:rPr>
        <w:t xml:space="preserve">de la </w:t>
      </w:r>
      <w:bookmarkStart w:id="1" w:name="_GoBack"/>
      <w:r w:rsidRPr="0053064C">
        <w:rPr>
          <w:lang w:val="es-MX"/>
        </w:rPr>
        <w:t>Encuesta Anual del Comercio (EAC) 2020</w:t>
      </w:r>
      <w:bookmarkEnd w:id="1"/>
      <w:r w:rsidR="001B1A10">
        <w:rPr>
          <w:lang w:val="es-MX"/>
        </w:rPr>
        <w:t>,</w:t>
      </w:r>
      <w:r w:rsidR="001B1A10">
        <w:rPr>
          <w:noProof/>
          <w:lang w:eastAsia="es-MX"/>
        </w:rPr>
        <w:t xml:space="preserve"> </w:t>
      </w:r>
      <w:r>
        <w:rPr>
          <w:noProof/>
          <w:lang w:eastAsia="es-MX"/>
        </w:rPr>
        <w:t>que permiten c</w:t>
      </w:r>
      <w:r w:rsidRPr="0053064C">
        <w:rPr>
          <w:noProof/>
          <w:lang w:eastAsia="es-MX"/>
        </w:rPr>
        <w:t>onocer las tendencias, factores y dinámica sobre el comportamiento de la actividad comercial en México.</w:t>
      </w:r>
    </w:p>
    <w:p w14:paraId="228591F8" w14:textId="77777777" w:rsidR="004B6201" w:rsidRPr="0053064C" w:rsidRDefault="004B6201" w:rsidP="004B6201">
      <w:pPr>
        <w:ind w:right="-233"/>
        <w:contextualSpacing/>
        <w:rPr>
          <w:noProof/>
          <w:lang w:eastAsia="es-MX"/>
        </w:rPr>
      </w:pPr>
    </w:p>
    <w:p w14:paraId="793DA996" w14:textId="32BB3F80" w:rsidR="004B6201" w:rsidRPr="0053064C" w:rsidRDefault="004B6201" w:rsidP="004B6201">
      <w:pPr>
        <w:ind w:left="-426" w:right="-233"/>
        <w:contextualSpacing/>
        <w:rPr>
          <w:noProof/>
          <w:lang w:eastAsia="es-MX"/>
        </w:rPr>
      </w:pPr>
      <w:r w:rsidRPr="0053064C">
        <w:rPr>
          <w:noProof/>
          <w:lang w:eastAsia="es-MX"/>
        </w:rPr>
        <w:t>La E</w:t>
      </w:r>
      <w:r w:rsidR="001B1A10">
        <w:rPr>
          <w:noProof/>
          <w:lang w:eastAsia="es-MX"/>
        </w:rPr>
        <w:t xml:space="preserve">AC </w:t>
      </w:r>
      <w:r w:rsidRPr="0053064C">
        <w:rPr>
          <w:noProof/>
          <w:lang w:eastAsia="es-MX"/>
        </w:rPr>
        <w:t>capta información económica básica de todas las actividades comerciales que se efectúan en el país que se encuentran agrupadas en el S</w:t>
      </w:r>
      <w:r>
        <w:rPr>
          <w:noProof/>
          <w:lang w:eastAsia="es-MX"/>
        </w:rPr>
        <w:t>istema de Clasificación Industrial de América del Norte (S</w:t>
      </w:r>
      <w:r w:rsidRPr="0053064C">
        <w:rPr>
          <w:noProof/>
          <w:lang w:eastAsia="es-MX"/>
        </w:rPr>
        <w:t>CIAN</w:t>
      </w:r>
      <w:r>
        <w:rPr>
          <w:noProof/>
          <w:lang w:eastAsia="es-MX"/>
        </w:rPr>
        <w:t>)</w:t>
      </w:r>
      <w:r w:rsidRPr="0053064C">
        <w:rPr>
          <w:noProof/>
          <w:lang w:eastAsia="es-MX"/>
        </w:rPr>
        <w:t xml:space="preserve"> 2013 en dos sectores de actividad: 43 comercio al por mayor y 46 </w:t>
      </w:r>
      <w:r w:rsidR="000F360A">
        <w:rPr>
          <w:noProof/>
          <w:lang w:eastAsia="es-MX"/>
        </w:rPr>
        <w:t xml:space="preserve">comercio </w:t>
      </w:r>
      <w:r w:rsidRPr="0053064C">
        <w:rPr>
          <w:noProof/>
          <w:lang w:eastAsia="es-MX"/>
        </w:rPr>
        <w:t>al por menor.</w:t>
      </w:r>
    </w:p>
    <w:p w14:paraId="4D9FDF2B" w14:textId="77777777" w:rsidR="004B6201" w:rsidRPr="0053064C" w:rsidRDefault="004B6201" w:rsidP="004B6201">
      <w:pPr>
        <w:pStyle w:val="Default"/>
        <w:tabs>
          <w:tab w:val="left" w:pos="3261"/>
          <w:tab w:val="left" w:pos="4253"/>
        </w:tabs>
        <w:ind w:left="-426" w:right="-233"/>
        <w:jc w:val="both"/>
        <w:rPr>
          <w:b/>
          <w:bCs/>
          <w:color w:val="auto"/>
          <w:lang w:eastAsia="es-ES"/>
        </w:rPr>
      </w:pPr>
    </w:p>
    <w:p w14:paraId="0941623F" w14:textId="77777777" w:rsidR="004B6201" w:rsidRPr="0053064C" w:rsidRDefault="004B6201" w:rsidP="004B6201">
      <w:pPr>
        <w:pStyle w:val="Default"/>
        <w:tabs>
          <w:tab w:val="left" w:pos="3261"/>
          <w:tab w:val="left" w:pos="4253"/>
        </w:tabs>
        <w:ind w:left="-426" w:right="-233"/>
        <w:jc w:val="both"/>
        <w:rPr>
          <w:b/>
          <w:bCs/>
          <w:color w:val="auto"/>
          <w:lang w:eastAsia="es-ES"/>
        </w:rPr>
      </w:pPr>
      <w:r w:rsidRPr="0053064C">
        <w:rPr>
          <w:b/>
          <w:bCs/>
          <w:color w:val="auto"/>
          <w:lang w:eastAsia="es-ES"/>
        </w:rPr>
        <w:t>Principales resultados</w:t>
      </w:r>
    </w:p>
    <w:p w14:paraId="2C62B466" w14:textId="77777777" w:rsidR="004B6201" w:rsidRPr="0053064C" w:rsidRDefault="004B6201" w:rsidP="004B6201">
      <w:pPr>
        <w:pStyle w:val="Default"/>
        <w:tabs>
          <w:tab w:val="left" w:pos="3261"/>
          <w:tab w:val="left" w:pos="4253"/>
        </w:tabs>
        <w:ind w:left="-426" w:right="-233"/>
        <w:jc w:val="both"/>
        <w:rPr>
          <w:b/>
          <w:bCs/>
          <w:color w:val="auto"/>
          <w:lang w:eastAsia="es-ES"/>
        </w:rPr>
      </w:pPr>
    </w:p>
    <w:p w14:paraId="61AF78A8" w14:textId="77777777" w:rsidR="004B6201" w:rsidRDefault="004B6201" w:rsidP="004B6201">
      <w:pPr>
        <w:pStyle w:val="Default"/>
        <w:tabs>
          <w:tab w:val="left" w:pos="3261"/>
          <w:tab w:val="left" w:pos="4253"/>
        </w:tabs>
        <w:ind w:left="-426" w:right="-233"/>
        <w:jc w:val="both"/>
        <w:rPr>
          <w:color w:val="auto"/>
          <w:lang w:eastAsia="es-ES"/>
        </w:rPr>
      </w:pPr>
      <w:r w:rsidRPr="0053064C">
        <w:rPr>
          <w:color w:val="auto"/>
          <w:lang w:eastAsia="es-ES"/>
        </w:rPr>
        <w:t xml:space="preserve">En </w:t>
      </w:r>
      <w:r>
        <w:rPr>
          <w:color w:val="auto"/>
          <w:lang w:eastAsia="es-ES"/>
        </w:rPr>
        <w:t xml:space="preserve">el </w:t>
      </w:r>
      <w:r w:rsidRPr="0053064C">
        <w:rPr>
          <w:color w:val="auto"/>
          <w:lang w:eastAsia="es-ES"/>
        </w:rPr>
        <w:t>comercio al por mayor, 36.6%</w:t>
      </w:r>
      <w:r>
        <w:rPr>
          <w:color w:val="auto"/>
          <w:lang w:eastAsia="es-ES"/>
        </w:rPr>
        <w:t xml:space="preserve"> d</w:t>
      </w:r>
      <w:r w:rsidRPr="0053064C">
        <w:rPr>
          <w:color w:val="auto"/>
          <w:lang w:eastAsia="es-ES"/>
        </w:rPr>
        <w:t>el personal ocupado depend</w:t>
      </w:r>
      <w:r>
        <w:rPr>
          <w:color w:val="auto"/>
          <w:lang w:eastAsia="es-ES"/>
        </w:rPr>
        <w:t>i</w:t>
      </w:r>
      <w:r w:rsidRPr="0053064C">
        <w:rPr>
          <w:color w:val="auto"/>
          <w:lang w:eastAsia="es-ES"/>
        </w:rPr>
        <w:t>e</w:t>
      </w:r>
      <w:r>
        <w:rPr>
          <w:color w:val="auto"/>
          <w:lang w:eastAsia="es-ES"/>
        </w:rPr>
        <w:t>nte</w:t>
      </w:r>
      <w:r w:rsidRPr="0053064C">
        <w:rPr>
          <w:color w:val="auto"/>
          <w:lang w:eastAsia="es-ES"/>
        </w:rPr>
        <w:t xml:space="preserve"> de la razón </w:t>
      </w:r>
      <w:r>
        <w:rPr>
          <w:color w:val="auto"/>
          <w:lang w:eastAsia="es-ES"/>
        </w:rPr>
        <w:t xml:space="preserve">y </w:t>
      </w:r>
      <w:r w:rsidRPr="0053064C">
        <w:rPr>
          <w:color w:val="auto"/>
          <w:lang w:eastAsia="es-ES"/>
        </w:rPr>
        <w:t xml:space="preserve">33.3% de personal ocupado no dependiente </w:t>
      </w:r>
      <w:r>
        <w:rPr>
          <w:color w:val="auto"/>
          <w:lang w:eastAsia="es-ES"/>
        </w:rPr>
        <w:t>corresponden al</w:t>
      </w:r>
      <w:r w:rsidRPr="0053064C">
        <w:rPr>
          <w:color w:val="auto"/>
          <w:lang w:eastAsia="es-ES"/>
        </w:rPr>
        <w:t xml:space="preserve"> sexo masculino</w:t>
      </w:r>
      <w:r>
        <w:rPr>
          <w:color w:val="auto"/>
          <w:lang w:eastAsia="es-ES"/>
        </w:rPr>
        <w:t>.</w:t>
      </w:r>
    </w:p>
    <w:p w14:paraId="23B4A970" w14:textId="77777777" w:rsidR="004B6201" w:rsidRDefault="004B6201" w:rsidP="004B6201">
      <w:pPr>
        <w:pStyle w:val="Default"/>
        <w:tabs>
          <w:tab w:val="left" w:pos="3261"/>
          <w:tab w:val="left" w:pos="4253"/>
        </w:tabs>
        <w:ind w:left="-426" w:right="-233"/>
        <w:jc w:val="both"/>
        <w:rPr>
          <w:color w:val="auto"/>
          <w:lang w:eastAsia="es-ES"/>
        </w:rPr>
      </w:pPr>
    </w:p>
    <w:p w14:paraId="64D4F072" w14:textId="77777777" w:rsidR="004B6201" w:rsidRPr="0053064C" w:rsidRDefault="004B6201" w:rsidP="004B6201">
      <w:pPr>
        <w:pStyle w:val="Default"/>
        <w:tabs>
          <w:tab w:val="left" w:pos="3261"/>
          <w:tab w:val="left" w:pos="4253"/>
        </w:tabs>
        <w:ind w:left="-426" w:right="-233"/>
        <w:jc w:val="both"/>
        <w:rPr>
          <w:color w:val="auto"/>
          <w:lang w:eastAsia="es-ES"/>
        </w:rPr>
      </w:pPr>
      <w:r>
        <w:rPr>
          <w:color w:val="auto"/>
          <w:lang w:eastAsia="es-ES"/>
        </w:rPr>
        <w:t>E</w:t>
      </w:r>
      <w:r w:rsidRPr="0053064C">
        <w:rPr>
          <w:color w:val="auto"/>
          <w:lang w:eastAsia="es-ES"/>
        </w:rPr>
        <w:t xml:space="preserve">n el caso del comercio al por menor, </w:t>
      </w:r>
      <w:r>
        <w:rPr>
          <w:color w:val="auto"/>
          <w:lang w:eastAsia="es-ES"/>
        </w:rPr>
        <w:t xml:space="preserve">la </w:t>
      </w:r>
      <w:r w:rsidRPr="0053064C">
        <w:rPr>
          <w:color w:val="auto"/>
          <w:lang w:eastAsia="es-ES"/>
        </w:rPr>
        <w:t>distribución del personal que depende de la razón social se mantiene ligeramente inclinada hacia las mujeres con 43.6%, mientas los hombres participan con 39.7</w:t>
      </w:r>
      <w:r>
        <w:rPr>
          <w:color w:val="auto"/>
          <w:lang w:eastAsia="es-ES"/>
        </w:rPr>
        <w:t xml:space="preserve"> por ciento.</w:t>
      </w:r>
    </w:p>
    <w:p w14:paraId="58193F8C" w14:textId="77777777" w:rsidR="004B6201" w:rsidRPr="0053064C" w:rsidRDefault="004B6201" w:rsidP="004B6201">
      <w:pPr>
        <w:pStyle w:val="Default"/>
        <w:tabs>
          <w:tab w:val="left" w:pos="3261"/>
          <w:tab w:val="left" w:pos="4253"/>
        </w:tabs>
        <w:ind w:left="-426" w:right="-233"/>
        <w:jc w:val="both"/>
        <w:rPr>
          <w:color w:val="auto"/>
          <w:lang w:eastAsia="es-ES"/>
        </w:rPr>
      </w:pPr>
    </w:p>
    <w:p w14:paraId="5BA7BA8B" w14:textId="77777777" w:rsidR="004B6201" w:rsidRPr="0053064C" w:rsidRDefault="004B6201" w:rsidP="004B6201">
      <w:pPr>
        <w:ind w:left="-426" w:right="-233"/>
        <w:rPr>
          <w:b/>
          <w:spacing w:val="-1"/>
          <w:lang w:val="es-MX"/>
        </w:rPr>
      </w:pPr>
      <w:r>
        <w:t>D</w:t>
      </w:r>
      <w:r w:rsidRPr="0053064C">
        <w:t xml:space="preserve">el total del personal dependiente de la razón </w:t>
      </w:r>
      <w:r>
        <w:t xml:space="preserve">en </w:t>
      </w:r>
      <w:r w:rsidRPr="0053064C">
        <w:t>el comercio al por mayor</w:t>
      </w:r>
      <w:r>
        <w:t xml:space="preserve">, </w:t>
      </w:r>
      <w:r w:rsidRPr="0053064C">
        <w:t>99.7</w:t>
      </w:r>
      <w:r>
        <w:t>%</w:t>
      </w:r>
      <w:r w:rsidRPr="0053064C">
        <w:t xml:space="preserve"> recibió una remuneración fija y periódica por su trabajo</w:t>
      </w:r>
      <w:r>
        <w:t>. E</w:t>
      </w:r>
      <w:r w:rsidRPr="0053064C">
        <w:t>n el comercio al por menor esa proporción fue menor al 50</w:t>
      </w:r>
      <w:r>
        <w:t xml:space="preserve"> por ciento</w:t>
      </w:r>
      <w:r w:rsidRPr="0053064C">
        <w:t>.</w:t>
      </w:r>
    </w:p>
    <w:p w14:paraId="4CAC5AC9" w14:textId="77777777" w:rsidR="004B6201" w:rsidRPr="0053064C" w:rsidRDefault="004B6201" w:rsidP="004B6201">
      <w:pPr>
        <w:pStyle w:val="Default"/>
        <w:tabs>
          <w:tab w:val="left" w:pos="3261"/>
          <w:tab w:val="left" w:pos="4253"/>
        </w:tabs>
        <w:ind w:right="-233"/>
        <w:jc w:val="both"/>
        <w:rPr>
          <w:color w:val="auto"/>
          <w:lang w:eastAsia="es-ES"/>
        </w:rPr>
      </w:pPr>
    </w:p>
    <w:p w14:paraId="0B23A744" w14:textId="77777777" w:rsidR="004B6201" w:rsidRPr="007B5498" w:rsidRDefault="004B6201" w:rsidP="004B6201">
      <w:pPr>
        <w:ind w:left="-426" w:right="-233"/>
        <w:rPr>
          <w:lang w:val="es-MX"/>
        </w:rPr>
      </w:pPr>
      <w:r>
        <w:rPr>
          <w:lang w:val="es-MX"/>
        </w:rPr>
        <w:t>El 37.6 % de los ingresos del comercio al por mayor se obtiene de l</w:t>
      </w:r>
      <w:r w:rsidRPr="0053064C">
        <w:rPr>
          <w:lang w:val="es-MX"/>
        </w:rPr>
        <w:t>a rama de abarrotes, alimentos, bebidas, hielo y tabaco</w:t>
      </w:r>
      <w:r>
        <w:rPr>
          <w:lang w:val="es-MX"/>
        </w:rPr>
        <w:t xml:space="preserve">. </w:t>
      </w:r>
      <w:r>
        <w:t xml:space="preserve">En </w:t>
      </w:r>
      <w:r w:rsidRPr="0053064C">
        <w:t>el comercio al por menor</w:t>
      </w:r>
      <w:r>
        <w:t>,</w:t>
      </w:r>
      <w:r w:rsidRPr="0053064C">
        <w:t xml:space="preserve"> 32.5%;</w:t>
      </w:r>
      <w:r>
        <w:t xml:space="preserve"> de </w:t>
      </w:r>
      <w:r w:rsidRPr="0053064C">
        <w:t xml:space="preserve">los ingresos </w:t>
      </w:r>
      <w:r>
        <w:t>provienen de</w:t>
      </w:r>
      <w:r w:rsidRPr="0053064C">
        <w:t xml:space="preserve"> la distribución de vehículos de motor, refacciones, combustibles y lubricantes.</w:t>
      </w:r>
    </w:p>
    <w:p w14:paraId="71D491CC" w14:textId="77777777" w:rsidR="004B6201" w:rsidRPr="0053064C" w:rsidRDefault="004B6201" w:rsidP="004B6201">
      <w:pPr>
        <w:ind w:left="-426" w:right="-233"/>
      </w:pPr>
    </w:p>
    <w:p w14:paraId="02EA44DC" w14:textId="283C937E" w:rsidR="004B6201" w:rsidRPr="0053064C" w:rsidRDefault="004B6201" w:rsidP="004B6201">
      <w:pPr>
        <w:ind w:left="-426" w:right="-233"/>
        <w:rPr>
          <w:lang w:val="es-MX"/>
        </w:rPr>
      </w:pPr>
      <w:r>
        <w:rPr>
          <w:lang w:val="es-MX"/>
        </w:rPr>
        <w:t>Las</w:t>
      </w:r>
      <w:r w:rsidRPr="0053064C">
        <w:rPr>
          <w:lang w:val="es-MX"/>
        </w:rPr>
        <w:t xml:space="preserve"> empresas invierten en mayor proporción en los bienes inmuebles</w:t>
      </w:r>
      <w:r>
        <w:rPr>
          <w:lang w:val="es-MX"/>
        </w:rPr>
        <w:t>:</w:t>
      </w:r>
      <w:r w:rsidRPr="0053064C">
        <w:rPr>
          <w:lang w:val="es-MX"/>
        </w:rPr>
        <w:t xml:space="preserve"> 31</w:t>
      </w:r>
      <w:r w:rsidR="00346C22">
        <w:rPr>
          <w:lang w:val="es-MX"/>
        </w:rPr>
        <w:t>.0</w:t>
      </w:r>
      <w:r w:rsidRPr="0053064C">
        <w:rPr>
          <w:lang w:val="es-MX"/>
        </w:rPr>
        <w:t xml:space="preserve">% dentro del comercio al por mayor y 52.0% aplicable al comercio al por menor. El rubro de menor inversión para </w:t>
      </w:r>
      <w:r>
        <w:rPr>
          <w:lang w:val="es-MX"/>
        </w:rPr>
        <w:t>el</w:t>
      </w:r>
      <w:r w:rsidRPr="0053064C">
        <w:rPr>
          <w:lang w:val="es-MX"/>
        </w:rPr>
        <w:t xml:space="preserve"> comercio al por mayor y comercio al por menor, es el de equipo de cómputo, con participaciones de 7.4% y 6.9%, respectivamente. </w:t>
      </w:r>
    </w:p>
    <w:p w14:paraId="7060683D" w14:textId="77777777" w:rsidR="004B6201" w:rsidRPr="0053064C" w:rsidRDefault="004B6201" w:rsidP="004B6201">
      <w:pPr>
        <w:ind w:left="-426" w:right="-233"/>
        <w:rPr>
          <w:lang w:val="es-MX"/>
        </w:rPr>
      </w:pPr>
    </w:p>
    <w:p w14:paraId="3D8BCE78" w14:textId="1B86A67B" w:rsidR="004B6201" w:rsidRPr="0053064C" w:rsidRDefault="004B6201" w:rsidP="004B6201">
      <w:pPr>
        <w:ind w:left="-426" w:right="-233"/>
        <w:rPr>
          <w:lang w:val="es-MX"/>
        </w:rPr>
      </w:pPr>
      <w:r>
        <w:rPr>
          <w:lang w:val="es-MX"/>
        </w:rPr>
        <w:t>De l</w:t>
      </w:r>
      <w:r w:rsidRPr="0053064C">
        <w:rPr>
          <w:lang w:val="es-MX"/>
        </w:rPr>
        <w:t>as formas de comercializar destacan: oficina de ventas en el sector al por mayor participa con 22.4% y en el comercio al por menor con 5.8%;</w:t>
      </w:r>
      <w:r w:rsidR="002466FD">
        <w:rPr>
          <w:lang w:val="es-MX"/>
        </w:rPr>
        <w:t xml:space="preserve"> </w:t>
      </w:r>
      <w:r w:rsidRPr="0053064C">
        <w:rPr>
          <w:lang w:val="es-MX"/>
        </w:rPr>
        <w:t xml:space="preserve">tiendas con atención personal del vendedor en el mostrador </w:t>
      </w:r>
      <w:r w:rsidR="002466FD">
        <w:rPr>
          <w:lang w:val="es-MX"/>
        </w:rPr>
        <w:t>con</w:t>
      </w:r>
      <w:r w:rsidRPr="0053064C">
        <w:rPr>
          <w:lang w:val="es-MX"/>
        </w:rPr>
        <w:t xml:space="preserve"> 23.8% y 33.1% </w:t>
      </w:r>
      <w:r w:rsidR="002466FD">
        <w:rPr>
          <w:lang w:val="es-MX"/>
        </w:rPr>
        <w:t>respectivamente</w:t>
      </w:r>
      <w:r w:rsidRPr="0053064C">
        <w:rPr>
          <w:lang w:val="es-MX"/>
        </w:rPr>
        <w:t>; en tanto las ventas de bodega, almacén o depósito en el comercio al por mayor representan 25.6% y dentro del comercio al por menor 4.2</w:t>
      </w:r>
      <w:r>
        <w:rPr>
          <w:lang w:val="es-MX"/>
        </w:rPr>
        <w:t xml:space="preserve"> por ciento</w:t>
      </w:r>
      <w:r w:rsidRPr="0053064C">
        <w:rPr>
          <w:lang w:val="es-MX"/>
        </w:rPr>
        <w:t>.</w:t>
      </w:r>
    </w:p>
    <w:p w14:paraId="377CA823" w14:textId="77777777" w:rsidR="004B6201" w:rsidRPr="0053064C" w:rsidRDefault="004B6201" w:rsidP="004B6201">
      <w:pPr>
        <w:ind w:left="-426" w:right="-233"/>
        <w:rPr>
          <w:b/>
          <w:spacing w:val="-1"/>
          <w:lang w:val="es-MX"/>
        </w:rPr>
      </w:pPr>
    </w:p>
    <w:p w14:paraId="444B18B0" w14:textId="77777777" w:rsidR="004B6201" w:rsidRPr="0053064C" w:rsidRDefault="004B6201" w:rsidP="004B6201">
      <w:pPr>
        <w:ind w:left="-426" w:right="-233"/>
        <w:rPr>
          <w:lang w:val="es-MX"/>
        </w:rPr>
      </w:pPr>
      <w:r w:rsidRPr="0053064C">
        <w:rPr>
          <w:lang w:val="es-MX"/>
        </w:rPr>
        <w:t xml:space="preserve">La venta directa en el establecimiento es </w:t>
      </w:r>
      <w:r>
        <w:rPr>
          <w:lang w:val="es-MX"/>
        </w:rPr>
        <w:t>el método</w:t>
      </w:r>
      <w:r w:rsidRPr="0053064C">
        <w:rPr>
          <w:lang w:val="es-MX"/>
        </w:rPr>
        <w:t xml:space="preserve"> preponderante </w:t>
      </w:r>
      <w:r>
        <w:rPr>
          <w:lang w:val="es-MX"/>
        </w:rPr>
        <w:t>en el sector</w:t>
      </w:r>
      <w:r w:rsidRPr="0053064C">
        <w:rPr>
          <w:lang w:val="es-MX"/>
        </w:rPr>
        <w:t xml:space="preserve"> del comercio al por menor </w:t>
      </w:r>
      <w:r>
        <w:rPr>
          <w:lang w:val="es-MX"/>
        </w:rPr>
        <w:t>(</w:t>
      </w:r>
      <w:r w:rsidRPr="0053064C">
        <w:rPr>
          <w:lang w:val="es-MX"/>
        </w:rPr>
        <w:t>77.9%</w:t>
      </w:r>
      <w:r>
        <w:rPr>
          <w:lang w:val="es-MX"/>
        </w:rPr>
        <w:t>)</w:t>
      </w:r>
      <w:r w:rsidRPr="0053064C">
        <w:rPr>
          <w:lang w:val="es-MX"/>
        </w:rPr>
        <w:t xml:space="preserve"> y al por menor </w:t>
      </w:r>
      <w:r>
        <w:rPr>
          <w:lang w:val="es-MX"/>
        </w:rPr>
        <w:t>(</w:t>
      </w:r>
      <w:r w:rsidRPr="0053064C">
        <w:rPr>
          <w:lang w:val="es-MX"/>
        </w:rPr>
        <w:t>47.8%</w:t>
      </w:r>
      <w:r>
        <w:rPr>
          <w:lang w:val="es-MX"/>
        </w:rPr>
        <w:t>)</w:t>
      </w:r>
      <w:r w:rsidRPr="0053064C">
        <w:rPr>
          <w:lang w:val="es-MX"/>
        </w:rPr>
        <w:t xml:space="preserve">. La forma de comercializar menos popular es la venta por </w:t>
      </w:r>
      <w:r>
        <w:rPr>
          <w:lang w:val="es-MX"/>
        </w:rPr>
        <w:t>c</w:t>
      </w:r>
      <w:r w:rsidRPr="0053064C">
        <w:rPr>
          <w:lang w:val="es-MX"/>
        </w:rPr>
        <w:t xml:space="preserve">atálogo o correo postal, que en el comercio al por mayor aporta solo 4.4% </w:t>
      </w:r>
      <w:r>
        <w:rPr>
          <w:lang w:val="es-MX"/>
        </w:rPr>
        <w:t xml:space="preserve">y </w:t>
      </w:r>
      <w:r w:rsidRPr="0053064C">
        <w:rPr>
          <w:lang w:val="es-MX"/>
        </w:rPr>
        <w:t xml:space="preserve">en el comercio al por menor </w:t>
      </w:r>
      <w:r>
        <w:rPr>
          <w:lang w:val="es-MX"/>
        </w:rPr>
        <w:t>es</w:t>
      </w:r>
      <w:r w:rsidRPr="0053064C">
        <w:rPr>
          <w:lang w:val="es-MX"/>
        </w:rPr>
        <w:t xml:space="preserve"> de 2.2</w:t>
      </w:r>
      <w:r>
        <w:rPr>
          <w:lang w:val="es-MX"/>
        </w:rPr>
        <w:t xml:space="preserve"> por ciento.</w:t>
      </w:r>
    </w:p>
    <w:p w14:paraId="0FFEE6D7" w14:textId="77777777" w:rsidR="004B6201" w:rsidRPr="0053064C" w:rsidRDefault="004B6201" w:rsidP="004B6201">
      <w:pPr>
        <w:ind w:right="-233"/>
      </w:pPr>
    </w:p>
    <w:p w14:paraId="7FD0E914" w14:textId="77777777" w:rsidR="004B6201" w:rsidRPr="0053064C" w:rsidRDefault="004B6201" w:rsidP="004B6201">
      <w:pPr>
        <w:ind w:right="-233"/>
        <w:rPr>
          <w:bCs/>
          <w:spacing w:val="-1"/>
          <w:lang w:val="es-MX"/>
        </w:rPr>
      </w:pPr>
    </w:p>
    <w:p w14:paraId="0C8AAEE3" w14:textId="77777777" w:rsidR="004B6201" w:rsidRPr="0053064C" w:rsidRDefault="004B6201" w:rsidP="004B6201">
      <w:pPr>
        <w:ind w:left="-426" w:right="-233"/>
      </w:pPr>
      <w:r>
        <w:lastRenderedPageBreak/>
        <w:t>Únicamente</w:t>
      </w:r>
      <w:r w:rsidRPr="0053064C">
        <w:t xml:space="preserve"> 4.3% de las empresas del comercio al por mayor obtuvieron ingresos mediante contratos con empresas de otros países</w:t>
      </w:r>
      <w:r>
        <w:t>. L</w:t>
      </w:r>
      <w:r w:rsidRPr="0053064C">
        <w:t>a participación del comercio al por menor en es</w:t>
      </w:r>
      <w:r>
        <w:t>t</w:t>
      </w:r>
      <w:r w:rsidRPr="0053064C">
        <w:t>e renglón</w:t>
      </w:r>
      <w:r>
        <w:t xml:space="preserve"> fue nula</w:t>
      </w:r>
      <w:r w:rsidRPr="0053064C">
        <w:t xml:space="preserve">. </w:t>
      </w:r>
    </w:p>
    <w:p w14:paraId="3F63EF71" w14:textId="77777777" w:rsidR="004B6201" w:rsidRPr="0053064C" w:rsidRDefault="004B6201" w:rsidP="004B6201">
      <w:pPr>
        <w:ind w:right="-233"/>
      </w:pPr>
    </w:p>
    <w:p w14:paraId="77E585A2" w14:textId="5EA10DDB" w:rsidR="004B6201" w:rsidRPr="0053064C" w:rsidRDefault="002466FD" w:rsidP="004B6201">
      <w:pPr>
        <w:ind w:left="-426" w:right="-233"/>
      </w:pPr>
      <w:r>
        <w:t>En</w:t>
      </w:r>
      <w:r w:rsidR="004B6201" w:rsidRPr="0053064C">
        <w:t xml:space="preserve"> el comercio al por mayor</w:t>
      </w:r>
      <w:r w:rsidR="004B6201">
        <w:t>,</w:t>
      </w:r>
      <w:r w:rsidR="004B6201" w:rsidRPr="0053064C">
        <w:t xml:space="preserve"> 82.1% de las entidades económicas recurrieron a algún banco</w:t>
      </w:r>
      <w:r w:rsidR="004B6201">
        <w:t>, en tanto que</w:t>
      </w:r>
      <w:r>
        <w:t xml:space="preserve"> 44.3 % de </w:t>
      </w:r>
      <w:r w:rsidR="004B6201">
        <w:t>l</w:t>
      </w:r>
      <w:r w:rsidR="004B6201" w:rsidRPr="0053064C">
        <w:t xml:space="preserve">as empresas minoristas </w:t>
      </w:r>
      <w:r>
        <w:t>recurrieron a este tipo de financiamiento.</w:t>
      </w:r>
    </w:p>
    <w:p w14:paraId="3B4491E9" w14:textId="77777777" w:rsidR="004B6201" w:rsidRPr="0053064C" w:rsidRDefault="004B6201" w:rsidP="004B6201">
      <w:pPr>
        <w:ind w:left="-426" w:right="-233"/>
        <w:rPr>
          <w:b/>
          <w:bCs/>
        </w:rPr>
      </w:pPr>
    </w:p>
    <w:p w14:paraId="509E6D70" w14:textId="77777777" w:rsidR="004B6201" w:rsidRPr="0053064C" w:rsidRDefault="004B6201" w:rsidP="004B6201">
      <w:pPr>
        <w:ind w:left="-426" w:right="-233"/>
        <w:rPr>
          <w:b/>
          <w:bCs/>
        </w:rPr>
      </w:pPr>
      <w:r w:rsidRPr="0053064C">
        <w:rPr>
          <w:b/>
          <w:bCs/>
        </w:rPr>
        <w:t>Nota al usuario:</w:t>
      </w:r>
    </w:p>
    <w:p w14:paraId="68D93AB3" w14:textId="77777777" w:rsidR="004B6201" w:rsidRPr="0053064C" w:rsidRDefault="004B6201" w:rsidP="004B6201">
      <w:pPr>
        <w:ind w:left="-426" w:right="-233"/>
        <w:rPr>
          <w:b/>
          <w:bCs/>
        </w:rPr>
      </w:pPr>
    </w:p>
    <w:p w14:paraId="70ADDD22" w14:textId="1F1BE9C0" w:rsidR="004B6201" w:rsidRPr="0053064C" w:rsidRDefault="004B6201" w:rsidP="004B6201">
      <w:pPr>
        <w:ind w:left="-426" w:right="-233"/>
      </w:pPr>
      <w:r w:rsidRPr="0053064C">
        <w:t>Es importante precisar que 2020 fue un año atípico, ya que el 11 de marzo de 2020 la Organización Mundial de la Salud declaró oficialmente una pandemia, con motivo de la propagación del Coronavirus COVID-19</w:t>
      </w:r>
      <w:r>
        <w:t xml:space="preserve"> y</w:t>
      </w:r>
      <w:r w:rsidRPr="0053064C">
        <w:t xml:space="preserve"> se adoptaron medidas emergentes. Esta situación se ha prolongado hasta e</w:t>
      </w:r>
      <w:r w:rsidR="00990306">
        <w:t>ste año</w:t>
      </w:r>
      <w:r w:rsidRPr="0053064C">
        <w:t>, lo cual se refleja en los resultados generados.</w:t>
      </w:r>
    </w:p>
    <w:p w14:paraId="59096812" w14:textId="77777777" w:rsidR="004B6201" w:rsidRPr="0053064C" w:rsidRDefault="004B6201" w:rsidP="004B6201">
      <w:pPr>
        <w:ind w:left="-426" w:right="-233"/>
      </w:pPr>
    </w:p>
    <w:p w14:paraId="58EA6B28" w14:textId="77777777" w:rsidR="004B6201" w:rsidRDefault="004B6201" w:rsidP="004B6201">
      <w:pPr>
        <w:ind w:left="-426" w:right="-233"/>
        <w:rPr>
          <w:lang w:val="es-MX" w:eastAsia="es-MX"/>
        </w:rPr>
      </w:pPr>
      <w:r w:rsidRPr="0053064C">
        <w:rPr>
          <w:lang w:val="es-MX" w:eastAsia="es-MX"/>
        </w:rPr>
        <w:t>La Tasa de no respuesta de la Encuesta Anual del Comercio (EAC), correspondiente a</w:t>
      </w:r>
      <w:r>
        <w:rPr>
          <w:lang w:val="es-MX" w:eastAsia="es-MX"/>
        </w:rPr>
        <w:t xml:space="preserve"> </w:t>
      </w:r>
      <w:r w:rsidRPr="0053064C">
        <w:rPr>
          <w:lang w:val="es-MX" w:eastAsia="es-MX"/>
        </w:rPr>
        <w:t>2020 registró porcentajes apropiados conforme al diseño estadístico de la encuesta, lo que permitió la generación de estadísticas con niveles altos de precisión. De los 40 dominios de estudio de la encuesta, solo para tres dominios que representan el 12.9%, en relación con la variable de ingresos del total del comercio, se recomienda el uso con reserva de las estimaciones:</w:t>
      </w:r>
      <w:r>
        <w:rPr>
          <w:lang w:val="es-MX" w:eastAsia="es-MX"/>
        </w:rPr>
        <w:t xml:space="preserve">   </w:t>
      </w:r>
    </w:p>
    <w:p w14:paraId="341DB799" w14:textId="77777777" w:rsidR="004B6201" w:rsidRPr="0053064C" w:rsidRDefault="004B6201" w:rsidP="004B6201">
      <w:pPr>
        <w:ind w:left="-426" w:right="-233"/>
        <w:rPr>
          <w:lang w:val="es-MX" w:eastAsia="es-MX"/>
        </w:rPr>
      </w:pPr>
    </w:p>
    <w:p w14:paraId="731928CB" w14:textId="77777777" w:rsidR="004B6201" w:rsidRPr="0053064C" w:rsidRDefault="004B6201" w:rsidP="004B6201">
      <w:pPr>
        <w:pStyle w:val="Prrafodelista"/>
        <w:numPr>
          <w:ilvl w:val="0"/>
          <w:numId w:val="32"/>
        </w:numPr>
        <w:ind w:left="-142" w:right="-233" w:hanging="284"/>
        <w:rPr>
          <w:lang w:val="es-MX" w:eastAsia="es-MX"/>
        </w:rPr>
      </w:pPr>
      <w:r w:rsidRPr="0053064C">
        <w:rPr>
          <w:lang w:val="es-MX" w:eastAsia="es-MX"/>
        </w:rPr>
        <w:t>Comercio al por mayor de abarrotes y alimentos</w:t>
      </w:r>
    </w:p>
    <w:p w14:paraId="273EE723" w14:textId="77777777" w:rsidR="004B6201" w:rsidRPr="0053064C" w:rsidRDefault="004B6201" w:rsidP="004B6201">
      <w:pPr>
        <w:pStyle w:val="Prrafodelista"/>
        <w:numPr>
          <w:ilvl w:val="0"/>
          <w:numId w:val="32"/>
        </w:numPr>
        <w:ind w:left="-142" w:right="-233" w:hanging="284"/>
        <w:rPr>
          <w:lang w:val="es-MX" w:eastAsia="es-MX"/>
        </w:rPr>
      </w:pPr>
      <w:r w:rsidRPr="0053064C">
        <w:rPr>
          <w:lang w:val="es-MX" w:eastAsia="es-MX"/>
        </w:rPr>
        <w:t>Intermediación de comercio al por mayor, excepto a través de Internet y de otros medios electrónicos</w:t>
      </w:r>
    </w:p>
    <w:p w14:paraId="3335F911" w14:textId="77777777" w:rsidR="004B6201" w:rsidRPr="00787C13" w:rsidRDefault="004B6201" w:rsidP="004B6201">
      <w:pPr>
        <w:pStyle w:val="Prrafodelista"/>
        <w:numPr>
          <w:ilvl w:val="0"/>
          <w:numId w:val="32"/>
        </w:numPr>
        <w:ind w:left="-142" w:right="-233" w:hanging="284"/>
        <w:rPr>
          <w:lang w:val="es-MX" w:eastAsia="es-MX"/>
        </w:rPr>
      </w:pPr>
      <w:r w:rsidRPr="0053064C">
        <w:rPr>
          <w:lang w:val="es-MX" w:eastAsia="es-MX"/>
        </w:rPr>
        <w:t>Intermediación de comercio al por mayor exclusivamente a través de Internet y otros medios electrónicos</w:t>
      </w:r>
    </w:p>
    <w:p w14:paraId="38A0C25D" w14:textId="77777777" w:rsidR="004B6201" w:rsidRPr="008B7C1A" w:rsidRDefault="004B6201" w:rsidP="004B6201">
      <w:pPr>
        <w:keepNext/>
        <w:keepLines/>
        <w:spacing w:before="240"/>
        <w:ind w:left="-426" w:right="-233"/>
        <w:rPr>
          <w:snapToGrid w:val="0"/>
          <w:lang w:val="es-MX"/>
        </w:rPr>
      </w:pPr>
      <w:r w:rsidRPr="0053064C">
        <w:t xml:space="preserve">La información </w:t>
      </w:r>
      <w:r>
        <w:t xml:space="preserve">preliminar de </w:t>
      </w:r>
      <w:r w:rsidRPr="0053064C">
        <w:t>la Encuesta Anual del Comercio (EAC)</w:t>
      </w:r>
      <w:r>
        <w:t xml:space="preserve"> 2020 </w:t>
      </w:r>
      <w:r w:rsidRPr="0053064C">
        <w:rPr>
          <w:snapToGrid w:val="0"/>
          <w:lang w:val="es-MX"/>
        </w:rPr>
        <w:t>p</w:t>
      </w:r>
      <w:r>
        <w:rPr>
          <w:snapToGrid w:val="0"/>
          <w:lang w:val="es-MX"/>
        </w:rPr>
        <w:t xml:space="preserve">uede </w:t>
      </w:r>
      <w:r w:rsidRPr="0053064C">
        <w:rPr>
          <w:snapToGrid w:val="0"/>
          <w:lang w:val="es-MX"/>
        </w:rPr>
        <w:t>ser consultada en la página del INEGI en</w:t>
      </w:r>
      <w:r>
        <w:rPr>
          <w:snapToGrid w:val="0"/>
          <w:lang w:val="es-MX"/>
        </w:rPr>
        <w:t xml:space="preserve"> i</w:t>
      </w:r>
      <w:r w:rsidRPr="0053064C">
        <w:rPr>
          <w:snapToGrid w:val="0"/>
          <w:lang w:val="es-MX"/>
        </w:rPr>
        <w:t xml:space="preserve">nternet: </w:t>
      </w:r>
      <w:hyperlink r:id="rId8" w:history="1">
        <w:r w:rsidRPr="002D53DC">
          <w:rPr>
            <w:rStyle w:val="Hipervnculo"/>
          </w:rPr>
          <w:t>https://www.inegi.org.mx/programas/eac/2013/</w:t>
        </w:r>
      </w:hyperlink>
    </w:p>
    <w:p w14:paraId="0A4D44AD" w14:textId="77777777" w:rsidR="004B6201" w:rsidRDefault="004B6201" w:rsidP="004B6201">
      <w:pPr>
        <w:pStyle w:val="NormalWeb"/>
        <w:spacing w:before="0" w:beforeAutospacing="0" w:after="0" w:afterAutospacing="0"/>
        <w:ind w:left="-426" w:right="-233"/>
        <w:contextualSpacing/>
        <w:jc w:val="center"/>
        <w:rPr>
          <w:rFonts w:ascii="Arial" w:hAnsi="Arial" w:cs="Arial"/>
        </w:rPr>
      </w:pPr>
    </w:p>
    <w:p w14:paraId="536DDC00" w14:textId="77777777" w:rsidR="00990306" w:rsidRPr="00990306" w:rsidRDefault="00990306" w:rsidP="004B6201">
      <w:pPr>
        <w:pStyle w:val="NormalWeb"/>
        <w:spacing w:before="0" w:beforeAutospacing="0" w:after="0" w:afterAutospacing="0"/>
        <w:ind w:left="-426" w:right="-233"/>
        <w:contextualSpacing/>
        <w:jc w:val="center"/>
        <w:rPr>
          <w:rFonts w:ascii="Arial" w:hAnsi="Arial" w:cs="Arial"/>
          <w:b/>
        </w:rPr>
      </w:pPr>
      <w:r w:rsidRPr="00990306">
        <w:rPr>
          <w:rFonts w:ascii="Arial" w:hAnsi="Arial" w:cs="Arial"/>
          <w:b/>
        </w:rPr>
        <w:t>Se anexa nota técnica</w:t>
      </w:r>
    </w:p>
    <w:p w14:paraId="1B3F524D" w14:textId="77777777" w:rsidR="00990306" w:rsidRDefault="00990306" w:rsidP="004B6201">
      <w:pPr>
        <w:pStyle w:val="NormalWeb"/>
        <w:spacing w:before="0" w:beforeAutospacing="0" w:after="0" w:afterAutospacing="0"/>
        <w:ind w:left="-426" w:right="-233"/>
        <w:contextualSpacing/>
        <w:jc w:val="center"/>
        <w:rPr>
          <w:rFonts w:ascii="Arial" w:hAnsi="Arial" w:cs="Arial"/>
        </w:rPr>
      </w:pPr>
    </w:p>
    <w:p w14:paraId="60552043" w14:textId="77777777" w:rsidR="00990306" w:rsidRDefault="00990306" w:rsidP="004B6201">
      <w:pPr>
        <w:pStyle w:val="NormalWeb"/>
        <w:spacing w:before="0" w:beforeAutospacing="0" w:after="0" w:afterAutospacing="0"/>
        <w:ind w:left="-426" w:right="-233"/>
        <w:contextualSpacing/>
        <w:jc w:val="center"/>
        <w:rPr>
          <w:rFonts w:ascii="Arial" w:hAnsi="Arial" w:cs="Arial"/>
        </w:rPr>
      </w:pPr>
    </w:p>
    <w:p w14:paraId="38DFCEC4" w14:textId="77777777" w:rsidR="00990306" w:rsidRDefault="00990306" w:rsidP="004B6201">
      <w:pPr>
        <w:pStyle w:val="NormalWeb"/>
        <w:spacing w:before="0" w:beforeAutospacing="0" w:after="0" w:afterAutospacing="0"/>
        <w:ind w:left="-426" w:right="-233"/>
        <w:contextualSpacing/>
        <w:jc w:val="center"/>
        <w:rPr>
          <w:rFonts w:ascii="Arial" w:hAnsi="Arial" w:cs="Arial"/>
        </w:rPr>
      </w:pPr>
    </w:p>
    <w:p w14:paraId="4F992DF9" w14:textId="77777777" w:rsidR="00990306" w:rsidRDefault="00990306" w:rsidP="004B6201">
      <w:pPr>
        <w:pStyle w:val="NormalWeb"/>
        <w:spacing w:before="0" w:beforeAutospacing="0" w:after="0" w:afterAutospacing="0"/>
        <w:ind w:left="-426" w:right="-233"/>
        <w:contextualSpacing/>
        <w:jc w:val="center"/>
        <w:rPr>
          <w:rFonts w:ascii="Arial" w:hAnsi="Arial" w:cs="Arial"/>
        </w:rPr>
      </w:pPr>
    </w:p>
    <w:p w14:paraId="515060FC" w14:textId="7D0BFA95" w:rsidR="004B6201" w:rsidRPr="0053064C" w:rsidRDefault="004B6201" w:rsidP="004B6201">
      <w:pPr>
        <w:pStyle w:val="NormalWeb"/>
        <w:spacing w:before="0" w:beforeAutospacing="0" w:after="0" w:afterAutospacing="0"/>
        <w:ind w:left="-426" w:right="-233"/>
        <w:contextualSpacing/>
        <w:jc w:val="center"/>
        <w:rPr>
          <w:rFonts w:ascii="Arial" w:hAnsi="Arial" w:cs="Arial"/>
        </w:rPr>
      </w:pPr>
      <w:r w:rsidRPr="0053064C">
        <w:rPr>
          <w:rFonts w:ascii="Arial" w:hAnsi="Arial" w:cs="Arial"/>
        </w:rPr>
        <w:t xml:space="preserve">Para consultas de medios y periodistas, contactar a: </w:t>
      </w:r>
      <w:hyperlink r:id="rId9" w:history="1">
        <w:r w:rsidRPr="0053064C">
          <w:rPr>
            <w:rStyle w:val="Hipervnculo"/>
            <w:rFonts w:ascii="Arial" w:hAnsi="Arial" w:cs="Arial"/>
          </w:rPr>
          <w:t>comunicacionsocial@inegi.org.mx</w:t>
        </w:r>
      </w:hyperlink>
    </w:p>
    <w:p w14:paraId="13A58FF9" w14:textId="77777777" w:rsidR="004B6201" w:rsidRPr="0053064C" w:rsidRDefault="004B6201" w:rsidP="004B6201">
      <w:pPr>
        <w:pStyle w:val="NormalWeb"/>
        <w:spacing w:before="0" w:beforeAutospacing="0" w:after="0" w:afterAutospacing="0"/>
        <w:ind w:left="-426" w:right="-233"/>
        <w:contextualSpacing/>
        <w:jc w:val="center"/>
        <w:rPr>
          <w:rFonts w:ascii="Arial" w:hAnsi="Arial" w:cs="Arial"/>
        </w:rPr>
      </w:pPr>
      <w:r w:rsidRPr="0053064C">
        <w:rPr>
          <w:rFonts w:ascii="Arial" w:hAnsi="Arial" w:cs="Arial"/>
        </w:rPr>
        <w:t xml:space="preserve">o llamar al teléfono (55) 52-78-10-00, </w:t>
      </w:r>
      <w:proofErr w:type="spellStart"/>
      <w:r w:rsidRPr="0053064C">
        <w:rPr>
          <w:rFonts w:ascii="Arial" w:hAnsi="Arial" w:cs="Arial"/>
        </w:rPr>
        <w:t>exts</w:t>
      </w:r>
      <w:proofErr w:type="spellEnd"/>
      <w:r w:rsidRPr="0053064C">
        <w:rPr>
          <w:rFonts w:ascii="Arial" w:hAnsi="Arial" w:cs="Arial"/>
        </w:rPr>
        <w:t>. 1134, 1260 y 1241.</w:t>
      </w:r>
    </w:p>
    <w:p w14:paraId="5190F090" w14:textId="77777777" w:rsidR="004B6201" w:rsidRPr="0053064C" w:rsidRDefault="004B6201" w:rsidP="004B6201">
      <w:pPr>
        <w:ind w:left="-426" w:right="-233"/>
        <w:contextualSpacing/>
        <w:jc w:val="center"/>
      </w:pPr>
    </w:p>
    <w:p w14:paraId="4069AB7D" w14:textId="77777777" w:rsidR="004B6201" w:rsidRDefault="004B6201" w:rsidP="004B6201">
      <w:pPr>
        <w:ind w:left="-426" w:right="-233"/>
        <w:contextualSpacing/>
        <w:jc w:val="center"/>
      </w:pPr>
      <w:r w:rsidRPr="0053064C">
        <w:t>Dirección de Atención a Medios / Dirección General Adjunta de Comunicación</w:t>
      </w:r>
    </w:p>
    <w:p w14:paraId="30E4B8D2" w14:textId="77777777" w:rsidR="004B6201" w:rsidRPr="0053064C" w:rsidRDefault="004B6201" w:rsidP="004B6201">
      <w:pPr>
        <w:ind w:left="-426" w:right="-233"/>
        <w:contextualSpacing/>
        <w:jc w:val="center"/>
      </w:pPr>
    </w:p>
    <w:p w14:paraId="51932508" w14:textId="77777777" w:rsidR="004B6201" w:rsidRPr="00D62445" w:rsidRDefault="004B6201" w:rsidP="004B6201">
      <w:pPr>
        <w:ind w:left="-426" w:right="-518"/>
        <w:contextualSpacing/>
        <w:rPr>
          <w:sz w:val="22"/>
          <w:szCs w:val="22"/>
        </w:rPr>
      </w:pPr>
    </w:p>
    <w:p w14:paraId="15008E75" w14:textId="77777777" w:rsidR="004B6201" w:rsidRDefault="004B6201" w:rsidP="004B6201">
      <w:pPr>
        <w:ind w:left="-425" w:right="-516"/>
        <w:contextualSpacing/>
        <w:rPr>
          <w:noProof/>
          <w:sz w:val="22"/>
          <w:szCs w:val="22"/>
          <w:lang w:eastAsia="es-MX"/>
        </w:rPr>
        <w:sectPr w:rsidR="004B6201" w:rsidSect="00787C13">
          <w:headerReference w:type="default" r:id="rId10"/>
          <w:footerReference w:type="default" r:id="rId11"/>
          <w:pgSz w:w="12242" w:h="15842" w:code="1"/>
          <w:pgMar w:top="1985" w:right="1418" w:bottom="1134" w:left="1559" w:header="567" w:footer="567" w:gutter="0"/>
          <w:paperSrc w:first="7" w:other="7"/>
          <w:pgNumType w:start="1"/>
          <w:cols w:space="720"/>
          <w:docGrid w:linePitch="360"/>
        </w:sectPr>
      </w:pPr>
      <w:r>
        <w:rPr>
          <w:noProof/>
          <w:sz w:val="22"/>
          <w:szCs w:val="22"/>
          <w:lang w:val="es-MX" w:eastAsia="es-MX"/>
        </w:rPr>
        <w:t xml:space="preserve">                                            </w:t>
      </w:r>
      <w:r w:rsidRPr="00D62445">
        <w:rPr>
          <w:noProof/>
          <w:sz w:val="22"/>
          <w:szCs w:val="22"/>
          <w:lang w:val="es-MX" w:eastAsia="es-MX"/>
        </w:rPr>
        <w:drawing>
          <wp:inline distT="0" distB="0" distL="0" distR="0" wp14:anchorId="5E58E257" wp14:editId="12F010EE">
            <wp:extent cx="307975" cy="304800"/>
            <wp:effectExtent l="0" t="0" r="0" b="0"/>
            <wp:docPr id="2" name="Imagen 2"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163" cy="305976"/>
                    </a:xfrm>
                    <a:prstGeom prst="rect">
                      <a:avLst/>
                    </a:prstGeom>
                    <a:noFill/>
                    <a:ln>
                      <a:noFill/>
                    </a:ln>
                  </pic:spPr>
                </pic:pic>
              </a:graphicData>
            </a:graphic>
          </wp:inline>
        </w:drawing>
      </w:r>
      <w:r w:rsidRPr="00D62445">
        <w:rPr>
          <w:noProof/>
          <w:sz w:val="22"/>
          <w:szCs w:val="22"/>
          <w:lang w:eastAsia="es-MX"/>
        </w:rPr>
        <w:t xml:space="preserve"> </w:t>
      </w:r>
      <w:r w:rsidRPr="00D62445">
        <w:rPr>
          <w:noProof/>
          <w:sz w:val="22"/>
          <w:szCs w:val="22"/>
          <w:lang w:val="es-MX" w:eastAsia="es-MX"/>
        </w:rPr>
        <w:drawing>
          <wp:inline distT="0" distB="0" distL="0" distR="0" wp14:anchorId="1EC62E77" wp14:editId="33F140F5">
            <wp:extent cx="295275" cy="295275"/>
            <wp:effectExtent l="0" t="0" r="9525" b="9525"/>
            <wp:docPr id="6" name="Imagen 6"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sz w:val="22"/>
          <w:szCs w:val="22"/>
          <w:lang w:eastAsia="es-MX"/>
        </w:rPr>
        <w:t xml:space="preserve"> </w:t>
      </w:r>
      <w:r w:rsidRPr="00D62445">
        <w:rPr>
          <w:noProof/>
          <w:sz w:val="22"/>
          <w:szCs w:val="22"/>
          <w:lang w:val="es-MX" w:eastAsia="es-MX"/>
        </w:rPr>
        <w:drawing>
          <wp:inline distT="0" distB="0" distL="0" distR="0" wp14:anchorId="4955B38C" wp14:editId="77D5D2B4">
            <wp:extent cx="295275" cy="295275"/>
            <wp:effectExtent l="0" t="0" r="9525" b="9525"/>
            <wp:docPr id="8" name="Imagen 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sz w:val="22"/>
          <w:szCs w:val="22"/>
          <w:lang w:eastAsia="es-MX"/>
        </w:rPr>
        <w:t xml:space="preserve"> </w:t>
      </w:r>
      <w:r w:rsidRPr="00D62445">
        <w:rPr>
          <w:noProof/>
          <w:sz w:val="22"/>
          <w:szCs w:val="22"/>
          <w:lang w:val="es-MX" w:eastAsia="es-MX"/>
        </w:rPr>
        <w:drawing>
          <wp:inline distT="0" distB="0" distL="0" distR="0" wp14:anchorId="61014337" wp14:editId="087C90B1">
            <wp:extent cx="295275" cy="295275"/>
            <wp:effectExtent l="0" t="0" r="9525" b="9525"/>
            <wp:docPr id="13" name="Imagen 13"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sz w:val="22"/>
          <w:szCs w:val="22"/>
          <w:lang w:eastAsia="es-MX"/>
        </w:rPr>
        <w:t xml:space="preserve">  </w:t>
      </w:r>
      <w:r w:rsidRPr="00D62445">
        <w:rPr>
          <w:noProof/>
          <w:sz w:val="22"/>
          <w:szCs w:val="22"/>
          <w:lang w:val="es-MX" w:eastAsia="es-MX"/>
        </w:rPr>
        <w:drawing>
          <wp:inline distT="0" distB="0" distL="0" distR="0" wp14:anchorId="2DC78582" wp14:editId="5A599056">
            <wp:extent cx="2286000" cy="274320"/>
            <wp:effectExtent l="0" t="0" r="0" b="0"/>
            <wp:docPr id="18" name="Imagen 1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81AD7FA" w14:textId="77777777" w:rsidR="00C945D9" w:rsidRPr="00D62445" w:rsidRDefault="00C945D9" w:rsidP="00242E34">
      <w:pPr>
        <w:tabs>
          <w:tab w:val="left" w:pos="8789"/>
        </w:tabs>
        <w:ind w:right="51"/>
        <w:jc w:val="center"/>
        <w:rPr>
          <w:b/>
          <w:sz w:val="22"/>
          <w:szCs w:val="22"/>
        </w:rPr>
      </w:pPr>
      <w:r w:rsidRPr="00D62445">
        <w:rPr>
          <w:b/>
          <w:sz w:val="22"/>
          <w:szCs w:val="22"/>
        </w:rPr>
        <w:lastRenderedPageBreak/>
        <w:t>NOTA TÉCNICA</w:t>
      </w:r>
    </w:p>
    <w:p w14:paraId="08DC4AFF" w14:textId="77777777" w:rsidR="00343574" w:rsidRPr="00D62445" w:rsidRDefault="00343574" w:rsidP="00242E34">
      <w:pPr>
        <w:tabs>
          <w:tab w:val="left" w:pos="8789"/>
        </w:tabs>
        <w:ind w:right="51"/>
        <w:jc w:val="center"/>
        <w:rPr>
          <w:b/>
          <w:sz w:val="22"/>
          <w:szCs w:val="22"/>
        </w:rPr>
      </w:pPr>
    </w:p>
    <w:p w14:paraId="0635BC75" w14:textId="77777777" w:rsidR="001330D5" w:rsidRPr="00D62445" w:rsidRDefault="009813FF" w:rsidP="00242E34">
      <w:pPr>
        <w:pStyle w:val="Ttulo10"/>
        <w:ind w:right="51"/>
        <w:rPr>
          <w:sz w:val="22"/>
          <w:szCs w:val="22"/>
        </w:rPr>
      </w:pPr>
      <w:r w:rsidRPr="00D62445">
        <w:rPr>
          <w:sz w:val="22"/>
          <w:szCs w:val="22"/>
        </w:rPr>
        <w:t xml:space="preserve">INDICADORES DEL </w:t>
      </w:r>
      <w:r w:rsidR="002961D6" w:rsidRPr="00D62445">
        <w:rPr>
          <w:sz w:val="22"/>
          <w:szCs w:val="22"/>
        </w:rPr>
        <w:t>COMERCIO</w:t>
      </w:r>
    </w:p>
    <w:p w14:paraId="40E9C57F" w14:textId="3177E35F" w:rsidR="009813FF" w:rsidRPr="00444465" w:rsidRDefault="00444465" w:rsidP="00444465">
      <w:pPr>
        <w:pStyle w:val="Ttulo10"/>
        <w:ind w:right="51"/>
        <w:rPr>
          <w:sz w:val="22"/>
          <w:szCs w:val="22"/>
        </w:rPr>
      </w:pPr>
      <w:r w:rsidRPr="00444465">
        <w:rPr>
          <w:sz w:val="22"/>
          <w:szCs w:val="22"/>
        </w:rPr>
        <w:t>ENCUESTA ANUAL DE COMERCIO. CIFRAS 2020</w:t>
      </w:r>
    </w:p>
    <w:p w14:paraId="634A65C9" w14:textId="77777777" w:rsidR="00C945D9" w:rsidRPr="00D62445" w:rsidRDefault="009813FF" w:rsidP="00242E34">
      <w:pPr>
        <w:spacing w:after="240"/>
        <w:ind w:right="51"/>
        <w:jc w:val="center"/>
        <w:rPr>
          <w:b/>
          <w:spacing w:val="25"/>
          <w:sz w:val="22"/>
          <w:szCs w:val="22"/>
        </w:rPr>
      </w:pPr>
      <w:r w:rsidRPr="00D62445">
        <w:rPr>
          <w:b/>
          <w:spacing w:val="25"/>
          <w:sz w:val="22"/>
          <w:szCs w:val="22"/>
        </w:rPr>
        <w:t>(</w:t>
      </w:r>
      <w:r w:rsidR="00FB7C8D" w:rsidRPr="00D62445">
        <w:rPr>
          <w:b/>
          <w:spacing w:val="25"/>
          <w:sz w:val="22"/>
          <w:szCs w:val="22"/>
        </w:rPr>
        <w:t>Serie 2013</w:t>
      </w:r>
      <w:r w:rsidRPr="00D62445">
        <w:rPr>
          <w:b/>
          <w:spacing w:val="25"/>
          <w:sz w:val="22"/>
          <w:szCs w:val="22"/>
        </w:rPr>
        <w:t>)</w:t>
      </w:r>
    </w:p>
    <w:p w14:paraId="382FC941" w14:textId="0E9A1E42" w:rsidR="00185115" w:rsidRPr="00D62445" w:rsidRDefault="009813FF" w:rsidP="00242E34">
      <w:pPr>
        <w:rPr>
          <w:sz w:val="22"/>
          <w:szCs w:val="22"/>
          <w:lang w:val="es-MX"/>
        </w:rPr>
      </w:pPr>
      <w:r w:rsidRPr="00D62445">
        <w:rPr>
          <w:sz w:val="22"/>
          <w:szCs w:val="22"/>
          <w:lang w:val="es-MX"/>
        </w:rPr>
        <w:t>El Instituto Nacional de Estadística y Geografía (INEGI)</w:t>
      </w:r>
      <w:r w:rsidR="00444465">
        <w:rPr>
          <w:sz w:val="22"/>
          <w:szCs w:val="22"/>
          <w:lang w:val="es-MX"/>
        </w:rPr>
        <w:t xml:space="preserve"> </w:t>
      </w:r>
      <w:r w:rsidR="00185115" w:rsidRPr="00D62445">
        <w:rPr>
          <w:sz w:val="22"/>
          <w:szCs w:val="22"/>
          <w:lang w:val="es-MX"/>
        </w:rPr>
        <w:t xml:space="preserve">da a conocer </w:t>
      </w:r>
      <w:r w:rsidR="007C2097" w:rsidRPr="00D62445">
        <w:rPr>
          <w:sz w:val="22"/>
          <w:szCs w:val="22"/>
          <w:lang w:val="es-MX"/>
        </w:rPr>
        <w:t xml:space="preserve">los resultados de la </w:t>
      </w:r>
      <w:r w:rsidR="00185115" w:rsidRPr="00D62445">
        <w:rPr>
          <w:sz w:val="22"/>
          <w:szCs w:val="22"/>
          <w:lang w:val="es-MX"/>
        </w:rPr>
        <w:t>Encuesta Anual de</w:t>
      </w:r>
      <w:r w:rsidR="002961D6" w:rsidRPr="00D62445">
        <w:rPr>
          <w:sz w:val="22"/>
          <w:szCs w:val="22"/>
          <w:lang w:val="es-MX"/>
        </w:rPr>
        <w:t xml:space="preserve">l Comercio </w:t>
      </w:r>
      <w:r w:rsidR="00185115" w:rsidRPr="00D62445">
        <w:rPr>
          <w:sz w:val="22"/>
          <w:szCs w:val="22"/>
          <w:lang w:val="es-MX"/>
        </w:rPr>
        <w:t>(EA</w:t>
      </w:r>
      <w:r w:rsidR="002961D6" w:rsidRPr="00D62445">
        <w:rPr>
          <w:sz w:val="22"/>
          <w:szCs w:val="22"/>
          <w:lang w:val="es-MX"/>
        </w:rPr>
        <w:t>C)</w:t>
      </w:r>
      <w:r w:rsidR="00E95E51" w:rsidRPr="00D62445">
        <w:rPr>
          <w:sz w:val="22"/>
          <w:szCs w:val="22"/>
          <w:lang w:val="es-MX"/>
        </w:rPr>
        <w:t xml:space="preserve"> Serie 2013</w:t>
      </w:r>
      <w:r w:rsidR="00185115" w:rsidRPr="00D62445">
        <w:rPr>
          <w:sz w:val="22"/>
          <w:szCs w:val="22"/>
          <w:lang w:val="es-MX"/>
        </w:rPr>
        <w:t xml:space="preserve"> con información referida a</w:t>
      </w:r>
      <w:r w:rsidR="00ED0D53">
        <w:rPr>
          <w:sz w:val="22"/>
          <w:szCs w:val="22"/>
          <w:lang w:val="es-MX"/>
        </w:rPr>
        <w:t xml:space="preserve">l año </w:t>
      </w:r>
      <w:r w:rsidR="00185115" w:rsidRPr="00D62445">
        <w:rPr>
          <w:sz w:val="22"/>
          <w:szCs w:val="22"/>
          <w:lang w:val="es-MX"/>
        </w:rPr>
        <w:t>20</w:t>
      </w:r>
      <w:r w:rsidR="00A9338B" w:rsidRPr="00D62445">
        <w:rPr>
          <w:sz w:val="22"/>
          <w:szCs w:val="22"/>
          <w:lang w:val="es-MX"/>
        </w:rPr>
        <w:t>20</w:t>
      </w:r>
      <w:r w:rsidR="00444465">
        <w:rPr>
          <w:sz w:val="22"/>
          <w:szCs w:val="22"/>
          <w:lang w:val="es-MX"/>
        </w:rPr>
        <w:t xml:space="preserve"> con</w:t>
      </w:r>
      <w:r w:rsidR="00E95E51" w:rsidRPr="00D62445">
        <w:rPr>
          <w:sz w:val="22"/>
          <w:szCs w:val="22"/>
          <w:lang w:val="es-MX"/>
        </w:rPr>
        <w:t xml:space="preserve"> </w:t>
      </w:r>
      <w:r w:rsidR="00863AF4" w:rsidRPr="00D62445">
        <w:rPr>
          <w:sz w:val="22"/>
          <w:szCs w:val="22"/>
          <w:lang w:val="es-MX"/>
        </w:rPr>
        <w:t xml:space="preserve">cifras </w:t>
      </w:r>
      <w:r w:rsidR="00185115" w:rsidRPr="00D62445">
        <w:rPr>
          <w:sz w:val="22"/>
          <w:szCs w:val="22"/>
          <w:lang w:val="es-MX"/>
        </w:rPr>
        <w:t>preliminares.</w:t>
      </w:r>
    </w:p>
    <w:p w14:paraId="1C489869" w14:textId="77777777" w:rsidR="00185115" w:rsidRPr="00D62445" w:rsidRDefault="00185115" w:rsidP="00242E34">
      <w:pPr>
        <w:ind w:firstLine="708"/>
        <w:rPr>
          <w:sz w:val="22"/>
          <w:szCs w:val="22"/>
          <w:lang w:val="es-MX"/>
        </w:rPr>
      </w:pPr>
    </w:p>
    <w:p w14:paraId="280BA6CC" w14:textId="47BFC58B" w:rsidR="0078042F" w:rsidRPr="00D62445" w:rsidRDefault="00E95E51" w:rsidP="00242E34">
      <w:pPr>
        <w:rPr>
          <w:sz w:val="22"/>
          <w:szCs w:val="22"/>
        </w:rPr>
      </w:pPr>
      <w:r w:rsidRPr="00D62445">
        <w:rPr>
          <w:sz w:val="22"/>
          <w:szCs w:val="22"/>
          <w:lang w:val="es-MX"/>
        </w:rPr>
        <w:t>Cabe mencionar que la</w:t>
      </w:r>
      <w:r w:rsidR="007C2097" w:rsidRPr="00D62445">
        <w:rPr>
          <w:sz w:val="22"/>
          <w:szCs w:val="22"/>
          <w:lang w:val="es-MX"/>
        </w:rPr>
        <w:t xml:space="preserve"> s</w:t>
      </w:r>
      <w:r w:rsidR="00F54AE2" w:rsidRPr="00D62445">
        <w:rPr>
          <w:sz w:val="22"/>
          <w:szCs w:val="22"/>
          <w:lang w:val="es-MX"/>
        </w:rPr>
        <w:t>erie 2013</w:t>
      </w:r>
      <w:r w:rsidR="001C6FAA" w:rsidRPr="00D62445">
        <w:rPr>
          <w:sz w:val="22"/>
          <w:szCs w:val="22"/>
          <w:lang w:val="es-MX"/>
        </w:rPr>
        <w:t>,</w:t>
      </w:r>
      <w:r w:rsidR="00F54AE2" w:rsidRPr="00D62445">
        <w:rPr>
          <w:sz w:val="22"/>
          <w:szCs w:val="22"/>
          <w:lang w:val="es-MX"/>
        </w:rPr>
        <w:t xml:space="preserve"> adop</w:t>
      </w:r>
      <w:r w:rsidRPr="00D62445">
        <w:rPr>
          <w:sz w:val="22"/>
          <w:szCs w:val="22"/>
          <w:lang w:val="es-MX"/>
        </w:rPr>
        <w:t>ta</w:t>
      </w:r>
      <w:r w:rsidR="00F54AE2" w:rsidRPr="00D62445">
        <w:rPr>
          <w:sz w:val="22"/>
          <w:szCs w:val="22"/>
          <w:lang w:val="es-MX"/>
        </w:rPr>
        <w:t xml:space="preserve"> del </w:t>
      </w:r>
      <w:r w:rsidR="001C6FAA" w:rsidRPr="00D62445">
        <w:rPr>
          <w:sz w:val="22"/>
          <w:szCs w:val="22"/>
          <w:lang w:val="es-MX"/>
        </w:rPr>
        <w:t>Sistema de Clasificación</w:t>
      </w:r>
      <w:r w:rsidR="00F54AE2" w:rsidRPr="00D62445">
        <w:rPr>
          <w:sz w:val="22"/>
          <w:szCs w:val="22"/>
          <w:lang w:val="es-MX"/>
        </w:rPr>
        <w:t xml:space="preserve"> Industrial de América del Norte</w:t>
      </w:r>
      <w:r w:rsidR="00444465">
        <w:rPr>
          <w:sz w:val="22"/>
          <w:szCs w:val="22"/>
          <w:lang w:val="es-MX"/>
        </w:rPr>
        <w:t xml:space="preserve"> (SCIAN) </w:t>
      </w:r>
      <w:r w:rsidR="00F54AE2" w:rsidRPr="00D62445">
        <w:rPr>
          <w:sz w:val="22"/>
          <w:szCs w:val="22"/>
          <w:lang w:val="es-MX"/>
        </w:rPr>
        <w:t>2013 la instrumentación de los nuevos diseños a partir de un marco estad</w:t>
      </w:r>
      <w:r w:rsidR="001C6FAA" w:rsidRPr="00D62445">
        <w:rPr>
          <w:sz w:val="22"/>
          <w:szCs w:val="22"/>
          <w:lang w:val="es-MX"/>
        </w:rPr>
        <w:t>ístico actualizado</w:t>
      </w:r>
      <w:r w:rsidRPr="00D62445">
        <w:rPr>
          <w:sz w:val="22"/>
          <w:szCs w:val="22"/>
          <w:lang w:val="es-MX"/>
        </w:rPr>
        <w:t xml:space="preserve"> y</w:t>
      </w:r>
      <w:r w:rsidR="0078042F" w:rsidRPr="00D62445">
        <w:rPr>
          <w:sz w:val="22"/>
          <w:szCs w:val="22"/>
        </w:rPr>
        <w:t xml:space="preserve"> se aplica la Norma Técnica del Proceso de Producción de In</w:t>
      </w:r>
      <w:r w:rsidR="0078042F" w:rsidRPr="00D62445">
        <w:rPr>
          <w:sz w:val="22"/>
          <w:szCs w:val="22"/>
        </w:rPr>
        <w:softHyphen/>
        <w:t xml:space="preserve">formación Estadística y Geográfica para el </w:t>
      </w:r>
      <w:r w:rsidR="00D94370" w:rsidRPr="00D62445">
        <w:rPr>
          <w:sz w:val="22"/>
          <w:szCs w:val="22"/>
        </w:rPr>
        <w:t>INEGI</w:t>
      </w:r>
      <w:r w:rsidR="0078042F" w:rsidRPr="00D62445">
        <w:rPr>
          <w:sz w:val="22"/>
          <w:szCs w:val="22"/>
        </w:rPr>
        <w:t xml:space="preserve"> que proporciona un marco normativo regulatorio de la producción de información estadística en México.</w:t>
      </w:r>
    </w:p>
    <w:p w14:paraId="620AB1DB" w14:textId="77777777" w:rsidR="0078042F" w:rsidRPr="00D62445" w:rsidRDefault="0078042F" w:rsidP="00242E34">
      <w:pPr>
        <w:pStyle w:val="Default"/>
        <w:jc w:val="both"/>
        <w:rPr>
          <w:color w:val="auto"/>
          <w:sz w:val="22"/>
          <w:szCs w:val="22"/>
          <w:lang w:eastAsia="es-ES"/>
        </w:rPr>
      </w:pPr>
    </w:p>
    <w:p w14:paraId="1B18F2FB" w14:textId="230A519F" w:rsidR="00010558" w:rsidRPr="00444465" w:rsidRDefault="0078042F" w:rsidP="00242E34">
      <w:pPr>
        <w:pStyle w:val="Default"/>
        <w:tabs>
          <w:tab w:val="left" w:pos="3261"/>
          <w:tab w:val="left" w:pos="4253"/>
        </w:tabs>
        <w:jc w:val="both"/>
        <w:rPr>
          <w:color w:val="auto"/>
          <w:sz w:val="22"/>
          <w:szCs w:val="22"/>
          <w:lang w:eastAsia="es-ES"/>
        </w:rPr>
      </w:pPr>
      <w:r w:rsidRPr="00D62445">
        <w:rPr>
          <w:color w:val="auto"/>
          <w:sz w:val="22"/>
          <w:szCs w:val="22"/>
          <w:lang w:eastAsia="es-ES"/>
        </w:rPr>
        <w:t>La E</w:t>
      </w:r>
      <w:r w:rsidR="002961D6" w:rsidRPr="00D62445">
        <w:rPr>
          <w:color w:val="auto"/>
          <w:sz w:val="22"/>
          <w:szCs w:val="22"/>
          <w:lang w:eastAsia="es-ES"/>
        </w:rPr>
        <w:t>AC</w:t>
      </w:r>
      <w:r w:rsidRPr="00D62445">
        <w:rPr>
          <w:color w:val="auto"/>
          <w:sz w:val="22"/>
          <w:szCs w:val="22"/>
          <w:lang w:eastAsia="es-ES"/>
        </w:rPr>
        <w:t xml:space="preserve"> también retoma principios conceptuales y metodológicos de la 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3C6B47B" w14:textId="77777777" w:rsidR="00010558" w:rsidRDefault="00010558" w:rsidP="00242E34">
      <w:pPr>
        <w:pStyle w:val="Default"/>
        <w:tabs>
          <w:tab w:val="left" w:pos="3261"/>
          <w:tab w:val="left" w:pos="4253"/>
        </w:tabs>
        <w:jc w:val="both"/>
        <w:rPr>
          <w:b/>
          <w:bCs/>
          <w:color w:val="auto"/>
          <w:sz w:val="22"/>
          <w:szCs w:val="22"/>
          <w:lang w:eastAsia="es-ES"/>
        </w:rPr>
      </w:pPr>
    </w:p>
    <w:p w14:paraId="64BFDF72" w14:textId="272E3C29" w:rsidR="00465CC5" w:rsidRDefault="00465CC5" w:rsidP="00242E34">
      <w:pPr>
        <w:pStyle w:val="Default"/>
        <w:tabs>
          <w:tab w:val="left" w:pos="3261"/>
          <w:tab w:val="left" w:pos="4253"/>
        </w:tabs>
        <w:jc w:val="both"/>
        <w:rPr>
          <w:b/>
          <w:bCs/>
          <w:color w:val="auto"/>
          <w:sz w:val="22"/>
          <w:szCs w:val="22"/>
          <w:lang w:eastAsia="es-ES"/>
        </w:rPr>
      </w:pPr>
      <w:r w:rsidRPr="00D62445">
        <w:rPr>
          <w:b/>
          <w:bCs/>
          <w:color w:val="auto"/>
          <w:sz w:val="22"/>
          <w:szCs w:val="22"/>
          <w:lang w:eastAsia="es-ES"/>
        </w:rPr>
        <w:t>Principales resultados</w:t>
      </w:r>
    </w:p>
    <w:p w14:paraId="2FEC073C" w14:textId="77777777" w:rsidR="00BB68FA" w:rsidRDefault="00BB68FA" w:rsidP="00242E34">
      <w:pPr>
        <w:pStyle w:val="Default"/>
        <w:tabs>
          <w:tab w:val="left" w:pos="3261"/>
          <w:tab w:val="left" w:pos="4253"/>
        </w:tabs>
        <w:jc w:val="both"/>
        <w:rPr>
          <w:b/>
          <w:bCs/>
          <w:color w:val="auto"/>
          <w:sz w:val="22"/>
          <w:szCs w:val="22"/>
          <w:lang w:eastAsia="es-ES"/>
        </w:rPr>
      </w:pPr>
    </w:p>
    <w:p w14:paraId="0CDE5514" w14:textId="41604A3A" w:rsidR="00BB68FA" w:rsidRPr="00D62445" w:rsidRDefault="00444465" w:rsidP="00BB68FA">
      <w:pPr>
        <w:pStyle w:val="Default"/>
        <w:tabs>
          <w:tab w:val="left" w:pos="3261"/>
          <w:tab w:val="left" w:pos="4253"/>
        </w:tabs>
        <w:jc w:val="both"/>
        <w:rPr>
          <w:color w:val="auto"/>
          <w:sz w:val="22"/>
          <w:szCs w:val="22"/>
          <w:lang w:eastAsia="es-ES"/>
        </w:rPr>
      </w:pPr>
      <w:r>
        <w:rPr>
          <w:color w:val="auto"/>
          <w:sz w:val="22"/>
          <w:szCs w:val="22"/>
          <w:lang w:eastAsia="es-ES"/>
        </w:rPr>
        <w:t>P</w:t>
      </w:r>
      <w:r w:rsidR="00280023">
        <w:rPr>
          <w:color w:val="auto"/>
          <w:sz w:val="22"/>
          <w:szCs w:val="22"/>
          <w:lang w:eastAsia="es-ES"/>
        </w:rPr>
        <w:t xml:space="preserve">ara el comercio al por mayor </w:t>
      </w:r>
      <w:r w:rsidR="007E38BA">
        <w:rPr>
          <w:color w:val="auto"/>
          <w:sz w:val="22"/>
          <w:szCs w:val="22"/>
          <w:lang w:eastAsia="es-ES"/>
        </w:rPr>
        <w:t xml:space="preserve">la mayor proporción </w:t>
      </w:r>
      <w:r w:rsidR="00BB68FA">
        <w:rPr>
          <w:color w:val="auto"/>
          <w:sz w:val="22"/>
          <w:szCs w:val="22"/>
          <w:lang w:eastAsia="es-ES"/>
        </w:rPr>
        <w:t xml:space="preserve">del personal ocupado </w:t>
      </w:r>
      <w:r w:rsidR="00280023">
        <w:rPr>
          <w:color w:val="auto"/>
          <w:sz w:val="22"/>
          <w:szCs w:val="22"/>
          <w:lang w:eastAsia="es-ES"/>
        </w:rPr>
        <w:t>corresponde a</w:t>
      </w:r>
      <w:r w:rsidR="00BB68FA">
        <w:rPr>
          <w:color w:val="auto"/>
          <w:sz w:val="22"/>
          <w:szCs w:val="22"/>
          <w:lang w:eastAsia="es-ES"/>
        </w:rPr>
        <w:t>l que depende de la razón social</w:t>
      </w:r>
      <w:r w:rsidR="00280023">
        <w:rPr>
          <w:color w:val="auto"/>
          <w:sz w:val="22"/>
          <w:szCs w:val="22"/>
          <w:lang w:eastAsia="es-ES"/>
        </w:rPr>
        <w:t xml:space="preserve"> con sexo masculino con 36.6%</w:t>
      </w:r>
      <w:r w:rsidR="007E38BA">
        <w:rPr>
          <w:color w:val="auto"/>
          <w:sz w:val="22"/>
          <w:szCs w:val="22"/>
          <w:lang w:eastAsia="es-ES"/>
        </w:rPr>
        <w:t xml:space="preserve">, </w:t>
      </w:r>
      <w:r w:rsidR="00280023">
        <w:rPr>
          <w:color w:val="auto"/>
          <w:sz w:val="22"/>
          <w:szCs w:val="22"/>
          <w:lang w:eastAsia="es-ES"/>
        </w:rPr>
        <w:t>seguido por 33.3% de personal ocupado no dependiente, también del sexo masculino</w:t>
      </w:r>
      <w:r>
        <w:rPr>
          <w:color w:val="auto"/>
          <w:sz w:val="22"/>
          <w:szCs w:val="22"/>
          <w:lang w:eastAsia="es-ES"/>
        </w:rPr>
        <w:t>. E</w:t>
      </w:r>
      <w:r w:rsidR="007E38BA">
        <w:rPr>
          <w:color w:val="auto"/>
          <w:sz w:val="22"/>
          <w:szCs w:val="22"/>
          <w:lang w:eastAsia="es-ES"/>
        </w:rPr>
        <w:t xml:space="preserve">n el caso del </w:t>
      </w:r>
      <w:r w:rsidR="00BB68FA">
        <w:rPr>
          <w:color w:val="auto"/>
          <w:sz w:val="22"/>
          <w:szCs w:val="22"/>
          <w:lang w:eastAsia="es-ES"/>
        </w:rPr>
        <w:t xml:space="preserve">comercio al por menor, esta distribución </w:t>
      </w:r>
      <w:r w:rsidR="00280023">
        <w:rPr>
          <w:color w:val="auto"/>
          <w:sz w:val="22"/>
          <w:szCs w:val="22"/>
          <w:lang w:eastAsia="es-ES"/>
        </w:rPr>
        <w:t xml:space="preserve">del personal que depende de la razón social </w:t>
      </w:r>
      <w:r w:rsidR="00BB68FA">
        <w:rPr>
          <w:color w:val="auto"/>
          <w:sz w:val="22"/>
          <w:szCs w:val="22"/>
          <w:lang w:eastAsia="es-ES"/>
        </w:rPr>
        <w:t xml:space="preserve">se mantiene </w:t>
      </w:r>
      <w:r w:rsidR="00280023">
        <w:rPr>
          <w:color w:val="auto"/>
          <w:sz w:val="22"/>
          <w:szCs w:val="22"/>
          <w:lang w:eastAsia="es-ES"/>
        </w:rPr>
        <w:t>ligeramente inclinada hacia las mujeres, con 43.6%, mientas los hombres participan con 39.7</w:t>
      </w:r>
      <w:r>
        <w:rPr>
          <w:color w:val="auto"/>
          <w:sz w:val="22"/>
          <w:szCs w:val="22"/>
          <w:lang w:eastAsia="es-ES"/>
        </w:rPr>
        <w:t xml:space="preserve"> por ciento.</w:t>
      </w:r>
    </w:p>
    <w:p w14:paraId="4872904B" w14:textId="77777777" w:rsidR="00BB68FA" w:rsidRPr="00D62445" w:rsidRDefault="00BB68FA" w:rsidP="00242E34">
      <w:pPr>
        <w:pStyle w:val="Default"/>
        <w:tabs>
          <w:tab w:val="left" w:pos="3261"/>
          <w:tab w:val="left" w:pos="4253"/>
        </w:tabs>
        <w:jc w:val="both"/>
        <w:rPr>
          <w:b/>
          <w:bCs/>
          <w:color w:val="auto"/>
          <w:sz w:val="22"/>
          <w:szCs w:val="22"/>
          <w:lang w:eastAsia="es-ES"/>
        </w:rPr>
      </w:pPr>
    </w:p>
    <w:p w14:paraId="6EF8CC15" w14:textId="77777777" w:rsidR="00465CC5" w:rsidRPr="00444465" w:rsidRDefault="00F6199F" w:rsidP="00444465">
      <w:pPr>
        <w:pStyle w:val="Default"/>
        <w:tabs>
          <w:tab w:val="left" w:pos="3261"/>
          <w:tab w:val="left" w:pos="4253"/>
        </w:tabs>
        <w:ind w:right="-91"/>
        <w:jc w:val="right"/>
        <w:rPr>
          <w:color w:val="auto"/>
          <w:sz w:val="18"/>
          <w:szCs w:val="18"/>
          <w:lang w:eastAsia="es-ES"/>
        </w:rPr>
      </w:pPr>
      <w:r w:rsidRPr="00444465">
        <w:rPr>
          <w:color w:val="auto"/>
          <w:sz w:val="18"/>
          <w:szCs w:val="18"/>
          <w:lang w:eastAsia="es-ES"/>
        </w:rPr>
        <w:t>Gráfica 1</w:t>
      </w:r>
    </w:p>
    <w:p w14:paraId="59BA250F" w14:textId="77777777" w:rsidR="0075192D" w:rsidRDefault="00BF1D3C" w:rsidP="00242E34">
      <w:pPr>
        <w:ind w:left="121"/>
        <w:rPr>
          <w:b/>
          <w:spacing w:val="-1"/>
          <w:sz w:val="18"/>
          <w:szCs w:val="18"/>
          <w:lang w:val="es-MX"/>
        </w:rPr>
      </w:pPr>
      <w:r w:rsidRPr="0020182B">
        <w:rPr>
          <w:noProof/>
          <w:highlight w:val="yellow"/>
          <w:lang w:val="es-MX" w:eastAsia="es-MX"/>
        </w:rPr>
        <w:drawing>
          <wp:inline distT="0" distB="0" distL="0" distR="0" wp14:anchorId="6B24B34B" wp14:editId="68EFB409">
            <wp:extent cx="5848350" cy="30099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2C8BC9" w14:textId="77777777" w:rsidR="00BE2CD0" w:rsidRDefault="00BE2CD0" w:rsidP="00242E34">
      <w:pPr>
        <w:ind w:left="121"/>
        <w:rPr>
          <w:b/>
          <w:spacing w:val="-1"/>
          <w:sz w:val="18"/>
          <w:szCs w:val="18"/>
          <w:lang w:val="es-MX"/>
        </w:rPr>
      </w:pPr>
      <w:r>
        <w:rPr>
          <w:b/>
          <w:spacing w:val="-1"/>
          <w:sz w:val="18"/>
          <w:szCs w:val="18"/>
          <w:lang w:val="es-MX"/>
        </w:rPr>
        <w:t xml:space="preserve">Fuente INEGI. Encuesta Anual del Comercio, </w:t>
      </w:r>
      <w:r w:rsidR="00ED4928" w:rsidRPr="00AA568A">
        <w:rPr>
          <w:b/>
          <w:spacing w:val="-1"/>
          <w:sz w:val="18"/>
          <w:szCs w:val="18"/>
          <w:lang w:val="es-MX"/>
        </w:rPr>
        <w:t>Serie 2013</w:t>
      </w:r>
    </w:p>
    <w:p w14:paraId="549C08CA" w14:textId="6B153F65" w:rsidR="00BE2CD0" w:rsidRDefault="00444465" w:rsidP="00444465">
      <w:pPr>
        <w:ind w:left="121"/>
        <w:rPr>
          <w:b/>
          <w:spacing w:val="-1"/>
          <w:sz w:val="18"/>
          <w:szCs w:val="18"/>
          <w:lang w:val="es-MX"/>
        </w:rPr>
      </w:pPr>
      <w:r>
        <w:rPr>
          <w:sz w:val="22"/>
          <w:szCs w:val="22"/>
        </w:rPr>
        <w:lastRenderedPageBreak/>
        <w:t>E</w:t>
      </w:r>
      <w:r w:rsidR="00BB68FA">
        <w:rPr>
          <w:sz w:val="22"/>
          <w:szCs w:val="22"/>
        </w:rPr>
        <w:t>n cuanto</w:t>
      </w:r>
      <w:r>
        <w:rPr>
          <w:sz w:val="22"/>
          <w:szCs w:val="22"/>
        </w:rPr>
        <w:t xml:space="preserve"> a</w:t>
      </w:r>
      <w:r w:rsidR="00BB68FA">
        <w:rPr>
          <w:sz w:val="22"/>
          <w:szCs w:val="22"/>
        </w:rPr>
        <w:t xml:space="preserve"> la condición de pago bajo la que opera el personal dependiente de la razón</w:t>
      </w:r>
      <w:r>
        <w:rPr>
          <w:sz w:val="22"/>
          <w:szCs w:val="22"/>
        </w:rPr>
        <w:t xml:space="preserve">, </w:t>
      </w:r>
      <w:r w:rsidR="005F3E7A">
        <w:rPr>
          <w:sz w:val="22"/>
          <w:szCs w:val="22"/>
        </w:rPr>
        <w:t>99.7</w:t>
      </w:r>
      <w:r>
        <w:rPr>
          <w:sz w:val="22"/>
          <w:szCs w:val="22"/>
        </w:rPr>
        <w:t>%</w:t>
      </w:r>
      <w:r w:rsidR="00BB68FA">
        <w:rPr>
          <w:sz w:val="22"/>
          <w:szCs w:val="22"/>
        </w:rPr>
        <w:t xml:space="preserve"> del total</w:t>
      </w:r>
      <w:r w:rsidR="005F3E7A">
        <w:rPr>
          <w:sz w:val="22"/>
          <w:szCs w:val="22"/>
        </w:rPr>
        <w:t xml:space="preserve"> del personal del comercio al por mayor recibió una remuneración fija y periódica por su trabajo, mientras que en el comercio al por menor </w:t>
      </w:r>
      <w:r w:rsidR="007E38BA">
        <w:rPr>
          <w:sz w:val="22"/>
          <w:szCs w:val="22"/>
        </w:rPr>
        <w:t xml:space="preserve">esa proporción fue </w:t>
      </w:r>
      <w:r w:rsidR="00280023">
        <w:rPr>
          <w:sz w:val="22"/>
          <w:szCs w:val="22"/>
        </w:rPr>
        <w:t>menor al 50</w:t>
      </w:r>
      <w:r>
        <w:rPr>
          <w:sz w:val="22"/>
          <w:szCs w:val="22"/>
        </w:rPr>
        <w:t xml:space="preserve"> por ciento</w:t>
      </w:r>
      <w:r w:rsidR="005F3E7A">
        <w:rPr>
          <w:sz w:val="22"/>
          <w:szCs w:val="22"/>
        </w:rPr>
        <w:t>.</w:t>
      </w:r>
    </w:p>
    <w:p w14:paraId="010A031B" w14:textId="77777777" w:rsidR="00BE2CD0" w:rsidRDefault="00BE2CD0" w:rsidP="00242E34">
      <w:pPr>
        <w:ind w:left="121"/>
        <w:rPr>
          <w:b/>
          <w:spacing w:val="-1"/>
          <w:sz w:val="18"/>
          <w:szCs w:val="18"/>
          <w:lang w:val="es-MX"/>
        </w:rPr>
      </w:pPr>
    </w:p>
    <w:p w14:paraId="7825CE7D" w14:textId="77777777" w:rsidR="0075192D" w:rsidRDefault="0075192D" w:rsidP="00444465">
      <w:pPr>
        <w:ind w:left="121" w:right="334"/>
        <w:jc w:val="right"/>
        <w:rPr>
          <w:b/>
          <w:spacing w:val="-1"/>
          <w:sz w:val="18"/>
          <w:szCs w:val="18"/>
          <w:lang w:val="es-MX"/>
        </w:rPr>
      </w:pPr>
      <w:r>
        <w:rPr>
          <w:b/>
          <w:spacing w:val="-1"/>
          <w:sz w:val="18"/>
          <w:szCs w:val="18"/>
          <w:lang w:val="es-MX"/>
        </w:rPr>
        <w:t>Gráfica 2</w:t>
      </w:r>
    </w:p>
    <w:p w14:paraId="5D6F8DA4" w14:textId="77777777" w:rsidR="00BE2CD0" w:rsidRDefault="00BF1D3C" w:rsidP="005F3E7A">
      <w:pPr>
        <w:ind w:left="121"/>
        <w:jc w:val="center"/>
        <w:rPr>
          <w:b/>
          <w:spacing w:val="-1"/>
          <w:sz w:val="18"/>
          <w:szCs w:val="18"/>
          <w:lang w:val="es-MX"/>
        </w:rPr>
      </w:pPr>
      <w:r>
        <w:rPr>
          <w:noProof/>
          <w:lang w:val="es-MX" w:eastAsia="es-MX"/>
        </w:rPr>
        <w:drawing>
          <wp:inline distT="0" distB="0" distL="0" distR="0" wp14:anchorId="4EC41A9D" wp14:editId="2F504CB7">
            <wp:extent cx="5400000" cy="3096000"/>
            <wp:effectExtent l="0" t="0" r="17780" b="1270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99B81A" w14:textId="77777777" w:rsidR="00BE2CD0" w:rsidRDefault="00BE2CD0" w:rsidP="00E168B2">
      <w:pPr>
        <w:ind w:left="851" w:hanging="425"/>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73388A05" w14:textId="77777777" w:rsidR="005F3E7A" w:rsidRDefault="005F3E7A" w:rsidP="0075192D">
      <w:pPr>
        <w:ind w:left="121"/>
        <w:jc w:val="right"/>
        <w:rPr>
          <w:b/>
          <w:spacing w:val="-1"/>
          <w:sz w:val="18"/>
          <w:szCs w:val="18"/>
          <w:lang w:val="es-MX"/>
        </w:rPr>
      </w:pPr>
    </w:p>
    <w:p w14:paraId="2D46819E" w14:textId="77777777" w:rsidR="00444465" w:rsidRDefault="00444465" w:rsidP="00B43102">
      <w:pPr>
        <w:ind w:left="121"/>
        <w:rPr>
          <w:sz w:val="22"/>
          <w:szCs w:val="22"/>
          <w:lang w:val="es-MX"/>
        </w:rPr>
      </w:pPr>
    </w:p>
    <w:p w14:paraId="5DD8D65D" w14:textId="48B39ACD" w:rsidR="00B43102" w:rsidRPr="00771214" w:rsidRDefault="00B43102" w:rsidP="00B43102">
      <w:pPr>
        <w:ind w:left="121"/>
        <w:rPr>
          <w:sz w:val="22"/>
          <w:szCs w:val="22"/>
          <w:lang w:val="es-MX"/>
        </w:rPr>
      </w:pPr>
      <w:r w:rsidRPr="00771214">
        <w:rPr>
          <w:sz w:val="22"/>
          <w:szCs w:val="22"/>
          <w:lang w:val="es-MX"/>
        </w:rPr>
        <w:t>Los ingresos del comercio al por mayor denota</w:t>
      </w:r>
      <w:r w:rsidR="00444465">
        <w:rPr>
          <w:sz w:val="22"/>
          <w:szCs w:val="22"/>
          <w:lang w:val="es-MX"/>
        </w:rPr>
        <w:t>n</w:t>
      </w:r>
      <w:r w:rsidRPr="00771214">
        <w:rPr>
          <w:sz w:val="22"/>
          <w:szCs w:val="22"/>
          <w:lang w:val="es-MX"/>
        </w:rPr>
        <w:t xml:space="preserve"> una distribución focalizada en la rama de abarrotes, alimentos, bebidas, hielo y tabaco en 37.6% durante 2020, seguido del comercio al por mayor de materias primas agropecuarias y forestales, para la industria, y materiales de desecho en torno a 27.3%, y con una mínima participación la rama que comercializa a través de la intermediación con 0.1</w:t>
      </w:r>
      <w:r w:rsidR="00444465">
        <w:rPr>
          <w:sz w:val="22"/>
          <w:szCs w:val="22"/>
          <w:lang w:val="es-MX"/>
        </w:rPr>
        <w:t xml:space="preserve"> por ciento.</w:t>
      </w:r>
      <w:r w:rsidRPr="00771214">
        <w:rPr>
          <w:sz w:val="22"/>
          <w:szCs w:val="22"/>
          <w:lang w:val="es-MX"/>
        </w:rPr>
        <w:t xml:space="preserve"> </w:t>
      </w:r>
    </w:p>
    <w:p w14:paraId="62A49FE6" w14:textId="00DE5602" w:rsidR="00B43102" w:rsidRDefault="00B43102" w:rsidP="00B43102">
      <w:pPr>
        <w:ind w:left="121"/>
        <w:jc w:val="right"/>
        <w:rPr>
          <w:b/>
          <w:spacing w:val="-1"/>
          <w:sz w:val="18"/>
          <w:szCs w:val="18"/>
          <w:lang w:val="es-MX"/>
        </w:rPr>
      </w:pPr>
      <w:r>
        <w:rPr>
          <w:b/>
          <w:spacing w:val="-1"/>
          <w:sz w:val="18"/>
          <w:szCs w:val="18"/>
          <w:lang w:val="es-MX"/>
        </w:rPr>
        <w:t xml:space="preserve">Gráfica </w:t>
      </w:r>
      <w:r w:rsidR="0018512A">
        <w:rPr>
          <w:b/>
          <w:spacing w:val="-1"/>
          <w:sz w:val="18"/>
          <w:szCs w:val="18"/>
          <w:lang w:val="es-MX"/>
        </w:rPr>
        <w:t>3</w:t>
      </w:r>
    </w:p>
    <w:p w14:paraId="60972CE5" w14:textId="77777777" w:rsidR="00B43102" w:rsidRDefault="00B43102" w:rsidP="00B43102">
      <w:pPr>
        <w:ind w:left="121"/>
        <w:rPr>
          <w:b/>
          <w:spacing w:val="-1"/>
          <w:sz w:val="18"/>
          <w:szCs w:val="18"/>
          <w:lang w:val="es-MX"/>
        </w:rPr>
      </w:pPr>
      <w:r>
        <w:rPr>
          <w:noProof/>
          <w:lang w:val="es-MX" w:eastAsia="es-MX"/>
        </w:rPr>
        <w:drawing>
          <wp:inline distT="0" distB="0" distL="0" distR="0" wp14:anchorId="744A16E7" wp14:editId="595D7EBF">
            <wp:extent cx="5760000" cy="2736000"/>
            <wp:effectExtent l="0" t="0" r="12700" b="7620"/>
            <wp:docPr id="22" name="Gráfico 22">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2A22E13" w14:textId="77777777" w:rsidR="00B43102" w:rsidRDefault="00B43102" w:rsidP="00B43102">
      <w:pPr>
        <w:ind w:left="121"/>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02C8FBE2" w14:textId="6FADCCA2" w:rsidR="00721DED" w:rsidRDefault="009B7473" w:rsidP="00721DED">
      <w:pPr>
        <w:rPr>
          <w:sz w:val="22"/>
          <w:szCs w:val="22"/>
        </w:rPr>
      </w:pPr>
      <w:r>
        <w:rPr>
          <w:sz w:val="22"/>
          <w:szCs w:val="22"/>
        </w:rPr>
        <w:lastRenderedPageBreak/>
        <w:t>Dentro d</w:t>
      </w:r>
      <w:r w:rsidR="00721DED">
        <w:rPr>
          <w:sz w:val="22"/>
          <w:szCs w:val="22"/>
        </w:rPr>
        <w:t>el comercio al por menor</w:t>
      </w:r>
      <w:r w:rsidR="00E168B2">
        <w:rPr>
          <w:sz w:val="22"/>
          <w:szCs w:val="22"/>
        </w:rPr>
        <w:t>,</w:t>
      </w:r>
      <w:r w:rsidR="00721DED">
        <w:rPr>
          <w:sz w:val="22"/>
          <w:szCs w:val="22"/>
        </w:rPr>
        <w:t xml:space="preserve"> la mayor contribución a los ingresos del sector en general la aporta la distribución de</w:t>
      </w:r>
      <w:r w:rsidR="00721DED" w:rsidRPr="00A64A59">
        <w:rPr>
          <w:sz w:val="22"/>
          <w:szCs w:val="22"/>
        </w:rPr>
        <w:t xml:space="preserve"> vehículos de motor, refacciones, combustibles y lubricantes</w:t>
      </w:r>
      <w:r w:rsidR="00721DED">
        <w:rPr>
          <w:sz w:val="22"/>
          <w:szCs w:val="22"/>
        </w:rPr>
        <w:t xml:space="preserve"> con 32.5%</w:t>
      </w:r>
      <w:r w:rsidR="00E168B2">
        <w:rPr>
          <w:sz w:val="22"/>
          <w:szCs w:val="22"/>
        </w:rPr>
        <w:t>,</w:t>
      </w:r>
      <w:r w:rsidR="00721DED">
        <w:rPr>
          <w:sz w:val="22"/>
          <w:szCs w:val="22"/>
        </w:rPr>
        <w:t xml:space="preserve"> seguido del subsector</w:t>
      </w:r>
      <w:r w:rsidR="00721DED" w:rsidRPr="00A64A59">
        <w:t xml:space="preserve"> </w:t>
      </w:r>
      <w:r w:rsidR="00721DED">
        <w:rPr>
          <w:sz w:val="22"/>
          <w:szCs w:val="22"/>
        </w:rPr>
        <w:t>del c</w:t>
      </w:r>
      <w:r w:rsidR="00721DED" w:rsidRPr="00A64A59">
        <w:rPr>
          <w:sz w:val="22"/>
          <w:szCs w:val="22"/>
        </w:rPr>
        <w:t>omercio al por menor en tiendas de autoservicio y departamentales</w:t>
      </w:r>
      <w:r w:rsidR="00721DED">
        <w:rPr>
          <w:sz w:val="22"/>
          <w:szCs w:val="22"/>
        </w:rPr>
        <w:t xml:space="preserve"> con una aportación a los ingresos del sector de 26.2</w:t>
      </w:r>
      <w:r w:rsidR="00E168B2">
        <w:rPr>
          <w:sz w:val="22"/>
          <w:szCs w:val="22"/>
        </w:rPr>
        <w:t xml:space="preserve"> por ciento.</w:t>
      </w:r>
    </w:p>
    <w:p w14:paraId="7373B1D0" w14:textId="77777777" w:rsidR="00B43102" w:rsidRDefault="00B43102" w:rsidP="00E168B2">
      <w:pPr>
        <w:rPr>
          <w:b/>
          <w:spacing w:val="-1"/>
          <w:sz w:val="18"/>
          <w:szCs w:val="18"/>
          <w:lang w:val="es-MX"/>
        </w:rPr>
      </w:pPr>
    </w:p>
    <w:p w14:paraId="387978EB" w14:textId="1F9CC5DF" w:rsidR="00B43102" w:rsidRDefault="00B43102" w:rsidP="00B43102">
      <w:pPr>
        <w:ind w:left="121"/>
        <w:jc w:val="right"/>
        <w:rPr>
          <w:b/>
          <w:spacing w:val="-1"/>
          <w:sz w:val="18"/>
          <w:szCs w:val="18"/>
          <w:lang w:val="es-MX"/>
        </w:rPr>
      </w:pPr>
      <w:r>
        <w:rPr>
          <w:b/>
          <w:spacing w:val="-1"/>
          <w:sz w:val="18"/>
          <w:szCs w:val="18"/>
          <w:lang w:val="es-MX"/>
        </w:rPr>
        <w:t xml:space="preserve">Gráfica </w:t>
      </w:r>
      <w:r w:rsidR="0018512A">
        <w:rPr>
          <w:b/>
          <w:spacing w:val="-1"/>
          <w:sz w:val="18"/>
          <w:szCs w:val="18"/>
          <w:lang w:val="es-MX"/>
        </w:rPr>
        <w:t>4</w:t>
      </w:r>
    </w:p>
    <w:p w14:paraId="27209F9F" w14:textId="77777777" w:rsidR="00B43102" w:rsidRDefault="00B43102" w:rsidP="00B43102">
      <w:pPr>
        <w:ind w:left="121"/>
        <w:rPr>
          <w:b/>
          <w:spacing w:val="-1"/>
          <w:sz w:val="18"/>
          <w:szCs w:val="18"/>
          <w:lang w:val="es-MX"/>
        </w:rPr>
      </w:pPr>
      <w:r>
        <w:rPr>
          <w:noProof/>
          <w:lang w:val="es-MX" w:eastAsia="es-MX"/>
        </w:rPr>
        <w:drawing>
          <wp:inline distT="0" distB="0" distL="0" distR="0" wp14:anchorId="72D455B4" wp14:editId="56E8BEF1">
            <wp:extent cx="5760000" cy="2808000"/>
            <wp:effectExtent l="0" t="0" r="12700" b="11430"/>
            <wp:docPr id="23" name="Gráfico 23">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985ED8" w14:textId="77777777" w:rsidR="00B43102" w:rsidRDefault="00B43102" w:rsidP="00B43102">
      <w:pPr>
        <w:ind w:left="121"/>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0CD20245" w14:textId="77777777" w:rsidR="00E168B2" w:rsidRDefault="00E168B2" w:rsidP="00F81382">
      <w:pPr>
        <w:rPr>
          <w:sz w:val="22"/>
          <w:szCs w:val="22"/>
          <w:lang w:val="es-MX"/>
        </w:rPr>
      </w:pPr>
    </w:p>
    <w:p w14:paraId="09F54AA4" w14:textId="77777777" w:rsidR="00E168B2" w:rsidRDefault="00E168B2" w:rsidP="00F81382">
      <w:pPr>
        <w:rPr>
          <w:sz w:val="22"/>
          <w:szCs w:val="22"/>
          <w:lang w:val="es-MX"/>
        </w:rPr>
      </w:pPr>
    </w:p>
    <w:p w14:paraId="557B5444" w14:textId="32693A7B" w:rsidR="00B43102" w:rsidRDefault="00B43102" w:rsidP="00F81382">
      <w:pPr>
        <w:rPr>
          <w:sz w:val="22"/>
          <w:szCs w:val="22"/>
          <w:lang w:val="es-MX"/>
        </w:rPr>
      </w:pPr>
      <w:r>
        <w:rPr>
          <w:sz w:val="22"/>
          <w:szCs w:val="22"/>
          <w:lang w:val="es-MX"/>
        </w:rPr>
        <w:t>E</w:t>
      </w:r>
      <w:r w:rsidR="00E168B2">
        <w:rPr>
          <w:sz w:val="22"/>
          <w:szCs w:val="22"/>
          <w:lang w:val="es-MX"/>
        </w:rPr>
        <w:t>n e</w:t>
      </w:r>
      <w:r>
        <w:rPr>
          <w:sz w:val="22"/>
          <w:szCs w:val="22"/>
          <w:lang w:val="es-MX"/>
        </w:rPr>
        <w:t xml:space="preserve">l análisis de los datos estadísticos sobre la variable de los activos </w:t>
      </w:r>
      <w:r w:rsidR="0020182B">
        <w:rPr>
          <w:sz w:val="22"/>
          <w:szCs w:val="22"/>
          <w:lang w:val="es-MX"/>
        </w:rPr>
        <w:t>fijos</w:t>
      </w:r>
      <w:r w:rsidR="000F0ADA">
        <w:rPr>
          <w:sz w:val="22"/>
          <w:szCs w:val="22"/>
          <w:lang w:val="es-MX"/>
        </w:rPr>
        <w:t xml:space="preserve"> se observa </w:t>
      </w:r>
      <w:r>
        <w:rPr>
          <w:sz w:val="22"/>
          <w:szCs w:val="22"/>
          <w:lang w:val="es-MX"/>
        </w:rPr>
        <w:t>que las empresas invierten en mayor proporción en los bienes inmuebles</w:t>
      </w:r>
      <w:r w:rsidR="00DB33A2">
        <w:rPr>
          <w:sz w:val="22"/>
          <w:szCs w:val="22"/>
          <w:lang w:val="es-MX"/>
        </w:rPr>
        <w:t>,</w:t>
      </w:r>
      <w:r w:rsidR="000F0ADA">
        <w:rPr>
          <w:sz w:val="22"/>
          <w:szCs w:val="22"/>
          <w:lang w:val="es-MX"/>
        </w:rPr>
        <w:t xml:space="preserve"> en este caso 31% dentro del comercio al por mayor y</w:t>
      </w:r>
      <w:r>
        <w:rPr>
          <w:sz w:val="22"/>
          <w:szCs w:val="22"/>
          <w:lang w:val="es-MX"/>
        </w:rPr>
        <w:t xml:space="preserve"> 52.0% </w:t>
      </w:r>
      <w:r w:rsidR="000F0ADA">
        <w:rPr>
          <w:sz w:val="22"/>
          <w:szCs w:val="22"/>
          <w:lang w:val="es-MX"/>
        </w:rPr>
        <w:t xml:space="preserve">aplicable al comercio al por menor, en donde se encuentran las tiendas departamentales y de autoservicio, con un gran dinamismo. El rubro de menor inversión para </w:t>
      </w:r>
      <w:r w:rsidR="00E168B2">
        <w:rPr>
          <w:sz w:val="22"/>
          <w:szCs w:val="22"/>
          <w:lang w:val="es-MX"/>
        </w:rPr>
        <w:t xml:space="preserve">el </w:t>
      </w:r>
      <w:r w:rsidR="000F0ADA">
        <w:rPr>
          <w:sz w:val="22"/>
          <w:szCs w:val="22"/>
          <w:lang w:val="es-MX"/>
        </w:rPr>
        <w:t>comercio al por mayor y comercio al por menor es el de equipo de cómputo, con participaciones de 7.4% y 6.9%, respectivamente</w:t>
      </w:r>
      <w:r>
        <w:rPr>
          <w:sz w:val="22"/>
          <w:szCs w:val="22"/>
          <w:lang w:val="es-MX"/>
        </w:rPr>
        <w:t xml:space="preserve">. </w:t>
      </w:r>
    </w:p>
    <w:p w14:paraId="5FF0453B" w14:textId="77777777" w:rsidR="00E168B2" w:rsidRDefault="00E168B2" w:rsidP="00E168B2">
      <w:pPr>
        <w:ind w:left="121"/>
        <w:jc w:val="right"/>
        <w:rPr>
          <w:b/>
          <w:spacing w:val="-1"/>
          <w:sz w:val="18"/>
          <w:szCs w:val="18"/>
          <w:lang w:val="es-MX"/>
        </w:rPr>
      </w:pPr>
    </w:p>
    <w:p w14:paraId="37677E8E" w14:textId="20F7DD44" w:rsidR="00B43102" w:rsidRDefault="00B43102" w:rsidP="00E168B2">
      <w:pPr>
        <w:ind w:left="121"/>
        <w:jc w:val="right"/>
        <w:rPr>
          <w:b/>
          <w:spacing w:val="-1"/>
          <w:sz w:val="18"/>
          <w:szCs w:val="18"/>
          <w:lang w:val="es-MX"/>
        </w:rPr>
      </w:pPr>
      <w:r>
        <w:rPr>
          <w:b/>
          <w:spacing w:val="-1"/>
          <w:sz w:val="18"/>
          <w:szCs w:val="18"/>
          <w:lang w:val="es-MX"/>
        </w:rPr>
        <w:t xml:space="preserve">Gráfica </w:t>
      </w:r>
      <w:r w:rsidR="0018512A">
        <w:rPr>
          <w:b/>
          <w:spacing w:val="-1"/>
          <w:sz w:val="18"/>
          <w:szCs w:val="18"/>
          <w:lang w:val="es-MX"/>
        </w:rPr>
        <w:t>5</w:t>
      </w:r>
    </w:p>
    <w:p w14:paraId="186ED00D" w14:textId="77777777" w:rsidR="00B43102" w:rsidRDefault="00F81382" w:rsidP="00B43102">
      <w:pPr>
        <w:ind w:left="121"/>
        <w:rPr>
          <w:b/>
          <w:spacing w:val="-1"/>
          <w:sz w:val="18"/>
          <w:szCs w:val="18"/>
          <w:lang w:val="es-MX"/>
        </w:rPr>
      </w:pPr>
      <w:r>
        <w:rPr>
          <w:noProof/>
          <w:lang w:val="es-MX" w:eastAsia="es-MX"/>
        </w:rPr>
        <w:drawing>
          <wp:inline distT="0" distB="0" distL="0" distR="0" wp14:anchorId="39F21AC3" wp14:editId="044AE435">
            <wp:extent cx="5760000" cy="2376000"/>
            <wp:effectExtent l="0" t="0" r="12700" b="571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303A9E" w14:textId="77777777" w:rsidR="00B43102" w:rsidRDefault="00B43102" w:rsidP="00B43102">
      <w:pPr>
        <w:ind w:left="121"/>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4B45AC92" w14:textId="77777777" w:rsidR="00B43102" w:rsidRDefault="00B43102" w:rsidP="00B43102">
      <w:pPr>
        <w:ind w:left="121"/>
        <w:rPr>
          <w:b/>
          <w:spacing w:val="-1"/>
          <w:sz w:val="18"/>
          <w:szCs w:val="18"/>
          <w:lang w:val="es-MX"/>
        </w:rPr>
      </w:pPr>
    </w:p>
    <w:p w14:paraId="7B0B14A9" w14:textId="2BCC8045" w:rsidR="00D4134D" w:rsidRDefault="00D4134D" w:rsidP="00D4134D">
      <w:pPr>
        <w:ind w:left="121"/>
        <w:rPr>
          <w:sz w:val="22"/>
          <w:szCs w:val="22"/>
          <w:lang w:val="es-MX"/>
        </w:rPr>
      </w:pPr>
      <w:r w:rsidRPr="00D4134D">
        <w:rPr>
          <w:sz w:val="22"/>
          <w:szCs w:val="22"/>
          <w:lang w:val="es-MX"/>
        </w:rPr>
        <w:lastRenderedPageBreak/>
        <w:t>Es de destacar que el flujo y tipo de clientes enmarca la distribución de las ventas de las mercancías por sector</w:t>
      </w:r>
      <w:r w:rsidR="00E168B2">
        <w:rPr>
          <w:sz w:val="22"/>
          <w:szCs w:val="22"/>
          <w:lang w:val="es-MX"/>
        </w:rPr>
        <w:t>. E</w:t>
      </w:r>
      <w:r w:rsidRPr="00D4134D">
        <w:rPr>
          <w:sz w:val="22"/>
          <w:szCs w:val="22"/>
          <w:lang w:val="es-MX"/>
        </w:rPr>
        <w:t>n ese sentido, los productores industriales y agropecuarios en el comercio al por mayor tiene un mayor peso con 16.5%, mientras que en el comercio al por menor solo participan con 4</w:t>
      </w:r>
      <w:r w:rsidR="00E168B2">
        <w:rPr>
          <w:sz w:val="22"/>
          <w:szCs w:val="22"/>
          <w:lang w:val="es-MX"/>
        </w:rPr>
        <w:t xml:space="preserve"> por ciento. P</w:t>
      </w:r>
      <w:r w:rsidRPr="00D4134D">
        <w:rPr>
          <w:sz w:val="22"/>
          <w:szCs w:val="22"/>
          <w:lang w:val="es-MX"/>
        </w:rPr>
        <w:t>or su parte, las ventas a otros comercios al por mayor son de 45.9 y 17.7% para el comercio al por mayor y comercio al por menor, respectivamente.</w:t>
      </w:r>
    </w:p>
    <w:p w14:paraId="5F61AF1B" w14:textId="77777777" w:rsidR="00E168B2" w:rsidRDefault="00E168B2" w:rsidP="00D4134D">
      <w:pPr>
        <w:ind w:left="121"/>
        <w:rPr>
          <w:sz w:val="22"/>
          <w:szCs w:val="22"/>
          <w:lang w:val="es-MX"/>
        </w:rPr>
      </w:pPr>
    </w:p>
    <w:p w14:paraId="7A187E6D" w14:textId="5FAE1AD9" w:rsidR="00B43102" w:rsidRPr="000E3592" w:rsidRDefault="00B43102" w:rsidP="00E168B2">
      <w:pPr>
        <w:ind w:left="121" w:right="193"/>
        <w:jc w:val="right"/>
        <w:rPr>
          <w:b/>
          <w:spacing w:val="-1"/>
          <w:sz w:val="18"/>
          <w:szCs w:val="18"/>
          <w:lang w:val="es-MX"/>
        </w:rPr>
      </w:pPr>
      <w:r>
        <w:rPr>
          <w:b/>
          <w:spacing w:val="-1"/>
          <w:sz w:val="18"/>
          <w:szCs w:val="18"/>
          <w:lang w:val="es-MX"/>
        </w:rPr>
        <w:t xml:space="preserve">Gráfica </w:t>
      </w:r>
      <w:r w:rsidR="0018512A">
        <w:rPr>
          <w:b/>
          <w:spacing w:val="-1"/>
          <w:sz w:val="18"/>
          <w:szCs w:val="18"/>
          <w:lang w:val="es-MX"/>
        </w:rPr>
        <w:t>6</w:t>
      </w:r>
    </w:p>
    <w:p w14:paraId="18B72000" w14:textId="77777777" w:rsidR="00B43102" w:rsidRDefault="003B3E6E" w:rsidP="00B43102">
      <w:pPr>
        <w:rPr>
          <w:b/>
          <w:bCs/>
          <w:sz w:val="22"/>
          <w:szCs w:val="22"/>
        </w:rPr>
      </w:pPr>
      <w:r>
        <w:rPr>
          <w:noProof/>
          <w:lang w:val="es-MX" w:eastAsia="es-MX"/>
        </w:rPr>
        <w:drawing>
          <wp:inline distT="0" distB="0" distL="0" distR="0" wp14:anchorId="5A557987" wp14:editId="5A31BE69">
            <wp:extent cx="5760000" cy="2520000"/>
            <wp:effectExtent l="0" t="0" r="12700" b="1397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5351FA" w14:textId="77777777" w:rsidR="00B43102" w:rsidRDefault="00B43102" w:rsidP="002E0F54">
      <w:pPr>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3E4AE589" w14:textId="77777777" w:rsidR="00C745C6" w:rsidRDefault="00C745C6" w:rsidP="00D4134D">
      <w:pPr>
        <w:rPr>
          <w:sz w:val="22"/>
          <w:szCs w:val="22"/>
          <w:lang w:val="es-MX"/>
        </w:rPr>
      </w:pPr>
    </w:p>
    <w:p w14:paraId="078A5CCE" w14:textId="77777777" w:rsidR="00E168B2" w:rsidRDefault="00E168B2" w:rsidP="00D4134D">
      <w:pPr>
        <w:rPr>
          <w:sz w:val="22"/>
          <w:szCs w:val="22"/>
          <w:lang w:val="es-MX"/>
        </w:rPr>
      </w:pPr>
    </w:p>
    <w:p w14:paraId="5F76FD85" w14:textId="7C5FF015" w:rsidR="00D4134D" w:rsidRDefault="00D4134D" w:rsidP="00D4134D">
      <w:pPr>
        <w:rPr>
          <w:b/>
          <w:spacing w:val="-1"/>
          <w:sz w:val="18"/>
          <w:szCs w:val="18"/>
          <w:lang w:val="es-MX"/>
        </w:rPr>
      </w:pPr>
      <w:r>
        <w:rPr>
          <w:sz w:val="22"/>
          <w:szCs w:val="22"/>
          <w:lang w:val="es-MX"/>
        </w:rPr>
        <w:t>Las formas de comercializar asumen un rol importante en las empresas para destacar sus productos y servicios y romper barreras y posicionamiento en el mercado</w:t>
      </w:r>
      <w:r w:rsidR="00E168B2">
        <w:rPr>
          <w:sz w:val="22"/>
          <w:szCs w:val="22"/>
          <w:lang w:val="es-MX"/>
        </w:rPr>
        <w:t>. D</w:t>
      </w:r>
      <w:r>
        <w:rPr>
          <w:sz w:val="22"/>
          <w:szCs w:val="22"/>
          <w:lang w:val="es-MX"/>
        </w:rPr>
        <w:t xml:space="preserve">e entre ellas </w:t>
      </w:r>
      <w:r w:rsidR="00E168B2">
        <w:rPr>
          <w:sz w:val="22"/>
          <w:szCs w:val="22"/>
          <w:lang w:val="es-MX"/>
        </w:rPr>
        <w:t>sobresale</w:t>
      </w:r>
      <w:r>
        <w:rPr>
          <w:sz w:val="22"/>
          <w:szCs w:val="22"/>
          <w:lang w:val="es-MX"/>
        </w:rPr>
        <w:t xml:space="preserve">n: oficina de ventas en el sector al por mayor </w:t>
      </w:r>
      <w:r w:rsidR="00E168B2">
        <w:rPr>
          <w:sz w:val="22"/>
          <w:szCs w:val="22"/>
          <w:lang w:val="es-MX"/>
        </w:rPr>
        <w:t xml:space="preserve">que </w:t>
      </w:r>
      <w:r>
        <w:rPr>
          <w:sz w:val="22"/>
          <w:szCs w:val="22"/>
          <w:lang w:val="es-MX"/>
        </w:rPr>
        <w:t xml:space="preserve">participa con 22.4% y en el comercio al por menor con 5.8%; tiendas con atención personal del vendedor en el mostrador </w:t>
      </w:r>
      <w:r w:rsidR="00E168B2">
        <w:rPr>
          <w:sz w:val="22"/>
          <w:szCs w:val="22"/>
          <w:lang w:val="es-MX"/>
        </w:rPr>
        <w:t>con</w:t>
      </w:r>
      <w:r>
        <w:rPr>
          <w:sz w:val="22"/>
          <w:szCs w:val="22"/>
          <w:lang w:val="es-MX"/>
        </w:rPr>
        <w:t xml:space="preserve"> 23.8% y 33.1% para cada uno de los sectores; en tanto las ventas de bodega, almacén o depósito en el comercio al por mayor representan 25.6% y dentro del comercio al por menor  4.2</w:t>
      </w:r>
      <w:r w:rsidR="00E168B2">
        <w:rPr>
          <w:sz w:val="22"/>
          <w:szCs w:val="22"/>
          <w:lang w:val="es-MX"/>
        </w:rPr>
        <w:t xml:space="preserve"> por ciento.</w:t>
      </w:r>
    </w:p>
    <w:p w14:paraId="591172F2" w14:textId="77777777" w:rsidR="00C745C6" w:rsidRDefault="00C745C6" w:rsidP="00B43102">
      <w:pPr>
        <w:jc w:val="right"/>
        <w:rPr>
          <w:b/>
          <w:bCs/>
          <w:sz w:val="22"/>
          <w:szCs w:val="22"/>
        </w:rPr>
      </w:pPr>
    </w:p>
    <w:p w14:paraId="4A576598" w14:textId="77777777" w:rsidR="00E168B2" w:rsidRDefault="00E168B2" w:rsidP="00B43102">
      <w:pPr>
        <w:jc w:val="right"/>
        <w:rPr>
          <w:b/>
          <w:bCs/>
          <w:sz w:val="18"/>
          <w:szCs w:val="18"/>
        </w:rPr>
      </w:pPr>
    </w:p>
    <w:p w14:paraId="02D61B71" w14:textId="77777777" w:rsidR="00E168B2" w:rsidRDefault="00E168B2" w:rsidP="00B43102">
      <w:pPr>
        <w:jc w:val="right"/>
        <w:rPr>
          <w:b/>
          <w:bCs/>
          <w:sz w:val="18"/>
          <w:szCs w:val="18"/>
        </w:rPr>
      </w:pPr>
    </w:p>
    <w:p w14:paraId="4A154F93" w14:textId="77777777" w:rsidR="00E168B2" w:rsidRDefault="00E168B2" w:rsidP="00B43102">
      <w:pPr>
        <w:jc w:val="right"/>
        <w:rPr>
          <w:b/>
          <w:bCs/>
          <w:sz w:val="18"/>
          <w:szCs w:val="18"/>
        </w:rPr>
      </w:pPr>
    </w:p>
    <w:p w14:paraId="79BA7143" w14:textId="77777777" w:rsidR="00E168B2" w:rsidRDefault="00E168B2" w:rsidP="00B43102">
      <w:pPr>
        <w:jc w:val="right"/>
        <w:rPr>
          <w:b/>
          <w:bCs/>
          <w:sz w:val="18"/>
          <w:szCs w:val="18"/>
        </w:rPr>
      </w:pPr>
    </w:p>
    <w:p w14:paraId="66C3361E" w14:textId="77777777" w:rsidR="00E168B2" w:rsidRDefault="00E168B2" w:rsidP="00B43102">
      <w:pPr>
        <w:jc w:val="right"/>
        <w:rPr>
          <w:b/>
          <w:bCs/>
          <w:sz w:val="18"/>
          <w:szCs w:val="18"/>
        </w:rPr>
      </w:pPr>
    </w:p>
    <w:p w14:paraId="2104B01C" w14:textId="77777777" w:rsidR="00E168B2" w:rsidRDefault="00E168B2" w:rsidP="00B43102">
      <w:pPr>
        <w:jc w:val="right"/>
        <w:rPr>
          <w:b/>
          <w:bCs/>
          <w:sz w:val="18"/>
          <w:szCs w:val="18"/>
        </w:rPr>
      </w:pPr>
    </w:p>
    <w:p w14:paraId="27FE6F49" w14:textId="77777777" w:rsidR="00E168B2" w:rsidRDefault="00E168B2" w:rsidP="00B43102">
      <w:pPr>
        <w:jc w:val="right"/>
        <w:rPr>
          <w:b/>
          <w:bCs/>
          <w:sz w:val="18"/>
          <w:szCs w:val="18"/>
        </w:rPr>
      </w:pPr>
    </w:p>
    <w:p w14:paraId="06A78FCF" w14:textId="77777777" w:rsidR="00E168B2" w:rsidRDefault="00E168B2" w:rsidP="00B43102">
      <w:pPr>
        <w:jc w:val="right"/>
        <w:rPr>
          <w:b/>
          <w:bCs/>
          <w:sz w:val="18"/>
          <w:szCs w:val="18"/>
        </w:rPr>
      </w:pPr>
    </w:p>
    <w:p w14:paraId="182FC9DD" w14:textId="77777777" w:rsidR="00E168B2" w:rsidRDefault="00E168B2" w:rsidP="00B43102">
      <w:pPr>
        <w:jc w:val="right"/>
        <w:rPr>
          <w:b/>
          <w:bCs/>
          <w:sz w:val="18"/>
          <w:szCs w:val="18"/>
        </w:rPr>
      </w:pPr>
    </w:p>
    <w:p w14:paraId="254FA9F2" w14:textId="77777777" w:rsidR="00E168B2" w:rsidRDefault="00E168B2" w:rsidP="00B43102">
      <w:pPr>
        <w:jc w:val="right"/>
        <w:rPr>
          <w:b/>
          <w:bCs/>
          <w:sz w:val="18"/>
          <w:szCs w:val="18"/>
        </w:rPr>
      </w:pPr>
    </w:p>
    <w:p w14:paraId="765B51E8" w14:textId="77777777" w:rsidR="00E168B2" w:rsidRDefault="00E168B2" w:rsidP="00B43102">
      <w:pPr>
        <w:jc w:val="right"/>
        <w:rPr>
          <w:b/>
          <w:bCs/>
          <w:sz w:val="18"/>
          <w:szCs w:val="18"/>
        </w:rPr>
      </w:pPr>
    </w:p>
    <w:p w14:paraId="5845487C" w14:textId="77777777" w:rsidR="00E168B2" w:rsidRDefault="00E168B2" w:rsidP="00B43102">
      <w:pPr>
        <w:jc w:val="right"/>
        <w:rPr>
          <w:b/>
          <w:bCs/>
          <w:sz w:val="18"/>
          <w:szCs w:val="18"/>
        </w:rPr>
      </w:pPr>
    </w:p>
    <w:p w14:paraId="4E895C78" w14:textId="77777777" w:rsidR="00E168B2" w:rsidRDefault="00E168B2" w:rsidP="00B43102">
      <w:pPr>
        <w:jc w:val="right"/>
        <w:rPr>
          <w:b/>
          <w:bCs/>
          <w:sz w:val="18"/>
          <w:szCs w:val="18"/>
        </w:rPr>
      </w:pPr>
    </w:p>
    <w:p w14:paraId="419CBB03" w14:textId="77777777" w:rsidR="00E168B2" w:rsidRDefault="00E168B2" w:rsidP="00B43102">
      <w:pPr>
        <w:jc w:val="right"/>
        <w:rPr>
          <w:b/>
          <w:bCs/>
          <w:sz w:val="18"/>
          <w:szCs w:val="18"/>
        </w:rPr>
      </w:pPr>
    </w:p>
    <w:p w14:paraId="25D87D3E" w14:textId="77777777" w:rsidR="00E168B2" w:rsidRDefault="00E168B2" w:rsidP="00B43102">
      <w:pPr>
        <w:jc w:val="right"/>
        <w:rPr>
          <w:b/>
          <w:bCs/>
          <w:sz w:val="18"/>
          <w:szCs w:val="18"/>
        </w:rPr>
      </w:pPr>
    </w:p>
    <w:p w14:paraId="04297ADE" w14:textId="77777777" w:rsidR="00E168B2" w:rsidRDefault="00E168B2" w:rsidP="00B43102">
      <w:pPr>
        <w:jc w:val="right"/>
        <w:rPr>
          <w:b/>
          <w:bCs/>
          <w:sz w:val="18"/>
          <w:szCs w:val="18"/>
        </w:rPr>
      </w:pPr>
    </w:p>
    <w:p w14:paraId="3440A171" w14:textId="77777777" w:rsidR="00E168B2" w:rsidRDefault="00E168B2" w:rsidP="00B43102">
      <w:pPr>
        <w:jc w:val="right"/>
        <w:rPr>
          <w:b/>
          <w:bCs/>
          <w:sz w:val="18"/>
          <w:szCs w:val="18"/>
        </w:rPr>
      </w:pPr>
    </w:p>
    <w:p w14:paraId="398BF8B2" w14:textId="77777777" w:rsidR="00E168B2" w:rsidRDefault="00E168B2" w:rsidP="00B43102">
      <w:pPr>
        <w:jc w:val="right"/>
        <w:rPr>
          <w:b/>
          <w:bCs/>
          <w:sz w:val="18"/>
          <w:szCs w:val="18"/>
        </w:rPr>
      </w:pPr>
    </w:p>
    <w:p w14:paraId="629A1554" w14:textId="77777777" w:rsidR="00E168B2" w:rsidRDefault="00E168B2" w:rsidP="00B43102">
      <w:pPr>
        <w:jc w:val="right"/>
        <w:rPr>
          <w:b/>
          <w:bCs/>
          <w:sz w:val="18"/>
          <w:szCs w:val="18"/>
        </w:rPr>
      </w:pPr>
    </w:p>
    <w:p w14:paraId="1322CE56" w14:textId="77777777" w:rsidR="00E168B2" w:rsidRDefault="00E168B2" w:rsidP="00B43102">
      <w:pPr>
        <w:jc w:val="right"/>
        <w:rPr>
          <w:b/>
          <w:bCs/>
          <w:sz w:val="18"/>
          <w:szCs w:val="18"/>
        </w:rPr>
      </w:pPr>
    </w:p>
    <w:p w14:paraId="2969A8CB" w14:textId="77777777" w:rsidR="00E168B2" w:rsidRDefault="00E168B2" w:rsidP="00B43102">
      <w:pPr>
        <w:jc w:val="right"/>
        <w:rPr>
          <w:b/>
          <w:bCs/>
          <w:sz w:val="18"/>
          <w:szCs w:val="18"/>
        </w:rPr>
      </w:pPr>
    </w:p>
    <w:p w14:paraId="424D0E38" w14:textId="77777777" w:rsidR="00E168B2" w:rsidRDefault="00E168B2" w:rsidP="00B43102">
      <w:pPr>
        <w:jc w:val="right"/>
        <w:rPr>
          <w:b/>
          <w:bCs/>
          <w:sz w:val="18"/>
          <w:szCs w:val="18"/>
        </w:rPr>
      </w:pPr>
    </w:p>
    <w:p w14:paraId="7BAB64AA" w14:textId="557D4857" w:rsidR="00C745C6" w:rsidRPr="00E168B2" w:rsidRDefault="00C745C6" w:rsidP="00E168B2">
      <w:pPr>
        <w:ind w:left="426" w:right="193" w:firstLine="284"/>
        <w:jc w:val="right"/>
        <w:rPr>
          <w:b/>
          <w:bCs/>
          <w:sz w:val="18"/>
          <w:szCs w:val="18"/>
        </w:rPr>
      </w:pPr>
      <w:r w:rsidRPr="00E168B2">
        <w:rPr>
          <w:b/>
          <w:bCs/>
          <w:sz w:val="18"/>
          <w:szCs w:val="18"/>
        </w:rPr>
        <w:lastRenderedPageBreak/>
        <w:t>Gr</w:t>
      </w:r>
      <w:r w:rsidR="00B43102" w:rsidRPr="00E168B2">
        <w:rPr>
          <w:b/>
          <w:bCs/>
          <w:sz w:val="18"/>
          <w:szCs w:val="18"/>
        </w:rPr>
        <w:t xml:space="preserve">áfica </w:t>
      </w:r>
      <w:r w:rsidR="0018512A" w:rsidRPr="00E168B2">
        <w:rPr>
          <w:b/>
          <w:bCs/>
          <w:sz w:val="18"/>
          <w:szCs w:val="18"/>
        </w:rPr>
        <w:t>7</w:t>
      </w:r>
    </w:p>
    <w:p w14:paraId="06A0B7EC" w14:textId="77777777" w:rsidR="00B43102" w:rsidRDefault="002E0F54" w:rsidP="00E168B2">
      <w:pPr>
        <w:ind w:firstLine="426"/>
        <w:rPr>
          <w:b/>
          <w:bCs/>
          <w:sz w:val="22"/>
          <w:szCs w:val="22"/>
        </w:rPr>
      </w:pPr>
      <w:r>
        <w:rPr>
          <w:noProof/>
          <w:lang w:val="es-MX" w:eastAsia="es-MX"/>
        </w:rPr>
        <w:drawing>
          <wp:inline distT="0" distB="0" distL="0" distR="0" wp14:anchorId="30A131FC" wp14:editId="5AB21EE7">
            <wp:extent cx="5524500" cy="3971925"/>
            <wp:effectExtent l="0" t="0" r="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EBC9AD2" w14:textId="77777777" w:rsidR="00B43102" w:rsidRDefault="00B43102" w:rsidP="00E168B2">
      <w:pPr>
        <w:ind w:firstLine="426"/>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048C4C13" w14:textId="77777777" w:rsidR="00B43102" w:rsidRDefault="00B43102" w:rsidP="00B43102">
      <w:pPr>
        <w:rPr>
          <w:b/>
          <w:spacing w:val="-1"/>
          <w:sz w:val="18"/>
          <w:szCs w:val="18"/>
          <w:lang w:val="es-MX"/>
        </w:rPr>
      </w:pPr>
    </w:p>
    <w:p w14:paraId="154F29F4" w14:textId="10DB8FD1" w:rsidR="00B43102" w:rsidRDefault="00B43102" w:rsidP="00B43102">
      <w:pPr>
        <w:rPr>
          <w:sz w:val="22"/>
          <w:szCs w:val="22"/>
          <w:lang w:val="es-MX"/>
        </w:rPr>
      </w:pPr>
      <w:r>
        <w:rPr>
          <w:sz w:val="22"/>
          <w:szCs w:val="22"/>
          <w:lang w:val="es-MX"/>
        </w:rPr>
        <w:t xml:space="preserve">Las </w:t>
      </w:r>
      <w:r w:rsidRPr="003B02A0">
        <w:rPr>
          <w:sz w:val="22"/>
          <w:szCs w:val="22"/>
          <w:lang w:val="es-MX"/>
        </w:rPr>
        <w:t>formas que emplea</w:t>
      </w:r>
      <w:r>
        <w:rPr>
          <w:sz w:val="22"/>
          <w:szCs w:val="22"/>
          <w:lang w:val="es-MX"/>
        </w:rPr>
        <w:t xml:space="preserve">n las </w:t>
      </w:r>
      <w:r w:rsidRPr="003B02A0">
        <w:rPr>
          <w:sz w:val="22"/>
          <w:szCs w:val="22"/>
          <w:lang w:val="es-MX"/>
        </w:rPr>
        <w:t>empresa</w:t>
      </w:r>
      <w:r>
        <w:rPr>
          <w:sz w:val="22"/>
          <w:szCs w:val="22"/>
          <w:lang w:val="es-MX"/>
        </w:rPr>
        <w:t>s</w:t>
      </w:r>
      <w:r w:rsidRPr="003B02A0">
        <w:rPr>
          <w:sz w:val="22"/>
          <w:szCs w:val="22"/>
          <w:lang w:val="es-MX"/>
        </w:rPr>
        <w:t xml:space="preserve"> comercial</w:t>
      </w:r>
      <w:r>
        <w:rPr>
          <w:sz w:val="22"/>
          <w:szCs w:val="22"/>
          <w:lang w:val="es-MX"/>
        </w:rPr>
        <w:t>es</w:t>
      </w:r>
      <w:r w:rsidRPr="003B02A0">
        <w:rPr>
          <w:sz w:val="22"/>
          <w:szCs w:val="22"/>
          <w:lang w:val="es-MX"/>
        </w:rPr>
        <w:t xml:space="preserve"> en el desarrollo de sus actividades</w:t>
      </w:r>
      <w:r>
        <w:rPr>
          <w:sz w:val="22"/>
          <w:szCs w:val="22"/>
          <w:lang w:val="es-MX"/>
        </w:rPr>
        <w:t xml:space="preserve"> señalan que la v</w:t>
      </w:r>
      <w:r w:rsidRPr="003B02A0">
        <w:rPr>
          <w:sz w:val="22"/>
          <w:szCs w:val="22"/>
          <w:lang w:val="es-MX"/>
        </w:rPr>
        <w:t>enta directa en el establecimiento</w:t>
      </w:r>
      <w:r>
        <w:rPr>
          <w:sz w:val="22"/>
          <w:szCs w:val="22"/>
          <w:lang w:val="es-MX"/>
        </w:rPr>
        <w:t xml:space="preserve"> es la más preponderante</w:t>
      </w:r>
      <w:r w:rsidR="00E168B2">
        <w:rPr>
          <w:sz w:val="22"/>
          <w:szCs w:val="22"/>
          <w:lang w:val="es-MX"/>
        </w:rPr>
        <w:t>. O</w:t>
      </w:r>
      <w:r>
        <w:rPr>
          <w:sz w:val="22"/>
          <w:szCs w:val="22"/>
          <w:lang w:val="es-MX"/>
        </w:rPr>
        <w:t xml:space="preserve">bsérvese que el sector </w:t>
      </w:r>
      <w:r w:rsidR="009B7473">
        <w:rPr>
          <w:sz w:val="22"/>
          <w:szCs w:val="22"/>
          <w:lang w:val="es-MX"/>
        </w:rPr>
        <w:t xml:space="preserve">del comercio al por </w:t>
      </w:r>
      <w:r>
        <w:rPr>
          <w:sz w:val="22"/>
          <w:szCs w:val="22"/>
          <w:lang w:val="es-MX"/>
        </w:rPr>
        <w:t>menor reporta 77.9% y al por menor 47.8%</w:t>
      </w:r>
      <w:r w:rsidR="009B7473">
        <w:rPr>
          <w:sz w:val="22"/>
          <w:szCs w:val="22"/>
          <w:lang w:val="es-MX"/>
        </w:rPr>
        <w:t xml:space="preserve">. La forma de comercializar </w:t>
      </w:r>
      <w:r>
        <w:rPr>
          <w:sz w:val="22"/>
          <w:szCs w:val="22"/>
          <w:lang w:val="es-MX"/>
        </w:rPr>
        <w:t xml:space="preserve">menos popular es la venta por </w:t>
      </w:r>
      <w:r w:rsidR="00E168B2">
        <w:rPr>
          <w:sz w:val="22"/>
          <w:szCs w:val="22"/>
          <w:lang w:val="es-MX"/>
        </w:rPr>
        <w:t>c</w:t>
      </w:r>
      <w:r w:rsidRPr="00F127DF">
        <w:rPr>
          <w:sz w:val="22"/>
          <w:szCs w:val="22"/>
          <w:lang w:val="es-MX"/>
        </w:rPr>
        <w:t>atálogo o correo postal</w:t>
      </w:r>
      <w:r>
        <w:rPr>
          <w:sz w:val="22"/>
          <w:szCs w:val="22"/>
          <w:lang w:val="es-MX"/>
        </w:rPr>
        <w:t xml:space="preserve">, que </w:t>
      </w:r>
      <w:r w:rsidR="00721DED">
        <w:rPr>
          <w:sz w:val="22"/>
          <w:szCs w:val="22"/>
          <w:lang w:val="es-MX"/>
        </w:rPr>
        <w:t xml:space="preserve">en el comercio </w:t>
      </w:r>
      <w:r>
        <w:rPr>
          <w:sz w:val="22"/>
          <w:szCs w:val="22"/>
          <w:lang w:val="es-MX"/>
        </w:rPr>
        <w:t xml:space="preserve">al por mayor </w:t>
      </w:r>
      <w:r w:rsidR="00721DED">
        <w:rPr>
          <w:sz w:val="22"/>
          <w:szCs w:val="22"/>
          <w:lang w:val="es-MX"/>
        </w:rPr>
        <w:t xml:space="preserve">aporta solo </w:t>
      </w:r>
      <w:r>
        <w:rPr>
          <w:sz w:val="22"/>
          <w:szCs w:val="22"/>
          <w:lang w:val="es-MX"/>
        </w:rPr>
        <w:t xml:space="preserve">4.4%, mientras que </w:t>
      </w:r>
      <w:r w:rsidR="00721DED">
        <w:rPr>
          <w:sz w:val="22"/>
          <w:szCs w:val="22"/>
          <w:lang w:val="es-MX"/>
        </w:rPr>
        <w:t xml:space="preserve">en el comercio </w:t>
      </w:r>
      <w:r>
        <w:rPr>
          <w:sz w:val="22"/>
          <w:szCs w:val="22"/>
          <w:lang w:val="es-MX"/>
        </w:rPr>
        <w:t xml:space="preserve">al por menor </w:t>
      </w:r>
      <w:r w:rsidR="00721DED">
        <w:rPr>
          <w:sz w:val="22"/>
          <w:szCs w:val="22"/>
          <w:lang w:val="es-MX"/>
        </w:rPr>
        <w:t xml:space="preserve">la participación </w:t>
      </w:r>
      <w:r>
        <w:rPr>
          <w:sz w:val="22"/>
          <w:szCs w:val="22"/>
          <w:lang w:val="es-MX"/>
        </w:rPr>
        <w:t>es</w:t>
      </w:r>
      <w:r w:rsidR="00721DED">
        <w:rPr>
          <w:sz w:val="22"/>
          <w:szCs w:val="22"/>
          <w:lang w:val="es-MX"/>
        </w:rPr>
        <w:t xml:space="preserve"> </w:t>
      </w:r>
      <w:r w:rsidR="00E168B2">
        <w:rPr>
          <w:sz w:val="22"/>
          <w:szCs w:val="22"/>
          <w:lang w:val="es-MX"/>
        </w:rPr>
        <w:t xml:space="preserve">de </w:t>
      </w:r>
      <w:r>
        <w:rPr>
          <w:sz w:val="22"/>
          <w:szCs w:val="22"/>
          <w:lang w:val="es-MX"/>
        </w:rPr>
        <w:t>2.2</w:t>
      </w:r>
      <w:r w:rsidR="00E168B2">
        <w:rPr>
          <w:sz w:val="22"/>
          <w:szCs w:val="22"/>
          <w:lang w:val="es-MX"/>
        </w:rPr>
        <w:t xml:space="preserve"> por ciento.</w:t>
      </w:r>
    </w:p>
    <w:p w14:paraId="1A3E9801" w14:textId="77777777" w:rsidR="0018512A" w:rsidRPr="003B02A0" w:rsidRDefault="0018512A" w:rsidP="00B43102">
      <w:pPr>
        <w:rPr>
          <w:sz w:val="22"/>
          <w:szCs w:val="22"/>
          <w:lang w:val="es-MX"/>
        </w:rPr>
      </w:pPr>
    </w:p>
    <w:p w14:paraId="3C9D0FD7" w14:textId="3EBF61F9" w:rsidR="00B43102" w:rsidRPr="00E168B2" w:rsidRDefault="00C745C6" w:rsidP="00B43102">
      <w:pPr>
        <w:jc w:val="right"/>
        <w:rPr>
          <w:b/>
          <w:bCs/>
          <w:sz w:val="18"/>
          <w:szCs w:val="18"/>
        </w:rPr>
      </w:pPr>
      <w:r w:rsidRPr="00E168B2">
        <w:rPr>
          <w:b/>
          <w:bCs/>
          <w:sz w:val="18"/>
          <w:szCs w:val="18"/>
        </w:rPr>
        <w:t>G</w:t>
      </w:r>
      <w:r w:rsidR="00B43102" w:rsidRPr="00E168B2">
        <w:rPr>
          <w:b/>
          <w:bCs/>
          <w:sz w:val="18"/>
          <w:szCs w:val="18"/>
        </w:rPr>
        <w:t xml:space="preserve">ráfica </w:t>
      </w:r>
      <w:r w:rsidR="0018512A" w:rsidRPr="00E168B2">
        <w:rPr>
          <w:b/>
          <w:bCs/>
          <w:sz w:val="18"/>
          <w:szCs w:val="18"/>
        </w:rPr>
        <w:t>8</w:t>
      </w:r>
    </w:p>
    <w:p w14:paraId="70758CF6" w14:textId="77777777" w:rsidR="00B43102" w:rsidRDefault="00E07EAA" w:rsidP="00E168B2">
      <w:pPr>
        <w:ind w:firstLine="284"/>
        <w:rPr>
          <w:b/>
          <w:bCs/>
          <w:sz w:val="22"/>
          <w:szCs w:val="22"/>
        </w:rPr>
      </w:pPr>
      <w:r>
        <w:rPr>
          <w:noProof/>
          <w:lang w:val="es-MX" w:eastAsia="es-MX"/>
        </w:rPr>
        <w:drawing>
          <wp:inline distT="0" distB="0" distL="0" distR="0" wp14:anchorId="3F10438F" wp14:editId="75B044AA">
            <wp:extent cx="5760000" cy="2520000"/>
            <wp:effectExtent l="0" t="0" r="12700" b="1397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8AD9BBF" w14:textId="77777777" w:rsidR="00E54D51" w:rsidRDefault="00B43102" w:rsidP="00E168B2">
      <w:pPr>
        <w:ind w:firstLine="284"/>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72A734FD" w14:textId="1F34CD0A" w:rsidR="00B25276" w:rsidRDefault="00B25276" w:rsidP="00B25276">
      <w:pPr>
        <w:rPr>
          <w:sz w:val="22"/>
          <w:szCs w:val="22"/>
        </w:rPr>
      </w:pPr>
      <w:r w:rsidRPr="00BA20CC">
        <w:rPr>
          <w:sz w:val="22"/>
          <w:szCs w:val="22"/>
        </w:rPr>
        <w:lastRenderedPageBreak/>
        <w:t>Al revisar la distribución del personal ocupado por nivel de estudios se observa que</w:t>
      </w:r>
      <w:r w:rsidR="00E168B2">
        <w:rPr>
          <w:sz w:val="22"/>
          <w:szCs w:val="22"/>
        </w:rPr>
        <w:t xml:space="preserve"> </w:t>
      </w:r>
      <w:r w:rsidRPr="00BA20CC">
        <w:rPr>
          <w:sz w:val="22"/>
          <w:szCs w:val="22"/>
        </w:rPr>
        <w:t xml:space="preserve">el personal masculino tanto del comercio al por mayor como al por menor reporta la mayor proporción con estudios de educación media superior </w:t>
      </w:r>
      <w:r w:rsidR="0020276A">
        <w:rPr>
          <w:sz w:val="22"/>
          <w:szCs w:val="22"/>
        </w:rPr>
        <w:t>(</w:t>
      </w:r>
      <w:r w:rsidRPr="00BA20CC">
        <w:rPr>
          <w:sz w:val="22"/>
          <w:szCs w:val="22"/>
        </w:rPr>
        <w:t>37.9% y 40.3%, respectivament</w:t>
      </w:r>
      <w:r w:rsidR="0020276A">
        <w:rPr>
          <w:sz w:val="22"/>
          <w:szCs w:val="22"/>
        </w:rPr>
        <w:t>e)</w:t>
      </w:r>
      <w:r w:rsidRPr="00BA20CC">
        <w:rPr>
          <w:sz w:val="22"/>
          <w:szCs w:val="22"/>
        </w:rPr>
        <w:t>, mientras que 11.0 y 5.4%</w:t>
      </w:r>
      <w:r w:rsidR="0020276A">
        <w:rPr>
          <w:sz w:val="22"/>
          <w:szCs w:val="22"/>
        </w:rPr>
        <w:t xml:space="preserve"> </w:t>
      </w:r>
      <w:r w:rsidRPr="00BA20CC">
        <w:rPr>
          <w:sz w:val="22"/>
          <w:szCs w:val="22"/>
        </w:rPr>
        <w:t>del personal del comercio al por mayor y comercio al por menor</w:t>
      </w:r>
      <w:r w:rsidR="0020276A">
        <w:rPr>
          <w:sz w:val="22"/>
          <w:szCs w:val="22"/>
        </w:rPr>
        <w:t xml:space="preserve"> respectivamente,</w:t>
      </w:r>
      <w:r w:rsidRPr="00BA20CC">
        <w:rPr>
          <w:sz w:val="22"/>
          <w:szCs w:val="22"/>
        </w:rPr>
        <w:t xml:space="preserve"> no tiene instrucción. En el caso del personal femenino, destaca la proporción del personal con estudios superiores en el comercio al por mayor, con 12.3% mientras que el comercio al por m</w:t>
      </w:r>
      <w:r>
        <w:rPr>
          <w:sz w:val="22"/>
          <w:szCs w:val="22"/>
        </w:rPr>
        <w:t>enor</w:t>
      </w:r>
      <w:r w:rsidRPr="00BA20CC">
        <w:rPr>
          <w:sz w:val="22"/>
          <w:szCs w:val="22"/>
        </w:rPr>
        <w:t xml:space="preserve"> reporta 30.1% de su personal con estudios superiores</w:t>
      </w:r>
      <w:r w:rsidR="0020276A">
        <w:rPr>
          <w:sz w:val="22"/>
          <w:szCs w:val="22"/>
        </w:rPr>
        <w:t>.</w:t>
      </w:r>
    </w:p>
    <w:p w14:paraId="47AAC4FC" w14:textId="77777777" w:rsidR="0020276A" w:rsidRDefault="0020276A" w:rsidP="00B25276">
      <w:pPr>
        <w:rPr>
          <w:sz w:val="22"/>
          <w:szCs w:val="22"/>
        </w:rPr>
      </w:pPr>
    </w:p>
    <w:p w14:paraId="3383A4A4" w14:textId="49B2F8D0" w:rsidR="007E38BA" w:rsidRDefault="007E38BA" w:rsidP="007E38BA">
      <w:pPr>
        <w:jc w:val="right"/>
        <w:rPr>
          <w:b/>
          <w:bCs/>
          <w:sz w:val="22"/>
          <w:szCs w:val="22"/>
        </w:rPr>
      </w:pPr>
      <w:r w:rsidRPr="0020276A">
        <w:rPr>
          <w:b/>
          <w:bCs/>
          <w:sz w:val="18"/>
          <w:szCs w:val="18"/>
        </w:rPr>
        <w:t xml:space="preserve">Gráfica </w:t>
      </w:r>
      <w:r w:rsidR="0018512A" w:rsidRPr="0020276A">
        <w:rPr>
          <w:b/>
          <w:bCs/>
          <w:sz w:val="18"/>
          <w:szCs w:val="18"/>
        </w:rPr>
        <w:t>9</w:t>
      </w:r>
      <w:r w:rsidRPr="00043C40">
        <w:rPr>
          <w:noProof/>
        </w:rPr>
        <w:t xml:space="preserve"> </w:t>
      </w:r>
      <w:r w:rsidR="00B25276" w:rsidRPr="0056376F">
        <w:rPr>
          <w:noProof/>
        </w:rPr>
        <w:drawing>
          <wp:inline distT="0" distB="0" distL="0" distR="0" wp14:anchorId="72002C76" wp14:editId="1B050028">
            <wp:extent cx="5759450" cy="2956128"/>
            <wp:effectExtent l="0" t="0" r="12700" b="1587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C50083C" w14:textId="77777777" w:rsidR="007E38BA" w:rsidRPr="005F1AC1" w:rsidRDefault="007E38BA" w:rsidP="007E38BA">
      <w:pPr>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4E5ABC99" w14:textId="77777777" w:rsidR="00010558" w:rsidRDefault="00010558" w:rsidP="007E38BA">
      <w:pPr>
        <w:jc w:val="right"/>
        <w:rPr>
          <w:b/>
          <w:bCs/>
          <w:sz w:val="22"/>
          <w:szCs w:val="22"/>
        </w:rPr>
      </w:pPr>
    </w:p>
    <w:p w14:paraId="0558CBC7" w14:textId="1163C382" w:rsidR="007E38BA" w:rsidRPr="0020276A" w:rsidRDefault="007E38BA" w:rsidP="007E38BA">
      <w:pPr>
        <w:jc w:val="right"/>
        <w:rPr>
          <w:b/>
          <w:bCs/>
          <w:sz w:val="18"/>
          <w:szCs w:val="18"/>
        </w:rPr>
      </w:pPr>
      <w:r w:rsidRPr="0020276A">
        <w:rPr>
          <w:b/>
          <w:bCs/>
          <w:sz w:val="18"/>
          <w:szCs w:val="18"/>
        </w:rPr>
        <w:t xml:space="preserve">Gráfica </w:t>
      </w:r>
      <w:r w:rsidR="00B25276" w:rsidRPr="0020276A">
        <w:rPr>
          <w:b/>
          <w:bCs/>
          <w:sz w:val="18"/>
          <w:szCs w:val="18"/>
        </w:rPr>
        <w:t>10</w:t>
      </w:r>
    </w:p>
    <w:p w14:paraId="3A8E4CF0" w14:textId="77777777" w:rsidR="007E38BA" w:rsidRDefault="005F1AC1" w:rsidP="0020276A">
      <w:pPr>
        <w:ind w:firstLine="284"/>
        <w:rPr>
          <w:b/>
          <w:bCs/>
          <w:sz w:val="22"/>
          <w:szCs w:val="22"/>
        </w:rPr>
      </w:pPr>
      <w:r>
        <w:rPr>
          <w:noProof/>
          <w:lang w:val="es-MX" w:eastAsia="es-MX"/>
        </w:rPr>
        <w:drawing>
          <wp:inline distT="0" distB="0" distL="0" distR="0" wp14:anchorId="4A6D4F21" wp14:editId="704398B5">
            <wp:extent cx="5760000" cy="2916000"/>
            <wp:effectExtent l="0" t="0" r="12700" b="1778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02A5D25" w14:textId="77777777" w:rsidR="007E38BA" w:rsidRDefault="007E38BA" w:rsidP="007E38BA">
      <w:pPr>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744412A1" w14:textId="77777777" w:rsidR="007E38BA" w:rsidRDefault="007E38BA" w:rsidP="00410795">
      <w:pPr>
        <w:rPr>
          <w:b/>
          <w:spacing w:val="-1"/>
          <w:sz w:val="18"/>
          <w:szCs w:val="18"/>
          <w:lang w:val="es-MX"/>
        </w:rPr>
      </w:pPr>
    </w:p>
    <w:p w14:paraId="359F48B1" w14:textId="1F293704" w:rsidR="00D4134D" w:rsidRDefault="00D4134D" w:rsidP="00D4134D">
      <w:pPr>
        <w:rPr>
          <w:bCs/>
          <w:spacing w:val="-1"/>
          <w:sz w:val="22"/>
          <w:szCs w:val="22"/>
          <w:lang w:val="es-MX"/>
        </w:rPr>
      </w:pPr>
      <w:r>
        <w:rPr>
          <w:bCs/>
          <w:spacing w:val="-1"/>
          <w:sz w:val="22"/>
          <w:szCs w:val="22"/>
          <w:lang w:val="es-MX"/>
        </w:rPr>
        <w:lastRenderedPageBreak/>
        <w:t>Por otro lado, de los trabajadores del comercio al por mayor que recibieron capacitación, más de la mitad del personal de producción y ventas es masculino y 18.1% femenino; en tanto que para el comercio al por menor las proporciones de trabajadores de producción, ventas o servicios, la</w:t>
      </w:r>
      <w:r w:rsidR="0020276A">
        <w:rPr>
          <w:bCs/>
          <w:spacing w:val="-1"/>
          <w:sz w:val="22"/>
          <w:szCs w:val="22"/>
          <w:lang w:val="es-MX"/>
        </w:rPr>
        <w:t xml:space="preserve"> distribución</w:t>
      </w:r>
      <w:r>
        <w:rPr>
          <w:bCs/>
          <w:spacing w:val="-1"/>
          <w:sz w:val="22"/>
          <w:szCs w:val="22"/>
          <w:lang w:val="es-MX"/>
        </w:rPr>
        <w:t xml:space="preserve"> entre hombres y mujeres se encuentra equilibrada con proporciones de alrededor del 40%, respectivamente. </w:t>
      </w:r>
    </w:p>
    <w:p w14:paraId="262D8F4D" w14:textId="52110FB4" w:rsidR="007E38BA" w:rsidRDefault="00C745C6" w:rsidP="0020276A">
      <w:pPr>
        <w:ind w:right="334"/>
        <w:jc w:val="right"/>
        <w:rPr>
          <w:b/>
          <w:spacing w:val="-1"/>
          <w:sz w:val="18"/>
          <w:szCs w:val="18"/>
          <w:lang w:val="es-MX"/>
        </w:rPr>
      </w:pPr>
      <w:r>
        <w:rPr>
          <w:b/>
          <w:spacing w:val="-1"/>
          <w:sz w:val="18"/>
          <w:szCs w:val="18"/>
          <w:lang w:val="es-MX"/>
        </w:rPr>
        <w:t>G</w:t>
      </w:r>
      <w:r w:rsidR="007E38BA">
        <w:rPr>
          <w:b/>
          <w:spacing w:val="-1"/>
          <w:sz w:val="18"/>
          <w:szCs w:val="18"/>
          <w:lang w:val="es-MX"/>
        </w:rPr>
        <w:t xml:space="preserve">ráfica </w:t>
      </w:r>
      <w:r w:rsidR="0018512A">
        <w:rPr>
          <w:b/>
          <w:spacing w:val="-1"/>
          <w:sz w:val="18"/>
          <w:szCs w:val="18"/>
          <w:lang w:val="es-MX"/>
        </w:rPr>
        <w:t>1</w:t>
      </w:r>
      <w:r w:rsidR="00B25276">
        <w:rPr>
          <w:b/>
          <w:spacing w:val="-1"/>
          <w:sz w:val="18"/>
          <w:szCs w:val="18"/>
          <w:lang w:val="es-MX"/>
        </w:rPr>
        <w:t>1</w:t>
      </w:r>
    </w:p>
    <w:p w14:paraId="3CDF552A" w14:textId="77777777" w:rsidR="007E38BA" w:rsidRDefault="00CC7B99" w:rsidP="007E38BA">
      <w:pPr>
        <w:rPr>
          <w:b/>
          <w:spacing w:val="-1"/>
          <w:sz w:val="18"/>
          <w:szCs w:val="18"/>
          <w:lang w:val="es-MX"/>
        </w:rPr>
      </w:pPr>
      <w:r>
        <w:rPr>
          <w:noProof/>
          <w:lang w:val="es-MX" w:eastAsia="es-MX"/>
        </w:rPr>
        <w:drawing>
          <wp:inline distT="0" distB="0" distL="0" distR="0" wp14:anchorId="2B0D841E" wp14:editId="3C0DCC07">
            <wp:extent cx="5705475" cy="3181350"/>
            <wp:effectExtent l="0" t="0" r="9525"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ED2FE14" w14:textId="77777777" w:rsidR="007E38BA" w:rsidRDefault="007E38BA" w:rsidP="007E38BA">
      <w:pPr>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5F6A2C97" w14:textId="77777777" w:rsidR="007E38BA" w:rsidRDefault="007E38BA" w:rsidP="007E38BA">
      <w:pPr>
        <w:rPr>
          <w:b/>
          <w:bCs/>
          <w:sz w:val="22"/>
          <w:szCs w:val="22"/>
        </w:rPr>
      </w:pPr>
    </w:p>
    <w:p w14:paraId="073D8935" w14:textId="77777777" w:rsidR="007E38BA" w:rsidRDefault="007E38BA" w:rsidP="007E38BA">
      <w:pPr>
        <w:rPr>
          <w:b/>
          <w:bCs/>
          <w:sz w:val="22"/>
          <w:szCs w:val="22"/>
        </w:rPr>
      </w:pPr>
    </w:p>
    <w:p w14:paraId="5EC55C64" w14:textId="0E085793" w:rsidR="007E38BA" w:rsidRPr="004859FE" w:rsidRDefault="007E38BA" w:rsidP="007E38BA">
      <w:pPr>
        <w:rPr>
          <w:sz w:val="22"/>
          <w:szCs w:val="22"/>
        </w:rPr>
      </w:pPr>
      <w:r>
        <w:rPr>
          <w:sz w:val="22"/>
          <w:szCs w:val="22"/>
        </w:rPr>
        <w:t>El 4.3% de las empresas del comercio al por mayor obtuv</w:t>
      </w:r>
      <w:r w:rsidR="0020276A">
        <w:rPr>
          <w:sz w:val="22"/>
          <w:szCs w:val="22"/>
        </w:rPr>
        <w:t>o</w:t>
      </w:r>
      <w:r>
        <w:rPr>
          <w:sz w:val="22"/>
          <w:szCs w:val="22"/>
        </w:rPr>
        <w:t xml:space="preserve"> ingresos mediante contratos con empresas de otros países, siendo nula la participación del comercio al por menor en ese renglón. </w:t>
      </w:r>
    </w:p>
    <w:p w14:paraId="547653A0" w14:textId="77777777" w:rsidR="009B7473" w:rsidRDefault="009B7473">
      <w:pPr>
        <w:jc w:val="left"/>
        <w:rPr>
          <w:b/>
          <w:bCs/>
          <w:sz w:val="22"/>
          <w:szCs w:val="22"/>
        </w:rPr>
      </w:pPr>
    </w:p>
    <w:p w14:paraId="5A72FF29" w14:textId="62F89163" w:rsidR="007E38BA" w:rsidRPr="0020276A" w:rsidRDefault="007E38BA" w:rsidP="0020276A">
      <w:pPr>
        <w:ind w:right="193"/>
        <w:jc w:val="right"/>
        <w:rPr>
          <w:b/>
          <w:bCs/>
          <w:sz w:val="18"/>
          <w:szCs w:val="18"/>
        </w:rPr>
      </w:pPr>
      <w:r w:rsidRPr="0020276A">
        <w:rPr>
          <w:b/>
          <w:bCs/>
          <w:sz w:val="18"/>
          <w:szCs w:val="18"/>
        </w:rPr>
        <w:t xml:space="preserve">Gráfica </w:t>
      </w:r>
      <w:r w:rsidR="0018512A" w:rsidRPr="0020276A">
        <w:rPr>
          <w:b/>
          <w:bCs/>
          <w:sz w:val="18"/>
          <w:szCs w:val="18"/>
        </w:rPr>
        <w:t>1</w:t>
      </w:r>
      <w:r w:rsidR="0014521F" w:rsidRPr="0020276A">
        <w:rPr>
          <w:b/>
          <w:bCs/>
          <w:sz w:val="18"/>
          <w:szCs w:val="18"/>
        </w:rPr>
        <w:t>2</w:t>
      </w:r>
    </w:p>
    <w:p w14:paraId="08B3A02A" w14:textId="77777777" w:rsidR="007E38BA" w:rsidRDefault="007E38BA" w:rsidP="007E38BA">
      <w:pPr>
        <w:rPr>
          <w:b/>
          <w:bCs/>
          <w:sz w:val="22"/>
          <w:szCs w:val="22"/>
        </w:rPr>
      </w:pPr>
      <w:r>
        <w:rPr>
          <w:noProof/>
          <w:lang w:val="es-MX" w:eastAsia="es-MX"/>
        </w:rPr>
        <w:drawing>
          <wp:inline distT="0" distB="0" distL="0" distR="0" wp14:anchorId="4529DC44" wp14:editId="71F3FDE2">
            <wp:extent cx="5760000" cy="2808000"/>
            <wp:effectExtent l="0" t="0" r="12700" b="11430"/>
            <wp:docPr id="34" name="Gráfico 3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E141DAF" w14:textId="77777777" w:rsidR="007E38BA" w:rsidRDefault="007E38BA" w:rsidP="007E38BA">
      <w:pPr>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14C3A5C8" w14:textId="77777777" w:rsidR="007E38BA" w:rsidRDefault="007E38BA" w:rsidP="007E38BA">
      <w:pPr>
        <w:rPr>
          <w:b/>
          <w:bCs/>
          <w:sz w:val="22"/>
          <w:szCs w:val="22"/>
        </w:rPr>
      </w:pPr>
    </w:p>
    <w:p w14:paraId="30BBB004" w14:textId="6BA13652" w:rsidR="007E38BA" w:rsidRDefault="0020276A" w:rsidP="007E38BA">
      <w:pPr>
        <w:rPr>
          <w:sz w:val="22"/>
          <w:szCs w:val="22"/>
        </w:rPr>
      </w:pPr>
      <w:r>
        <w:rPr>
          <w:sz w:val="22"/>
          <w:szCs w:val="22"/>
        </w:rPr>
        <w:t>E</w:t>
      </w:r>
      <w:r w:rsidR="007E38BA">
        <w:rPr>
          <w:sz w:val="22"/>
          <w:szCs w:val="22"/>
        </w:rPr>
        <w:t>n cuanto a los tipos de programas de colaboración con empresas de otros países, en el caso del comercio al por mayor, la mayor parte fueron con empresas de otros países; en tanto que para el comercio al por menor, dicha colaboración se llevó a cabo mayoritariamente con filiales de empresas mexicanas ubicadas en el extranjero</w:t>
      </w:r>
      <w:r>
        <w:rPr>
          <w:sz w:val="22"/>
          <w:szCs w:val="22"/>
        </w:rPr>
        <w:t>.</w:t>
      </w:r>
    </w:p>
    <w:p w14:paraId="22ADD9C2" w14:textId="77777777" w:rsidR="0020276A" w:rsidRPr="009C5E9B" w:rsidRDefault="0020276A" w:rsidP="007E38BA">
      <w:pPr>
        <w:rPr>
          <w:sz w:val="22"/>
          <w:szCs w:val="22"/>
        </w:rPr>
      </w:pPr>
    </w:p>
    <w:p w14:paraId="2B5C526F" w14:textId="441DBEC2" w:rsidR="007E38BA" w:rsidRPr="0020276A" w:rsidRDefault="007E38BA" w:rsidP="0020276A">
      <w:pPr>
        <w:ind w:right="193"/>
        <w:jc w:val="right"/>
        <w:rPr>
          <w:b/>
          <w:bCs/>
          <w:sz w:val="18"/>
          <w:szCs w:val="18"/>
        </w:rPr>
      </w:pPr>
      <w:r w:rsidRPr="0020276A">
        <w:rPr>
          <w:b/>
          <w:bCs/>
          <w:sz w:val="18"/>
          <w:szCs w:val="18"/>
        </w:rPr>
        <w:t xml:space="preserve">Gráfica </w:t>
      </w:r>
      <w:r w:rsidR="0018512A" w:rsidRPr="0020276A">
        <w:rPr>
          <w:b/>
          <w:bCs/>
          <w:sz w:val="18"/>
          <w:szCs w:val="18"/>
        </w:rPr>
        <w:t>1</w:t>
      </w:r>
      <w:r w:rsidR="0014521F" w:rsidRPr="0020276A">
        <w:rPr>
          <w:b/>
          <w:bCs/>
          <w:sz w:val="18"/>
          <w:szCs w:val="18"/>
        </w:rPr>
        <w:t>3</w:t>
      </w:r>
    </w:p>
    <w:p w14:paraId="0FD34305" w14:textId="77777777" w:rsidR="007E38BA" w:rsidRDefault="007E38BA" w:rsidP="007E38BA">
      <w:pPr>
        <w:rPr>
          <w:b/>
          <w:bCs/>
          <w:sz w:val="22"/>
          <w:szCs w:val="22"/>
        </w:rPr>
      </w:pPr>
      <w:r>
        <w:rPr>
          <w:noProof/>
          <w:lang w:val="es-MX" w:eastAsia="es-MX"/>
        </w:rPr>
        <w:drawing>
          <wp:inline distT="0" distB="0" distL="0" distR="0" wp14:anchorId="385FB77F" wp14:editId="4F083BDF">
            <wp:extent cx="5760000" cy="2592000"/>
            <wp:effectExtent l="0" t="0" r="12700" b="18415"/>
            <wp:docPr id="35" name="Gráfico 3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6BED05D" w14:textId="616C0F75" w:rsidR="007E38BA" w:rsidRDefault="007E38BA" w:rsidP="007E38BA">
      <w:pPr>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28E881F3" w14:textId="77777777" w:rsidR="0020276A" w:rsidRDefault="0020276A" w:rsidP="002E2120">
      <w:pPr>
        <w:rPr>
          <w:sz w:val="22"/>
          <w:szCs w:val="22"/>
        </w:rPr>
      </w:pPr>
    </w:p>
    <w:p w14:paraId="4AAC985F" w14:textId="74F19600" w:rsidR="002E2120" w:rsidRDefault="0020276A" w:rsidP="002E2120">
      <w:pPr>
        <w:rPr>
          <w:b/>
          <w:bCs/>
          <w:sz w:val="22"/>
          <w:szCs w:val="22"/>
        </w:rPr>
      </w:pPr>
      <w:r>
        <w:rPr>
          <w:sz w:val="22"/>
          <w:szCs w:val="22"/>
        </w:rPr>
        <w:t>En</w:t>
      </w:r>
      <w:r w:rsidR="002E2120">
        <w:rPr>
          <w:sz w:val="22"/>
          <w:szCs w:val="22"/>
        </w:rPr>
        <w:t xml:space="preserve"> el comercio al por mayor 82.1% de las entidades económicas recurrieron a algún banco, y en el comercio al por </w:t>
      </w:r>
      <w:r>
        <w:rPr>
          <w:sz w:val="22"/>
          <w:szCs w:val="22"/>
        </w:rPr>
        <w:t>menor</w:t>
      </w:r>
      <w:r w:rsidR="002E2120">
        <w:rPr>
          <w:sz w:val="22"/>
          <w:szCs w:val="22"/>
        </w:rPr>
        <w:t xml:space="preserve"> fue de 44.3</w:t>
      </w:r>
      <w:r>
        <w:rPr>
          <w:sz w:val="22"/>
          <w:szCs w:val="22"/>
        </w:rPr>
        <w:t xml:space="preserve"> por ciento. L</w:t>
      </w:r>
      <w:r w:rsidR="002E2120">
        <w:rPr>
          <w:sz w:val="22"/>
          <w:szCs w:val="22"/>
        </w:rPr>
        <w:t>as empresas minoristas con financiamiento recibido recurrieron a los propios proveedores en un 42.2% y las mayoristas en un 34.2</w:t>
      </w:r>
      <w:r>
        <w:rPr>
          <w:sz w:val="22"/>
          <w:szCs w:val="22"/>
        </w:rPr>
        <w:t xml:space="preserve"> por ciento</w:t>
      </w:r>
      <w:r w:rsidR="002E2120">
        <w:rPr>
          <w:sz w:val="22"/>
          <w:szCs w:val="22"/>
        </w:rPr>
        <w:t>.</w:t>
      </w:r>
    </w:p>
    <w:p w14:paraId="5A5E462F" w14:textId="77777777" w:rsidR="002E2120" w:rsidRDefault="002E2120" w:rsidP="002E2120">
      <w:pPr>
        <w:jc w:val="right"/>
        <w:rPr>
          <w:b/>
          <w:bCs/>
          <w:sz w:val="22"/>
          <w:szCs w:val="22"/>
        </w:rPr>
      </w:pPr>
    </w:p>
    <w:p w14:paraId="6DB75276" w14:textId="55373D19" w:rsidR="002E2120" w:rsidRPr="0020276A" w:rsidRDefault="002E2120" w:rsidP="002E2120">
      <w:pPr>
        <w:jc w:val="right"/>
        <w:rPr>
          <w:b/>
          <w:bCs/>
          <w:sz w:val="18"/>
          <w:szCs w:val="18"/>
        </w:rPr>
      </w:pPr>
      <w:r w:rsidRPr="0020276A">
        <w:rPr>
          <w:b/>
          <w:bCs/>
          <w:sz w:val="18"/>
          <w:szCs w:val="18"/>
        </w:rPr>
        <w:t xml:space="preserve">Gráfica </w:t>
      </w:r>
      <w:r w:rsidR="00C745C6" w:rsidRPr="0020276A">
        <w:rPr>
          <w:b/>
          <w:bCs/>
          <w:sz w:val="18"/>
          <w:szCs w:val="18"/>
        </w:rPr>
        <w:t>1</w:t>
      </w:r>
      <w:r w:rsidR="0014521F" w:rsidRPr="0020276A">
        <w:rPr>
          <w:b/>
          <w:bCs/>
          <w:sz w:val="18"/>
          <w:szCs w:val="18"/>
        </w:rPr>
        <w:t>4</w:t>
      </w:r>
    </w:p>
    <w:p w14:paraId="2CE36D75" w14:textId="72BAAE21" w:rsidR="002E2120" w:rsidRDefault="00B010F8" w:rsidP="002E2120">
      <w:pPr>
        <w:rPr>
          <w:b/>
          <w:spacing w:val="-1"/>
          <w:sz w:val="18"/>
          <w:szCs w:val="18"/>
          <w:lang w:val="es-MX"/>
        </w:rPr>
      </w:pPr>
      <w:r>
        <w:rPr>
          <w:noProof/>
        </w:rPr>
        <w:drawing>
          <wp:inline distT="0" distB="0" distL="0" distR="0" wp14:anchorId="7EB727BD" wp14:editId="6605E62B">
            <wp:extent cx="5883275" cy="2739390"/>
            <wp:effectExtent l="0" t="0" r="3175" b="3810"/>
            <wp:docPr id="11" name="Gráfico 11">
              <a:extLst xmlns:a="http://schemas.openxmlformats.org/drawingml/2006/main">
                <a:ext uri="{FF2B5EF4-FFF2-40B4-BE49-F238E27FC236}">
                  <a16:creationId xmlns:a16="http://schemas.microsoft.com/office/drawing/2014/main" id="{5A92BD32-32BD-40F5-BA47-21438E57C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BEAED42" w14:textId="77777777" w:rsidR="002E2120" w:rsidRDefault="002E2120" w:rsidP="002E2120">
      <w:pPr>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6E9CC8F4" w14:textId="77777777" w:rsidR="002E2120" w:rsidRDefault="002E2120" w:rsidP="002E2120">
      <w:pPr>
        <w:rPr>
          <w:b/>
          <w:spacing w:val="-1"/>
          <w:sz w:val="18"/>
          <w:szCs w:val="18"/>
          <w:lang w:val="es-MX"/>
        </w:rPr>
      </w:pPr>
    </w:p>
    <w:p w14:paraId="746580C5" w14:textId="77777777" w:rsidR="0020276A" w:rsidRDefault="0020276A" w:rsidP="002E2120">
      <w:pPr>
        <w:jc w:val="right"/>
        <w:rPr>
          <w:b/>
          <w:bCs/>
          <w:sz w:val="22"/>
          <w:szCs w:val="22"/>
        </w:rPr>
      </w:pPr>
    </w:p>
    <w:p w14:paraId="0FD61987" w14:textId="73147F53" w:rsidR="002E2120" w:rsidRPr="0020276A" w:rsidRDefault="002E2120" w:rsidP="002E2120">
      <w:pPr>
        <w:jc w:val="right"/>
        <w:rPr>
          <w:b/>
          <w:bCs/>
          <w:sz w:val="18"/>
          <w:szCs w:val="18"/>
        </w:rPr>
      </w:pPr>
      <w:r w:rsidRPr="0020276A">
        <w:rPr>
          <w:b/>
          <w:bCs/>
          <w:sz w:val="18"/>
          <w:szCs w:val="18"/>
        </w:rPr>
        <w:lastRenderedPageBreak/>
        <w:t xml:space="preserve">Gráfica </w:t>
      </w:r>
      <w:r w:rsidR="00C745C6" w:rsidRPr="0020276A">
        <w:rPr>
          <w:b/>
          <w:bCs/>
          <w:sz w:val="18"/>
          <w:szCs w:val="18"/>
        </w:rPr>
        <w:t>1</w:t>
      </w:r>
      <w:r w:rsidR="0014521F" w:rsidRPr="0020276A">
        <w:rPr>
          <w:b/>
          <w:bCs/>
          <w:sz w:val="18"/>
          <w:szCs w:val="18"/>
        </w:rPr>
        <w:t>5</w:t>
      </w:r>
    </w:p>
    <w:p w14:paraId="239DFE47" w14:textId="38DB9DFA" w:rsidR="002E2120" w:rsidRDefault="00B010F8" w:rsidP="002E2120">
      <w:pPr>
        <w:rPr>
          <w:b/>
          <w:spacing w:val="-1"/>
          <w:sz w:val="18"/>
          <w:szCs w:val="18"/>
          <w:lang w:val="es-MX"/>
        </w:rPr>
      </w:pPr>
      <w:r>
        <w:rPr>
          <w:noProof/>
        </w:rPr>
        <w:drawing>
          <wp:inline distT="0" distB="0" distL="0" distR="0" wp14:anchorId="5C4841D5" wp14:editId="31503C6A">
            <wp:extent cx="5883275" cy="2752090"/>
            <wp:effectExtent l="0" t="0" r="3175" b="10160"/>
            <wp:docPr id="15" name="Gráfico 15">
              <a:extLst xmlns:a="http://schemas.openxmlformats.org/drawingml/2006/main">
                <a:ext uri="{FF2B5EF4-FFF2-40B4-BE49-F238E27FC236}">
                  <a16:creationId xmlns:a16="http://schemas.microsoft.com/office/drawing/2014/main" id="{A499825A-19E5-47D0-91F8-01EF3F40E6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7788CF5" w14:textId="77777777" w:rsidR="002E2120" w:rsidRDefault="002E2120" w:rsidP="002E2120">
      <w:pPr>
        <w:rPr>
          <w:b/>
          <w:bCs/>
          <w:sz w:val="22"/>
          <w:szCs w:val="22"/>
        </w:rPr>
      </w:pPr>
    </w:p>
    <w:p w14:paraId="1056B090" w14:textId="77777777" w:rsidR="002E2120" w:rsidRDefault="002E2120" w:rsidP="002E2120">
      <w:pPr>
        <w:rPr>
          <w:b/>
          <w:spacing w:val="-1"/>
          <w:sz w:val="18"/>
          <w:szCs w:val="18"/>
          <w:lang w:val="es-MX"/>
        </w:rPr>
      </w:pPr>
      <w:r>
        <w:rPr>
          <w:b/>
          <w:spacing w:val="-1"/>
          <w:sz w:val="18"/>
          <w:szCs w:val="18"/>
          <w:lang w:val="es-MX"/>
        </w:rPr>
        <w:t xml:space="preserve">Fuente INEGI. Encuesta Anual del Comercio, </w:t>
      </w:r>
      <w:r w:rsidRPr="00AA568A">
        <w:rPr>
          <w:b/>
          <w:spacing w:val="-1"/>
          <w:sz w:val="18"/>
          <w:szCs w:val="18"/>
          <w:lang w:val="es-MX"/>
        </w:rPr>
        <w:t>Serie 2013</w:t>
      </w:r>
    </w:p>
    <w:p w14:paraId="0999F4D1" w14:textId="77777777" w:rsidR="002E2120" w:rsidRDefault="002E2120" w:rsidP="007E38BA">
      <w:pPr>
        <w:rPr>
          <w:b/>
          <w:spacing w:val="-1"/>
          <w:sz w:val="18"/>
          <w:szCs w:val="18"/>
          <w:lang w:val="es-MX"/>
        </w:rPr>
      </w:pPr>
    </w:p>
    <w:p w14:paraId="7880A050" w14:textId="77777777" w:rsidR="00010558" w:rsidRDefault="00010558" w:rsidP="00242E34">
      <w:pPr>
        <w:rPr>
          <w:b/>
          <w:bCs/>
          <w:sz w:val="22"/>
          <w:szCs w:val="22"/>
        </w:rPr>
      </w:pPr>
    </w:p>
    <w:p w14:paraId="40E8277D" w14:textId="25138276" w:rsidR="007E10F8" w:rsidRDefault="007E10F8" w:rsidP="00242E34">
      <w:pPr>
        <w:rPr>
          <w:b/>
          <w:bCs/>
          <w:sz w:val="22"/>
          <w:szCs w:val="22"/>
        </w:rPr>
      </w:pPr>
      <w:r w:rsidRPr="00D62445">
        <w:rPr>
          <w:b/>
          <w:bCs/>
          <w:sz w:val="22"/>
          <w:szCs w:val="22"/>
        </w:rPr>
        <w:t>Nota al usuario:</w:t>
      </w:r>
    </w:p>
    <w:p w14:paraId="0DDBE922" w14:textId="77777777" w:rsidR="001143F4" w:rsidRDefault="001143F4" w:rsidP="00242E34">
      <w:pPr>
        <w:rPr>
          <w:b/>
          <w:bCs/>
          <w:sz w:val="22"/>
          <w:szCs w:val="22"/>
        </w:rPr>
      </w:pPr>
    </w:p>
    <w:p w14:paraId="29657E69" w14:textId="2906AFBE" w:rsidR="001143F4" w:rsidRDefault="001143F4" w:rsidP="00242E34">
      <w:pPr>
        <w:rPr>
          <w:sz w:val="22"/>
          <w:szCs w:val="22"/>
        </w:rPr>
      </w:pPr>
      <w:r w:rsidRPr="001143F4">
        <w:rPr>
          <w:sz w:val="22"/>
          <w:szCs w:val="22"/>
        </w:rPr>
        <w:t>Es importante precisar que 2020 fue un año atípico, ya que el 11 de marzo de 2020 la Organización Mundial de la Salud declaró oficialmente una pandemia</w:t>
      </w:r>
      <w:r w:rsidR="0020276A">
        <w:rPr>
          <w:sz w:val="22"/>
          <w:szCs w:val="22"/>
        </w:rPr>
        <w:t xml:space="preserve"> y </w:t>
      </w:r>
      <w:r w:rsidRPr="001143F4">
        <w:rPr>
          <w:sz w:val="22"/>
          <w:szCs w:val="22"/>
        </w:rPr>
        <w:t>con motivo de la propagación del Coronavirus COVID-19 se adoptaron medidas emergentes. Esta situación se ha prolongado hasta este año, lo cual se refleja en los resultados generados</w:t>
      </w:r>
      <w:r>
        <w:rPr>
          <w:sz w:val="22"/>
          <w:szCs w:val="22"/>
        </w:rPr>
        <w:t>.</w:t>
      </w:r>
    </w:p>
    <w:p w14:paraId="5876C6B8" w14:textId="77777777" w:rsidR="001143F4" w:rsidRPr="001143F4" w:rsidRDefault="001143F4" w:rsidP="00242E34">
      <w:pPr>
        <w:rPr>
          <w:sz w:val="22"/>
          <w:szCs w:val="22"/>
        </w:rPr>
      </w:pPr>
    </w:p>
    <w:p w14:paraId="1AE45BBC" w14:textId="57D62BF9" w:rsidR="00E0148E" w:rsidRPr="00057984" w:rsidRDefault="00E0148E" w:rsidP="00E0148E">
      <w:pPr>
        <w:rPr>
          <w:sz w:val="22"/>
          <w:szCs w:val="22"/>
          <w:lang w:val="es-MX" w:eastAsia="es-MX"/>
        </w:rPr>
      </w:pPr>
      <w:r w:rsidRPr="00057984">
        <w:rPr>
          <w:sz w:val="22"/>
          <w:szCs w:val="22"/>
          <w:lang w:val="es-MX" w:eastAsia="es-MX"/>
        </w:rPr>
        <w:t xml:space="preserve">La Tasa de no respuesta de la Encuesta Anual del Comercio (EAC), correspondiente a 2020 registró porcentajes apropiados conforme al diseño estadístico de la encuesta, lo que permitió la generación de estadísticas con niveles altos de precisión. De los 40 dominios de estudio de la encuesta, solo para </w:t>
      </w:r>
      <w:r w:rsidR="00057984" w:rsidRPr="00057984">
        <w:rPr>
          <w:sz w:val="22"/>
          <w:szCs w:val="22"/>
          <w:lang w:val="es-MX" w:eastAsia="es-MX"/>
        </w:rPr>
        <w:t>tres</w:t>
      </w:r>
      <w:r w:rsidRPr="00057984">
        <w:rPr>
          <w:sz w:val="22"/>
          <w:szCs w:val="22"/>
          <w:lang w:val="es-MX" w:eastAsia="es-MX"/>
        </w:rPr>
        <w:t xml:space="preserve"> dominio</w:t>
      </w:r>
      <w:r w:rsidR="00057984" w:rsidRPr="00057984">
        <w:rPr>
          <w:sz w:val="22"/>
          <w:szCs w:val="22"/>
          <w:lang w:val="es-MX" w:eastAsia="es-MX"/>
        </w:rPr>
        <w:t>s</w:t>
      </w:r>
      <w:r w:rsidRPr="00057984">
        <w:rPr>
          <w:sz w:val="22"/>
          <w:szCs w:val="22"/>
          <w:lang w:val="es-MX" w:eastAsia="es-MX"/>
        </w:rPr>
        <w:t xml:space="preserve"> que representan</w:t>
      </w:r>
      <w:r w:rsidR="0020276A">
        <w:rPr>
          <w:sz w:val="22"/>
          <w:szCs w:val="22"/>
          <w:lang w:val="es-MX" w:eastAsia="es-MX"/>
        </w:rPr>
        <w:t xml:space="preserve"> </w:t>
      </w:r>
      <w:r w:rsidR="00057984" w:rsidRPr="00057984">
        <w:rPr>
          <w:sz w:val="22"/>
          <w:szCs w:val="22"/>
          <w:lang w:val="es-MX" w:eastAsia="es-MX"/>
        </w:rPr>
        <w:t>12.9%</w:t>
      </w:r>
      <w:r w:rsidRPr="00057984">
        <w:rPr>
          <w:sz w:val="22"/>
          <w:szCs w:val="22"/>
          <w:lang w:val="es-MX" w:eastAsia="es-MX"/>
        </w:rPr>
        <w:t>, en relación con la variable de ingresos del total del comercio, se recomienda el uso con reserva de las estimaciones:</w:t>
      </w:r>
    </w:p>
    <w:p w14:paraId="78A38FF0" w14:textId="56BCCEEE" w:rsidR="00057984" w:rsidRPr="00057984" w:rsidRDefault="00057984" w:rsidP="00990306">
      <w:pPr>
        <w:pStyle w:val="Prrafodelista"/>
        <w:numPr>
          <w:ilvl w:val="0"/>
          <w:numId w:val="32"/>
        </w:numPr>
        <w:ind w:left="426" w:hanging="426"/>
        <w:rPr>
          <w:sz w:val="22"/>
          <w:szCs w:val="22"/>
          <w:lang w:val="es-MX" w:eastAsia="es-MX"/>
        </w:rPr>
      </w:pPr>
      <w:r w:rsidRPr="00057984">
        <w:rPr>
          <w:sz w:val="22"/>
          <w:szCs w:val="22"/>
          <w:lang w:val="es-MX" w:eastAsia="es-MX"/>
        </w:rPr>
        <w:t>Comercio al por mayor de abarrotes y alimentos</w:t>
      </w:r>
    </w:p>
    <w:p w14:paraId="35D5D2B7" w14:textId="4B5EF1DD" w:rsidR="00057984" w:rsidRPr="00057984" w:rsidRDefault="00057984" w:rsidP="00990306">
      <w:pPr>
        <w:pStyle w:val="Prrafodelista"/>
        <w:numPr>
          <w:ilvl w:val="0"/>
          <w:numId w:val="32"/>
        </w:numPr>
        <w:ind w:left="426" w:hanging="426"/>
        <w:rPr>
          <w:sz w:val="22"/>
          <w:szCs w:val="22"/>
          <w:lang w:val="es-MX" w:eastAsia="es-MX"/>
        </w:rPr>
      </w:pPr>
      <w:r w:rsidRPr="00057984">
        <w:rPr>
          <w:sz w:val="22"/>
          <w:szCs w:val="22"/>
          <w:lang w:val="es-MX" w:eastAsia="es-MX"/>
        </w:rPr>
        <w:t>Intermediación de comercio al por mayor, excepto a través de Internet y de otros medios electrónicos</w:t>
      </w:r>
    </w:p>
    <w:p w14:paraId="06C55E41" w14:textId="25A2914B" w:rsidR="00E0148E" w:rsidRPr="00057984" w:rsidRDefault="00057984" w:rsidP="00990306">
      <w:pPr>
        <w:pStyle w:val="Prrafodelista"/>
        <w:numPr>
          <w:ilvl w:val="0"/>
          <w:numId w:val="32"/>
        </w:numPr>
        <w:ind w:left="426" w:hanging="426"/>
        <w:rPr>
          <w:sz w:val="22"/>
          <w:szCs w:val="22"/>
          <w:lang w:val="es-MX" w:eastAsia="es-MX"/>
        </w:rPr>
      </w:pPr>
      <w:r w:rsidRPr="00057984">
        <w:rPr>
          <w:sz w:val="22"/>
          <w:szCs w:val="22"/>
          <w:lang w:val="es-MX" w:eastAsia="es-MX"/>
        </w:rPr>
        <w:t>Intermediación de comercio al por mayor exclusivamente a través de Internet y otros medios electrónicos</w:t>
      </w:r>
    </w:p>
    <w:p w14:paraId="5CBD98E3" w14:textId="77777777" w:rsidR="007E10F8" w:rsidRPr="00D62445" w:rsidRDefault="007E10F8" w:rsidP="00242E34">
      <w:pPr>
        <w:rPr>
          <w:strike/>
          <w:sz w:val="22"/>
          <w:szCs w:val="22"/>
        </w:rPr>
      </w:pPr>
    </w:p>
    <w:p w14:paraId="22FF164F" w14:textId="77777777" w:rsidR="007E10F8" w:rsidRPr="00D62445" w:rsidRDefault="007E10F8" w:rsidP="00242E34">
      <w:pPr>
        <w:rPr>
          <w:sz w:val="22"/>
          <w:szCs w:val="22"/>
          <w:lang w:val="es-MX"/>
        </w:rPr>
      </w:pPr>
    </w:p>
    <w:p w14:paraId="2F07ABFE" w14:textId="77777777" w:rsidR="002A1831" w:rsidRPr="00D62445" w:rsidRDefault="002A1831" w:rsidP="00242E34">
      <w:pPr>
        <w:ind w:right="-516"/>
        <w:contextualSpacing/>
        <w:rPr>
          <w:b/>
          <w:bCs/>
          <w:noProof/>
          <w:sz w:val="22"/>
          <w:szCs w:val="22"/>
          <w:lang w:eastAsia="es-MX"/>
        </w:rPr>
      </w:pPr>
      <w:r w:rsidRPr="00D62445">
        <w:rPr>
          <w:b/>
          <w:bCs/>
          <w:noProof/>
          <w:sz w:val="22"/>
          <w:szCs w:val="22"/>
          <w:lang w:eastAsia="es-MX"/>
        </w:rPr>
        <w:t>Aspectos metodológicos</w:t>
      </w:r>
    </w:p>
    <w:p w14:paraId="545DFA33" w14:textId="77777777" w:rsidR="002A1831" w:rsidRPr="00D62445" w:rsidRDefault="002A1831" w:rsidP="00242E34">
      <w:pPr>
        <w:ind w:right="-516"/>
        <w:contextualSpacing/>
        <w:rPr>
          <w:b/>
          <w:bCs/>
          <w:noProof/>
          <w:sz w:val="22"/>
          <w:szCs w:val="22"/>
          <w:lang w:eastAsia="es-MX"/>
        </w:rPr>
      </w:pPr>
    </w:p>
    <w:p w14:paraId="345468F2" w14:textId="31721FE6" w:rsidR="002A1831" w:rsidRDefault="002A1831" w:rsidP="00242E34">
      <w:pPr>
        <w:ind w:right="-91"/>
        <w:contextualSpacing/>
        <w:rPr>
          <w:noProof/>
          <w:sz w:val="22"/>
          <w:szCs w:val="22"/>
          <w:lang w:eastAsia="es-MX"/>
        </w:rPr>
      </w:pPr>
      <w:r w:rsidRPr="00D62445">
        <w:rPr>
          <w:noProof/>
          <w:sz w:val="22"/>
          <w:szCs w:val="22"/>
          <w:lang w:eastAsia="es-MX"/>
        </w:rPr>
        <w:t>El objetivo general de la Encuesta Anual del Comercio (EAC) es captar y generar información estadística básica e indicadores económicos del año de referencia, que permitan conocer las tendencias, factores y dinámica sobre el comportamiento de la actividad comercial en México.</w:t>
      </w:r>
    </w:p>
    <w:p w14:paraId="023E9AD7" w14:textId="77777777" w:rsidR="00990306" w:rsidRPr="00D62445" w:rsidRDefault="00990306" w:rsidP="00242E34">
      <w:pPr>
        <w:ind w:right="-91"/>
        <w:contextualSpacing/>
        <w:rPr>
          <w:noProof/>
          <w:sz w:val="22"/>
          <w:szCs w:val="22"/>
          <w:lang w:eastAsia="es-MX"/>
        </w:rPr>
      </w:pPr>
    </w:p>
    <w:p w14:paraId="254ACD67" w14:textId="4F98F511" w:rsidR="002A1831" w:rsidRPr="00D62445" w:rsidRDefault="002A1831" w:rsidP="00242E34">
      <w:pPr>
        <w:ind w:right="-91"/>
        <w:contextualSpacing/>
        <w:rPr>
          <w:noProof/>
          <w:sz w:val="22"/>
          <w:szCs w:val="22"/>
          <w:lang w:eastAsia="es-MX"/>
        </w:rPr>
      </w:pPr>
      <w:r w:rsidRPr="00D62445">
        <w:rPr>
          <w:noProof/>
          <w:sz w:val="22"/>
          <w:szCs w:val="22"/>
          <w:lang w:eastAsia="es-MX"/>
        </w:rPr>
        <w:t>Esta serie se aplica la Norma Técnica del Proceso de Producción de Información Estadística y Geográfica para el Instituto Nacional de Estadística y Geografía, que proporciona un marco normativo regulatorio de la producción de información estadística en México.</w:t>
      </w:r>
    </w:p>
    <w:p w14:paraId="19DCFFF2" w14:textId="33C6EDAA" w:rsidR="002A1831" w:rsidRPr="00D62445" w:rsidRDefault="002A1831" w:rsidP="00242E34">
      <w:pPr>
        <w:ind w:right="-91"/>
        <w:contextualSpacing/>
        <w:rPr>
          <w:noProof/>
          <w:sz w:val="22"/>
          <w:szCs w:val="22"/>
          <w:lang w:eastAsia="es-MX"/>
        </w:rPr>
      </w:pPr>
      <w:r w:rsidRPr="00D62445">
        <w:rPr>
          <w:noProof/>
          <w:sz w:val="22"/>
          <w:szCs w:val="22"/>
          <w:lang w:eastAsia="es-MX"/>
        </w:rPr>
        <w:lastRenderedPageBreak/>
        <w:t>La Encuesta Anual del Comercio capta información económica básica de todas las actividades comerciales que se efectúan en el país</w:t>
      </w:r>
      <w:r w:rsidR="00990306">
        <w:rPr>
          <w:noProof/>
          <w:sz w:val="22"/>
          <w:szCs w:val="22"/>
          <w:lang w:eastAsia="es-MX"/>
        </w:rPr>
        <w:t xml:space="preserve"> y se </w:t>
      </w:r>
      <w:r w:rsidRPr="00D62445">
        <w:rPr>
          <w:noProof/>
          <w:sz w:val="22"/>
          <w:szCs w:val="22"/>
          <w:lang w:eastAsia="es-MX"/>
        </w:rPr>
        <w:t>encuentran agrupadas en el SCIAN 2013 en dos sectores de actividad: 43 comercio al por mayor y 46 sector al por menor.</w:t>
      </w:r>
    </w:p>
    <w:p w14:paraId="7B591D56" w14:textId="276209BC" w:rsidR="002A1831" w:rsidRPr="00057984" w:rsidRDefault="002A1831" w:rsidP="00242E34">
      <w:pPr>
        <w:autoSpaceDE w:val="0"/>
        <w:autoSpaceDN w:val="0"/>
        <w:adjustRightInd w:val="0"/>
        <w:spacing w:before="240"/>
        <w:ind w:right="-91"/>
        <w:rPr>
          <w:sz w:val="22"/>
          <w:szCs w:val="22"/>
          <w:lang w:eastAsia="es-MX"/>
        </w:rPr>
      </w:pPr>
      <w:r w:rsidRPr="00057984">
        <w:rPr>
          <w:sz w:val="22"/>
          <w:szCs w:val="22"/>
          <w:lang w:eastAsia="es-MX"/>
        </w:rPr>
        <w:t>La cobertura temática que cubre el programa estadístico está integrada por los siguientes capítulos</w:t>
      </w:r>
      <w:r w:rsidR="00BD4919">
        <w:rPr>
          <w:sz w:val="22"/>
          <w:szCs w:val="22"/>
          <w:lang w:eastAsia="es-MX"/>
        </w:rPr>
        <w:t>:</w:t>
      </w:r>
      <w:r w:rsidRPr="00057984">
        <w:rPr>
          <w:sz w:val="22"/>
          <w:szCs w:val="22"/>
          <w:lang w:eastAsia="es-MX"/>
        </w:rPr>
        <w:tab/>
      </w:r>
    </w:p>
    <w:p w14:paraId="12BD55F9" w14:textId="77777777" w:rsidR="002A1831" w:rsidRPr="00D62445" w:rsidRDefault="002A1831" w:rsidP="00242E34">
      <w:pPr>
        <w:ind w:right="-516"/>
        <w:contextualSpacing/>
        <w:rPr>
          <w:noProof/>
          <w:sz w:val="22"/>
          <w:szCs w:val="22"/>
          <w:lang w:eastAsia="es-MX"/>
        </w:rPr>
      </w:pPr>
    </w:p>
    <w:p w14:paraId="0497ED1B" w14:textId="77777777" w:rsidR="002A1831" w:rsidRPr="00BD4919" w:rsidRDefault="002A1831" w:rsidP="00242E34">
      <w:pPr>
        <w:ind w:right="-516"/>
        <w:contextualSpacing/>
        <w:rPr>
          <w:noProof/>
          <w:sz w:val="22"/>
          <w:szCs w:val="22"/>
          <w:lang w:eastAsia="es-MX"/>
        </w:rPr>
      </w:pPr>
      <w:r w:rsidRPr="0020276A">
        <w:rPr>
          <w:noProof/>
          <w:color w:val="000000" w:themeColor="text1"/>
          <w:sz w:val="22"/>
          <w:szCs w:val="22"/>
          <w:lang w:eastAsia="es-MX"/>
        </w:rPr>
        <w:t>I.</w:t>
      </w:r>
      <w:r w:rsidRPr="00057984">
        <w:rPr>
          <w:noProof/>
          <w:color w:val="0070C0"/>
          <w:sz w:val="22"/>
          <w:szCs w:val="22"/>
          <w:lang w:eastAsia="es-MX"/>
        </w:rPr>
        <w:tab/>
      </w:r>
      <w:r w:rsidRPr="00BD4919">
        <w:rPr>
          <w:noProof/>
          <w:sz w:val="22"/>
          <w:szCs w:val="22"/>
          <w:lang w:eastAsia="es-MX"/>
        </w:rPr>
        <w:t>VINCULACIÓN INTERNACIONAL</w:t>
      </w:r>
    </w:p>
    <w:p w14:paraId="536FC866"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II.</w:t>
      </w:r>
      <w:r w:rsidRPr="00BD4919">
        <w:rPr>
          <w:noProof/>
          <w:sz w:val="22"/>
          <w:szCs w:val="22"/>
          <w:lang w:eastAsia="es-MX"/>
        </w:rPr>
        <w:tab/>
        <w:t>PERSONAL DEPENDIENTE DE LA RAZÓN SOCIAL</w:t>
      </w:r>
    </w:p>
    <w:p w14:paraId="0267D59D"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III.</w:t>
      </w:r>
      <w:r w:rsidRPr="00BD4919">
        <w:rPr>
          <w:noProof/>
          <w:sz w:val="22"/>
          <w:szCs w:val="22"/>
          <w:lang w:eastAsia="es-MX"/>
        </w:rPr>
        <w:tab/>
        <w:t>PERSONAL NO DEPENDIENTE DE LA RAZÓN SOCIAL</w:t>
      </w:r>
    </w:p>
    <w:p w14:paraId="647A925E" w14:textId="77777777" w:rsidR="002A1831" w:rsidRPr="00BD4919" w:rsidRDefault="002A1831" w:rsidP="00242E34">
      <w:pPr>
        <w:ind w:right="-516"/>
        <w:contextualSpacing/>
        <w:rPr>
          <w:i/>
          <w:iCs/>
          <w:noProof/>
          <w:sz w:val="22"/>
          <w:szCs w:val="22"/>
          <w:lang w:eastAsia="es-MX"/>
        </w:rPr>
      </w:pPr>
      <w:r w:rsidRPr="00BD4919">
        <w:rPr>
          <w:noProof/>
          <w:sz w:val="22"/>
          <w:szCs w:val="22"/>
          <w:lang w:eastAsia="es-MX"/>
        </w:rPr>
        <w:t>IV.</w:t>
      </w:r>
      <w:r w:rsidRPr="00BD4919">
        <w:rPr>
          <w:noProof/>
          <w:sz w:val="22"/>
          <w:szCs w:val="22"/>
          <w:lang w:eastAsia="es-MX"/>
        </w:rPr>
        <w:tab/>
      </w:r>
      <w:r w:rsidRPr="00BD4919">
        <w:rPr>
          <w:i/>
          <w:iCs/>
          <w:noProof/>
          <w:sz w:val="22"/>
          <w:szCs w:val="22"/>
          <w:lang w:eastAsia="es-MX"/>
        </w:rPr>
        <w:t>CAPACITACIÓN</w:t>
      </w:r>
    </w:p>
    <w:p w14:paraId="4D4E120B"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V.</w:t>
      </w:r>
      <w:r w:rsidRPr="00BD4919">
        <w:rPr>
          <w:noProof/>
          <w:sz w:val="22"/>
          <w:szCs w:val="22"/>
          <w:lang w:eastAsia="es-MX"/>
        </w:rPr>
        <w:tab/>
        <w:t>REMUNERACIONES</w:t>
      </w:r>
    </w:p>
    <w:p w14:paraId="4716FE12"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VI.</w:t>
      </w:r>
      <w:r w:rsidRPr="00BD4919">
        <w:rPr>
          <w:noProof/>
          <w:sz w:val="22"/>
          <w:szCs w:val="22"/>
          <w:lang w:eastAsia="es-MX"/>
        </w:rPr>
        <w:tab/>
        <w:t>CONSUMO DE BIENES Y SERVICIOS</w:t>
      </w:r>
    </w:p>
    <w:p w14:paraId="581DDCB8"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VII.</w:t>
      </w:r>
      <w:r w:rsidRPr="00BD4919">
        <w:rPr>
          <w:noProof/>
          <w:sz w:val="22"/>
          <w:szCs w:val="22"/>
          <w:lang w:eastAsia="es-MX"/>
        </w:rPr>
        <w:tab/>
        <w:t>GASTOS POR COMERCIO ELECTRÓNICO</w:t>
      </w:r>
    </w:p>
    <w:p w14:paraId="0CA95311"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VIII.</w:t>
      </w:r>
      <w:r w:rsidRPr="00BD4919">
        <w:rPr>
          <w:noProof/>
          <w:sz w:val="22"/>
          <w:szCs w:val="22"/>
          <w:lang w:eastAsia="es-MX"/>
        </w:rPr>
        <w:tab/>
        <w:t>GASTOS FISCALES, FINANCIEROS Y DONACIONES</w:t>
      </w:r>
    </w:p>
    <w:p w14:paraId="56E46CF2"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IX.</w:t>
      </w:r>
      <w:r w:rsidRPr="00BD4919">
        <w:rPr>
          <w:noProof/>
          <w:sz w:val="22"/>
          <w:szCs w:val="22"/>
          <w:lang w:eastAsia="es-MX"/>
        </w:rPr>
        <w:tab/>
        <w:t>INGRESOS POR SUMINISTRO DE BIENES Y SERVICIOS</w:t>
      </w:r>
    </w:p>
    <w:p w14:paraId="14345B7B"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X.</w:t>
      </w:r>
      <w:r w:rsidRPr="00BD4919">
        <w:rPr>
          <w:noProof/>
          <w:sz w:val="22"/>
          <w:szCs w:val="22"/>
          <w:lang w:eastAsia="es-MX"/>
        </w:rPr>
        <w:tab/>
        <w:t>INGRESOS POR COMERCIO ELECTRÓNICO</w:t>
      </w:r>
    </w:p>
    <w:p w14:paraId="37A62FD0"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XI.</w:t>
      </w:r>
      <w:r w:rsidRPr="00BD4919">
        <w:rPr>
          <w:noProof/>
          <w:sz w:val="22"/>
          <w:szCs w:val="22"/>
          <w:lang w:eastAsia="es-MX"/>
        </w:rPr>
        <w:tab/>
        <w:t>NGRESOS FINANCIEROS, SUBSIDIOS Y DONACIONES</w:t>
      </w:r>
    </w:p>
    <w:p w14:paraId="7D8505E4"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XII.</w:t>
      </w:r>
      <w:r w:rsidRPr="00BD4919">
        <w:rPr>
          <w:noProof/>
          <w:sz w:val="22"/>
          <w:szCs w:val="22"/>
          <w:lang w:eastAsia="es-MX"/>
        </w:rPr>
        <w:tab/>
        <w:t>EXISTENCIAS</w:t>
      </w:r>
    </w:p>
    <w:p w14:paraId="733FF908"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XIII.</w:t>
      </w:r>
      <w:r w:rsidRPr="00BD4919">
        <w:rPr>
          <w:noProof/>
          <w:sz w:val="22"/>
          <w:szCs w:val="22"/>
          <w:lang w:eastAsia="es-MX"/>
        </w:rPr>
        <w:tab/>
        <w:t>ACTIVOS FIJOS A VALOR PRESENTE O COSTO DE REPOSICIÓN</w:t>
      </w:r>
    </w:p>
    <w:p w14:paraId="784195D3"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XIV.</w:t>
      </w:r>
      <w:r w:rsidRPr="00BD4919">
        <w:rPr>
          <w:noProof/>
          <w:sz w:val="22"/>
          <w:szCs w:val="22"/>
          <w:lang w:eastAsia="es-MX"/>
        </w:rPr>
        <w:tab/>
        <w:t>IDENTIFICACIÓN DE PROVEEDORES Y CLIENTES</w:t>
      </w:r>
    </w:p>
    <w:p w14:paraId="071DAB7A" w14:textId="77777777" w:rsidR="002A1831" w:rsidRPr="00BD4919" w:rsidRDefault="002A1831" w:rsidP="00242E34">
      <w:pPr>
        <w:ind w:right="-516"/>
        <w:contextualSpacing/>
        <w:rPr>
          <w:noProof/>
          <w:sz w:val="22"/>
          <w:szCs w:val="22"/>
          <w:lang w:eastAsia="es-MX"/>
        </w:rPr>
      </w:pPr>
      <w:r w:rsidRPr="00BD4919">
        <w:rPr>
          <w:noProof/>
          <w:sz w:val="22"/>
          <w:szCs w:val="22"/>
          <w:lang w:eastAsia="es-MX"/>
        </w:rPr>
        <w:t>XV.</w:t>
      </w:r>
      <w:r w:rsidRPr="00BD4919">
        <w:rPr>
          <w:noProof/>
          <w:sz w:val="22"/>
          <w:szCs w:val="22"/>
          <w:lang w:eastAsia="es-MX"/>
        </w:rPr>
        <w:tab/>
        <w:t>CLASIFICACIÓN ECONÓMICA</w:t>
      </w:r>
    </w:p>
    <w:p w14:paraId="236C3C6F" w14:textId="719868C6" w:rsidR="00433936" w:rsidRDefault="002A1831" w:rsidP="00242E34">
      <w:pPr>
        <w:ind w:right="-516"/>
        <w:contextualSpacing/>
        <w:rPr>
          <w:noProof/>
          <w:sz w:val="22"/>
          <w:szCs w:val="22"/>
          <w:lang w:eastAsia="es-MX"/>
        </w:rPr>
      </w:pPr>
      <w:r w:rsidRPr="00BD4919">
        <w:rPr>
          <w:noProof/>
          <w:sz w:val="22"/>
          <w:szCs w:val="22"/>
          <w:lang w:eastAsia="es-MX"/>
        </w:rPr>
        <w:t>XVI.</w:t>
      </w:r>
      <w:r w:rsidRPr="00BD4919">
        <w:rPr>
          <w:noProof/>
          <w:sz w:val="22"/>
          <w:szCs w:val="22"/>
          <w:lang w:eastAsia="es-MX"/>
        </w:rPr>
        <w:tab/>
        <w:t>CARACTERÍSTICAS GENERALES DE LA EMPRESA</w:t>
      </w:r>
    </w:p>
    <w:p w14:paraId="0A57459F" w14:textId="77777777" w:rsidR="00EF5D0E" w:rsidRDefault="002A1831" w:rsidP="00242E34">
      <w:pPr>
        <w:autoSpaceDE w:val="0"/>
        <w:autoSpaceDN w:val="0"/>
        <w:adjustRightInd w:val="0"/>
        <w:spacing w:before="360"/>
        <w:ind w:right="51"/>
        <w:rPr>
          <w:sz w:val="22"/>
          <w:szCs w:val="22"/>
          <w:lang w:eastAsia="es-MX"/>
        </w:rPr>
      </w:pPr>
      <w:r w:rsidRPr="00D62445">
        <w:rPr>
          <w:sz w:val="22"/>
          <w:szCs w:val="22"/>
          <w:lang w:eastAsia="es-MX"/>
        </w:rPr>
        <w:t>La cobertura geográfica, de acuerdo con el diseño, permite generar información significativa a nivel nacional.</w:t>
      </w:r>
    </w:p>
    <w:p w14:paraId="51168953" w14:textId="77777777" w:rsidR="002A1831" w:rsidRPr="00D62445" w:rsidRDefault="002A1831" w:rsidP="00242E34">
      <w:pPr>
        <w:autoSpaceDE w:val="0"/>
        <w:autoSpaceDN w:val="0"/>
        <w:adjustRightInd w:val="0"/>
        <w:spacing w:before="360"/>
        <w:ind w:right="51"/>
        <w:rPr>
          <w:sz w:val="22"/>
          <w:szCs w:val="22"/>
          <w:lang w:eastAsia="es-MX"/>
        </w:rPr>
      </w:pPr>
      <w:r w:rsidRPr="00D62445">
        <w:rPr>
          <w:sz w:val="22"/>
          <w:szCs w:val="22"/>
        </w:rPr>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D62445">
        <w:rPr>
          <w:sz w:val="22"/>
          <w:szCs w:val="22"/>
          <w:shd w:val="clear" w:color="auto" w:fill="FFFFFF" w:themeFill="background1"/>
        </w:rPr>
        <w:t>Sistema de Clasificación Industrial de América del Norte, México SCIAN 2013</w:t>
      </w:r>
      <w:r w:rsidRPr="00D62445">
        <w:rPr>
          <w:rStyle w:val="Refdenotaalpie"/>
          <w:sz w:val="22"/>
          <w:szCs w:val="22"/>
          <w:shd w:val="clear" w:color="auto" w:fill="FFFFFF" w:themeFill="background1"/>
        </w:rPr>
        <w:footnoteReference w:id="1"/>
      </w:r>
      <w:r w:rsidRPr="00D62445">
        <w:rPr>
          <w:sz w:val="22"/>
          <w:szCs w:val="22"/>
          <w:shd w:val="clear" w:color="auto" w:fill="FFFFFF" w:themeFill="background1"/>
        </w:rPr>
        <w:t xml:space="preserve"> y la Clasificación Industrial Internacional Uniforme de todas las Actividades Económicas (CIIU) en su cuarta revisión.</w:t>
      </w:r>
    </w:p>
    <w:p w14:paraId="689F2791" w14:textId="77777777" w:rsidR="002A1831" w:rsidRPr="00D62445" w:rsidRDefault="002A1831" w:rsidP="00242E34">
      <w:pPr>
        <w:ind w:right="-516"/>
        <w:contextualSpacing/>
        <w:rPr>
          <w:noProof/>
          <w:sz w:val="22"/>
          <w:szCs w:val="22"/>
          <w:lang w:eastAsia="es-MX"/>
        </w:rPr>
      </w:pPr>
    </w:p>
    <w:p w14:paraId="3CBDCD87" w14:textId="256A4084" w:rsidR="007C7534" w:rsidRPr="00D62445" w:rsidRDefault="007C7534" w:rsidP="00242E34">
      <w:pPr>
        <w:ind w:right="51"/>
        <w:contextualSpacing/>
        <w:rPr>
          <w:noProof/>
          <w:sz w:val="22"/>
          <w:szCs w:val="22"/>
          <w:lang w:eastAsia="es-MX"/>
        </w:rPr>
      </w:pPr>
      <w:r w:rsidRPr="00D62445">
        <w:rPr>
          <w:noProof/>
          <w:sz w:val="22"/>
          <w:szCs w:val="22"/>
          <w:lang w:eastAsia="es-MX"/>
        </w:rPr>
        <w:t>El marco de la encuesta para la serie 2013 se integró por el directorio de empresas proveniente del Marco Estadístico Nacional de Unidades Económicas (MENUE), el cual se alimenta con el Registro Estadístico de Negocios de México (RENEM), versión noviembre de 2017 y de los resultados definitivos de los Censos Económicos 2014, cuya actividad económica correspondió al sector comercio. El marco está constituido por 2</w:t>
      </w:r>
      <w:r w:rsidR="00990306">
        <w:rPr>
          <w:noProof/>
          <w:sz w:val="22"/>
          <w:szCs w:val="22"/>
          <w:lang w:eastAsia="es-MX"/>
        </w:rPr>
        <w:t xml:space="preserve"> </w:t>
      </w:r>
      <w:r w:rsidRPr="00D62445">
        <w:rPr>
          <w:noProof/>
          <w:sz w:val="22"/>
          <w:szCs w:val="22"/>
          <w:lang w:eastAsia="es-MX"/>
        </w:rPr>
        <w:t>094 174 empresas del sector comercio.</w:t>
      </w:r>
    </w:p>
    <w:p w14:paraId="58828471" w14:textId="77777777" w:rsidR="007C7534" w:rsidRPr="00D62445" w:rsidRDefault="007C7534" w:rsidP="00242E34">
      <w:pPr>
        <w:ind w:right="-516"/>
        <w:contextualSpacing/>
        <w:rPr>
          <w:noProof/>
          <w:sz w:val="22"/>
          <w:szCs w:val="22"/>
          <w:lang w:eastAsia="es-MX"/>
        </w:rPr>
      </w:pPr>
    </w:p>
    <w:p w14:paraId="221FB912" w14:textId="77777777" w:rsidR="007C7534" w:rsidRPr="00D62445" w:rsidRDefault="007C7534" w:rsidP="00242E34">
      <w:pPr>
        <w:ind w:right="-91"/>
        <w:contextualSpacing/>
        <w:rPr>
          <w:noProof/>
          <w:sz w:val="22"/>
          <w:szCs w:val="22"/>
          <w:lang w:eastAsia="es-MX"/>
        </w:rPr>
      </w:pPr>
      <w:r w:rsidRPr="00D62445">
        <w:rPr>
          <w:noProof/>
          <w:sz w:val="22"/>
          <w:szCs w:val="22"/>
          <w:lang w:eastAsia="es-MX"/>
        </w:rPr>
        <w:t>En virtud de las características muy particulares de la actividad económica en el sector comercio, se toman diferentes criterios para la definición del esquema de muestreo:</w:t>
      </w:r>
    </w:p>
    <w:p w14:paraId="360BAF19" w14:textId="77777777" w:rsidR="007C7534" w:rsidRPr="00D62445" w:rsidRDefault="007C7534" w:rsidP="00242E34">
      <w:pPr>
        <w:ind w:right="-91"/>
        <w:contextualSpacing/>
        <w:rPr>
          <w:noProof/>
          <w:sz w:val="22"/>
          <w:szCs w:val="22"/>
          <w:lang w:eastAsia="es-MX"/>
        </w:rPr>
      </w:pPr>
    </w:p>
    <w:p w14:paraId="79491776" w14:textId="77777777" w:rsidR="007C7534" w:rsidRPr="00D62445" w:rsidRDefault="007C7534" w:rsidP="00242E34">
      <w:pPr>
        <w:ind w:right="-91"/>
        <w:contextualSpacing/>
        <w:rPr>
          <w:noProof/>
          <w:sz w:val="22"/>
          <w:szCs w:val="22"/>
          <w:lang w:eastAsia="es-MX"/>
        </w:rPr>
      </w:pPr>
      <w:r w:rsidRPr="00D62445">
        <w:rPr>
          <w:noProof/>
          <w:sz w:val="22"/>
          <w:szCs w:val="22"/>
          <w:lang w:eastAsia="es-MX"/>
        </w:rPr>
        <w:t>a)</w:t>
      </w:r>
      <w:r w:rsidRPr="00D62445">
        <w:rPr>
          <w:noProof/>
          <w:sz w:val="22"/>
          <w:szCs w:val="22"/>
          <w:lang w:eastAsia="es-MX"/>
        </w:rPr>
        <w:tab/>
        <w:t>Diseño no probabilístico</w:t>
      </w:r>
    </w:p>
    <w:p w14:paraId="041611B7" w14:textId="77777777" w:rsidR="007C7534" w:rsidRPr="00D62445" w:rsidRDefault="007C7534" w:rsidP="00242E34">
      <w:pPr>
        <w:ind w:right="-91"/>
        <w:contextualSpacing/>
        <w:rPr>
          <w:noProof/>
          <w:sz w:val="22"/>
          <w:szCs w:val="22"/>
          <w:lang w:eastAsia="es-MX"/>
        </w:rPr>
      </w:pPr>
      <w:r w:rsidRPr="00D62445">
        <w:rPr>
          <w:noProof/>
          <w:sz w:val="22"/>
          <w:szCs w:val="22"/>
          <w:lang w:eastAsia="es-MX"/>
        </w:rPr>
        <w:t>b)</w:t>
      </w:r>
      <w:r w:rsidRPr="00D62445">
        <w:rPr>
          <w:noProof/>
          <w:sz w:val="22"/>
          <w:szCs w:val="22"/>
          <w:lang w:eastAsia="es-MX"/>
        </w:rPr>
        <w:tab/>
        <w:t>Diseño probabilístico</w:t>
      </w:r>
    </w:p>
    <w:p w14:paraId="5DB25918" w14:textId="77777777" w:rsidR="007C7534" w:rsidRPr="00D62445" w:rsidRDefault="007C7534" w:rsidP="00242E34">
      <w:pPr>
        <w:ind w:right="-91"/>
        <w:contextualSpacing/>
        <w:rPr>
          <w:noProof/>
          <w:sz w:val="22"/>
          <w:szCs w:val="22"/>
          <w:lang w:eastAsia="es-MX"/>
        </w:rPr>
      </w:pPr>
    </w:p>
    <w:p w14:paraId="1E10CFBA" w14:textId="7839D2E1" w:rsidR="007C7534" w:rsidRDefault="007C7534" w:rsidP="00242E34">
      <w:pPr>
        <w:ind w:right="-91"/>
        <w:contextualSpacing/>
        <w:rPr>
          <w:noProof/>
          <w:sz w:val="22"/>
          <w:szCs w:val="22"/>
          <w:lang w:eastAsia="es-MX"/>
        </w:rPr>
      </w:pPr>
      <w:r w:rsidRPr="00D62445">
        <w:rPr>
          <w:noProof/>
          <w:sz w:val="22"/>
          <w:szCs w:val="22"/>
          <w:lang w:eastAsia="es-MX"/>
        </w:rPr>
        <w:lastRenderedPageBreak/>
        <w:t>El tamaño de la muestra para el diseño no probabilístico fue obtenido al acumular tantas empresas hasta alcanzar la cobertura establecida.</w:t>
      </w:r>
    </w:p>
    <w:p w14:paraId="5D5BF427" w14:textId="77777777" w:rsidR="00990306" w:rsidRPr="00D62445" w:rsidRDefault="00990306" w:rsidP="00242E34">
      <w:pPr>
        <w:ind w:right="-91"/>
        <w:contextualSpacing/>
        <w:rPr>
          <w:noProof/>
          <w:sz w:val="22"/>
          <w:szCs w:val="22"/>
          <w:lang w:eastAsia="es-MX"/>
        </w:rPr>
      </w:pPr>
    </w:p>
    <w:p w14:paraId="05FDDC87" w14:textId="75B6C415" w:rsidR="007C7534" w:rsidRPr="00D62445" w:rsidRDefault="007C7534" w:rsidP="00242E34">
      <w:pPr>
        <w:ind w:right="-91"/>
        <w:contextualSpacing/>
        <w:rPr>
          <w:noProof/>
          <w:sz w:val="22"/>
          <w:szCs w:val="22"/>
          <w:lang w:eastAsia="es-MX"/>
        </w:rPr>
      </w:pPr>
      <w:r w:rsidRPr="00D62445">
        <w:rPr>
          <w:noProof/>
          <w:sz w:val="22"/>
          <w:szCs w:val="22"/>
          <w:lang w:eastAsia="es-MX"/>
        </w:rPr>
        <w:t xml:space="preserve">Se considera un total de 18 dominios de estudio, que representan la totalidad del </w:t>
      </w:r>
      <w:r w:rsidR="00990306">
        <w:rPr>
          <w:noProof/>
          <w:sz w:val="22"/>
          <w:szCs w:val="22"/>
          <w:lang w:eastAsia="es-MX"/>
        </w:rPr>
        <w:t>c</w:t>
      </w:r>
      <w:r w:rsidRPr="00D62445">
        <w:rPr>
          <w:noProof/>
          <w:sz w:val="22"/>
          <w:szCs w:val="22"/>
          <w:lang w:eastAsia="es-MX"/>
        </w:rPr>
        <w:t>omercio al por mayor.</w:t>
      </w:r>
    </w:p>
    <w:p w14:paraId="7701E53B" w14:textId="77777777" w:rsidR="007C7534" w:rsidRPr="00D62445" w:rsidRDefault="007C7534" w:rsidP="00242E34">
      <w:pPr>
        <w:ind w:right="-91"/>
        <w:contextualSpacing/>
        <w:rPr>
          <w:noProof/>
          <w:sz w:val="22"/>
          <w:szCs w:val="22"/>
          <w:lang w:eastAsia="es-MX"/>
        </w:rPr>
      </w:pPr>
    </w:p>
    <w:p w14:paraId="1EC3FF7F" w14:textId="6CA50BFB" w:rsidR="007C7534" w:rsidRDefault="007C7534" w:rsidP="00242E34">
      <w:pPr>
        <w:ind w:right="-91"/>
        <w:contextualSpacing/>
        <w:rPr>
          <w:noProof/>
          <w:sz w:val="22"/>
          <w:szCs w:val="22"/>
          <w:lang w:eastAsia="es-MX"/>
        </w:rPr>
      </w:pPr>
      <w:r w:rsidRPr="00D62445">
        <w:rPr>
          <w:noProof/>
          <w:sz w:val="22"/>
          <w:szCs w:val="22"/>
          <w:lang w:eastAsia="es-MX"/>
        </w:rPr>
        <w:t>Para los dominios con diseño probabilístico, se utilizó como variable de referencia los ingresos totales, considerando un nivel de confianza de 95%, una tasa de no respuesta esperada de 15% y un error relativo de 10</w:t>
      </w:r>
      <w:r w:rsidR="00990306">
        <w:rPr>
          <w:noProof/>
          <w:sz w:val="22"/>
          <w:szCs w:val="22"/>
          <w:lang w:eastAsia="es-MX"/>
        </w:rPr>
        <w:t xml:space="preserve"> por ciento</w:t>
      </w:r>
      <w:r w:rsidRPr="00D62445">
        <w:rPr>
          <w:noProof/>
          <w:sz w:val="22"/>
          <w:szCs w:val="22"/>
          <w:lang w:eastAsia="es-MX"/>
        </w:rPr>
        <w:t>.</w:t>
      </w:r>
    </w:p>
    <w:p w14:paraId="12C98709" w14:textId="77777777" w:rsidR="00990306" w:rsidRPr="00D62445" w:rsidRDefault="00990306" w:rsidP="00242E34">
      <w:pPr>
        <w:ind w:right="-91"/>
        <w:contextualSpacing/>
        <w:rPr>
          <w:noProof/>
          <w:sz w:val="22"/>
          <w:szCs w:val="22"/>
          <w:lang w:eastAsia="es-MX"/>
        </w:rPr>
      </w:pPr>
    </w:p>
    <w:p w14:paraId="602D76BD" w14:textId="47144A82" w:rsidR="007C7534" w:rsidRDefault="007C7534" w:rsidP="00242E34">
      <w:pPr>
        <w:ind w:right="-91"/>
        <w:contextualSpacing/>
        <w:rPr>
          <w:noProof/>
          <w:sz w:val="22"/>
          <w:szCs w:val="22"/>
          <w:lang w:eastAsia="es-MX"/>
        </w:rPr>
      </w:pPr>
      <w:r w:rsidRPr="00D62445">
        <w:rPr>
          <w:noProof/>
          <w:sz w:val="22"/>
          <w:szCs w:val="22"/>
          <w:lang w:eastAsia="es-MX"/>
        </w:rPr>
        <w:t xml:space="preserve">Se considera un total de 22 dominios de estudio, que representan la totalidad del </w:t>
      </w:r>
      <w:r w:rsidR="00990306">
        <w:rPr>
          <w:noProof/>
          <w:sz w:val="22"/>
          <w:szCs w:val="22"/>
          <w:lang w:eastAsia="es-MX"/>
        </w:rPr>
        <w:t>c</w:t>
      </w:r>
      <w:r w:rsidRPr="00D62445">
        <w:rPr>
          <w:noProof/>
          <w:sz w:val="22"/>
          <w:szCs w:val="22"/>
          <w:lang w:eastAsia="es-MX"/>
        </w:rPr>
        <w:t>omercio al por menor</w:t>
      </w:r>
    </w:p>
    <w:p w14:paraId="4B311510" w14:textId="77777777" w:rsidR="00773754" w:rsidRPr="00D62445" w:rsidRDefault="00773754" w:rsidP="00242E34">
      <w:pPr>
        <w:ind w:right="-91"/>
        <w:contextualSpacing/>
        <w:rPr>
          <w:noProof/>
          <w:sz w:val="22"/>
          <w:szCs w:val="22"/>
          <w:lang w:eastAsia="es-MX"/>
        </w:rPr>
      </w:pPr>
    </w:p>
    <w:p w14:paraId="3501EFF0" w14:textId="2CE82C3A" w:rsidR="00773754" w:rsidRPr="00D62445" w:rsidRDefault="00773754" w:rsidP="00773754">
      <w:pPr>
        <w:ind w:right="-91"/>
        <w:contextualSpacing/>
        <w:rPr>
          <w:noProof/>
          <w:sz w:val="22"/>
          <w:szCs w:val="22"/>
          <w:lang w:eastAsia="es-MX"/>
        </w:rPr>
      </w:pPr>
      <w:r>
        <w:rPr>
          <w:noProof/>
          <w:sz w:val="22"/>
          <w:szCs w:val="22"/>
          <w:lang w:eastAsia="es-MX"/>
        </w:rPr>
        <w:t xml:space="preserve">Adicionalmente </w:t>
      </w:r>
      <w:r w:rsidRPr="00D62445">
        <w:rPr>
          <w:noProof/>
          <w:sz w:val="22"/>
          <w:szCs w:val="22"/>
          <w:lang w:eastAsia="es-MX"/>
        </w:rPr>
        <w:t>, los Indicadores de precisión estadística constituyen un elemento de relevancia para el uso e interpretación de estadísticas</w:t>
      </w:r>
      <w:r w:rsidR="00990306">
        <w:rPr>
          <w:noProof/>
          <w:sz w:val="22"/>
          <w:szCs w:val="22"/>
          <w:lang w:eastAsia="es-MX"/>
        </w:rPr>
        <w:t>. S</w:t>
      </w:r>
      <w:r w:rsidRPr="00D62445">
        <w:rPr>
          <w:noProof/>
          <w:sz w:val="22"/>
          <w:szCs w:val="22"/>
          <w:lang w:eastAsia="es-MX"/>
        </w:rPr>
        <w:t>on los indicadores de calidad de la información que consiste en el análisis de cobertura de las ramas estudiadas a través del método de muestreo no probabilístico; en el caso de las ramas de actividad comercial que son dominios de estudio probabilístico, las estimaciones que generan, señalan el nivel de precisión, en alta, moderada y baja confianza.</w:t>
      </w:r>
    </w:p>
    <w:p w14:paraId="265E9DF6" w14:textId="77777777" w:rsidR="00773754" w:rsidRPr="00D62445" w:rsidRDefault="00773754" w:rsidP="00773754">
      <w:pPr>
        <w:ind w:right="-91"/>
        <w:contextualSpacing/>
        <w:rPr>
          <w:noProof/>
          <w:sz w:val="22"/>
          <w:szCs w:val="22"/>
          <w:lang w:eastAsia="es-MX"/>
        </w:rPr>
      </w:pPr>
    </w:p>
    <w:p w14:paraId="16DE9CB1" w14:textId="77777777" w:rsidR="00773754" w:rsidRPr="00D62445" w:rsidRDefault="00773754" w:rsidP="00773754">
      <w:pPr>
        <w:ind w:right="-91"/>
        <w:contextualSpacing/>
        <w:rPr>
          <w:noProof/>
          <w:sz w:val="22"/>
          <w:szCs w:val="22"/>
          <w:lang w:eastAsia="es-MX"/>
        </w:rPr>
      </w:pPr>
      <w:r w:rsidRPr="00D62445">
        <w:rPr>
          <w:noProof/>
          <w:sz w:val="22"/>
          <w:szCs w:val="22"/>
          <w:lang w:eastAsia="es-MX"/>
        </w:rPr>
        <w:t>Entre los indicadores de precisión estadística que se calculan para las estimaciones obtenidas a partir de encuestas con diseño probabilístico, se encuentran:</w:t>
      </w:r>
    </w:p>
    <w:p w14:paraId="752E0039" w14:textId="77777777" w:rsidR="00773754" w:rsidRPr="00D62445" w:rsidRDefault="00773754" w:rsidP="00773754">
      <w:pPr>
        <w:ind w:right="-91"/>
        <w:contextualSpacing/>
        <w:rPr>
          <w:noProof/>
          <w:sz w:val="22"/>
          <w:szCs w:val="22"/>
          <w:lang w:eastAsia="es-MX"/>
        </w:rPr>
      </w:pPr>
    </w:p>
    <w:p w14:paraId="00CB8751" w14:textId="77777777" w:rsidR="00773754" w:rsidRPr="00D62445" w:rsidRDefault="00773754" w:rsidP="00773754">
      <w:pPr>
        <w:ind w:right="-91"/>
        <w:contextualSpacing/>
        <w:rPr>
          <w:noProof/>
          <w:sz w:val="22"/>
          <w:szCs w:val="22"/>
          <w:lang w:eastAsia="es-MX"/>
        </w:rPr>
      </w:pPr>
      <w:r w:rsidRPr="00D62445">
        <w:rPr>
          <w:noProof/>
          <w:sz w:val="22"/>
          <w:szCs w:val="22"/>
          <w:lang w:eastAsia="es-MX"/>
        </w:rPr>
        <w:t>•</w:t>
      </w:r>
      <w:r w:rsidRPr="00D62445">
        <w:rPr>
          <w:noProof/>
          <w:sz w:val="22"/>
          <w:szCs w:val="22"/>
          <w:lang w:eastAsia="es-MX"/>
        </w:rPr>
        <w:tab/>
        <w:t>Error estándar</w:t>
      </w:r>
    </w:p>
    <w:p w14:paraId="1B12E49A" w14:textId="77777777" w:rsidR="00773754" w:rsidRPr="00D62445" w:rsidRDefault="00773754" w:rsidP="00773754">
      <w:pPr>
        <w:ind w:right="-91"/>
        <w:contextualSpacing/>
        <w:rPr>
          <w:noProof/>
          <w:sz w:val="22"/>
          <w:szCs w:val="22"/>
          <w:lang w:eastAsia="es-MX"/>
        </w:rPr>
      </w:pPr>
      <w:r w:rsidRPr="00D62445">
        <w:rPr>
          <w:noProof/>
          <w:sz w:val="22"/>
          <w:szCs w:val="22"/>
          <w:lang w:eastAsia="es-MX"/>
        </w:rPr>
        <w:t>•</w:t>
      </w:r>
      <w:r w:rsidRPr="00D62445">
        <w:rPr>
          <w:noProof/>
          <w:sz w:val="22"/>
          <w:szCs w:val="22"/>
          <w:lang w:eastAsia="es-MX"/>
        </w:rPr>
        <w:tab/>
        <w:t>Coeficiente de variación</w:t>
      </w:r>
    </w:p>
    <w:p w14:paraId="3ED8A7F0" w14:textId="77777777" w:rsidR="00773754" w:rsidRPr="00D62445" w:rsidRDefault="00773754" w:rsidP="00773754">
      <w:pPr>
        <w:ind w:right="-91"/>
        <w:contextualSpacing/>
        <w:rPr>
          <w:noProof/>
          <w:sz w:val="22"/>
          <w:szCs w:val="22"/>
          <w:lang w:eastAsia="es-MX"/>
        </w:rPr>
      </w:pPr>
      <w:r w:rsidRPr="00D62445">
        <w:rPr>
          <w:noProof/>
          <w:sz w:val="22"/>
          <w:szCs w:val="22"/>
          <w:lang w:eastAsia="es-MX"/>
        </w:rPr>
        <w:t>•</w:t>
      </w:r>
      <w:r w:rsidRPr="00D62445">
        <w:rPr>
          <w:noProof/>
          <w:sz w:val="22"/>
          <w:szCs w:val="22"/>
          <w:lang w:eastAsia="es-MX"/>
        </w:rPr>
        <w:tab/>
        <w:t>Intervalo de confianza</w:t>
      </w:r>
    </w:p>
    <w:p w14:paraId="18AF65D0" w14:textId="77777777" w:rsidR="002A1831" w:rsidRPr="00D62445" w:rsidRDefault="002A1831" w:rsidP="00242E34">
      <w:pPr>
        <w:keepNext/>
        <w:keepLines/>
        <w:spacing w:before="240"/>
        <w:ind w:right="-91"/>
        <w:rPr>
          <w:sz w:val="22"/>
          <w:szCs w:val="22"/>
        </w:rPr>
      </w:pPr>
      <w:r w:rsidRPr="00D62445">
        <w:rPr>
          <w:sz w:val="22"/>
          <w:szCs w:val="22"/>
        </w:rPr>
        <w:t>La información contenida en este documento es generada por el INEGI a través de la Encuesta Anual del Comercio (EAC),</w:t>
      </w:r>
      <w:r w:rsidRPr="00D62445">
        <w:rPr>
          <w:b/>
          <w:sz w:val="22"/>
          <w:szCs w:val="22"/>
          <w:lang w:val="es-MX"/>
        </w:rPr>
        <w:t xml:space="preserve"> </w:t>
      </w:r>
      <w:r w:rsidRPr="00D62445">
        <w:rPr>
          <w:sz w:val="22"/>
          <w:szCs w:val="22"/>
        </w:rPr>
        <w:t>y se da a conocer en la fecha establecida en el Calendario de difusión de información estadística y geográfica</w:t>
      </w:r>
      <w:r w:rsidRPr="00D62445">
        <w:rPr>
          <w:rStyle w:val="Refdenotaalpie"/>
          <w:sz w:val="22"/>
          <w:szCs w:val="22"/>
        </w:rPr>
        <w:footnoteReference w:id="2"/>
      </w:r>
      <w:r w:rsidRPr="00D62445">
        <w:rPr>
          <w:sz w:val="22"/>
          <w:szCs w:val="22"/>
        </w:rPr>
        <w:t>.</w:t>
      </w:r>
    </w:p>
    <w:p w14:paraId="1BE1A09A" w14:textId="22625489" w:rsidR="007E10F8" w:rsidRPr="00D62445" w:rsidRDefault="002A1831" w:rsidP="00242E34">
      <w:pPr>
        <w:keepNext/>
        <w:keepLines/>
        <w:spacing w:before="160" w:after="240"/>
        <w:ind w:right="51"/>
        <w:rPr>
          <w:snapToGrid w:val="0"/>
          <w:sz w:val="22"/>
          <w:szCs w:val="22"/>
          <w:lang w:val="es-MX"/>
        </w:rPr>
      </w:pPr>
      <w:r w:rsidRPr="00D62445">
        <w:rPr>
          <w:snapToGrid w:val="0"/>
          <w:sz w:val="22"/>
          <w:szCs w:val="22"/>
          <w:lang w:val="es-MX"/>
        </w:rPr>
        <w:t xml:space="preserve">Las cifras aquí mencionadas podrán ser consultadas en la página del INEGI en </w:t>
      </w:r>
      <w:r w:rsidR="00990306">
        <w:rPr>
          <w:snapToGrid w:val="0"/>
          <w:sz w:val="22"/>
          <w:szCs w:val="22"/>
          <w:lang w:val="es-MX"/>
        </w:rPr>
        <w:t>I</w:t>
      </w:r>
      <w:r w:rsidRPr="00D62445">
        <w:rPr>
          <w:snapToGrid w:val="0"/>
          <w:sz w:val="22"/>
          <w:szCs w:val="22"/>
          <w:lang w:val="es-MX"/>
        </w:rPr>
        <w:t xml:space="preserve">nternet: </w:t>
      </w:r>
    </w:p>
    <w:p w14:paraId="39DAE4B9" w14:textId="77777777" w:rsidR="007E10F8" w:rsidRPr="00D62445" w:rsidRDefault="00F51441" w:rsidP="00242E34">
      <w:pPr>
        <w:keepNext/>
        <w:keepLines/>
        <w:spacing w:before="160" w:after="240"/>
        <w:ind w:right="51"/>
        <w:rPr>
          <w:sz w:val="22"/>
          <w:szCs w:val="22"/>
        </w:rPr>
      </w:pPr>
      <w:hyperlink r:id="rId37" w:history="1">
        <w:r w:rsidR="007E10F8" w:rsidRPr="00D62445">
          <w:rPr>
            <w:rStyle w:val="Hipervnculo"/>
            <w:sz w:val="22"/>
            <w:szCs w:val="22"/>
          </w:rPr>
          <w:t>https://www.inegi.org.mx/programas/eac/2013/</w:t>
        </w:r>
      </w:hyperlink>
    </w:p>
    <w:p w14:paraId="2A6C5C3C" w14:textId="2ADD2622" w:rsidR="002A1831" w:rsidRPr="00D62445" w:rsidRDefault="002A1831" w:rsidP="00990306">
      <w:pPr>
        <w:ind w:right="-516"/>
        <w:contextualSpacing/>
        <w:rPr>
          <w:noProof/>
          <w:sz w:val="22"/>
          <w:szCs w:val="22"/>
          <w:lang w:eastAsia="es-MX"/>
        </w:rPr>
      </w:pPr>
    </w:p>
    <w:p w14:paraId="1A1B2C09" w14:textId="77777777" w:rsidR="002A1831" w:rsidRPr="00D62445" w:rsidRDefault="002A1831" w:rsidP="00242E34">
      <w:pPr>
        <w:ind w:left="-425" w:right="-516"/>
        <w:contextualSpacing/>
        <w:rPr>
          <w:noProof/>
          <w:sz w:val="22"/>
          <w:szCs w:val="22"/>
          <w:lang w:eastAsia="es-MX"/>
        </w:rPr>
      </w:pPr>
    </w:p>
    <w:p w14:paraId="1F751EA0" w14:textId="77777777" w:rsidR="002A1831" w:rsidRPr="00D62445" w:rsidRDefault="002A1831" w:rsidP="00242E34">
      <w:pPr>
        <w:ind w:right="-516"/>
        <w:contextualSpacing/>
        <w:rPr>
          <w:b/>
          <w:spacing w:val="-1"/>
          <w:sz w:val="22"/>
          <w:szCs w:val="22"/>
          <w:lang w:val="es-MX"/>
        </w:rPr>
      </w:pPr>
    </w:p>
    <w:sectPr w:rsidR="002A1831" w:rsidRPr="00D62445" w:rsidSect="00444465">
      <w:headerReference w:type="default" r:id="rId38"/>
      <w:footerReference w:type="default" r:id="rId39"/>
      <w:pgSz w:w="12242" w:h="15842" w:code="1"/>
      <w:pgMar w:top="1134" w:right="1418" w:bottom="993" w:left="1559" w:header="426" w:footer="316"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C175" w14:textId="77777777" w:rsidR="00F51441" w:rsidRDefault="00F51441">
      <w:r>
        <w:separator/>
      </w:r>
    </w:p>
  </w:endnote>
  <w:endnote w:type="continuationSeparator" w:id="0">
    <w:p w14:paraId="39566D02" w14:textId="77777777" w:rsidR="00F51441" w:rsidRDefault="00F5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577836"/>
      <w:docPartObj>
        <w:docPartGallery w:val="Page Numbers (Bottom of Page)"/>
        <w:docPartUnique/>
      </w:docPartObj>
    </w:sdtPr>
    <w:sdtEndPr>
      <w:rPr>
        <w:b/>
        <w:color w:val="002060"/>
        <w:sz w:val="20"/>
        <w:szCs w:val="20"/>
      </w:rPr>
    </w:sdtEndPr>
    <w:sdtContent>
      <w:p w14:paraId="3AD5631D" w14:textId="77777777" w:rsidR="004B6201" w:rsidRPr="00787C13" w:rsidRDefault="004B6201" w:rsidP="00787C13">
        <w:pPr>
          <w:pStyle w:val="Piedepgina"/>
          <w:ind w:left="-426" w:right="-233"/>
          <w:jc w:val="center"/>
          <w:rPr>
            <w:b/>
            <w:color w:val="002060"/>
            <w:sz w:val="20"/>
            <w:szCs w:val="20"/>
          </w:rPr>
        </w:pPr>
        <w:r w:rsidRPr="00787C13">
          <w:rPr>
            <w:b/>
            <w:color w:val="002060"/>
            <w:sz w:val="20"/>
            <w:szCs w:val="20"/>
          </w:rPr>
          <w:t>COMUNICACIÓN SOCIAL</w:t>
        </w:r>
      </w:p>
    </w:sdtContent>
  </w:sdt>
  <w:p w14:paraId="2748281A" w14:textId="77777777" w:rsidR="004B6201" w:rsidRDefault="004B6201" w:rsidP="003076C4">
    <w:pPr>
      <w:pStyle w:val="Piedepgina"/>
      <w:jc w:val="center"/>
      <w:rPr>
        <w:b/>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EAD5" w14:textId="39F692EA" w:rsidR="008B7AAE" w:rsidRPr="00444465" w:rsidRDefault="00444465" w:rsidP="00444465">
    <w:pPr>
      <w:pStyle w:val="Piedepgina"/>
      <w:jc w:val="center"/>
      <w:rPr>
        <w:b/>
        <w:color w:val="002060"/>
        <w:sz w:val="20"/>
        <w:szCs w:val="20"/>
      </w:rPr>
    </w:pPr>
    <w:r w:rsidRPr="00444465">
      <w:rPr>
        <w:b/>
        <w:color w:val="002060"/>
        <w:sz w:val="20"/>
        <w:szCs w:val="20"/>
      </w:rPr>
      <w:t>COMUNICACIÓN SOCIAL</w:t>
    </w:r>
  </w:p>
  <w:p w14:paraId="4458BDC7" w14:textId="77777777" w:rsidR="00BB7F12" w:rsidRDefault="00BB7F12" w:rsidP="003076C4">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E5180" w14:textId="77777777" w:rsidR="00F51441" w:rsidRDefault="00F51441">
      <w:r>
        <w:separator/>
      </w:r>
    </w:p>
  </w:footnote>
  <w:footnote w:type="continuationSeparator" w:id="0">
    <w:p w14:paraId="18F5ED4B" w14:textId="77777777" w:rsidR="00F51441" w:rsidRDefault="00F51441">
      <w:r>
        <w:continuationSeparator/>
      </w:r>
    </w:p>
  </w:footnote>
  <w:footnote w:id="1">
    <w:p w14:paraId="539A5561" w14:textId="77777777" w:rsidR="002A1831" w:rsidRDefault="002A1831" w:rsidP="002A1831">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62CA3D08" w14:textId="77777777" w:rsidR="002A1831" w:rsidRPr="008A2E99" w:rsidRDefault="00F51441" w:rsidP="002A1831">
      <w:pPr>
        <w:pStyle w:val="Textonotapie"/>
        <w:jc w:val="left"/>
        <w:rPr>
          <w:lang w:val="es-MX"/>
        </w:rPr>
      </w:pPr>
      <w:hyperlink r:id="rId1" w:history="1">
        <w:r w:rsidR="002A1831" w:rsidRPr="003A5B83">
          <w:rPr>
            <w:rStyle w:val="Hipervnculo"/>
            <w:sz w:val="16"/>
          </w:rPr>
          <w:t>https://www.inegi.org.mx/app/biblioteca/ficha.html?upc=702825051693</w:t>
        </w:r>
      </w:hyperlink>
    </w:p>
  </w:footnote>
  <w:footnote w:id="2">
    <w:p w14:paraId="03945119" w14:textId="77777777" w:rsidR="002A1831" w:rsidRPr="00647C77" w:rsidRDefault="002A1831" w:rsidP="002A1831">
      <w:pPr>
        <w:pStyle w:val="Textonotapie"/>
        <w:rPr>
          <w:sz w:val="16"/>
          <w:lang w:val="es-MX"/>
        </w:rPr>
      </w:pPr>
      <w:r>
        <w:rPr>
          <w:rStyle w:val="Refdenotaalpie"/>
        </w:rPr>
        <w:footnoteRef/>
      </w:r>
      <w:r>
        <w:t xml:space="preserve"> </w:t>
      </w:r>
      <w:r w:rsidRPr="00647C77">
        <w:rPr>
          <w:sz w:val="16"/>
          <w:lang w:val="es-MX"/>
        </w:rPr>
        <w:t>El Calendario puede consultarse en:</w:t>
      </w:r>
    </w:p>
    <w:p w14:paraId="6BF7E2DA" w14:textId="77777777" w:rsidR="002A1831" w:rsidRPr="00647C77" w:rsidRDefault="00F51441" w:rsidP="002A1831">
      <w:pPr>
        <w:pStyle w:val="Textonotapie"/>
        <w:jc w:val="left"/>
        <w:rPr>
          <w:rStyle w:val="Hipervnculo"/>
          <w:sz w:val="16"/>
        </w:rPr>
      </w:pPr>
      <w:hyperlink r:id="rId2" w:history="1">
        <w:r w:rsidR="002A1831" w:rsidRPr="00647C77">
          <w:rPr>
            <w:rStyle w:val="Hipervnculo"/>
            <w:sz w:val="16"/>
          </w:rPr>
          <w:t>https://www.inegi.org.mx/app/saladeprensa/calendario/default.html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115A" w14:textId="77777777" w:rsidR="004B6201" w:rsidRPr="003105E6" w:rsidRDefault="004B6201" w:rsidP="0053064C">
    <w:pPr>
      <w:pStyle w:val="Encabezado"/>
      <w:framePr w:w="5398" w:hSpace="141" w:wrap="auto" w:vAnchor="text" w:hAnchor="page" w:x="5695" w:y="31"/>
      <w:ind w:left="567" w:hanging="11"/>
      <w:jc w:val="right"/>
      <w:rPr>
        <w:b/>
        <w:color w:val="002060"/>
      </w:rPr>
    </w:pPr>
    <w:r w:rsidRPr="00987CEE">
      <w:rPr>
        <w:b/>
        <w:color w:val="002060"/>
      </w:rPr>
      <w:t xml:space="preserve">COMUNICADO DE PRENSA NÚM. </w:t>
    </w:r>
    <w:r>
      <w:rPr>
        <w:b/>
        <w:color w:val="002060"/>
      </w:rPr>
      <w:t>765</w:t>
    </w:r>
    <w:r w:rsidRPr="00987CEE">
      <w:rPr>
        <w:b/>
        <w:color w:val="002060"/>
      </w:rPr>
      <w:t>/</w:t>
    </w:r>
    <w:r>
      <w:rPr>
        <w:b/>
        <w:color w:val="002060"/>
      </w:rPr>
      <w:t>21</w:t>
    </w:r>
  </w:p>
  <w:p w14:paraId="45BD88EE" w14:textId="77777777" w:rsidR="004B6201" w:rsidRPr="00987CEE" w:rsidRDefault="004B6201" w:rsidP="0053064C">
    <w:pPr>
      <w:pStyle w:val="Encabezado"/>
      <w:framePr w:w="5398" w:hSpace="141" w:wrap="auto" w:vAnchor="text" w:hAnchor="page" w:x="5695" w:y="31"/>
      <w:ind w:left="567" w:hanging="11"/>
      <w:jc w:val="right"/>
      <w:rPr>
        <w:b/>
        <w:color w:val="002060"/>
        <w:lang w:val="pt-BR"/>
      </w:rPr>
    </w:pPr>
    <w:r>
      <w:rPr>
        <w:b/>
        <w:color w:val="002060"/>
        <w:lang w:val="pt-BR"/>
      </w:rPr>
      <w:t xml:space="preserve">13 </w:t>
    </w:r>
    <w:r w:rsidRPr="00987CEE">
      <w:rPr>
        <w:b/>
        <w:color w:val="002060"/>
        <w:lang w:val="pt-BR"/>
      </w:rPr>
      <w:t xml:space="preserve">DE </w:t>
    </w:r>
    <w:r>
      <w:rPr>
        <w:b/>
        <w:color w:val="002060"/>
        <w:lang w:val="pt-BR"/>
      </w:rPr>
      <w:t xml:space="preserve">DICIEMBRE DE </w:t>
    </w:r>
    <w:r w:rsidRPr="00987CEE">
      <w:rPr>
        <w:b/>
        <w:color w:val="002060"/>
        <w:lang w:val="pt-BR"/>
      </w:rPr>
      <w:t>20</w:t>
    </w:r>
    <w:r>
      <w:rPr>
        <w:b/>
        <w:color w:val="002060"/>
        <w:lang w:val="pt-BR"/>
      </w:rPr>
      <w:t>21</w:t>
    </w:r>
  </w:p>
  <w:p w14:paraId="133AE722" w14:textId="77777777" w:rsidR="004B6201" w:rsidRPr="00987CEE" w:rsidRDefault="004B6201" w:rsidP="0053064C">
    <w:pPr>
      <w:pStyle w:val="Encabezado"/>
      <w:framePr w:w="5398" w:hSpace="141" w:wrap="auto" w:vAnchor="text" w:hAnchor="page" w:x="5695" w:y="31"/>
      <w:ind w:left="567" w:hanging="11"/>
      <w:jc w:val="right"/>
      <w:rPr>
        <w:b/>
        <w:color w:val="002060"/>
        <w:lang w:val="pt-BR"/>
      </w:rPr>
    </w:pPr>
    <w:r w:rsidRPr="00987CEE">
      <w:rPr>
        <w:b/>
        <w:color w:val="002060"/>
        <w:lang w:val="pt-BR"/>
      </w:rPr>
      <w:t xml:space="preserve">PÁGINA </w:t>
    </w:r>
    <w:r w:rsidRPr="00987CEE">
      <w:rPr>
        <w:b/>
        <w:color w:val="002060"/>
      </w:rPr>
      <w:fldChar w:fldCharType="begin"/>
    </w:r>
    <w:r w:rsidRPr="00987CEE">
      <w:rPr>
        <w:b/>
        <w:color w:val="002060"/>
        <w:lang w:val="pt-BR"/>
      </w:rPr>
      <w:instrText xml:space="preserve">\PAGE </w:instrText>
    </w:r>
    <w:r w:rsidRPr="00987CEE">
      <w:rPr>
        <w:color w:val="002060"/>
      </w:rPr>
      <w:fldChar w:fldCharType="separate"/>
    </w:r>
    <w:r>
      <w:rPr>
        <w:color w:val="002060"/>
      </w:rPr>
      <w:t>1</w:t>
    </w:r>
    <w:r w:rsidRPr="00987CEE">
      <w:rPr>
        <w:color w:val="002060"/>
      </w:rPr>
      <w:fldChar w:fldCharType="end"/>
    </w:r>
    <w:r w:rsidRPr="00987CEE">
      <w:rPr>
        <w:b/>
        <w:color w:val="002060"/>
        <w:lang w:val="pt-BR"/>
      </w:rPr>
      <w:t>/</w:t>
    </w:r>
    <w:r>
      <w:rPr>
        <w:b/>
        <w:color w:val="002060"/>
        <w:lang w:val="pt-BR"/>
      </w:rPr>
      <w:t>2</w:t>
    </w:r>
  </w:p>
  <w:p w14:paraId="55C1C091" w14:textId="77777777" w:rsidR="004B6201" w:rsidRDefault="004B6201" w:rsidP="00787C13">
    <w:pPr>
      <w:pStyle w:val="Encabezado"/>
      <w:tabs>
        <w:tab w:val="center" w:pos="1713"/>
      </w:tabs>
      <w:ind w:left="-426"/>
    </w:pPr>
    <w:r w:rsidRPr="008309F1">
      <w:rPr>
        <w:noProof/>
      </w:rPr>
      <w:drawing>
        <wp:inline distT="0" distB="0" distL="0" distR="0" wp14:anchorId="5FFBE11B" wp14:editId="5CF7B707">
          <wp:extent cx="742950" cy="769466"/>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7513" w14:textId="77777777" w:rsidR="00BB7F12" w:rsidRDefault="00553E30" w:rsidP="009813FF">
    <w:pPr>
      <w:pStyle w:val="Encabezado"/>
      <w:jc w:val="center"/>
    </w:pPr>
    <w:r>
      <w:rPr>
        <w:noProof/>
        <w:lang w:val="es-MX" w:eastAsia="es-MX"/>
      </w:rPr>
      <w:drawing>
        <wp:inline distT="0" distB="0" distL="0" distR="0" wp14:anchorId="3B256625" wp14:editId="6D606123">
          <wp:extent cx="847725" cy="831407"/>
          <wp:effectExtent l="0" t="0" r="0" b="6985"/>
          <wp:docPr id="30" name="Imagen 30"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3728" cy="837294"/>
                  </a:xfrm>
                  <a:prstGeom prst="rect">
                    <a:avLst/>
                  </a:prstGeom>
                  <a:noFill/>
                  <a:ln>
                    <a:noFill/>
                  </a:ln>
                </pic:spPr>
              </pic:pic>
            </a:graphicData>
          </a:graphic>
        </wp:inline>
      </w:drawing>
    </w:r>
  </w:p>
  <w:p w14:paraId="265E4B32" w14:textId="77777777" w:rsidR="00FB4D3B" w:rsidRDefault="00FB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B47C07"/>
    <w:multiLevelType w:val="hybridMultilevel"/>
    <w:tmpl w:val="E8D60D64"/>
    <w:lvl w:ilvl="0" w:tplc="080A0005">
      <w:start w:val="1"/>
      <w:numFmt w:val="bullet"/>
      <w:lvlText w:val=""/>
      <w:lvlJc w:val="left"/>
      <w:pPr>
        <w:ind w:left="294" w:hanging="360"/>
      </w:pPr>
      <w:rPr>
        <w:rFonts w:ascii="Wingdings" w:hAnsi="Wingdings"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 w15:restartNumberingAfterBreak="0">
    <w:nsid w:val="1188512F"/>
    <w:multiLevelType w:val="hybridMultilevel"/>
    <w:tmpl w:val="3A3A4FFA"/>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780045D"/>
    <w:multiLevelType w:val="hybridMultilevel"/>
    <w:tmpl w:val="478AD55E"/>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E467E4"/>
    <w:multiLevelType w:val="hybridMultilevel"/>
    <w:tmpl w:val="2EBC45E0"/>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F77F74"/>
    <w:multiLevelType w:val="hybridMultilevel"/>
    <w:tmpl w:val="5C4C418C"/>
    <w:lvl w:ilvl="0" w:tplc="DC986B8C">
      <w:start w:val="16"/>
      <w:numFmt w:val="bullet"/>
      <w:lvlText w:val=""/>
      <w:lvlJc w:val="left"/>
      <w:pPr>
        <w:ind w:left="854" w:hanging="570"/>
      </w:pPr>
      <w:rPr>
        <w:rFonts w:ascii="Symbol" w:eastAsiaTheme="minorHAnsi" w:hAnsi="Symbol" w:cs="Courier New" w:hint="default"/>
        <w:sz w:val="2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F59481B"/>
    <w:multiLevelType w:val="hybridMultilevel"/>
    <w:tmpl w:val="D9F8B42C"/>
    <w:lvl w:ilvl="0" w:tplc="080A0003">
      <w:start w:val="1"/>
      <w:numFmt w:val="bullet"/>
      <w:lvlText w:val="o"/>
      <w:lvlJc w:val="left"/>
      <w:pPr>
        <w:ind w:left="-3852" w:hanging="360"/>
      </w:pPr>
      <w:rPr>
        <w:rFonts w:ascii="Courier New" w:hAnsi="Courier New" w:cs="Courier New" w:hint="default"/>
      </w:rPr>
    </w:lvl>
    <w:lvl w:ilvl="1" w:tplc="080A0003" w:tentative="1">
      <w:start w:val="1"/>
      <w:numFmt w:val="bullet"/>
      <w:lvlText w:val="o"/>
      <w:lvlJc w:val="left"/>
      <w:pPr>
        <w:ind w:left="-3132" w:hanging="360"/>
      </w:pPr>
      <w:rPr>
        <w:rFonts w:ascii="Courier New" w:hAnsi="Courier New" w:cs="Courier New" w:hint="default"/>
      </w:rPr>
    </w:lvl>
    <w:lvl w:ilvl="2" w:tplc="080A0005" w:tentative="1">
      <w:start w:val="1"/>
      <w:numFmt w:val="bullet"/>
      <w:lvlText w:val=""/>
      <w:lvlJc w:val="left"/>
      <w:pPr>
        <w:ind w:left="-2412" w:hanging="360"/>
      </w:pPr>
      <w:rPr>
        <w:rFonts w:ascii="Wingdings" w:hAnsi="Wingdings" w:hint="default"/>
      </w:rPr>
    </w:lvl>
    <w:lvl w:ilvl="3" w:tplc="080A0001" w:tentative="1">
      <w:start w:val="1"/>
      <w:numFmt w:val="bullet"/>
      <w:lvlText w:val=""/>
      <w:lvlJc w:val="left"/>
      <w:pPr>
        <w:ind w:left="-1692" w:hanging="360"/>
      </w:pPr>
      <w:rPr>
        <w:rFonts w:ascii="Symbol" w:hAnsi="Symbol" w:hint="default"/>
      </w:rPr>
    </w:lvl>
    <w:lvl w:ilvl="4" w:tplc="080A0003" w:tentative="1">
      <w:start w:val="1"/>
      <w:numFmt w:val="bullet"/>
      <w:lvlText w:val="o"/>
      <w:lvlJc w:val="left"/>
      <w:pPr>
        <w:ind w:left="-972" w:hanging="360"/>
      </w:pPr>
      <w:rPr>
        <w:rFonts w:ascii="Courier New" w:hAnsi="Courier New" w:cs="Courier New" w:hint="default"/>
      </w:rPr>
    </w:lvl>
    <w:lvl w:ilvl="5" w:tplc="080A0005" w:tentative="1">
      <w:start w:val="1"/>
      <w:numFmt w:val="bullet"/>
      <w:lvlText w:val=""/>
      <w:lvlJc w:val="left"/>
      <w:pPr>
        <w:ind w:left="-252" w:hanging="360"/>
      </w:pPr>
      <w:rPr>
        <w:rFonts w:ascii="Wingdings" w:hAnsi="Wingdings" w:hint="default"/>
      </w:rPr>
    </w:lvl>
    <w:lvl w:ilvl="6" w:tplc="080A0001" w:tentative="1">
      <w:start w:val="1"/>
      <w:numFmt w:val="bullet"/>
      <w:lvlText w:val=""/>
      <w:lvlJc w:val="left"/>
      <w:pPr>
        <w:ind w:left="468" w:hanging="360"/>
      </w:pPr>
      <w:rPr>
        <w:rFonts w:ascii="Symbol" w:hAnsi="Symbol" w:hint="default"/>
      </w:rPr>
    </w:lvl>
    <w:lvl w:ilvl="7" w:tplc="080A0003" w:tentative="1">
      <w:start w:val="1"/>
      <w:numFmt w:val="bullet"/>
      <w:lvlText w:val="o"/>
      <w:lvlJc w:val="left"/>
      <w:pPr>
        <w:ind w:left="1188" w:hanging="360"/>
      </w:pPr>
      <w:rPr>
        <w:rFonts w:ascii="Courier New" w:hAnsi="Courier New" w:cs="Courier New" w:hint="default"/>
      </w:rPr>
    </w:lvl>
    <w:lvl w:ilvl="8" w:tplc="080A0005" w:tentative="1">
      <w:start w:val="1"/>
      <w:numFmt w:val="bullet"/>
      <w:lvlText w:val=""/>
      <w:lvlJc w:val="left"/>
      <w:pPr>
        <w:ind w:left="1908" w:hanging="360"/>
      </w:pPr>
      <w:rPr>
        <w:rFonts w:ascii="Wingdings" w:hAnsi="Wingdings" w:hint="default"/>
      </w:rPr>
    </w:lvl>
  </w:abstractNum>
  <w:abstractNum w:abstractNumId="1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99F6F03"/>
    <w:multiLevelType w:val="hybridMultilevel"/>
    <w:tmpl w:val="380CAB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A8601F"/>
    <w:multiLevelType w:val="hybridMultilevel"/>
    <w:tmpl w:val="7C6A84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3"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1C6739"/>
    <w:multiLevelType w:val="hybridMultilevel"/>
    <w:tmpl w:val="4D0C2088"/>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6"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0"/>
  </w:num>
  <w:num w:numId="6">
    <w:abstractNumId w:val="3"/>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2"/>
  </w:num>
  <w:num w:numId="12">
    <w:abstractNumId w:val="25"/>
  </w:num>
  <w:num w:numId="13">
    <w:abstractNumId w:val="27"/>
  </w:num>
  <w:num w:numId="14">
    <w:abstractNumId w:val="13"/>
  </w:num>
  <w:num w:numId="15">
    <w:abstractNumId w:val="11"/>
  </w:num>
  <w:num w:numId="16">
    <w:abstractNumId w:val="18"/>
  </w:num>
  <w:num w:numId="17">
    <w:abstractNumId w:val="12"/>
  </w:num>
  <w:num w:numId="18">
    <w:abstractNumId w:val="16"/>
  </w:num>
  <w:num w:numId="19">
    <w:abstractNumId w:val="6"/>
  </w:num>
  <w:num w:numId="20">
    <w:abstractNumId w:val="26"/>
  </w:num>
  <w:num w:numId="21">
    <w:abstractNumId w:val="21"/>
  </w:num>
  <w:num w:numId="22">
    <w:abstractNumId w:val="9"/>
  </w:num>
  <w:num w:numId="23">
    <w:abstractNumId w:val="23"/>
  </w:num>
  <w:num w:numId="24">
    <w:abstractNumId w:val="19"/>
  </w:num>
  <w:num w:numId="25">
    <w:abstractNumId w:val="8"/>
  </w:num>
  <w:num w:numId="26">
    <w:abstractNumId w:val="17"/>
  </w:num>
  <w:num w:numId="27">
    <w:abstractNumId w:val="2"/>
  </w:num>
  <w:num w:numId="28">
    <w:abstractNumId w:val="14"/>
  </w:num>
  <w:num w:numId="29">
    <w:abstractNumId w:val="24"/>
  </w:num>
  <w:num w:numId="30">
    <w:abstractNumId w:val="15"/>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694"/>
    <w:rsid w:val="0000180F"/>
    <w:rsid w:val="00001C91"/>
    <w:rsid w:val="000022A6"/>
    <w:rsid w:val="00002466"/>
    <w:rsid w:val="00002561"/>
    <w:rsid w:val="00002665"/>
    <w:rsid w:val="000027BD"/>
    <w:rsid w:val="00002AFF"/>
    <w:rsid w:val="00002B26"/>
    <w:rsid w:val="00003497"/>
    <w:rsid w:val="0000361C"/>
    <w:rsid w:val="00003C25"/>
    <w:rsid w:val="00003C68"/>
    <w:rsid w:val="00003E85"/>
    <w:rsid w:val="00004291"/>
    <w:rsid w:val="0000458A"/>
    <w:rsid w:val="00004909"/>
    <w:rsid w:val="000050C6"/>
    <w:rsid w:val="00005940"/>
    <w:rsid w:val="0000696E"/>
    <w:rsid w:val="00006B5A"/>
    <w:rsid w:val="00006B6A"/>
    <w:rsid w:val="00007512"/>
    <w:rsid w:val="000078B1"/>
    <w:rsid w:val="00007A1A"/>
    <w:rsid w:val="0001012E"/>
    <w:rsid w:val="00010558"/>
    <w:rsid w:val="000108E8"/>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0A1"/>
    <w:rsid w:val="00015302"/>
    <w:rsid w:val="00016590"/>
    <w:rsid w:val="00016B4E"/>
    <w:rsid w:val="00016D3A"/>
    <w:rsid w:val="0001718D"/>
    <w:rsid w:val="0001743D"/>
    <w:rsid w:val="000176AC"/>
    <w:rsid w:val="00017C10"/>
    <w:rsid w:val="000213A3"/>
    <w:rsid w:val="00021432"/>
    <w:rsid w:val="00021492"/>
    <w:rsid w:val="000216A3"/>
    <w:rsid w:val="00021B90"/>
    <w:rsid w:val="000228C4"/>
    <w:rsid w:val="00022CA3"/>
    <w:rsid w:val="0002368C"/>
    <w:rsid w:val="000238E1"/>
    <w:rsid w:val="00023B4F"/>
    <w:rsid w:val="0002439B"/>
    <w:rsid w:val="000248E6"/>
    <w:rsid w:val="00025201"/>
    <w:rsid w:val="00025663"/>
    <w:rsid w:val="000260EE"/>
    <w:rsid w:val="0002657A"/>
    <w:rsid w:val="00026B3C"/>
    <w:rsid w:val="00026B52"/>
    <w:rsid w:val="00027615"/>
    <w:rsid w:val="00027EEC"/>
    <w:rsid w:val="00030480"/>
    <w:rsid w:val="0003065F"/>
    <w:rsid w:val="00030D10"/>
    <w:rsid w:val="00031231"/>
    <w:rsid w:val="000314D3"/>
    <w:rsid w:val="00031737"/>
    <w:rsid w:val="00031BCF"/>
    <w:rsid w:val="00032B16"/>
    <w:rsid w:val="00033603"/>
    <w:rsid w:val="00033A14"/>
    <w:rsid w:val="00034050"/>
    <w:rsid w:val="0003447A"/>
    <w:rsid w:val="00034BC3"/>
    <w:rsid w:val="000353F3"/>
    <w:rsid w:val="00035600"/>
    <w:rsid w:val="00035A19"/>
    <w:rsid w:val="00035B2D"/>
    <w:rsid w:val="00035DA7"/>
    <w:rsid w:val="00036D72"/>
    <w:rsid w:val="00037089"/>
    <w:rsid w:val="00037177"/>
    <w:rsid w:val="00037CC4"/>
    <w:rsid w:val="00037DCD"/>
    <w:rsid w:val="00040411"/>
    <w:rsid w:val="0004066E"/>
    <w:rsid w:val="00040B73"/>
    <w:rsid w:val="00040CFD"/>
    <w:rsid w:val="00040F75"/>
    <w:rsid w:val="00041FF7"/>
    <w:rsid w:val="0004225C"/>
    <w:rsid w:val="00043535"/>
    <w:rsid w:val="00043B32"/>
    <w:rsid w:val="00043C40"/>
    <w:rsid w:val="00043E2B"/>
    <w:rsid w:val="00044296"/>
    <w:rsid w:val="00044699"/>
    <w:rsid w:val="00044700"/>
    <w:rsid w:val="000447CE"/>
    <w:rsid w:val="00044C5E"/>
    <w:rsid w:val="0004596A"/>
    <w:rsid w:val="00045AF1"/>
    <w:rsid w:val="00045E9B"/>
    <w:rsid w:val="0004612E"/>
    <w:rsid w:val="00046139"/>
    <w:rsid w:val="000465BA"/>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3F2A"/>
    <w:rsid w:val="00054A4F"/>
    <w:rsid w:val="00055047"/>
    <w:rsid w:val="000557E2"/>
    <w:rsid w:val="00055B54"/>
    <w:rsid w:val="00055CD3"/>
    <w:rsid w:val="00056553"/>
    <w:rsid w:val="000567F8"/>
    <w:rsid w:val="000569EC"/>
    <w:rsid w:val="00056F51"/>
    <w:rsid w:val="000573F5"/>
    <w:rsid w:val="00057984"/>
    <w:rsid w:val="00057A63"/>
    <w:rsid w:val="00057F37"/>
    <w:rsid w:val="000602B0"/>
    <w:rsid w:val="0006056C"/>
    <w:rsid w:val="0006144A"/>
    <w:rsid w:val="00062234"/>
    <w:rsid w:val="0006228A"/>
    <w:rsid w:val="00063034"/>
    <w:rsid w:val="00063614"/>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211"/>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7F7"/>
    <w:rsid w:val="00076EE9"/>
    <w:rsid w:val="00076EEC"/>
    <w:rsid w:val="0007728D"/>
    <w:rsid w:val="00077871"/>
    <w:rsid w:val="00077C46"/>
    <w:rsid w:val="00080033"/>
    <w:rsid w:val="0008027F"/>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151"/>
    <w:rsid w:val="00087287"/>
    <w:rsid w:val="0008756B"/>
    <w:rsid w:val="00087DB7"/>
    <w:rsid w:val="0009025D"/>
    <w:rsid w:val="00090426"/>
    <w:rsid w:val="0009084F"/>
    <w:rsid w:val="00090B9C"/>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FEB"/>
    <w:rsid w:val="000A43B0"/>
    <w:rsid w:val="000A4834"/>
    <w:rsid w:val="000A4F3E"/>
    <w:rsid w:val="000A53E6"/>
    <w:rsid w:val="000A574B"/>
    <w:rsid w:val="000A5B04"/>
    <w:rsid w:val="000A5E2A"/>
    <w:rsid w:val="000A6341"/>
    <w:rsid w:val="000A643B"/>
    <w:rsid w:val="000A707A"/>
    <w:rsid w:val="000A709A"/>
    <w:rsid w:val="000A7875"/>
    <w:rsid w:val="000A78BA"/>
    <w:rsid w:val="000A7E58"/>
    <w:rsid w:val="000B0710"/>
    <w:rsid w:val="000B0A59"/>
    <w:rsid w:val="000B1C11"/>
    <w:rsid w:val="000B1D13"/>
    <w:rsid w:val="000B239B"/>
    <w:rsid w:val="000B2782"/>
    <w:rsid w:val="000B29B8"/>
    <w:rsid w:val="000B2A27"/>
    <w:rsid w:val="000B2D2B"/>
    <w:rsid w:val="000B38D2"/>
    <w:rsid w:val="000B4A6A"/>
    <w:rsid w:val="000B50FB"/>
    <w:rsid w:val="000B515D"/>
    <w:rsid w:val="000B5A74"/>
    <w:rsid w:val="000B5FA3"/>
    <w:rsid w:val="000B6145"/>
    <w:rsid w:val="000B65EF"/>
    <w:rsid w:val="000B6AF6"/>
    <w:rsid w:val="000B6F71"/>
    <w:rsid w:val="000B74C1"/>
    <w:rsid w:val="000C1051"/>
    <w:rsid w:val="000C1F04"/>
    <w:rsid w:val="000C2892"/>
    <w:rsid w:val="000C2B3C"/>
    <w:rsid w:val="000C30D7"/>
    <w:rsid w:val="000C3105"/>
    <w:rsid w:val="000C34DD"/>
    <w:rsid w:val="000C37BC"/>
    <w:rsid w:val="000C4671"/>
    <w:rsid w:val="000C482F"/>
    <w:rsid w:val="000C4992"/>
    <w:rsid w:val="000C5299"/>
    <w:rsid w:val="000C5468"/>
    <w:rsid w:val="000C55CC"/>
    <w:rsid w:val="000C5852"/>
    <w:rsid w:val="000C5D0E"/>
    <w:rsid w:val="000C63E2"/>
    <w:rsid w:val="000C6487"/>
    <w:rsid w:val="000C6A4A"/>
    <w:rsid w:val="000C6AFD"/>
    <w:rsid w:val="000D06FA"/>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833"/>
    <w:rsid w:val="000D49D2"/>
    <w:rsid w:val="000D4A88"/>
    <w:rsid w:val="000D4BBC"/>
    <w:rsid w:val="000D4D90"/>
    <w:rsid w:val="000D4E26"/>
    <w:rsid w:val="000D5176"/>
    <w:rsid w:val="000D5EDB"/>
    <w:rsid w:val="000D6C0F"/>
    <w:rsid w:val="000D6F1E"/>
    <w:rsid w:val="000D706E"/>
    <w:rsid w:val="000D7265"/>
    <w:rsid w:val="000D7A95"/>
    <w:rsid w:val="000D7BBD"/>
    <w:rsid w:val="000E03C0"/>
    <w:rsid w:val="000E0648"/>
    <w:rsid w:val="000E0654"/>
    <w:rsid w:val="000E19B3"/>
    <w:rsid w:val="000E1EB3"/>
    <w:rsid w:val="000E2970"/>
    <w:rsid w:val="000E34E1"/>
    <w:rsid w:val="000E3592"/>
    <w:rsid w:val="000E3892"/>
    <w:rsid w:val="000E3CC1"/>
    <w:rsid w:val="000E3CE2"/>
    <w:rsid w:val="000E4A53"/>
    <w:rsid w:val="000E5331"/>
    <w:rsid w:val="000E5526"/>
    <w:rsid w:val="000E5D6B"/>
    <w:rsid w:val="000E5FE0"/>
    <w:rsid w:val="000E6D5D"/>
    <w:rsid w:val="000F05D5"/>
    <w:rsid w:val="000F0ADA"/>
    <w:rsid w:val="000F1DEB"/>
    <w:rsid w:val="000F25CC"/>
    <w:rsid w:val="000F3413"/>
    <w:rsid w:val="000F3491"/>
    <w:rsid w:val="000F360A"/>
    <w:rsid w:val="000F3C15"/>
    <w:rsid w:val="000F3DE6"/>
    <w:rsid w:val="000F4136"/>
    <w:rsid w:val="000F44E7"/>
    <w:rsid w:val="000F44EA"/>
    <w:rsid w:val="000F4523"/>
    <w:rsid w:val="000F49F1"/>
    <w:rsid w:val="000F4C41"/>
    <w:rsid w:val="000F4FA7"/>
    <w:rsid w:val="000F536A"/>
    <w:rsid w:val="000F541D"/>
    <w:rsid w:val="000F5AD1"/>
    <w:rsid w:val="000F69FA"/>
    <w:rsid w:val="000F741C"/>
    <w:rsid w:val="000F7577"/>
    <w:rsid w:val="000F763F"/>
    <w:rsid w:val="000F7974"/>
    <w:rsid w:val="000F7C20"/>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5234"/>
    <w:rsid w:val="00105E2B"/>
    <w:rsid w:val="0010619C"/>
    <w:rsid w:val="0010664D"/>
    <w:rsid w:val="001070CC"/>
    <w:rsid w:val="00110510"/>
    <w:rsid w:val="0011076D"/>
    <w:rsid w:val="00110DB1"/>
    <w:rsid w:val="00110DF0"/>
    <w:rsid w:val="001114D0"/>
    <w:rsid w:val="00111703"/>
    <w:rsid w:val="00111AA3"/>
    <w:rsid w:val="00111E43"/>
    <w:rsid w:val="00111F29"/>
    <w:rsid w:val="00113348"/>
    <w:rsid w:val="00113404"/>
    <w:rsid w:val="001134B4"/>
    <w:rsid w:val="00113DE8"/>
    <w:rsid w:val="0011424C"/>
    <w:rsid w:val="001143F4"/>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0D5"/>
    <w:rsid w:val="00133239"/>
    <w:rsid w:val="00133603"/>
    <w:rsid w:val="00134904"/>
    <w:rsid w:val="001349AB"/>
    <w:rsid w:val="00134F4E"/>
    <w:rsid w:val="00134FB0"/>
    <w:rsid w:val="001350AC"/>
    <w:rsid w:val="001352EC"/>
    <w:rsid w:val="00135E0B"/>
    <w:rsid w:val="001361A8"/>
    <w:rsid w:val="001365A5"/>
    <w:rsid w:val="00136690"/>
    <w:rsid w:val="001368CC"/>
    <w:rsid w:val="001369CB"/>
    <w:rsid w:val="0013711A"/>
    <w:rsid w:val="001372CA"/>
    <w:rsid w:val="00137AFD"/>
    <w:rsid w:val="0014012A"/>
    <w:rsid w:val="00140AD8"/>
    <w:rsid w:val="00140BE4"/>
    <w:rsid w:val="00140E33"/>
    <w:rsid w:val="001411DE"/>
    <w:rsid w:val="00141399"/>
    <w:rsid w:val="00141A0B"/>
    <w:rsid w:val="00141AF4"/>
    <w:rsid w:val="00142E09"/>
    <w:rsid w:val="0014377B"/>
    <w:rsid w:val="00143D3A"/>
    <w:rsid w:val="0014507B"/>
    <w:rsid w:val="0014521F"/>
    <w:rsid w:val="00145842"/>
    <w:rsid w:val="00145D32"/>
    <w:rsid w:val="00145F65"/>
    <w:rsid w:val="00145FDA"/>
    <w:rsid w:val="001460E0"/>
    <w:rsid w:val="00146902"/>
    <w:rsid w:val="00146DFA"/>
    <w:rsid w:val="0014794D"/>
    <w:rsid w:val="001479A6"/>
    <w:rsid w:val="00147E53"/>
    <w:rsid w:val="0015018D"/>
    <w:rsid w:val="00150228"/>
    <w:rsid w:val="001502C3"/>
    <w:rsid w:val="001504E8"/>
    <w:rsid w:val="00150536"/>
    <w:rsid w:val="001507F5"/>
    <w:rsid w:val="0015105E"/>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69A"/>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7C9"/>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B1A"/>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40E5"/>
    <w:rsid w:val="00174587"/>
    <w:rsid w:val="0017474C"/>
    <w:rsid w:val="00174783"/>
    <w:rsid w:val="00175CF4"/>
    <w:rsid w:val="00175EFC"/>
    <w:rsid w:val="001762E2"/>
    <w:rsid w:val="001763FA"/>
    <w:rsid w:val="001763FC"/>
    <w:rsid w:val="00176592"/>
    <w:rsid w:val="00176CB5"/>
    <w:rsid w:val="00176E7D"/>
    <w:rsid w:val="00177026"/>
    <w:rsid w:val="00177187"/>
    <w:rsid w:val="001773BC"/>
    <w:rsid w:val="00177DA2"/>
    <w:rsid w:val="00177F64"/>
    <w:rsid w:val="00180887"/>
    <w:rsid w:val="00180A83"/>
    <w:rsid w:val="001813AB"/>
    <w:rsid w:val="001819C6"/>
    <w:rsid w:val="00181B78"/>
    <w:rsid w:val="0018211C"/>
    <w:rsid w:val="001821F8"/>
    <w:rsid w:val="0018235F"/>
    <w:rsid w:val="00182CBE"/>
    <w:rsid w:val="0018302A"/>
    <w:rsid w:val="001831B3"/>
    <w:rsid w:val="001845FA"/>
    <w:rsid w:val="00185115"/>
    <w:rsid w:val="0018512A"/>
    <w:rsid w:val="0018522B"/>
    <w:rsid w:val="001854A8"/>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6B4"/>
    <w:rsid w:val="001B1A10"/>
    <w:rsid w:val="001B1E85"/>
    <w:rsid w:val="001B1EBF"/>
    <w:rsid w:val="001B253D"/>
    <w:rsid w:val="001B277C"/>
    <w:rsid w:val="001B2C6A"/>
    <w:rsid w:val="001B2F19"/>
    <w:rsid w:val="001B2F69"/>
    <w:rsid w:val="001B35E9"/>
    <w:rsid w:val="001B35ED"/>
    <w:rsid w:val="001B369D"/>
    <w:rsid w:val="001B4262"/>
    <w:rsid w:val="001B450E"/>
    <w:rsid w:val="001B46DB"/>
    <w:rsid w:val="001B4F75"/>
    <w:rsid w:val="001B51AE"/>
    <w:rsid w:val="001B5942"/>
    <w:rsid w:val="001B5D0E"/>
    <w:rsid w:val="001B5DDB"/>
    <w:rsid w:val="001B5EDA"/>
    <w:rsid w:val="001B5FB9"/>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C93"/>
    <w:rsid w:val="001C3E2D"/>
    <w:rsid w:val="001C48C7"/>
    <w:rsid w:val="001C49D0"/>
    <w:rsid w:val="001C4A9E"/>
    <w:rsid w:val="001C5D49"/>
    <w:rsid w:val="001C5D7D"/>
    <w:rsid w:val="001C6664"/>
    <w:rsid w:val="001C69A9"/>
    <w:rsid w:val="001C6CAB"/>
    <w:rsid w:val="001C6CC1"/>
    <w:rsid w:val="001C6F99"/>
    <w:rsid w:val="001C6FAA"/>
    <w:rsid w:val="001C7130"/>
    <w:rsid w:val="001C7E70"/>
    <w:rsid w:val="001D0068"/>
    <w:rsid w:val="001D01C6"/>
    <w:rsid w:val="001D092F"/>
    <w:rsid w:val="001D190C"/>
    <w:rsid w:val="001D1AEF"/>
    <w:rsid w:val="001D1F00"/>
    <w:rsid w:val="001D244E"/>
    <w:rsid w:val="001D24F1"/>
    <w:rsid w:val="001D2A3E"/>
    <w:rsid w:val="001D2F42"/>
    <w:rsid w:val="001D2F4B"/>
    <w:rsid w:val="001D319E"/>
    <w:rsid w:val="001D31FC"/>
    <w:rsid w:val="001D3AD1"/>
    <w:rsid w:val="001D478B"/>
    <w:rsid w:val="001D4970"/>
    <w:rsid w:val="001D55CC"/>
    <w:rsid w:val="001D5F02"/>
    <w:rsid w:val="001D6186"/>
    <w:rsid w:val="001D61BE"/>
    <w:rsid w:val="001D62AF"/>
    <w:rsid w:val="001D630F"/>
    <w:rsid w:val="001D637E"/>
    <w:rsid w:val="001D6652"/>
    <w:rsid w:val="001D6997"/>
    <w:rsid w:val="001D69E5"/>
    <w:rsid w:val="001D6B3D"/>
    <w:rsid w:val="001D7104"/>
    <w:rsid w:val="001D7B5D"/>
    <w:rsid w:val="001E075F"/>
    <w:rsid w:val="001E0933"/>
    <w:rsid w:val="001E0EF0"/>
    <w:rsid w:val="001E13D8"/>
    <w:rsid w:val="001E14E8"/>
    <w:rsid w:val="001E1627"/>
    <w:rsid w:val="001E18BD"/>
    <w:rsid w:val="001E1C7A"/>
    <w:rsid w:val="001E1DBA"/>
    <w:rsid w:val="001E1EF2"/>
    <w:rsid w:val="001E24F8"/>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37B1"/>
    <w:rsid w:val="001F42FF"/>
    <w:rsid w:val="001F44B4"/>
    <w:rsid w:val="001F44D3"/>
    <w:rsid w:val="001F4510"/>
    <w:rsid w:val="001F58D3"/>
    <w:rsid w:val="001F5BEC"/>
    <w:rsid w:val="001F605D"/>
    <w:rsid w:val="001F65A4"/>
    <w:rsid w:val="001F65E0"/>
    <w:rsid w:val="001F6CEB"/>
    <w:rsid w:val="001F6EE3"/>
    <w:rsid w:val="001F7362"/>
    <w:rsid w:val="001F74EF"/>
    <w:rsid w:val="001F7AE9"/>
    <w:rsid w:val="001F7C33"/>
    <w:rsid w:val="001F7CFD"/>
    <w:rsid w:val="001F7EA0"/>
    <w:rsid w:val="00200281"/>
    <w:rsid w:val="0020036F"/>
    <w:rsid w:val="0020072F"/>
    <w:rsid w:val="00200D1F"/>
    <w:rsid w:val="002011D5"/>
    <w:rsid w:val="0020182B"/>
    <w:rsid w:val="00201C2D"/>
    <w:rsid w:val="00201D5A"/>
    <w:rsid w:val="00202242"/>
    <w:rsid w:val="0020276A"/>
    <w:rsid w:val="00202C8A"/>
    <w:rsid w:val="00203367"/>
    <w:rsid w:val="0020357F"/>
    <w:rsid w:val="00203D37"/>
    <w:rsid w:val="00204157"/>
    <w:rsid w:val="00204191"/>
    <w:rsid w:val="00204438"/>
    <w:rsid w:val="00204A44"/>
    <w:rsid w:val="0020546E"/>
    <w:rsid w:val="00206147"/>
    <w:rsid w:val="002064F3"/>
    <w:rsid w:val="002069A8"/>
    <w:rsid w:val="00206BA6"/>
    <w:rsid w:val="00206EE7"/>
    <w:rsid w:val="002070D4"/>
    <w:rsid w:val="002074FB"/>
    <w:rsid w:val="0020789A"/>
    <w:rsid w:val="00207C83"/>
    <w:rsid w:val="00210197"/>
    <w:rsid w:val="0021036A"/>
    <w:rsid w:val="002106F7"/>
    <w:rsid w:val="00210869"/>
    <w:rsid w:val="00210BDF"/>
    <w:rsid w:val="00210D96"/>
    <w:rsid w:val="002116AD"/>
    <w:rsid w:val="00211999"/>
    <w:rsid w:val="00212078"/>
    <w:rsid w:val="002123A4"/>
    <w:rsid w:val="002125D3"/>
    <w:rsid w:val="002126CD"/>
    <w:rsid w:val="00213773"/>
    <w:rsid w:val="00213A16"/>
    <w:rsid w:val="00213B0E"/>
    <w:rsid w:val="00213CBC"/>
    <w:rsid w:val="002141FB"/>
    <w:rsid w:val="002146CA"/>
    <w:rsid w:val="002147D6"/>
    <w:rsid w:val="0021575B"/>
    <w:rsid w:val="00215783"/>
    <w:rsid w:val="0021669B"/>
    <w:rsid w:val="00216876"/>
    <w:rsid w:val="00216B88"/>
    <w:rsid w:val="00217161"/>
    <w:rsid w:val="0022018A"/>
    <w:rsid w:val="00220ADA"/>
    <w:rsid w:val="00220B7B"/>
    <w:rsid w:val="0022180E"/>
    <w:rsid w:val="00221E07"/>
    <w:rsid w:val="002220BA"/>
    <w:rsid w:val="0022252D"/>
    <w:rsid w:val="0022272A"/>
    <w:rsid w:val="002227B3"/>
    <w:rsid w:val="00222C92"/>
    <w:rsid w:val="00222CE3"/>
    <w:rsid w:val="002235D7"/>
    <w:rsid w:val="002239C4"/>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46F"/>
    <w:rsid w:val="00233666"/>
    <w:rsid w:val="002336FE"/>
    <w:rsid w:val="00233A7D"/>
    <w:rsid w:val="00234778"/>
    <w:rsid w:val="0023482B"/>
    <w:rsid w:val="0023482C"/>
    <w:rsid w:val="00234A54"/>
    <w:rsid w:val="00234AA4"/>
    <w:rsid w:val="00234C7F"/>
    <w:rsid w:val="00234CFF"/>
    <w:rsid w:val="00234E62"/>
    <w:rsid w:val="00234F8F"/>
    <w:rsid w:val="00235BB9"/>
    <w:rsid w:val="00235EF3"/>
    <w:rsid w:val="0023613B"/>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E34"/>
    <w:rsid w:val="00242F79"/>
    <w:rsid w:val="00242FA8"/>
    <w:rsid w:val="00243010"/>
    <w:rsid w:val="0024307C"/>
    <w:rsid w:val="0024310E"/>
    <w:rsid w:val="00243204"/>
    <w:rsid w:val="00243A8E"/>
    <w:rsid w:val="00243AC5"/>
    <w:rsid w:val="0024405D"/>
    <w:rsid w:val="00244327"/>
    <w:rsid w:val="00244516"/>
    <w:rsid w:val="00244626"/>
    <w:rsid w:val="00244CF8"/>
    <w:rsid w:val="002454F0"/>
    <w:rsid w:val="00245B95"/>
    <w:rsid w:val="00245B9E"/>
    <w:rsid w:val="00246099"/>
    <w:rsid w:val="00246366"/>
    <w:rsid w:val="002464BE"/>
    <w:rsid w:val="002465AC"/>
    <w:rsid w:val="002465EC"/>
    <w:rsid w:val="00246614"/>
    <w:rsid w:val="002466FD"/>
    <w:rsid w:val="00246907"/>
    <w:rsid w:val="00246C0E"/>
    <w:rsid w:val="00246EC9"/>
    <w:rsid w:val="00246FE9"/>
    <w:rsid w:val="00247130"/>
    <w:rsid w:val="0024723E"/>
    <w:rsid w:val="00247760"/>
    <w:rsid w:val="00247E6F"/>
    <w:rsid w:val="00247ED2"/>
    <w:rsid w:val="00247FD9"/>
    <w:rsid w:val="0025003A"/>
    <w:rsid w:val="00250260"/>
    <w:rsid w:val="00250FD5"/>
    <w:rsid w:val="0025111F"/>
    <w:rsid w:val="00251167"/>
    <w:rsid w:val="002511BA"/>
    <w:rsid w:val="002526B9"/>
    <w:rsid w:val="00252899"/>
    <w:rsid w:val="00252C10"/>
    <w:rsid w:val="00252DD3"/>
    <w:rsid w:val="00253018"/>
    <w:rsid w:val="0025353B"/>
    <w:rsid w:val="0025394F"/>
    <w:rsid w:val="00253B97"/>
    <w:rsid w:val="00253CEC"/>
    <w:rsid w:val="002544CB"/>
    <w:rsid w:val="00254724"/>
    <w:rsid w:val="00255D8E"/>
    <w:rsid w:val="00256584"/>
    <w:rsid w:val="002565DE"/>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E7D"/>
    <w:rsid w:val="00266F00"/>
    <w:rsid w:val="00266F78"/>
    <w:rsid w:val="002670EF"/>
    <w:rsid w:val="002671A2"/>
    <w:rsid w:val="00267A38"/>
    <w:rsid w:val="00267F5F"/>
    <w:rsid w:val="00270965"/>
    <w:rsid w:val="00271E5D"/>
    <w:rsid w:val="00271F60"/>
    <w:rsid w:val="00272082"/>
    <w:rsid w:val="002728D2"/>
    <w:rsid w:val="0027349D"/>
    <w:rsid w:val="00273516"/>
    <w:rsid w:val="00273985"/>
    <w:rsid w:val="00273B82"/>
    <w:rsid w:val="00273E7A"/>
    <w:rsid w:val="00274372"/>
    <w:rsid w:val="0027475A"/>
    <w:rsid w:val="00274BF0"/>
    <w:rsid w:val="002752B8"/>
    <w:rsid w:val="002755FE"/>
    <w:rsid w:val="00275F56"/>
    <w:rsid w:val="00275F6F"/>
    <w:rsid w:val="002765B7"/>
    <w:rsid w:val="002767D1"/>
    <w:rsid w:val="00276B85"/>
    <w:rsid w:val="00276EAA"/>
    <w:rsid w:val="0027769C"/>
    <w:rsid w:val="00277713"/>
    <w:rsid w:val="00277DBC"/>
    <w:rsid w:val="00277F64"/>
    <w:rsid w:val="00280023"/>
    <w:rsid w:val="00280550"/>
    <w:rsid w:val="002806EC"/>
    <w:rsid w:val="00281063"/>
    <w:rsid w:val="00281676"/>
    <w:rsid w:val="002818CB"/>
    <w:rsid w:val="00281E32"/>
    <w:rsid w:val="00282479"/>
    <w:rsid w:val="002824C4"/>
    <w:rsid w:val="0028276E"/>
    <w:rsid w:val="002827F3"/>
    <w:rsid w:val="002829BD"/>
    <w:rsid w:val="00282B3E"/>
    <w:rsid w:val="00282C1F"/>
    <w:rsid w:val="00282C6C"/>
    <w:rsid w:val="00283229"/>
    <w:rsid w:val="0028327B"/>
    <w:rsid w:val="00283440"/>
    <w:rsid w:val="0028347B"/>
    <w:rsid w:val="00283B7F"/>
    <w:rsid w:val="0028468D"/>
    <w:rsid w:val="0028470C"/>
    <w:rsid w:val="00284831"/>
    <w:rsid w:val="00284B5F"/>
    <w:rsid w:val="00284C6A"/>
    <w:rsid w:val="0028596B"/>
    <w:rsid w:val="00285C70"/>
    <w:rsid w:val="00285C8C"/>
    <w:rsid w:val="00285FB9"/>
    <w:rsid w:val="00286219"/>
    <w:rsid w:val="00286A03"/>
    <w:rsid w:val="00286FF4"/>
    <w:rsid w:val="00287514"/>
    <w:rsid w:val="0028791B"/>
    <w:rsid w:val="00287C1D"/>
    <w:rsid w:val="00287E44"/>
    <w:rsid w:val="00287F79"/>
    <w:rsid w:val="002900A9"/>
    <w:rsid w:val="0029022A"/>
    <w:rsid w:val="002906E8"/>
    <w:rsid w:val="00290A6D"/>
    <w:rsid w:val="00290C43"/>
    <w:rsid w:val="00290C90"/>
    <w:rsid w:val="00290E50"/>
    <w:rsid w:val="002913BC"/>
    <w:rsid w:val="002916DB"/>
    <w:rsid w:val="0029190A"/>
    <w:rsid w:val="00292F2E"/>
    <w:rsid w:val="00293271"/>
    <w:rsid w:val="0029334B"/>
    <w:rsid w:val="00293587"/>
    <w:rsid w:val="002937CB"/>
    <w:rsid w:val="00293896"/>
    <w:rsid w:val="00293ED1"/>
    <w:rsid w:val="00294A06"/>
    <w:rsid w:val="00294F88"/>
    <w:rsid w:val="00294FFB"/>
    <w:rsid w:val="002954FD"/>
    <w:rsid w:val="002961D6"/>
    <w:rsid w:val="00296242"/>
    <w:rsid w:val="00296CE6"/>
    <w:rsid w:val="002973DF"/>
    <w:rsid w:val="00297864"/>
    <w:rsid w:val="00297D6A"/>
    <w:rsid w:val="002A0091"/>
    <w:rsid w:val="002A0190"/>
    <w:rsid w:val="002A0702"/>
    <w:rsid w:val="002A0983"/>
    <w:rsid w:val="002A0AFF"/>
    <w:rsid w:val="002A0BF5"/>
    <w:rsid w:val="002A0E8F"/>
    <w:rsid w:val="002A1128"/>
    <w:rsid w:val="002A158C"/>
    <w:rsid w:val="002A1831"/>
    <w:rsid w:val="002A24EB"/>
    <w:rsid w:val="002A2C5E"/>
    <w:rsid w:val="002A2D66"/>
    <w:rsid w:val="002A428E"/>
    <w:rsid w:val="002A42C1"/>
    <w:rsid w:val="002A46FA"/>
    <w:rsid w:val="002A4DC4"/>
    <w:rsid w:val="002A5043"/>
    <w:rsid w:val="002A5227"/>
    <w:rsid w:val="002A52F6"/>
    <w:rsid w:val="002A57BC"/>
    <w:rsid w:val="002A581C"/>
    <w:rsid w:val="002A5A35"/>
    <w:rsid w:val="002A63AF"/>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71D1"/>
    <w:rsid w:val="002B7246"/>
    <w:rsid w:val="002B729C"/>
    <w:rsid w:val="002C0144"/>
    <w:rsid w:val="002C0CAC"/>
    <w:rsid w:val="002C153B"/>
    <w:rsid w:val="002C169A"/>
    <w:rsid w:val="002C1C2A"/>
    <w:rsid w:val="002C1F28"/>
    <w:rsid w:val="002C254B"/>
    <w:rsid w:val="002C25DE"/>
    <w:rsid w:val="002C2686"/>
    <w:rsid w:val="002C26F6"/>
    <w:rsid w:val="002C27E8"/>
    <w:rsid w:val="002C2ACB"/>
    <w:rsid w:val="002C2F60"/>
    <w:rsid w:val="002C349A"/>
    <w:rsid w:val="002C41CB"/>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50DC"/>
    <w:rsid w:val="002D61C8"/>
    <w:rsid w:val="002D629E"/>
    <w:rsid w:val="002D6E9A"/>
    <w:rsid w:val="002D726B"/>
    <w:rsid w:val="002D75DB"/>
    <w:rsid w:val="002E0067"/>
    <w:rsid w:val="002E02D0"/>
    <w:rsid w:val="002E0489"/>
    <w:rsid w:val="002E04C0"/>
    <w:rsid w:val="002E0544"/>
    <w:rsid w:val="002E0F54"/>
    <w:rsid w:val="002E1DF4"/>
    <w:rsid w:val="002E2120"/>
    <w:rsid w:val="002E2C3B"/>
    <w:rsid w:val="002E3206"/>
    <w:rsid w:val="002E3565"/>
    <w:rsid w:val="002E3C37"/>
    <w:rsid w:val="002E4BA7"/>
    <w:rsid w:val="002E4D3D"/>
    <w:rsid w:val="002E516C"/>
    <w:rsid w:val="002E5CA7"/>
    <w:rsid w:val="002E5E64"/>
    <w:rsid w:val="002E668B"/>
    <w:rsid w:val="002E688D"/>
    <w:rsid w:val="002E6A72"/>
    <w:rsid w:val="002E7235"/>
    <w:rsid w:val="002E74C8"/>
    <w:rsid w:val="002E7DEA"/>
    <w:rsid w:val="002F0276"/>
    <w:rsid w:val="002F10E7"/>
    <w:rsid w:val="002F11F9"/>
    <w:rsid w:val="002F1274"/>
    <w:rsid w:val="002F13E0"/>
    <w:rsid w:val="002F16CB"/>
    <w:rsid w:val="002F1742"/>
    <w:rsid w:val="002F1AB0"/>
    <w:rsid w:val="002F1B2F"/>
    <w:rsid w:val="002F29D0"/>
    <w:rsid w:val="002F29E3"/>
    <w:rsid w:val="002F3247"/>
    <w:rsid w:val="002F3C64"/>
    <w:rsid w:val="002F4431"/>
    <w:rsid w:val="002F47E7"/>
    <w:rsid w:val="002F510D"/>
    <w:rsid w:val="002F5F61"/>
    <w:rsid w:val="002F72D0"/>
    <w:rsid w:val="002F7881"/>
    <w:rsid w:val="00300081"/>
    <w:rsid w:val="0030023E"/>
    <w:rsid w:val="0030059B"/>
    <w:rsid w:val="00300983"/>
    <w:rsid w:val="003009DC"/>
    <w:rsid w:val="00300DE8"/>
    <w:rsid w:val="00300FC5"/>
    <w:rsid w:val="003011C0"/>
    <w:rsid w:val="00301277"/>
    <w:rsid w:val="00301837"/>
    <w:rsid w:val="003019CD"/>
    <w:rsid w:val="00302947"/>
    <w:rsid w:val="00302CE7"/>
    <w:rsid w:val="0030341B"/>
    <w:rsid w:val="003034D2"/>
    <w:rsid w:val="0030373E"/>
    <w:rsid w:val="00303A1B"/>
    <w:rsid w:val="00303CEE"/>
    <w:rsid w:val="003043AA"/>
    <w:rsid w:val="003045BE"/>
    <w:rsid w:val="003055D2"/>
    <w:rsid w:val="00305B61"/>
    <w:rsid w:val="00305F53"/>
    <w:rsid w:val="003060F3"/>
    <w:rsid w:val="0030612A"/>
    <w:rsid w:val="00306639"/>
    <w:rsid w:val="003068EC"/>
    <w:rsid w:val="00306C01"/>
    <w:rsid w:val="0030759B"/>
    <w:rsid w:val="003076C4"/>
    <w:rsid w:val="003079A6"/>
    <w:rsid w:val="0031024D"/>
    <w:rsid w:val="003106C8"/>
    <w:rsid w:val="003107CE"/>
    <w:rsid w:val="00310E3F"/>
    <w:rsid w:val="00311270"/>
    <w:rsid w:val="0031165B"/>
    <w:rsid w:val="0031175D"/>
    <w:rsid w:val="003119DD"/>
    <w:rsid w:val="00312297"/>
    <w:rsid w:val="003126AF"/>
    <w:rsid w:val="0031300C"/>
    <w:rsid w:val="0031309E"/>
    <w:rsid w:val="00313367"/>
    <w:rsid w:val="0031354F"/>
    <w:rsid w:val="003136C5"/>
    <w:rsid w:val="00314614"/>
    <w:rsid w:val="00314739"/>
    <w:rsid w:val="00314773"/>
    <w:rsid w:val="00314BD5"/>
    <w:rsid w:val="00314F8A"/>
    <w:rsid w:val="003151F3"/>
    <w:rsid w:val="003152B9"/>
    <w:rsid w:val="003152FA"/>
    <w:rsid w:val="003154DB"/>
    <w:rsid w:val="00315E80"/>
    <w:rsid w:val="00316779"/>
    <w:rsid w:val="0031702D"/>
    <w:rsid w:val="0031703A"/>
    <w:rsid w:val="00317DA5"/>
    <w:rsid w:val="003201D0"/>
    <w:rsid w:val="003205E0"/>
    <w:rsid w:val="00321010"/>
    <w:rsid w:val="00321179"/>
    <w:rsid w:val="00321386"/>
    <w:rsid w:val="00321650"/>
    <w:rsid w:val="00321788"/>
    <w:rsid w:val="00321848"/>
    <w:rsid w:val="003218BC"/>
    <w:rsid w:val="00321A30"/>
    <w:rsid w:val="00321CB3"/>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1023"/>
    <w:rsid w:val="00331306"/>
    <w:rsid w:val="00331659"/>
    <w:rsid w:val="003319C5"/>
    <w:rsid w:val="00331A58"/>
    <w:rsid w:val="003320F9"/>
    <w:rsid w:val="003327BD"/>
    <w:rsid w:val="00333105"/>
    <w:rsid w:val="0033311A"/>
    <w:rsid w:val="00333676"/>
    <w:rsid w:val="003338EB"/>
    <w:rsid w:val="00334398"/>
    <w:rsid w:val="00334446"/>
    <w:rsid w:val="0033444C"/>
    <w:rsid w:val="00334512"/>
    <w:rsid w:val="00334725"/>
    <w:rsid w:val="0033493A"/>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574"/>
    <w:rsid w:val="0034360C"/>
    <w:rsid w:val="00343860"/>
    <w:rsid w:val="003438BC"/>
    <w:rsid w:val="00343AB5"/>
    <w:rsid w:val="003444FD"/>
    <w:rsid w:val="00344CEF"/>
    <w:rsid w:val="00344F44"/>
    <w:rsid w:val="00345034"/>
    <w:rsid w:val="0034511C"/>
    <w:rsid w:val="00345191"/>
    <w:rsid w:val="00345441"/>
    <w:rsid w:val="0034550A"/>
    <w:rsid w:val="00345B7B"/>
    <w:rsid w:val="0034620C"/>
    <w:rsid w:val="00346579"/>
    <w:rsid w:val="00346C22"/>
    <w:rsid w:val="00346C50"/>
    <w:rsid w:val="00347186"/>
    <w:rsid w:val="003474B3"/>
    <w:rsid w:val="00347A1B"/>
    <w:rsid w:val="00347CA3"/>
    <w:rsid w:val="00347F9F"/>
    <w:rsid w:val="00350F2C"/>
    <w:rsid w:val="00351032"/>
    <w:rsid w:val="00351303"/>
    <w:rsid w:val="0035149A"/>
    <w:rsid w:val="00351668"/>
    <w:rsid w:val="00351B41"/>
    <w:rsid w:val="00352775"/>
    <w:rsid w:val="00352F14"/>
    <w:rsid w:val="003530B3"/>
    <w:rsid w:val="00355090"/>
    <w:rsid w:val="0035546F"/>
    <w:rsid w:val="003554BD"/>
    <w:rsid w:val="003554CE"/>
    <w:rsid w:val="00355A18"/>
    <w:rsid w:val="00356586"/>
    <w:rsid w:val="00356792"/>
    <w:rsid w:val="003571E2"/>
    <w:rsid w:val="00357895"/>
    <w:rsid w:val="00360A82"/>
    <w:rsid w:val="00361062"/>
    <w:rsid w:val="003610F5"/>
    <w:rsid w:val="003616F4"/>
    <w:rsid w:val="003617C3"/>
    <w:rsid w:val="003619AE"/>
    <w:rsid w:val="003624D9"/>
    <w:rsid w:val="00362B5E"/>
    <w:rsid w:val="003638E9"/>
    <w:rsid w:val="00363DE6"/>
    <w:rsid w:val="00363F74"/>
    <w:rsid w:val="003643A5"/>
    <w:rsid w:val="003644D1"/>
    <w:rsid w:val="00364A3C"/>
    <w:rsid w:val="00364D97"/>
    <w:rsid w:val="00365093"/>
    <w:rsid w:val="0036533F"/>
    <w:rsid w:val="00365370"/>
    <w:rsid w:val="00365607"/>
    <w:rsid w:val="00365CAF"/>
    <w:rsid w:val="003661C9"/>
    <w:rsid w:val="0036693A"/>
    <w:rsid w:val="00366AFA"/>
    <w:rsid w:val="00366B66"/>
    <w:rsid w:val="00366C31"/>
    <w:rsid w:val="00366E4E"/>
    <w:rsid w:val="00367207"/>
    <w:rsid w:val="00367266"/>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7FB"/>
    <w:rsid w:val="00375820"/>
    <w:rsid w:val="00375B14"/>
    <w:rsid w:val="00375C95"/>
    <w:rsid w:val="00375D85"/>
    <w:rsid w:val="003760FD"/>
    <w:rsid w:val="003769D5"/>
    <w:rsid w:val="00377475"/>
    <w:rsid w:val="00377A8C"/>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40B4"/>
    <w:rsid w:val="00384187"/>
    <w:rsid w:val="0038458A"/>
    <w:rsid w:val="00384744"/>
    <w:rsid w:val="00384900"/>
    <w:rsid w:val="00384D8F"/>
    <w:rsid w:val="00384DCE"/>
    <w:rsid w:val="00384EF8"/>
    <w:rsid w:val="00385ADC"/>
    <w:rsid w:val="00386891"/>
    <w:rsid w:val="00386A21"/>
    <w:rsid w:val="00386E26"/>
    <w:rsid w:val="0038735C"/>
    <w:rsid w:val="003874B4"/>
    <w:rsid w:val="00387631"/>
    <w:rsid w:val="00387823"/>
    <w:rsid w:val="00387FAE"/>
    <w:rsid w:val="00390044"/>
    <w:rsid w:val="003903FB"/>
    <w:rsid w:val="00390644"/>
    <w:rsid w:val="0039066F"/>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94C"/>
    <w:rsid w:val="00393E76"/>
    <w:rsid w:val="00393FA8"/>
    <w:rsid w:val="00394FE8"/>
    <w:rsid w:val="00395069"/>
    <w:rsid w:val="00395344"/>
    <w:rsid w:val="003955AD"/>
    <w:rsid w:val="00395A0A"/>
    <w:rsid w:val="00396674"/>
    <w:rsid w:val="00396C46"/>
    <w:rsid w:val="00397520"/>
    <w:rsid w:val="00397BF1"/>
    <w:rsid w:val="00397FCB"/>
    <w:rsid w:val="003A0A67"/>
    <w:rsid w:val="003A1273"/>
    <w:rsid w:val="003A1596"/>
    <w:rsid w:val="003A164E"/>
    <w:rsid w:val="003A1FEA"/>
    <w:rsid w:val="003A21D8"/>
    <w:rsid w:val="003A27D5"/>
    <w:rsid w:val="003A3195"/>
    <w:rsid w:val="003A344A"/>
    <w:rsid w:val="003A3622"/>
    <w:rsid w:val="003A36D4"/>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DFF"/>
    <w:rsid w:val="003A7FD9"/>
    <w:rsid w:val="003B00E9"/>
    <w:rsid w:val="003B02DF"/>
    <w:rsid w:val="003B099A"/>
    <w:rsid w:val="003B0A8B"/>
    <w:rsid w:val="003B1002"/>
    <w:rsid w:val="003B1083"/>
    <w:rsid w:val="003B12DB"/>
    <w:rsid w:val="003B1C5D"/>
    <w:rsid w:val="003B1EAD"/>
    <w:rsid w:val="003B1F1C"/>
    <w:rsid w:val="003B2120"/>
    <w:rsid w:val="003B23A8"/>
    <w:rsid w:val="003B292A"/>
    <w:rsid w:val="003B31FD"/>
    <w:rsid w:val="003B3822"/>
    <w:rsid w:val="003B3BAD"/>
    <w:rsid w:val="003B3E6E"/>
    <w:rsid w:val="003B3F02"/>
    <w:rsid w:val="003B3F64"/>
    <w:rsid w:val="003B4216"/>
    <w:rsid w:val="003B43A2"/>
    <w:rsid w:val="003B4644"/>
    <w:rsid w:val="003B4B26"/>
    <w:rsid w:val="003B4E29"/>
    <w:rsid w:val="003B5306"/>
    <w:rsid w:val="003B5757"/>
    <w:rsid w:val="003B6179"/>
    <w:rsid w:val="003B69D0"/>
    <w:rsid w:val="003B6A8D"/>
    <w:rsid w:val="003B7B4D"/>
    <w:rsid w:val="003C0125"/>
    <w:rsid w:val="003C02E0"/>
    <w:rsid w:val="003C03F7"/>
    <w:rsid w:val="003C05CD"/>
    <w:rsid w:val="003C0DCD"/>
    <w:rsid w:val="003C0FE5"/>
    <w:rsid w:val="003C1A9A"/>
    <w:rsid w:val="003C1CAF"/>
    <w:rsid w:val="003C22D4"/>
    <w:rsid w:val="003C23EF"/>
    <w:rsid w:val="003C29AF"/>
    <w:rsid w:val="003C2BDB"/>
    <w:rsid w:val="003C3481"/>
    <w:rsid w:val="003C3B78"/>
    <w:rsid w:val="003C3F73"/>
    <w:rsid w:val="003C40A2"/>
    <w:rsid w:val="003C4BB8"/>
    <w:rsid w:val="003C5027"/>
    <w:rsid w:val="003C5519"/>
    <w:rsid w:val="003C5A97"/>
    <w:rsid w:val="003C616B"/>
    <w:rsid w:val="003C681D"/>
    <w:rsid w:val="003C6A7B"/>
    <w:rsid w:val="003C6BED"/>
    <w:rsid w:val="003C7560"/>
    <w:rsid w:val="003C7965"/>
    <w:rsid w:val="003C7D06"/>
    <w:rsid w:val="003C7EF7"/>
    <w:rsid w:val="003D03D1"/>
    <w:rsid w:val="003D0E1F"/>
    <w:rsid w:val="003D1182"/>
    <w:rsid w:val="003D1806"/>
    <w:rsid w:val="003D1973"/>
    <w:rsid w:val="003D1A9A"/>
    <w:rsid w:val="003D1AE0"/>
    <w:rsid w:val="003D1B4D"/>
    <w:rsid w:val="003D22DA"/>
    <w:rsid w:val="003D26D6"/>
    <w:rsid w:val="003D2B6D"/>
    <w:rsid w:val="003D3779"/>
    <w:rsid w:val="003D3B12"/>
    <w:rsid w:val="003D3CF9"/>
    <w:rsid w:val="003D425A"/>
    <w:rsid w:val="003D4866"/>
    <w:rsid w:val="003D4B7E"/>
    <w:rsid w:val="003D507A"/>
    <w:rsid w:val="003D5107"/>
    <w:rsid w:val="003D6280"/>
    <w:rsid w:val="003D63C3"/>
    <w:rsid w:val="003D6659"/>
    <w:rsid w:val="003D66CB"/>
    <w:rsid w:val="003D687A"/>
    <w:rsid w:val="003D6E45"/>
    <w:rsid w:val="003D7633"/>
    <w:rsid w:val="003D7A2D"/>
    <w:rsid w:val="003D7C91"/>
    <w:rsid w:val="003E043F"/>
    <w:rsid w:val="003E04C7"/>
    <w:rsid w:val="003E07E8"/>
    <w:rsid w:val="003E07F1"/>
    <w:rsid w:val="003E0E8C"/>
    <w:rsid w:val="003E113F"/>
    <w:rsid w:val="003E1418"/>
    <w:rsid w:val="003E1F18"/>
    <w:rsid w:val="003E3102"/>
    <w:rsid w:val="003E37A4"/>
    <w:rsid w:val="003E3DD7"/>
    <w:rsid w:val="003E4435"/>
    <w:rsid w:val="003E4979"/>
    <w:rsid w:val="003E4B79"/>
    <w:rsid w:val="003E4B85"/>
    <w:rsid w:val="003E4C9F"/>
    <w:rsid w:val="003E581F"/>
    <w:rsid w:val="003E5C72"/>
    <w:rsid w:val="003E5F16"/>
    <w:rsid w:val="003E634D"/>
    <w:rsid w:val="003E64BB"/>
    <w:rsid w:val="003E685D"/>
    <w:rsid w:val="003E693C"/>
    <w:rsid w:val="003E6AC1"/>
    <w:rsid w:val="003E7EEA"/>
    <w:rsid w:val="003F01E7"/>
    <w:rsid w:val="003F0A73"/>
    <w:rsid w:val="003F18CF"/>
    <w:rsid w:val="003F1E48"/>
    <w:rsid w:val="003F2BFE"/>
    <w:rsid w:val="003F3A44"/>
    <w:rsid w:val="003F42D2"/>
    <w:rsid w:val="003F45D9"/>
    <w:rsid w:val="003F5F0A"/>
    <w:rsid w:val="003F6DF4"/>
    <w:rsid w:val="003F7022"/>
    <w:rsid w:val="003F7263"/>
    <w:rsid w:val="003F73C7"/>
    <w:rsid w:val="003F7D77"/>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2D71"/>
    <w:rsid w:val="00403226"/>
    <w:rsid w:val="00403827"/>
    <w:rsid w:val="004040E3"/>
    <w:rsid w:val="0040440B"/>
    <w:rsid w:val="00404D4D"/>
    <w:rsid w:val="00404D9C"/>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795"/>
    <w:rsid w:val="00410DEC"/>
    <w:rsid w:val="00410E10"/>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936"/>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516"/>
    <w:rsid w:val="00440891"/>
    <w:rsid w:val="004412E5"/>
    <w:rsid w:val="004415FC"/>
    <w:rsid w:val="00441989"/>
    <w:rsid w:val="00441DBA"/>
    <w:rsid w:val="00442112"/>
    <w:rsid w:val="00442314"/>
    <w:rsid w:val="00442822"/>
    <w:rsid w:val="00442A1E"/>
    <w:rsid w:val="00442E6F"/>
    <w:rsid w:val="00442FFB"/>
    <w:rsid w:val="004437F3"/>
    <w:rsid w:val="00443A3A"/>
    <w:rsid w:val="00443A81"/>
    <w:rsid w:val="00443AE0"/>
    <w:rsid w:val="00443D1A"/>
    <w:rsid w:val="004442B1"/>
    <w:rsid w:val="004443FB"/>
    <w:rsid w:val="00444465"/>
    <w:rsid w:val="0044475F"/>
    <w:rsid w:val="0044476D"/>
    <w:rsid w:val="00445064"/>
    <w:rsid w:val="00445172"/>
    <w:rsid w:val="00446D2D"/>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7142"/>
    <w:rsid w:val="004573A4"/>
    <w:rsid w:val="00457493"/>
    <w:rsid w:val="00457958"/>
    <w:rsid w:val="0046115F"/>
    <w:rsid w:val="0046148D"/>
    <w:rsid w:val="00461535"/>
    <w:rsid w:val="004619B9"/>
    <w:rsid w:val="004619E2"/>
    <w:rsid w:val="00461CE1"/>
    <w:rsid w:val="004627CF"/>
    <w:rsid w:val="00462977"/>
    <w:rsid w:val="00462AC9"/>
    <w:rsid w:val="00462BE1"/>
    <w:rsid w:val="00462DBA"/>
    <w:rsid w:val="004635B7"/>
    <w:rsid w:val="00464027"/>
    <w:rsid w:val="004641CB"/>
    <w:rsid w:val="0046443B"/>
    <w:rsid w:val="00464BC7"/>
    <w:rsid w:val="004651B8"/>
    <w:rsid w:val="00465475"/>
    <w:rsid w:val="00465580"/>
    <w:rsid w:val="00465972"/>
    <w:rsid w:val="00465CC5"/>
    <w:rsid w:val="00465E7E"/>
    <w:rsid w:val="00466BB5"/>
    <w:rsid w:val="004672E8"/>
    <w:rsid w:val="0046761C"/>
    <w:rsid w:val="004677E9"/>
    <w:rsid w:val="00470535"/>
    <w:rsid w:val="004705A4"/>
    <w:rsid w:val="004708F6"/>
    <w:rsid w:val="00470CFF"/>
    <w:rsid w:val="00471018"/>
    <w:rsid w:val="00471183"/>
    <w:rsid w:val="0047123C"/>
    <w:rsid w:val="0047136A"/>
    <w:rsid w:val="004714F6"/>
    <w:rsid w:val="0047289C"/>
    <w:rsid w:val="00472E22"/>
    <w:rsid w:val="00472F67"/>
    <w:rsid w:val="004739A1"/>
    <w:rsid w:val="0047430D"/>
    <w:rsid w:val="00474925"/>
    <w:rsid w:val="00474FDF"/>
    <w:rsid w:val="00475688"/>
    <w:rsid w:val="004758F6"/>
    <w:rsid w:val="004759E3"/>
    <w:rsid w:val="00475B89"/>
    <w:rsid w:val="00475C51"/>
    <w:rsid w:val="00476161"/>
    <w:rsid w:val="00476503"/>
    <w:rsid w:val="00476658"/>
    <w:rsid w:val="00476E34"/>
    <w:rsid w:val="00476EE1"/>
    <w:rsid w:val="00477163"/>
    <w:rsid w:val="00477B0E"/>
    <w:rsid w:val="00477BE2"/>
    <w:rsid w:val="00480336"/>
    <w:rsid w:val="00481688"/>
    <w:rsid w:val="004820E0"/>
    <w:rsid w:val="004822CA"/>
    <w:rsid w:val="00483F95"/>
    <w:rsid w:val="0048435D"/>
    <w:rsid w:val="00484BAC"/>
    <w:rsid w:val="00484D20"/>
    <w:rsid w:val="004850C1"/>
    <w:rsid w:val="004850E9"/>
    <w:rsid w:val="00485C46"/>
    <w:rsid w:val="00486F54"/>
    <w:rsid w:val="004871B4"/>
    <w:rsid w:val="004876B9"/>
    <w:rsid w:val="004876DD"/>
    <w:rsid w:val="00487D65"/>
    <w:rsid w:val="0049178A"/>
    <w:rsid w:val="00491C1D"/>
    <w:rsid w:val="00491DF1"/>
    <w:rsid w:val="0049227A"/>
    <w:rsid w:val="00492535"/>
    <w:rsid w:val="00493435"/>
    <w:rsid w:val="00493C1E"/>
    <w:rsid w:val="00494B28"/>
    <w:rsid w:val="00495411"/>
    <w:rsid w:val="00495FFF"/>
    <w:rsid w:val="00496A9F"/>
    <w:rsid w:val="00496D10"/>
    <w:rsid w:val="00497352"/>
    <w:rsid w:val="00497358"/>
    <w:rsid w:val="00497FA5"/>
    <w:rsid w:val="004A03B3"/>
    <w:rsid w:val="004A04D5"/>
    <w:rsid w:val="004A0986"/>
    <w:rsid w:val="004A12D1"/>
    <w:rsid w:val="004A1B07"/>
    <w:rsid w:val="004A2E04"/>
    <w:rsid w:val="004A31AE"/>
    <w:rsid w:val="004A3226"/>
    <w:rsid w:val="004A399F"/>
    <w:rsid w:val="004A3B8F"/>
    <w:rsid w:val="004A3FDD"/>
    <w:rsid w:val="004A4096"/>
    <w:rsid w:val="004A466A"/>
    <w:rsid w:val="004A4692"/>
    <w:rsid w:val="004A4F2E"/>
    <w:rsid w:val="004A669F"/>
    <w:rsid w:val="004A6842"/>
    <w:rsid w:val="004A718C"/>
    <w:rsid w:val="004A71BE"/>
    <w:rsid w:val="004A7DBE"/>
    <w:rsid w:val="004A7F94"/>
    <w:rsid w:val="004B08AC"/>
    <w:rsid w:val="004B09D4"/>
    <w:rsid w:val="004B0A66"/>
    <w:rsid w:val="004B0D88"/>
    <w:rsid w:val="004B0DE7"/>
    <w:rsid w:val="004B1616"/>
    <w:rsid w:val="004B1CB6"/>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201"/>
    <w:rsid w:val="004B6928"/>
    <w:rsid w:val="004B79FA"/>
    <w:rsid w:val="004B7D94"/>
    <w:rsid w:val="004C0FB7"/>
    <w:rsid w:val="004C104B"/>
    <w:rsid w:val="004C164A"/>
    <w:rsid w:val="004C2E14"/>
    <w:rsid w:val="004C2FE3"/>
    <w:rsid w:val="004C305A"/>
    <w:rsid w:val="004C35EF"/>
    <w:rsid w:val="004C3BCF"/>
    <w:rsid w:val="004C4829"/>
    <w:rsid w:val="004C4D30"/>
    <w:rsid w:val="004C4EAB"/>
    <w:rsid w:val="004C5570"/>
    <w:rsid w:val="004C593D"/>
    <w:rsid w:val="004C5BD0"/>
    <w:rsid w:val="004C5D52"/>
    <w:rsid w:val="004C5DB0"/>
    <w:rsid w:val="004C60D8"/>
    <w:rsid w:val="004C62EE"/>
    <w:rsid w:val="004C6A0D"/>
    <w:rsid w:val="004C6D3F"/>
    <w:rsid w:val="004C7075"/>
    <w:rsid w:val="004D1000"/>
    <w:rsid w:val="004D1D27"/>
    <w:rsid w:val="004D2622"/>
    <w:rsid w:val="004D2EC3"/>
    <w:rsid w:val="004D2FF6"/>
    <w:rsid w:val="004D384E"/>
    <w:rsid w:val="004D3DDA"/>
    <w:rsid w:val="004D3FD6"/>
    <w:rsid w:val="004D405F"/>
    <w:rsid w:val="004D4F6E"/>
    <w:rsid w:val="004D55CA"/>
    <w:rsid w:val="004D5A27"/>
    <w:rsid w:val="004D5F0E"/>
    <w:rsid w:val="004D62FE"/>
    <w:rsid w:val="004D63F9"/>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34C7"/>
    <w:rsid w:val="004E356A"/>
    <w:rsid w:val="004E375D"/>
    <w:rsid w:val="004E3850"/>
    <w:rsid w:val="004E3DCD"/>
    <w:rsid w:val="004E3FC1"/>
    <w:rsid w:val="004E403A"/>
    <w:rsid w:val="004E58EA"/>
    <w:rsid w:val="004E5F65"/>
    <w:rsid w:val="004E6C7A"/>
    <w:rsid w:val="004E7615"/>
    <w:rsid w:val="004E780E"/>
    <w:rsid w:val="004E79FF"/>
    <w:rsid w:val="004E7CDF"/>
    <w:rsid w:val="004F071F"/>
    <w:rsid w:val="004F078C"/>
    <w:rsid w:val="004F1324"/>
    <w:rsid w:val="004F1C7D"/>
    <w:rsid w:val="004F1D24"/>
    <w:rsid w:val="004F21D2"/>
    <w:rsid w:val="004F2641"/>
    <w:rsid w:val="004F27F3"/>
    <w:rsid w:val="004F29B9"/>
    <w:rsid w:val="004F2A24"/>
    <w:rsid w:val="004F2B8E"/>
    <w:rsid w:val="004F2C85"/>
    <w:rsid w:val="004F310E"/>
    <w:rsid w:val="004F32BF"/>
    <w:rsid w:val="004F3736"/>
    <w:rsid w:val="004F3E6A"/>
    <w:rsid w:val="004F416F"/>
    <w:rsid w:val="004F469D"/>
    <w:rsid w:val="004F5346"/>
    <w:rsid w:val="004F5BA0"/>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EBE"/>
    <w:rsid w:val="005032EB"/>
    <w:rsid w:val="00503551"/>
    <w:rsid w:val="005035A2"/>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0F8F"/>
    <w:rsid w:val="00511EBC"/>
    <w:rsid w:val="005125D5"/>
    <w:rsid w:val="00512CAF"/>
    <w:rsid w:val="00512D51"/>
    <w:rsid w:val="00512DB8"/>
    <w:rsid w:val="00512E95"/>
    <w:rsid w:val="0051301F"/>
    <w:rsid w:val="00513BC1"/>
    <w:rsid w:val="00514674"/>
    <w:rsid w:val="0051477F"/>
    <w:rsid w:val="00514962"/>
    <w:rsid w:val="00514C46"/>
    <w:rsid w:val="0051550C"/>
    <w:rsid w:val="00515B94"/>
    <w:rsid w:val="00515BCF"/>
    <w:rsid w:val="00515E20"/>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2133"/>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1D12"/>
    <w:rsid w:val="00531DCF"/>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0B20"/>
    <w:rsid w:val="00541307"/>
    <w:rsid w:val="005416F2"/>
    <w:rsid w:val="00541B60"/>
    <w:rsid w:val="00541DB8"/>
    <w:rsid w:val="00541F9A"/>
    <w:rsid w:val="00542599"/>
    <w:rsid w:val="005427EC"/>
    <w:rsid w:val="00542EB4"/>
    <w:rsid w:val="005437F2"/>
    <w:rsid w:val="005448B9"/>
    <w:rsid w:val="00545136"/>
    <w:rsid w:val="005452C1"/>
    <w:rsid w:val="0054569B"/>
    <w:rsid w:val="00545B42"/>
    <w:rsid w:val="0054612B"/>
    <w:rsid w:val="0054684B"/>
    <w:rsid w:val="00546D72"/>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5A2"/>
    <w:rsid w:val="005558C4"/>
    <w:rsid w:val="00555FC3"/>
    <w:rsid w:val="00556027"/>
    <w:rsid w:val="00556506"/>
    <w:rsid w:val="0055659A"/>
    <w:rsid w:val="00556731"/>
    <w:rsid w:val="00556A54"/>
    <w:rsid w:val="00557401"/>
    <w:rsid w:val="0055747C"/>
    <w:rsid w:val="00557D41"/>
    <w:rsid w:val="00557F5B"/>
    <w:rsid w:val="00557FE2"/>
    <w:rsid w:val="00560729"/>
    <w:rsid w:val="00560A86"/>
    <w:rsid w:val="00561088"/>
    <w:rsid w:val="00561C64"/>
    <w:rsid w:val="0056218D"/>
    <w:rsid w:val="00562887"/>
    <w:rsid w:val="00562EAD"/>
    <w:rsid w:val="00563222"/>
    <w:rsid w:val="00563AEB"/>
    <w:rsid w:val="00564654"/>
    <w:rsid w:val="00564775"/>
    <w:rsid w:val="00564C1E"/>
    <w:rsid w:val="00565AA1"/>
    <w:rsid w:val="005669A3"/>
    <w:rsid w:val="00566C28"/>
    <w:rsid w:val="00566CA0"/>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A72"/>
    <w:rsid w:val="0058107B"/>
    <w:rsid w:val="005810ED"/>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4CD"/>
    <w:rsid w:val="00587597"/>
    <w:rsid w:val="00587B7F"/>
    <w:rsid w:val="0059077B"/>
    <w:rsid w:val="00590D18"/>
    <w:rsid w:val="00590EDD"/>
    <w:rsid w:val="00591988"/>
    <w:rsid w:val="00591ACB"/>
    <w:rsid w:val="00591D2D"/>
    <w:rsid w:val="005921C8"/>
    <w:rsid w:val="005922A3"/>
    <w:rsid w:val="0059239E"/>
    <w:rsid w:val="005924DB"/>
    <w:rsid w:val="005929E8"/>
    <w:rsid w:val="00592A2E"/>
    <w:rsid w:val="00592E24"/>
    <w:rsid w:val="00593155"/>
    <w:rsid w:val="0059353B"/>
    <w:rsid w:val="005937C0"/>
    <w:rsid w:val="005938DB"/>
    <w:rsid w:val="00593C6F"/>
    <w:rsid w:val="005949FB"/>
    <w:rsid w:val="00594C1A"/>
    <w:rsid w:val="005950B7"/>
    <w:rsid w:val="00595106"/>
    <w:rsid w:val="00595692"/>
    <w:rsid w:val="00595AE7"/>
    <w:rsid w:val="00595B7B"/>
    <w:rsid w:val="00596020"/>
    <w:rsid w:val="0059632F"/>
    <w:rsid w:val="00596842"/>
    <w:rsid w:val="00596A85"/>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F1D"/>
    <w:rsid w:val="005A30FC"/>
    <w:rsid w:val="005A3394"/>
    <w:rsid w:val="005A3B6C"/>
    <w:rsid w:val="005A403A"/>
    <w:rsid w:val="005A43BE"/>
    <w:rsid w:val="005A459A"/>
    <w:rsid w:val="005A4624"/>
    <w:rsid w:val="005A4726"/>
    <w:rsid w:val="005A4BA5"/>
    <w:rsid w:val="005A5011"/>
    <w:rsid w:val="005A501A"/>
    <w:rsid w:val="005A508D"/>
    <w:rsid w:val="005A5383"/>
    <w:rsid w:val="005A5A65"/>
    <w:rsid w:val="005A5B6F"/>
    <w:rsid w:val="005A60BA"/>
    <w:rsid w:val="005A761B"/>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0898"/>
    <w:rsid w:val="005C0F1C"/>
    <w:rsid w:val="005C12AC"/>
    <w:rsid w:val="005C1C90"/>
    <w:rsid w:val="005C1CEF"/>
    <w:rsid w:val="005C2209"/>
    <w:rsid w:val="005C2462"/>
    <w:rsid w:val="005C2D12"/>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D60"/>
    <w:rsid w:val="005D2052"/>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7D2"/>
    <w:rsid w:val="005E1BB5"/>
    <w:rsid w:val="005E1BD6"/>
    <w:rsid w:val="005E20C5"/>
    <w:rsid w:val="005E20D0"/>
    <w:rsid w:val="005E2381"/>
    <w:rsid w:val="005E2A79"/>
    <w:rsid w:val="005E2D15"/>
    <w:rsid w:val="005E2EDB"/>
    <w:rsid w:val="005E2FB1"/>
    <w:rsid w:val="005E30D5"/>
    <w:rsid w:val="005E3850"/>
    <w:rsid w:val="005E3EB4"/>
    <w:rsid w:val="005E40C8"/>
    <w:rsid w:val="005E41B6"/>
    <w:rsid w:val="005E43DF"/>
    <w:rsid w:val="005E48DE"/>
    <w:rsid w:val="005E566F"/>
    <w:rsid w:val="005E631D"/>
    <w:rsid w:val="005E633A"/>
    <w:rsid w:val="005E64AF"/>
    <w:rsid w:val="005E66DC"/>
    <w:rsid w:val="005E6BE9"/>
    <w:rsid w:val="005E71A5"/>
    <w:rsid w:val="005E777B"/>
    <w:rsid w:val="005E7F2B"/>
    <w:rsid w:val="005F03D5"/>
    <w:rsid w:val="005F046C"/>
    <w:rsid w:val="005F0860"/>
    <w:rsid w:val="005F14A7"/>
    <w:rsid w:val="005F1AC1"/>
    <w:rsid w:val="005F1B20"/>
    <w:rsid w:val="005F1E18"/>
    <w:rsid w:val="005F27E0"/>
    <w:rsid w:val="005F29C0"/>
    <w:rsid w:val="005F2A66"/>
    <w:rsid w:val="005F2B32"/>
    <w:rsid w:val="005F2B4D"/>
    <w:rsid w:val="005F3176"/>
    <w:rsid w:val="005F3549"/>
    <w:rsid w:val="005F3D8C"/>
    <w:rsid w:val="005F3E7A"/>
    <w:rsid w:val="005F4D37"/>
    <w:rsid w:val="005F54B4"/>
    <w:rsid w:val="005F5576"/>
    <w:rsid w:val="005F5A4E"/>
    <w:rsid w:val="005F5A6F"/>
    <w:rsid w:val="005F5C6D"/>
    <w:rsid w:val="005F5E8E"/>
    <w:rsid w:val="005F60E6"/>
    <w:rsid w:val="005F61DD"/>
    <w:rsid w:val="005F764A"/>
    <w:rsid w:val="0060008E"/>
    <w:rsid w:val="006005C1"/>
    <w:rsid w:val="00600731"/>
    <w:rsid w:val="00600AC6"/>
    <w:rsid w:val="006011A0"/>
    <w:rsid w:val="006012AC"/>
    <w:rsid w:val="00601300"/>
    <w:rsid w:val="00601EF1"/>
    <w:rsid w:val="00602829"/>
    <w:rsid w:val="00602A78"/>
    <w:rsid w:val="00602B8C"/>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536"/>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C0E"/>
    <w:rsid w:val="00615E77"/>
    <w:rsid w:val="0061617E"/>
    <w:rsid w:val="006162A3"/>
    <w:rsid w:val="00616307"/>
    <w:rsid w:val="00616AC5"/>
    <w:rsid w:val="00616C7D"/>
    <w:rsid w:val="0061735F"/>
    <w:rsid w:val="006175DD"/>
    <w:rsid w:val="00617602"/>
    <w:rsid w:val="00617B42"/>
    <w:rsid w:val="006200B5"/>
    <w:rsid w:val="0062031E"/>
    <w:rsid w:val="006205E1"/>
    <w:rsid w:val="006208EE"/>
    <w:rsid w:val="0062091D"/>
    <w:rsid w:val="00620C44"/>
    <w:rsid w:val="0062100E"/>
    <w:rsid w:val="006211A5"/>
    <w:rsid w:val="006219BC"/>
    <w:rsid w:val="00622789"/>
    <w:rsid w:val="006233C1"/>
    <w:rsid w:val="00623424"/>
    <w:rsid w:val="00623A6D"/>
    <w:rsid w:val="00624395"/>
    <w:rsid w:val="0062460B"/>
    <w:rsid w:val="00624649"/>
    <w:rsid w:val="006249A7"/>
    <w:rsid w:val="006249D1"/>
    <w:rsid w:val="00624D4F"/>
    <w:rsid w:val="00624E15"/>
    <w:rsid w:val="00625713"/>
    <w:rsid w:val="00625B22"/>
    <w:rsid w:val="00625C53"/>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716"/>
    <w:rsid w:val="0063179F"/>
    <w:rsid w:val="006317A4"/>
    <w:rsid w:val="00632259"/>
    <w:rsid w:val="00632488"/>
    <w:rsid w:val="00632765"/>
    <w:rsid w:val="00632DD8"/>
    <w:rsid w:val="0063303A"/>
    <w:rsid w:val="006338DA"/>
    <w:rsid w:val="0063390C"/>
    <w:rsid w:val="00633A5E"/>
    <w:rsid w:val="00633BD8"/>
    <w:rsid w:val="00633F2B"/>
    <w:rsid w:val="00633F74"/>
    <w:rsid w:val="0063419A"/>
    <w:rsid w:val="00634BA0"/>
    <w:rsid w:val="00634DB1"/>
    <w:rsid w:val="00634F06"/>
    <w:rsid w:val="00635AEB"/>
    <w:rsid w:val="00636EF8"/>
    <w:rsid w:val="00636FEF"/>
    <w:rsid w:val="0063715F"/>
    <w:rsid w:val="006377DB"/>
    <w:rsid w:val="00637AD6"/>
    <w:rsid w:val="006405A2"/>
    <w:rsid w:val="00640699"/>
    <w:rsid w:val="00640702"/>
    <w:rsid w:val="0064096C"/>
    <w:rsid w:val="006417E0"/>
    <w:rsid w:val="006418D2"/>
    <w:rsid w:val="006419D4"/>
    <w:rsid w:val="00641E1E"/>
    <w:rsid w:val="00642453"/>
    <w:rsid w:val="00642729"/>
    <w:rsid w:val="006433DE"/>
    <w:rsid w:val="006441EC"/>
    <w:rsid w:val="00644277"/>
    <w:rsid w:val="006443B2"/>
    <w:rsid w:val="0064457D"/>
    <w:rsid w:val="006447A9"/>
    <w:rsid w:val="00645210"/>
    <w:rsid w:val="00645933"/>
    <w:rsid w:val="006459B3"/>
    <w:rsid w:val="00645D57"/>
    <w:rsid w:val="00646970"/>
    <w:rsid w:val="00646ED1"/>
    <w:rsid w:val="00646FDD"/>
    <w:rsid w:val="00647C38"/>
    <w:rsid w:val="00647C77"/>
    <w:rsid w:val="00647D39"/>
    <w:rsid w:val="00647DCE"/>
    <w:rsid w:val="006500A2"/>
    <w:rsid w:val="00650149"/>
    <w:rsid w:val="0065058D"/>
    <w:rsid w:val="00650A97"/>
    <w:rsid w:val="00650C5E"/>
    <w:rsid w:val="00650EBA"/>
    <w:rsid w:val="00651147"/>
    <w:rsid w:val="0065131D"/>
    <w:rsid w:val="006515BF"/>
    <w:rsid w:val="00651DC1"/>
    <w:rsid w:val="00651FD6"/>
    <w:rsid w:val="0065234B"/>
    <w:rsid w:val="0065252C"/>
    <w:rsid w:val="00653278"/>
    <w:rsid w:val="006533FF"/>
    <w:rsid w:val="00653AC4"/>
    <w:rsid w:val="00653C52"/>
    <w:rsid w:val="006540C1"/>
    <w:rsid w:val="0065419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74C"/>
    <w:rsid w:val="00662932"/>
    <w:rsid w:val="00662A70"/>
    <w:rsid w:val="00662AF9"/>
    <w:rsid w:val="00662C14"/>
    <w:rsid w:val="00662C97"/>
    <w:rsid w:val="00662CBB"/>
    <w:rsid w:val="00662F3E"/>
    <w:rsid w:val="0066337D"/>
    <w:rsid w:val="00663666"/>
    <w:rsid w:val="0066398B"/>
    <w:rsid w:val="00663A91"/>
    <w:rsid w:val="00663F53"/>
    <w:rsid w:val="006640E1"/>
    <w:rsid w:val="006647E0"/>
    <w:rsid w:val="0066486A"/>
    <w:rsid w:val="00664A42"/>
    <w:rsid w:val="0066527F"/>
    <w:rsid w:val="0066611A"/>
    <w:rsid w:val="006663EF"/>
    <w:rsid w:val="00666754"/>
    <w:rsid w:val="00666859"/>
    <w:rsid w:val="00666AEA"/>
    <w:rsid w:val="00667ADE"/>
    <w:rsid w:val="00667F38"/>
    <w:rsid w:val="00667FB2"/>
    <w:rsid w:val="0067072F"/>
    <w:rsid w:val="00670D2E"/>
    <w:rsid w:val="00671D3B"/>
    <w:rsid w:val="0067269F"/>
    <w:rsid w:val="006726CB"/>
    <w:rsid w:val="0067272F"/>
    <w:rsid w:val="0067317F"/>
    <w:rsid w:val="00673BA4"/>
    <w:rsid w:val="00674A4D"/>
    <w:rsid w:val="00674A98"/>
    <w:rsid w:val="00674C5D"/>
    <w:rsid w:val="00674ED8"/>
    <w:rsid w:val="006752CD"/>
    <w:rsid w:val="00675793"/>
    <w:rsid w:val="00675C5E"/>
    <w:rsid w:val="00676F0B"/>
    <w:rsid w:val="00677137"/>
    <w:rsid w:val="006773D1"/>
    <w:rsid w:val="0067756A"/>
    <w:rsid w:val="00677A5F"/>
    <w:rsid w:val="00677F31"/>
    <w:rsid w:val="006801BB"/>
    <w:rsid w:val="006802E3"/>
    <w:rsid w:val="00680CC6"/>
    <w:rsid w:val="0068241B"/>
    <w:rsid w:val="00682DA7"/>
    <w:rsid w:val="006834C7"/>
    <w:rsid w:val="00683889"/>
    <w:rsid w:val="006842A2"/>
    <w:rsid w:val="0068432E"/>
    <w:rsid w:val="006848BB"/>
    <w:rsid w:val="006849A8"/>
    <w:rsid w:val="00685075"/>
    <w:rsid w:val="00685339"/>
    <w:rsid w:val="00685597"/>
    <w:rsid w:val="00686338"/>
    <w:rsid w:val="0068675E"/>
    <w:rsid w:val="00687039"/>
    <w:rsid w:val="0068731C"/>
    <w:rsid w:val="0068756A"/>
    <w:rsid w:val="00687633"/>
    <w:rsid w:val="00687B81"/>
    <w:rsid w:val="006904AD"/>
    <w:rsid w:val="006905F1"/>
    <w:rsid w:val="00691201"/>
    <w:rsid w:val="006912E6"/>
    <w:rsid w:val="006914E9"/>
    <w:rsid w:val="006915C2"/>
    <w:rsid w:val="00691815"/>
    <w:rsid w:val="00691E51"/>
    <w:rsid w:val="006920CA"/>
    <w:rsid w:val="006927F0"/>
    <w:rsid w:val="00692C4E"/>
    <w:rsid w:val="006936DB"/>
    <w:rsid w:val="00693801"/>
    <w:rsid w:val="00693EE3"/>
    <w:rsid w:val="006944B8"/>
    <w:rsid w:val="00694706"/>
    <w:rsid w:val="00694DF8"/>
    <w:rsid w:val="006956E0"/>
    <w:rsid w:val="00695D3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0AD"/>
    <w:rsid w:val="006A7444"/>
    <w:rsid w:val="006A777A"/>
    <w:rsid w:val="006A7AE9"/>
    <w:rsid w:val="006A7C9D"/>
    <w:rsid w:val="006B0264"/>
    <w:rsid w:val="006B02F4"/>
    <w:rsid w:val="006B05F6"/>
    <w:rsid w:val="006B0627"/>
    <w:rsid w:val="006B10C7"/>
    <w:rsid w:val="006B15C1"/>
    <w:rsid w:val="006B178E"/>
    <w:rsid w:val="006B1942"/>
    <w:rsid w:val="006B19FD"/>
    <w:rsid w:val="006B1E59"/>
    <w:rsid w:val="006B2229"/>
    <w:rsid w:val="006B2995"/>
    <w:rsid w:val="006B2E08"/>
    <w:rsid w:val="006B2F13"/>
    <w:rsid w:val="006B3029"/>
    <w:rsid w:val="006B32B9"/>
    <w:rsid w:val="006B3843"/>
    <w:rsid w:val="006B3EFD"/>
    <w:rsid w:val="006B3F3A"/>
    <w:rsid w:val="006B40C8"/>
    <w:rsid w:val="006B472A"/>
    <w:rsid w:val="006B4A86"/>
    <w:rsid w:val="006B549F"/>
    <w:rsid w:val="006B65CB"/>
    <w:rsid w:val="006B689C"/>
    <w:rsid w:val="006B765D"/>
    <w:rsid w:val="006C0867"/>
    <w:rsid w:val="006C12B3"/>
    <w:rsid w:val="006C12F3"/>
    <w:rsid w:val="006C1752"/>
    <w:rsid w:val="006C1C22"/>
    <w:rsid w:val="006C1FB2"/>
    <w:rsid w:val="006C215A"/>
    <w:rsid w:val="006C24C7"/>
    <w:rsid w:val="006C2503"/>
    <w:rsid w:val="006C255C"/>
    <w:rsid w:val="006C273C"/>
    <w:rsid w:val="006C2A55"/>
    <w:rsid w:val="006C374A"/>
    <w:rsid w:val="006C3A0F"/>
    <w:rsid w:val="006C41D4"/>
    <w:rsid w:val="006C479E"/>
    <w:rsid w:val="006C5379"/>
    <w:rsid w:val="006C560D"/>
    <w:rsid w:val="006C57FE"/>
    <w:rsid w:val="006C5AB5"/>
    <w:rsid w:val="006C5B2C"/>
    <w:rsid w:val="006C6E36"/>
    <w:rsid w:val="006C6FD2"/>
    <w:rsid w:val="006C705E"/>
    <w:rsid w:val="006C7216"/>
    <w:rsid w:val="006C7266"/>
    <w:rsid w:val="006C7AF0"/>
    <w:rsid w:val="006C7E5E"/>
    <w:rsid w:val="006D045E"/>
    <w:rsid w:val="006D0B6D"/>
    <w:rsid w:val="006D1549"/>
    <w:rsid w:val="006D1A5F"/>
    <w:rsid w:val="006D29A8"/>
    <w:rsid w:val="006D381C"/>
    <w:rsid w:val="006D39EA"/>
    <w:rsid w:val="006D3CE0"/>
    <w:rsid w:val="006D4720"/>
    <w:rsid w:val="006D4801"/>
    <w:rsid w:val="006D487E"/>
    <w:rsid w:val="006D4A33"/>
    <w:rsid w:val="006D53DF"/>
    <w:rsid w:val="006D54F7"/>
    <w:rsid w:val="006D5604"/>
    <w:rsid w:val="006D599A"/>
    <w:rsid w:val="006D5CDA"/>
    <w:rsid w:val="006D6436"/>
    <w:rsid w:val="006D7902"/>
    <w:rsid w:val="006D79C4"/>
    <w:rsid w:val="006D7C9D"/>
    <w:rsid w:val="006D7D85"/>
    <w:rsid w:val="006E045E"/>
    <w:rsid w:val="006E09E9"/>
    <w:rsid w:val="006E0B21"/>
    <w:rsid w:val="006E171B"/>
    <w:rsid w:val="006E2AD6"/>
    <w:rsid w:val="006E2C6D"/>
    <w:rsid w:val="006E2FB7"/>
    <w:rsid w:val="006E33D2"/>
    <w:rsid w:val="006E374B"/>
    <w:rsid w:val="006E3B50"/>
    <w:rsid w:val="006E44D3"/>
    <w:rsid w:val="006E4705"/>
    <w:rsid w:val="006E470D"/>
    <w:rsid w:val="006E49DF"/>
    <w:rsid w:val="006E4E81"/>
    <w:rsid w:val="006E58CF"/>
    <w:rsid w:val="006E6241"/>
    <w:rsid w:val="006E645F"/>
    <w:rsid w:val="006E6F3D"/>
    <w:rsid w:val="006E71C4"/>
    <w:rsid w:val="006F06C2"/>
    <w:rsid w:val="006F0DAA"/>
    <w:rsid w:val="006F106E"/>
    <w:rsid w:val="006F10B6"/>
    <w:rsid w:val="006F117D"/>
    <w:rsid w:val="006F1195"/>
    <w:rsid w:val="006F13F3"/>
    <w:rsid w:val="006F186F"/>
    <w:rsid w:val="006F1962"/>
    <w:rsid w:val="006F1DBD"/>
    <w:rsid w:val="006F1E00"/>
    <w:rsid w:val="006F23E4"/>
    <w:rsid w:val="006F2509"/>
    <w:rsid w:val="006F29C6"/>
    <w:rsid w:val="006F301F"/>
    <w:rsid w:val="006F43E8"/>
    <w:rsid w:val="006F5402"/>
    <w:rsid w:val="006F5847"/>
    <w:rsid w:val="006F5B1A"/>
    <w:rsid w:val="006F5F76"/>
    <w:rsid w:val="006F62A6"/>
    <w:rsid w:val="006F6790"/>
    <w:rsid w:val="006F6800"/>
    <w:rsid w:val="006F6A1E"/>
    <w:rsid w:val="006F72A8"/>
    <w:rsid w:val="006F7AFB"/>
    <w:rsid w:val="00700821"/>
    <w:rsid w:val="007010A7"/>
    <w:rsid w:val="007010E0"/>
    <w:rsid w:val="007010E4"/>
    <w:rsid w:val="007011D1"/>
    <w:rsid w:val="007011D8"/>
    <w:rsid w:val="00701E6C"/>
    <w:rsid w:val="00702723"/>
    <w:rsid w:val="00702C8A"/>
    <w:rsid w:val="0070303A"/>
    <w:rsid w:val="0070328F"/>
    <w:rsid w:val="00703558"/>
    <w:rsid w:val="00703E20"/>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07E92"/>
    <w:rsid w:val="00710164"/>
    <w:rsid w:val="00710167"/>
    <w:rsid w:val="00710595"/>
    <w:rsid w:val="00710870"/>
    <w:rsid w:val="007109AB"/>
    <w:rsid w:val="007109B1"/>
    <w:rsid w:val="00710A0B"/>
    <w:rsid w:val="00710A1A"/>
    <w:rsid w:val="00710E5E"/>
    <w:rsid w:val="007110B3"/>
    <w:rsid w:val="00712020"/>
    <w:rsid w:val="00712026"/>
    <w:rsid w:val="007121C0"/>
    <w:rsid w:val="00712219"/>
    <w:rsid w:val="00712638"/>
    <w:rsid w:val="0071276A"/>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004"/>
    <w:rsid w:val="00721DED"/>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9"/>
    <w:rsid w:val="00726401"/>
    <w:rsid w:val="00726676"/>
    <w:rsid w:val="00726B7D"/>
    <w:rsid w:val="00727285"/>
    <w:rsid w:val="00727380"/>
    <w:rsid w:val="00727D91"/>
    <w:rsid w:val="00727E44"/>
    <w:rsid w:val="00730152"/>
    <w:rsid w:val="007301B7"/>
    <w:rsid w:val="00730699"/>
    <w:rsid w:val="0073071A"/>
    <w:rsid w:val="00730DD2"/>
    <w:rsid w:val="007310E4"/>
    <w:rsid w:val="00731129"/>
    <w:rsid w:val="007314D7"/>
    <w:rsid w:val="00731607"/>
    <w:rsid w:val="00732006"/>
    <w:rsid w:val="00732732"/>
    <w:rsid w:val="0073397C"/>
    <w:rsid w:val="00733A16"/>
    <w:rsid w:val="00734051"/>
    <w:rsid w:val="00734519"/>
    <w:rsid w:val="0073458B"/>
    <w:rsid w:val="007345AE"/>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A72"/>
    <w:rsid w:val="00742C3D"/>
    <w:rsid w:val="00742DAD"/>
    <w:rsid w:val="00743338"/>
    <w:rsid w:val="00743455"/>
    <w:rsid w:val="007435B8"/>
    <w:rsid w:val="00743FEF"/>
    <w:rsid w:val="007444AE"/>
    <w:rsid w:val="007447C6"/>
    <w:rsid w:val="007449FE"/>
    <w:rsid w:val="00744CEC"/>
    <w:rsid w:val="00745A05"/>
    <w:rsid w:val="00745F8E"/>
    <w:rsid w:val="00746564"/>
    <w:rsid w:val="00746721"/>
    <w:rsid w:val="00746A84"/>
    <w:rsid w:val="00747741"/>
    <w:rsid w:val="007505F4"/>
    <w:rsid w:val="00750979"/>
    <w:rsid w:val="00751313"/>
    <w:rsid w:val="007514AA"/>
    <w:rsid w:val="007515E7"/>
    <w:rsid w:val="00751760"/>
    <w:rsid w:val="007518C9"/>
    <w:rsid w:val="0075192D"/>
    <w:rsid w:val="00752147"/>
    <w:rsid w:val="0075218A"/>
    <w:rsid w:val="00752238"/>
    <w:rsid w:val="00752DE0"/>
    <w:rsid w:val="00752E14"/>
    <w:rsid w:val="00753427"/>
    <w:rsid w:val="00753B6A"/>
    <w:rsid w:val="00753DA5"/>
    <w:rsid w:val="00754E53"/>
    <w:rsid w:val="0075502B"/>
    <w:rsid w:val="00755633"/>
    <w:rsid w:val="00755B6F"/>
    <w:rsid w:val="00756309"/>
    <w:rsid w:val="0075691B"/>
    <w:rsid w:val="00756A17"/>
    <w:rsid w:val="00756B41"/>
    <w:rsid w:val="007576EC"/>
    <w:rsid w:val="00757957"/>
    <w:rsid w:val="00760978"/>
    <w:rsid w:val="00760D42"/>
    <w:rsid w:val="00760FD9"/>
    <w:rsid w:val="007614CD"/>
    <w:rsid w:val="007623B0"/>
    <w:rsid w:val="00762A7D"/>
    <w:rsid w:val="00762C65"/>
    <w:rsid w:val="007638B8"/>
    <w:rsid w:val="00763B9E"/>
    <w:rsid w:val="00764588"/>
    <w:rsid w:val="007648FE"/>
    <w:rsid w:val="00764B39"/>
    <w:rsid w:val="00765EE9"/>
    <w:rsid w:val="007664EA"/>
    <w:rsid w:val="0076652D"/>
    <w:rsid w:val="00766541"/>
    <w:rsid w:val="007667C4"/>
    <w:rsid w:val="007667FE"/>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1CE"/>
    <w:rsid w:val="00773754"/>
    <w:rsid w:val="007738F0"/>
    <w:rsid w:val="00773B3E"/>
    <w:rsid w:val="00773E65"/>
    <w:rsid w:val="007741B0"/>
    <w:rsid w:val="007745D3"/>
    <w:rsid w:val="00774644"/>
    <w:rsid w:val="007746DC"/>
    <w:rsid w:val="0077558B"/>
    <w:rsid w:val="007756E4"/>
    <w:rsid w:val="0077574B"/>
    <w:rsid w:val="00776874"/>
    <w:rsid w:val="0077726C"/>
    <w:rsid w:val="007777FB"/>
    <w:rsid w:val="00777AAB"/>
    <w:rsid w:val="00777F54"/>
    <w:rsid w:val="0078004B"/>
    <w:rsid w:val="0078042F"/>
    <w:rsid w:val="00780FF9"/>
    <w:rsid w:val="00781071"/>
    <w:rsid w:val="00781937"/>
    <w:rsid w:val="0078285C"/>
    <w:rsid w:val="00782B30"/>
    <w:rsid w:val="00783A36"/>
    <w:rsid w:val="0078404B"/>
    <w:rsid w:val="007845D4"/>
    <w:rsid w:val="00784DF0"/>
    <w:rsid w:val="007855B7"/>
    <w:rsid w:val="00785A38"/>
    <w:rsid w:val="00785C2A"/>
    <w:rsid w:val="007863C5"/>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19F"/>
    <w:rsid w:val="0079276B"/>
    <w:rsid w:val="00793181"/>
    <w:rsid w:val="007936BD"/>
    <w:rsid w:val="007936C1"/>
    <w:rsid w:val="00793D45"/>
    <w:rsid w:val="00793E10"/>
    <w:rsid w:val="00793E6D"/>
    <w:rsid w:val="00795130"/>
    <w:rsid w:val="00795E20"/>
    <w:rsid w:val="00796787"/>
    <w:rsid w:val="007975BD"/>
    <w:rsid w:val="00797813"/>
    <w:rsid w:val="00797B7E"/>
    <w:rsid w:val="007A035B"/>
    <w:rsid w:val="007A05A2"/>
    <w:rsid w:val="007A10D6"/>
    <w:rsid w:val="007A12EE"/>
    <w:rsid w:val="007A138C"/>
    <w:rsid w:val="007A1834"/>
    <w:rsid w:val="007A1856"/>
    <w:rsid w:val="007A1E52"/>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007F"/>
    <w:rsid w:val="007B0D0F"/>
    <w:rsid w:val="007B1171"/>
    <w:rsid w:val="007B12B0"/>
    <w:rsid w:val="007B1392"/>
    <w:rsid w:val="007B1785"/>
    <w:rsid w:val="007B215A"/>
    <w:rsid w:val="007B22DC"/>
    <w:rsid w:val="007B24F0"/>
    <w:rsid w:val="007B34DC"/>
    <w:rsid w:val="007B369C"/>
    <w:rsid w:val="007B3A98"/>
    <w:rsid w:val="007B3D7A"/>
    <w:rsid w:val="007B4008"/>
    <w:rsid w:val="007B49C4"/>
    <w:rsid w:val="007B4D74"/>
    <w:rsid w:val="007B4DC6"/>
    <w:rsid w:val="007B5132"/>
    <w:rsid w:val="007B5C77"/>
    <w:rsid w:val="007B69E8"/>
    <w:rsid w:val="007B6C17"/>
    <w:rsid w:val="007B6F85"/>
    <w:rsid w:val="007B743C"/>
    <w:rsid w:val="007B7B31"/>
    <w:rsid w:val="007C0165"/>
    <w:rsid w:val="007C033F"/>
    <w:rsid w:val="007C03F9"/>
    <w:rsid w:val="007C048B"/>
    <w:rsid w:val="007C0508"/>
    <w:rsid w:val="007C057E"/>
    <w:rsid w:val="007C06A4"/>
    <w:rsid w:val="007C0CA1"/>
    <w:rsid w:val="007C1227"/>
    <w:rsid w:val="007C1541"/>
    <w:rsid w:val="007C19DF"/>
    <w:rsid w:val="007C1BAF"/>
    <w:rsid w:val="007C2097"/>
    <w:rsid w:val="007C25F8"/>
    <w:rsid w:val="007C2C3E"/>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900"/>
    <w:rsid w:val="007C69A9"/>
    <w:rsid w:val="007C6C60"/>
    <w:rsid w:val="007C6D07"/>
    <w:rsid w:val="007C745C"/>
    <w:rsid w:val="007C7534"/>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6DAA"/>
    <w:rsid w:val="007D7635"/>
    <w:rsid w:val="007D76BB"/>
    <w:rsid w:val="007D7799"/>
    <w:rsid w:val="007D7C78"/>
    <w:rsid w:val="007D7CDE"/>
    <w:rsid w:val="007D7DC7"/>
    <w:rsid w:val="007E01AF"/>
    <w:rsid w:val="007E0772"/>
    <w:rsid w:val="007E0D31"/>
    <w:rsid w:val="007E0E04"/>
    <w:rsid w:val="007E0EF9"/>
    <w:rsid w:val="007E10F8"/>
    <w:rsid w:val="007E18BC"/>
    <w:rsid w:val="007E1B5F"/>
    <w:rsid w:val="007E21D9"/>
    <w:rsid w:val="007E23E5"/>
    <w:rsid w:val="007E2BDD"/>
    <w:rsid w:val="007E3569"/>
    <w:rsid w:val="007E38BA"/>
    <w:rsid w:val="007E45CA"/>
    <w:rsid w:val="007E48C0"/>
    <w:rsid w:val="007E49FE"/>
    <w:rsid w:val="007E4AC2"/>
    <w:rsid w:val="007E4FBE"/>
    <w:rsid w:val="007E5885"/>
    <w:rsid w:val="007E61B7"/>
    <w:rsid w:val="007E6481"/>
    <w:rsid w:val="007E64FF"/>
    <w:rsid w:val="007E697F"/>
    <w:rsid w:val="007E6BD5"/>
    <w:rsid w:val="007E6F62"/>
    <w:rsid w:val="007E6FEA"/>
    <w:rsid w:val="007E7C7B"/>
    <w:rsid w:val="007E7E0F"/>
    <w:rsid w:val="007E7F8F"/>
    <w:rsid w:val="007F015E"/>
    <w:rsid w:val="007F1063"/>
    <w:rsid w:val="007F1160"/>
    <w:rsid w:val="007F1910"/>
    <w:rsid w:val="007F1B05"/>
    <w:rsid w:val="007F21B0"/>
    <w:rsid w:val="007F2717"/>
    <w:rsid w:val="007F2DE9"/>
    <w:rsid w:val="007F3119"/>
    <w:rsid w:val="007F341B"/>
    <w:rsid w:val="007F3682"/>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3D5"/>
    <w:rsid w:val="007F7865"/>
    <w:rsid w:val="007F7C57"/>
    <w:rsid w:val="007F7FB3"/>
    <w:rsid w:val="0080026A"/>
    <w:rsid w:val="00800340"/>
    <w:rsid w:val="00800953"/>
    <w:rsid w:val="0080116C"/>
    <w:rsid w:val="00801255"/>
    <w:rsid w:val="008012A2"/>
    <w:rsid w:val="0080197B"/>
    <w:rsid w:val="00801C1F"/>
    <w:rsid w:val="008021D3"/>
    <w:rsid w:val="00802849"/>
    <w:rsid w:val="00802971"/>
    <w:rsid w:val="0080347B"/>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02B"/>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48D"/>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E0E"/>
    <w:rsid w:val="00821237"/>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480A"/>
    <w:rsid w:val="0082488C"/>
    <w:rsid w:val="008251E7"/>
    <w:rsid w:val="00825417"/>
    <w:rsid w:val="008262BC"/>
    <w:rsid w:val="008266A2"/>
    <w:rsid w:val="008267AE"/>
    <w:rsid w:val="00827284"/>
    <w:rsid w:val="00830B33"/>
    <w:rsid w:val="0083118A"/>
    <w:rsid w:val="008311FD"/>
    <w:rsid w:val="00831784"/>
    <w:rsid w:val="008324E8"/>
    <w:rsid w:val="00832727"/>
    <w:rsid w:val="008337C1"/>
    <w:rsid w:val="008344E7"/>
    <w:rsid w:val="00834F23"/>
    <w:rsid w:val="008353B6"/>
    <w:rsid w:val="00836A67"/>
    <w:rsid w:val="00836CEB"/>
    <w:rsid w:val="00836D07"/>
    <w:rsid w:val="00836F79"/>
    <w:rsid w:val="00837766"/>
    <w:rsid w:val="00837C13"/>
    <w:rsid w:val="00840EAF"/>
    <w:rsid w:val="008416BF"/>
    <w:rsid w:val="008416FD"/>
    <w:rsid w:val="0084188F"/>
    <w:rsid w:val="00842659"/>
    <w:rsid w:val="0084293A"/>
    <w:rsid w:val="00843445"/>
    <w:rsid w:val="0084354C"/>
    <w:rsid w:val="0084375D"/>
    <w:rsid w:val="00844119"/>
    <w:rsid w:val="0084416F"/>
    <w:rsid w:val="00844462"/>
    <w:rsid w:val="008449FE"/>
    <w:rsid w:val="00844E61"/>
    <w:rsid w:val="00845310"/>
    <w:rsid w:val="00845515"/>
    <w:rsid w:val="00845520"/>
    <w:rsid w:val="00845CE4"/>
    <w:rsid w:val="00845E57"/>
    <w:rsid w:val="00845FC4"/>
    <w:rsid w:val="008461B0"/>
    <w:rsid w:val="00846B8B"/>
    <w:rsid w:val="00846C9F"/>
    <w:rsid w:val="00846D16"/>
    <w:rsid w:val="00846F4C"/>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1DB"/>
    <w:rsid w:val="008558ED"/>
    <w:rsid w:val="00855CFC"/>
    <w:rsid w:val="00855FD5"/>
    <w:rsid w:val="00856049"/>
    <w:rsid w:val="0085632A"/>
    <w:rsid w:val="008568BB"/>
    <w:rsid w:val="00856D84"/>
    <w:rsid w:val="00856E96"/>
    <w:rsid w:val="00857822"/>
    <w:rsid w:val="00857B68"/>
    <w:rsid w:val="00857C93"/>
    <w:rsid w:val="00860D51"/>
    <w:rsid w:val="008611C1"/>
    <w:rsid w:val="0086132E"/>
    <w:rsid w:val="0086151A"/>
    <w:rsid w:val="008616ED"/>
    <w:rsid w:val="0086173C"/>
    <w:rsid w:val="00861DA4"/>
    <w:rsid w:val="00862330"/>
    <w:rsid w:val="0086264B"/>
    <w:rsid w:val="0086266B"/>
    <w:rsid w:val="008626E9"/>
    <w:rsid w:val="008626EB"/>
    <w:rsid w:val="00862EFD"/>
    <w:rsid w:val="008638FB"/>
    <w:rsid w:val="00863AF4"/>
    <w:rsid w:val="008643F1"/>
    <w:rsid w:val="0086444C"/>
    <w:rsid w:val="008644B1"/>
    <w:rsid w:val="00864768"/>
    <w:rsid w:val="008658AB"/>
    <w:rsid w:val="00865B18"/>
    <w:rsid w:val="0086672E"/>
    <w:rsid w:val="00866792"/>
    <w:rsid w:val="00866CF2"/>
    <w:rsid w:val="008675EC"/>
    <w:rsid w:val="008679CE"/>
    <w:rsid w:val="00867DA7"/>
    <w:rsid w:val="008705A8"/>
    <w:rsid w:val="00870BC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F4F"/>
    <w:rsid w:val="008762D8"/>
    <w:rsid w:val="008772AE"/>
    <w:rsid w:val="008772D9"/>
    <w:rsid w:val="00877345"/>
    <w:rsid w:val="00877456"/>
    <w:rsid w:val="00877B29"/>
    <w:rsid w:val="00877C69"/>
    <w:rsid w:val="00880298"/>
    <w:rsid w:val="008808B9"/>
    <w:rsid w:val="00880994"/>
    <w:rsid w:val="00880B30"/>
    <w:rsid w:val="00880F1D"/>
    <w:rsid w:val="0088172A"/>
    <w:rsid w:val="00881F90"/>
    <w:rsid w:val="00883600"/>
    <w:rsid w:val="00883624"/>
    <w:rsid w:val="008851C4"/>
    <w:rsid w:val="00885696"/>
    <w:rsid w:val="0088570A"/>
    <w:rsid w:val="00885DB7"/>
    <w:rsid w:val="00885E9D"/>
    <w:rsid w:val="00885F23"/>
    <w:rsid w:val="0088636E"/>
    <w:rsid w:val="008864A7"/>
    <w:rsid w:val="0088666A"/>
    <w:rsid w:val="0088688A"/>
    <w:rsid w:val="00886890"/>
    <w:rsid w:val="00886A9E"/>
    <w:rsid w:val="00886DC9"/>
    <w:rsid w:val="00886EC7"/>
    <w:rsid w:val="00887184"/>
    <w:rsid w:val="00887681"/>
    <w:rsid w:val="008879EA"/>
    <w:rsid w:val="00890139"/>
    <w:rsid w:val="00890CD4"/>
    <w:rsid w:val="00890F76"/>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5C2B"/>
    <w:rsid w:val="00896474"/>
    <w:rsid w:val="008965D2"/>
    <w:rsid w:val="00896B97"/>
    <w:rsid w:val="00896DBC"/>
    <w:rsid w:val="00897474"/>
    <w:rsid w:val="00897B59"/>
    <w:rsid w:val="00897C6C"/>
    <w:rsid w:val="00897D1A"/>
    <w:rsid w:val="008A0905"/>
    <w:rsid w:val="008A0B02"/>
    <w:rsid w:val="008A0E0D"/>
    <w:rsid w:val="008A1034"/>
    <w:rsid w:val="008A155C"/>
    <w:rsid w:val="008A1766"/>
    <w:rsid w:val="008A180E"/>
    <w:rsid w:val="008A197C"/>
    <w:rsid w:val="008A1A44"/>
    <w:rsid w:val="008A2238"/>
    <w:rsid w:val="008A2545"/>
    <w:rsid w:val="008A2636"/>
    <w:rsid w:val="008A35DB"/>
    <w:rsid w:val="008A3AF9"/>
    <w:rsid w:val="008A3FBE"/>
    <w:rsid w:val="008A4013"/>
    <w:rsid w:val="008A46F0"/>
    <w:rsid w:val="008A4BB2"/>
    <w:rsid w:val="008A4C9C"/>
    <w:rsid w:val="008A6041"/>
    <w:rsid w:val="008A60F8"/>
    <w:rsid w:val="008A66C8"/>
    <w:rsid w:val="008A69FE"/>
    <w:rsid w:val="008A6E1D"/>
    <w:rsid w:val="008A6EC7"/>
    <w:rsid w:val="008A6F36"/>
    <w:rsid w:val="008A7286"/>
    <w:rsid w:val="008A737A"/>
    <w:rsid w:val="008A7B50"/>
    <w:rsid w:val="008B0028"/>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07"/>
    <w:rsid w:val="008B70EE"/>
    <w:rsid w:val="008B715C"/>
    <w:rsid w:val="008B75B8"/>
    <w:rsid w:val="008B7AAE"/>
    <w:rsid w:val="008B7BC6"/>
    <w:rsid w:val="008C0EAD"/>
    <w:rsid w:val="008C1442"/>
    <w:rsid w:val="008C1693"/>
    <w:rsid w:val="008C19D9"/>
    <w:rsid w:val="008C1A5E"/>
    <w:rsid w:val="008C1A81"/>
    <w:rsid w:val="008C1EA9"/>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1FA4"/>
    <w:rsid w:val="008D221A"/>
    <w:rsid w:val="008D241C"/>
    <w:rsid w:val="008D24D6"/>
    <w:rsid w:val="008D24E1"/>
    <w:rsid w:val="008D26A5"/>
    <w:rsid w:val="008D3E6A"/>
    <w:rsid w:val="008D4A8F"/>
    <w:rsid w:val="008D4F71"/>
    <w:rsid w:val="008D4FFE"/>
    <w:rsid w:val="008D53E2"/>
    <w:rsid w:val="008D5908"/>
    <w:rsid w:val="008D5AF1"/>
    <w:rsid w:val="008D6291"/>
    <w:rsid w:val="008D67A5"/>
    <w:rsid w:val="008D6833"/>
    <w:rsid w:val="008D6A6E"/>
    <w:rsid w:val="008D72B3"/>
    <w:rsid w:val="008D781F"/>
    <w:rsid w:val="008D7DBE"/>
    <w:rsid w:val="008E02B7"/>
    <w:rsid w:val="008E0950"/>
    <w:rsid w:val="008E12E8"/>
    <w:rsid w:val="008E20BE"/>
    <w:rsid w:val="008E241B"/>
    <w:rsid w:val="008E3096"/>
    <w:rsid w:val="008E330C"/>
    <w:rsid w:val="008E332F"/>
    <w:rsid w:val="008E4114"/>
    <w:rsid w:val="008E4317"/>
    <w:rsid w:val="008E45EA"/>
    <w:rsid w:val="008E4A1A"/>
    <w:rsid w:val="008E5E01"/>
    <w:rsid w:val="008E69A3"/>
    <w:rsid w:val="008E7339"/>
    <w:rsid w:val="008E7CC9"/>
    <w:rsid w:val="008F016E"/>
    <w:rsid w:val="008F02A1"/>
    <w:rsid w:val="008F0E69"/>
    <w:rsid w:val="008F12FF"/>
    <w:rsid w:val="008F13AA"/>
    <w:rsid w:val="008F1F94"/>
    <w:rsid w:val="008F3D3E"/>
    <w:rsid w:val="008F3F31"/>
    <w:rsid w:val="008F42C4"/>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B74"/>
    <w:rsid w:val="00913EBB"/>
    <w:rsid w:val="00913ED6"/>
    <w:rsid w:val="009141BB"/>
    <w:rsid w:val="00914ADA"/>
    <w:rsid w:val="00914AE1"/>
    <w:rsid w:val="00914B55"/>
    <w:rsid w:val="00914D9B"/>
    <w:rsid w:val="00914DC4"/>
    <w:rsid w:val="00915329"/>
    <w:rsid w:val="0091581D"/>
    <w:rsid w:val="0091588C"/>
    <w:rsid w:val="00915DB5"/>
    <w:rsid w:val="00915DF4"/>
    <w:rsid w:val="00916012"/>
    <w:rsid w:val="00916068"/>
    <w:rsid w:val="009167D2"/>
    <w:rsid w:val="00916BF5"/>
    <w:rsid w:val="00916CCB"/>
    <w:rsid w:val="00917DB8"/>
    <w:rsid w:val="00917EEB"/>
    <w:rsid w:val="00920EC8"/>
    <w:rsid w:val="00920EE1"/>
    <w:rsid w:val="00921102"/>
    <w:rsid w:val="00921305"/>
    <w:rsid w:val="00921783"/>
    <w:rsid w:val="009217D9"/>
    <w:rsid w:val="00921AC8"/>
    <w:rsid w:val="0092206F"/>
    <w:rsid w:val="00922482"/>
    <w:rsid w:val="0092287A"/>
    <w:rsid w:val="00922A2B"/>
    <w:rsid w:val="009239B9"/>
    <w:rsid w:val="00924A6C"/>
    <w:rsid w:val="00924ED4"/>
    <w:rsid w:val="00924F63"/>
    <w:rsid w:val="00925DB9"/>
    <w:rsid w:val="009271AB"/>
    <w:rsid w:val="00927281"/>
    <w:rsid w:val="009273B8"/>
    <w:rsid w:val="00927A20"/>
    <w:rsid w:val="00930298"/>
    <w:rsid w:val="009302A6"/>
    <w:rsid w:val="00930EFC"/>
    <w:rsid w:val="00931325"/>
    <w:rsid w:val="009317C4"/>
    <w:rsid w:val="009319DC"/>
    <w:rsid w:val="00931AAD"/>
    <w:rsid w:val="00931E6D"/>
    <w:rsid w:val="0093236B"/>
    <w:rsid w:val="00932D04"/>
    <w:rsid w:val="00932E9E"/>
    <w:rsid w:val="00933B8A"/>
    <w:rsid w:val="00934141"/>
    <w:rsid w:val="009341AA"/>
    <w:rsid w:val="0093429A"/>
    <w:rsid w:val="00934FE5"/>
    <w:rsid w:val="009352D3"/>
    <w:rsid w:val="009355BB"/>
    <w:rsid w:val="00935789"/>
    <w:rsid w:val="009359C5"/>
    <w:rsid w:val="00935C5F"/>
    <w:rsid w:val="00935CFA"/>
    <w:rsid w:val="009361E8"/>
    <w:rsid w:val="00936247"/>
    <w:rsid w:val="00936501"/>
    <w:rsid w:val="009366AD"/>
    <w:rsid w:val="00936839"/>
    <w:rsid w:val="00936D8A"/>
    <w:rsid w:val="009377A1"/>
    <w:rsid w:val="00937F93"/>
    <w:rsid w:val="00940850"/>
    <w:rsid w:val="00940B1D"/>
    <w:rsid w:val="00941A39"/>
    <w:rsid w:val="00941D9B"/>
    <w:rsid w:val="0094236F"/>
    <w:rsid w:val="0094243B"/>
    <w:rsid w:val="009425EB"/>
    <w:rsid w:val="009428A4"/>
    <w:rsid w:val="00943157"/>
    <w:rsid w:val="0094368C"/>
    <w:rsid w:val="00943893"/>
    <w:rsid w:val="00943B06"/>
    <w:rsid w:val="00944312"/>
    <w:rsid w:val="009443DC"/>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8A"/>
    <w:rsid w:val="00955AA9"/>
    <w:rsid w:val="00955AB2"/>
    <w:rsid w:val="00955E60"/>
    <w:rsid w:val="00955EC8"/>
    <w:rsid w:val="0095699A"/>
    <w:rsid w:val="00956B34"/>
    <w:rsid w:val="00956CCE"/>
    <w:rsid w:val="0095702D"/>
    <w:rsid w:val="00957174"/>
    <w:rsid w:val="009571A6"/>
    <w:rsid w:val="00957252"/>
    <w:rsid w:val="009572FF"/>
    <w:rsid w:val="0095752A"/>
    <w:rsid w:val="009577C1"/>
    <w:rsid w:val="00957CF7"/>
    <w:rsid w:val="0096017C"/>
    <w:rsid w:val="009602BA"/>
    <w:rsid w:val="0096109F"/>
    <w:rsid w:val="009615D7"/>
    <w:rsid w:val="00962629"/>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2C2"/>
    <w:rsid w:val="00967655"/>
    <w:rsid w:val="00967D86"/>
    <w:rsid w:val="009702B4"/>
    <w:rsid w:val="00970F12"/>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D48"/>
    <w:rsid w:val="00976546"/>
    <w:rsid w:val="0097657D"/>
    <w:rsid w:val="00976FCF"/>
    <w:rsid w:val="009775D5"/>
    <w:rsid w:val="00977FE1"/>
    <w:rsid w:val="00980BAC"/>
    <w:rsid w:val="00980DF0"/>
    <w:rsid w:val="00980E28"/>
    <w:rsid w:val="00980F3F"/>
    <w:rsid w:val="009813FF"/>
    <w:rsid w:val="00981D1C"/>
    <w:rsid w:val="00982032"/>
    <w:rsid w:val="00982214"/>
    <w:rsid w:val="009823D4"/>
    <w:rsid w:val="00982474"/>
    <w:rsid w:val="00982575"/>
    <w:rsid w:val="009825C0"/>
    <w:rsid w:val="00983285"/>
    <w:rsid w:val="00983C1E"/>
    <w:rsid w:val="00984672"/>
    <w:rsid w:val="009846BA"/>
    <w:rsid w:val="00984F97"/>
    <w:rsid w:val="0098545B"/>
    <w:rsid w:val="0098569D"/>
    <w:rsid w:val="009858E8"/>
    <w:rsid w:val="00985A09"/>
    <w:rsid w:val="00986277"/>
    <w:rsid w:val="009866A3"/>
    <w:rsid w:val="0098693D"/>
    <w:rsid w:val="00986E60"/>
    <w:rsid w:val="00987F62"/>
    <w:rsid w:val="00990306"/>
    <w:rsid w:val="00990343"/>
    <w:rsid w:val="009905E1"/>
    <w:rsid w:val="0099064C"/>
    <w:rsid w:val="0099078A"/>
    <w:rsid w:val="0099097F"/>
    <w:rsid w:val="00992097"/>
    <w:rsid w:val="009920A3"/>
    <w:rsid w:val="009925E9"/>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EBD"/>
    <w:rsid w:val="0099625A"/>
    <w:rsid w:val="009965BC"/>
    <w:rsid w:val="0099662E"/>
    <w:rsid w:val="00997258"/>
    <w:rsid w:val="009973BE"/>
    <w:rsid w:val="00997C19"/>
    <w:rsid w:val="009A0217"/>
    <w:rsid w:val="009A0415"/>
    <w:rsid w:val="009A04CD"/>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F64"/>
    <w:rsid w:val="009A5FE2"/>
    <w:rsid w:val="009A6129"/>
    <w:rsid w:val="009A6621"/>
    <w:rsid w:val="009A6AEA"/>
    <w:rsid w:val="009A6CC5"/>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6C"/>
    <w:rsid w:val="009B71E1"/>
    <w:rsid w:val="009B73E9"/>
    <w:rsid w:val="009B7473"/>
    <w:rsid w:val="009C0425"/>
    <w:rsid w:val="009C0448"/>
    <w:rsid w:val="009C0615"/>
    <w:rsid w:val="009C0CF8"/>
    <w:rsid w:val="009C125A"/>
    <w:rsid w:val="009C1EB2"/>
    <w:rsid w:val="009C2675"/>
    <w:rsid w:val="009C2839"/>
    <w:rsid w:val="009C2DC4"/>
    <w:rsid w:val="009C2F03"/>
    <w:rsid w:val="009C3042"/>
    <w:rsid w:val="009C386A"/>
    <w:rsid w:val="009C3E9C"/>
    <w:rsid w:val="009C4A32"/>
    <w:rsid w:val="009C5FDA"/>
    <w:rsid w:val="009C63AB"/>
    <w:rsid w:val="009C69D0"/>
    <w:rsid w:val="009C69F4"/>
    <w:rsid w:val="009C6F83"/>
    <w:rsid w:val="009C7041"/>
    <w:rsid w:val="009C7163"/>
    <w:rsid w:val="009C77A3"/>
    <w:rsid w:val="009C7A73"/>
    <w:rsid w:val="009D1082"/>
    <w:rsid w:val="009D1216"/>
    <w:rsid w:val="009D203A"/>
    <w:rsid w:val="009D20AC"/>
    <w:rsid w:val="009D20C9"/>
    <w:rsid w:val="009D21C8"/>
    <w:rsid w:val="009D26D8"/>
    <w:rsid w:val="009D30F9"/>
    <w:rsid w:val="009D3192"/>
    <w:rsid w:val="009D31C0"/>
    <w:rsid w:val="009D322C"/>
    <w:rsid w:val="009D334F"/>
    <w:rsid w:val="009D33C0"/>
    <w:rsid w:val="009D372A"/>
    <w:rsid w:val="009D3A26"/>
    <w:rsid w:val="009D3BAC"/>
    <w:rsid w:val="009D3EDD"/>
    <w:rsid w:val="009D43D2"/>
    <w:rsid w:val="009D48BA"/>
    <w:rsid w:val="009D4B7E"/>
    <w:rsid w:val="009D4D48"/>
    <w:rsid w:val="009D4DC6"/>
    <w:rsid w:val="009D5106"/>
    <w:rsid w:val="009D5E95"/>
    <w:rsid w:val="009D5E99"/>
    <w:rsid w:val="009D66B9"/>
    <w:rsid w:val="009D6B77"/>
    <w:rsid w:val="009D6C4C"/>
    <w:rsid w:val="009D6CE1"/>
    <w:rsid w:val="009D74C2"/>
    <w:rsid w:val="009E076D"/>
    <w:rsid w:val="009E14B2"/>
    <w:rsid w:val="009E1D15"/>
    <w:rsid w:val="009E1DFA"/>
    <w:rsid w:val="009E23ED"/>
    <w:rsid w:val="009E26BC"/>
    <w:rsid w:val="009E322C"/>
    <w:rsid w:val="009E3352"/>
    <w:rsid w:val="009E3479"/>
    <w:rsid w:val="009E387D"/>
    <w:rsid w:val="009E453D"/>
    <w:rsid w:val="009E45E7"/>
    <w:rsid w:val="009E4690"/>
    <w:rsid w:val="009E4D34"/>
    <w:rsid w:val="009E4F27"/>
    <w:rsid w:val="009E5013"/>
    <w:rsid w:val="009E56B0"/>
    <w:rsid w:val="009E5917"/>
    <w:rsid w:val="009E6223"/>
    <w:rsid w:val="009E6C58"/>
    <w:rsid w:val="009E725F"/>
    <w:rsid w:val="009E79CF"/>
    <w:rsid w:val="009E7F2E"/>
    <w:rsid w:val="009F009C"/>
    <w:rsid w:val="009F0345"/>
    <w:rsid w:val="009F04F2"/>
    <w:rsid w:val="009F0A8F"/>
    <w:rsid w:val="009F0E0B"/>
    <w:rsid w:val="009F231C"/>
    <w:rsid w:val="009F2512"/>
    <w:rsid w:val="009F2800"/>
    <w:rsid w:val="009F2C7D"/>
    <w:rsid w:val="009F40CE"/>
    <w:rsid w:val="009F47DF"/>
    <w:rsid w:val="009F4CDA"/>
    <w:rsid w:val="009F4DCF"/>
    <w:rsid w:val="009F59BF"/>
    <w:rsid w:val="009F5F68"/>
    <w:rsid w:val="009F6595"/>
    <w:rsid w:val="009F6BC3"/>
    <w:rsid w:val="009F749A"/>
    <w:rsid w:val="009F776E"/>
    <w:rsid w:val="009F7973"/>
    <w:rsid w:val="00A00F42"/>
    <w:rsid w:val="00A0117B"/>
    <w:rsid w:val="00A01519"/>
    <w:rsid w:val="00A0195A"/>
    <w:rsid w:val="00A01F31"/>
    <w:rsid w:val="00A02D3C"/>
    <w:rsid w:val="00A032EA"/>
    <w:rsid w:val="00A0408F"/>
    <w:rsid w:val="00A04E68"/>
    <w:rsid w:val="00A05174"/>
    <w:rsid w:val="00A05442"/>
    <w:rsid w:val="00A055FE"/>
    <w:rsid w:val="00A05975"/>
    <w:rsid w:val="00A05EAA"/>
    <w:rsid w:val="00A0608D"/>
    <w:rsid w:val="00A060BE"/>
    <w:rsid w:val="00A0629A"/>
    <w:rsid w:val="00A0695E"/>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366C"/>
    <w:rsid w:val="00A2390C"/>
    <w:rsid w:val="00A23A98"/>
    <w:rsid w:val="00A23E1D"/>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B1C"/>
    <w:rsid w:val="00A313B3"/>
    <w:rsid w:val="00A31D00"/>
    <w:rsid w:val="00A32051"/>
    <w:rsid w:val="00A323A5"/>
    <w:rsid w:val="00A32AE0"/>
    <w:rsid w:val="00A32B77"/>
    <w:rsid w:val="00A32BB4"/>
    <w:rsid w:val="00A32D56"/>
    <w:rsid w:val="00A33037"/>
    <w:rsid w:val="00A33CCF"/>
    <w:rsid w:val="00A35316"/>
    <w:rsid w:val="00A35D65"/>
    <w:rsid w:val="00A36CF6"/>
    <w:rsid w:val="00A36EC5"/>
    <w:rsid w:val="00A371D7"/>
    <w:rsid w:val="00A37EDA"/>
    <w:rsid w:val="00A4035D"/>
    <w:rsid w:val="00A413A3"/>
    <w:rsid w:val="00A41619"/>
    <w:rsid w:val="00A41F7F"/>
    <w:rsid w:val="00A4317F"/>
    <w:rsid w:val="00A43270"/>
    <w:rsid w:val="00A433D9"/>
    <w:rsid w:val="00A4539E"/>
    <w:rsid w:val="00A459C0"/>
    <w:rsid w:val="00A45F7E"/>
    <w:rsid w:val="00A46080"/>
    <w:rsid w:val="00A461CB"/>
    <w:rsid w:val="00A4666A"/>
    <w:rsid w:val="00A46AC1"/>
    <w:rsid w:val="00A46C6C"/>
    <w:rsid w:val="00A46EB1"/>
    <w:rsid w:val="00A47A54"/>
    <w:rsid w:val="00A47C2F"/>
    <w:rsid w:val="00A47C59"/>
    <w:rsid w:val="00A500DE"/>
    <w:rsid w:val="00A5052A"/>
    <w:rsid w:val="00A50FEC"/>
    <w:rsid w:val="00A512C7"/>
    <w:rsid w:val="00A51FC3"/>
    <w:rsid w:val="00A53152"/>
    <w:rsid w:val="00A532FC"/>
    <w:rsid w:val="00A53624"/>
    <w:rsid w:val="00A53792"/>
    <w:rsid w:val="00A537F8"/>
    <w:rsid w:val="00A539AA"/>
    <w:rsid w:val="00A54F72"/>
    <w:rsid w:val="00A56245"/>
    <w:rsid w:val="00A565B6"/>
    <w:rsid w:val="00A567E2"/>
    <w:rsid w:val="00A56806"/>
    <w:rsid w:val="00A57F15"/>
    <w:rsid w:val="00A57F41"/>
    <w:rsid w:val="00A60066"/>
    <w:rsid w:val="00A60179"/>
    <w:rsid w:val="00A601D9"/>
    <w:rsid w:val="00A6027E"/>
    <w:rsid w:val="00A61399"/>
    <w:rsid w:val="00A61782"/>
    <w:rsid w:val="00A61FDA"/>
    <w:rsid w:val="00A6279F"/>
    <w:rsid w:val="00A63850"/>
    <w:rsid w:val="00A64787"/>
    <w:rsid w:val="00A648E9"/>
    <w:rsid w:val="00A64A59"/>
    <w:rsid w:val="00A65177"/>
    <w:rsid w:val="00A65DDA"/>
    <w:rsid w:val="00A66008"/>
    <w:rsid w:val="00A6654A"/>
    <w:rsid w:val="00A667EF"/>
    <w:rsid w:val="00A66B03"/>
    <w:rsid w:val="00A66C0D"/>
    <w:rsid w:val="00A6764D"/>
    <w:rsid w:val="00A67934"/>
    <w:rsid w:val="00A67D4A"/>
    <w:rsid w:val="00A70080"/>
    <w:rsid w:val="00A7022A"/>
    <w:rsid w:val="00A703AE"/>
    <w:rsid w:val="00A70415"/>
    <w:rsid w:val="00A709AE"/>
    <w:rsid w:val="00A70DCB"/>
    <w:rsid w:val="00A70E5B"/>
    <w:rsid w:val="00A71120"/>
    <w:rsid w:val="00A71D6E"/>
    <w:rsid w:val="00A71FD1"/>
    <w:rsid w:val="00A720C2"/>
    <w:rsid w:val="00A722DC"/>
    <w:rsid w:val="00A7248F"/>
    <w:rsid w:val="00A72733"/>
    <w:rsid w:val="00A72BC8"/>
    <w:rsid w:val="00A72C04"/>
    <w:rsid w:val="00A72E13"/>
    <w:rsid w:val="00A72FE2"/>
    <w:rsid w:val="00A73341"/>
    <w:rsid w:val="00A748ED"/>
    <w:rsid w:val="00A74BC3"/>
    <w:rsid w:val="00A74E4C"/>
    <w:rsid w:val="00A7504B"/>
    <w:rsid w:val="00A75386"/>
    <w:rsid w:val="00A7593A"/>
    <w:rsid w:val="00A7597F"/>
    <w:rsid w:val="00A75D3F"/>
    <w:rsid w:val="00A75E69"/>
    <w:rsid w:val="00A7678C"/>
    <w:rsid w:val="00A768C8"/>
    <w:rsid w:val="00A76C21"/>
    <w:rsid w:val="00A77134"/>
    <w:rsid w:val="00A77727"/>
    <w:rsid w:val="00A77A4F"/>
    <w:rsid w:val="00A800E8"/>
    <w:rsid w:val="00A81122"/>
    <w:rsid w:val="00A817C8"/>
    <w:rsid w:val="00A818D7"/>
    <w:rsid w:val="00A820F1"/>
    <w:rsid w:val="00A8226A"/>
    <w:rsid w:val="00A82941"/>
    <w:rsid w:val="00A831CD"/>
    <w:rsid w:val="00A834D6"/>
    <w:rsid w:val="00A83BBE"/>
    <w:rsid w:val="00A83D38"/>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38B"/>
    <w:rsid w:val="00A93738"/>
    <w:rsid w:val="00A93A74"/>
    <w:rsid w:val="00A94084"/>
    <w:rsid w:val="00A9446E"/>
    <w:rsid w:val="00A94EF9"/>
    <w:rsid w:val="00A94F9F"/>
    <w:rsid w:val="00A96125"/>
    <w:rsid w:val="00A96852"/>
    <w:rsid w:val="00A96C21"/>
    <w:rsid w:val="00A9775E"/>
    <w:rsid w:val="00A9791D"/>
    <w:rsid w:val="00A97D4A"/>
    <w:rsid w:val="00A97DB8"/>
    <w:rsid w:val="00AA0209"/>
    <w:rsid w:val="00AA03A6"/>
    <w:rsid w:val="00AA1128"/>
    <w:rsid w:val="00AA125C"/>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7F"/>
    <w:rsid w:val="00AA568A"/>
    <w:rsid w:val="00AA5789"/>
    <w:rsid w:val="00AA583C"/>
    <w:rsid w:val="00AA6012"/>
    <w:rsid w:val="00AA65CF"/>
    <w:rsid w:val="00AA6760"/>
    <w:rsid w:val="00AA6A88"/>
    <w:rsid w:val="00AA7457"/>
    <w:rsid w:val="00AB02DD"/>
    <w:rsid w:val="00AB045C"/>
    <w:rsid w:val="00AB05BB"/>
    <w:rsid w:val="00AB090C"/>
    <w:rsid w:val="00AB0E69"/>
    <w:rsid w:val="00AB0F9A"/>
    <w:rsid w:val="00AB1160"/>
    <w:rsid w:val="00AB1411"/>
    <w:rsid w:val="00AB142E"/>
    <w:rsid w:val="00AB1739"/>
    <w:rsid w:val="00AB1C10"/>
    <w:rsid w:val="00AB212D"/>
    <w:rsid w:val="00AB2837"/>
    <w:rsid w:val="00AB32C1"/>
    <w:rsid w:val="00AB3552"/>
    <w:rsid w:val="00AB49C3"/>
    <w:rsid w:val="00AB55F8"/>
    <w:rsid w:val="00AB5DF2"/>
    <w:rsid w:val="00AB6C4D"/>
    <w:rsid w:val="00AB7135"/>
    <w:rsid w:val="00AB7866"/>
    <w:rsid w:val="00AC0843"/>
    <w:rsid w:val="00AC0F49"/>
    <w:rsid w:val="00AC13AC"/>
    <w:rsid w:val="00AC19D1"/>
    <w:rsid w:val="00AC1C78"/>
    <w:rsid w:val="00AC1D3B"/>
    <w:rsid w:val="00AC226A"/>
    <w:rsid w:val="00AC246C"/>
    <w:rsid w:val="00AC2526"/>
    <w:rsid w:val="00AC2FB2"/>
    <w:rsid w:val="00AC32FB"/>
    <w:rsid w:val="00AC3728"/>
    <w:rsid w:val="00AC3ADE"/>
    <w:rsid w:val="00AC3BC7"/>
    <w:rsid w:val="00AC3EC8"/>
    <w:rsid w:val="00AC3F17"/>
    <w:rsid w:val="00AC3F58"/>
    <w:rsid w:val="00AC45B8"/>
    <w:rsid w:val="00AC4C92"/>
    <w:rsid w:val="00AC4E28"/>
    <w:rsid w:val="00AC4E71"/>
    <w:rsid w:val="00AC4F7E"/>
    <w:rsid w:val="00AC539B"/>
    <w:rsid w:val="00AC5700"/>
    <w:rsid w:val="00AC5A64"/>
    <w:rsid w:val="00AC699C"/>
    <w:rsid w:val="00AC7042"/>
    <w:rsid w:val="00AC752F"/>
    <w:rsid w:val="00AC7B8D"/>
    <w:rsid w:val="00AC7E49"/>
    <w:rsid w:val="00AD0190"/>
    <w:rsid w:val="00AD0271"/>
    <w:rsid w:val="00AD08CB"/>
    <w:rsid w:val="00AD099F"/>
    <w:rsid w:val="00AD1C10"/>
    <w:rsid w:val="00AD1DEC"/>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235"/>
    <w:rsid w:val="00AD734C"/>
    <w:rsid w:val="00AD7922"/>
    <w:rsid w:val="00AE0289"/>
    <w:rsid w:val="00AE0413"/>
    <w:rsid w:val="00AE05BF"/>
    <w:rsid w:val="00AE099B"/>
    <w:rsid w:val="00AE09E9"/>
    <w:rsid w:val="00AE0D8D"/>
    <w:rsid w:val="00AE15AD"/>
    <w:rsid w:val="00AE2354"/>
    <w:rsid w:val="00AE23C8"/>
    <w:rsid w:val="00AE265A"/>
    <w:rsid w:val="00AE308D"/>
    <w:rsid w:val="00AE36D1"/>
    <w:rsid w:val="00AE3DDB"/>
    <w:rsid w:val="00AE44DB"/>
    <w:rsid w:val="00AE46C8"/>
    <w:rsid w:val="00AE48EE"/>
    <w:rsid w:val="00AE4A64"/>
    <w:rsid w:val="00AE4D3A"/>
    <w:rsid w:val="00AE53DE"/>
    <w:rsid w:val="00AE5771"/>
    <w:rsid w:val="00AE59FC"/>
    <w:rsid w:val="00AE5EBB"/>
    <w:rsid w:val="00AE6362"/>
    <w:rsid w:val="00AE6749"/>
    <w:rsid w:val="00AE6AAF"/>
    <w:rsid w:val="00AE6E97"/>
    <w:rsid w:val="00AE710B"/>
    <w:rsid w:val="00AE758E"/>
    <w:rsid w:val="00AF00A4"/>
    <w:rsid w:val="00AF059D"/>
    <w:rsid w:val="00AF077D"/>
    <w:rsid w:val="00AF089F"/>
    <w:rsid w:val="00AF0992"/>
    <w:rsid w:val="00AF0C7C"/>
    <w:rsid w:val="00AF0D62"/>
    <w:rsid w:val="00AF0EB3"/>
    <w:rsid w:val="00AF1281"/>
    <w:rsid w:val="00AF14C8"/>
    <w:rsid w:val="00AF1B67"/>
    <w:rsid w:val="00AF1FFD"/>
    <w:rsid w:val="00AF23D9"/>
    <w:rsid w:val="00AF23F0"/>
    <w:rsid w:val="00AF290E"/>
    <w:rsid w:val="00AF29FA"/>
    <w:rsid w:val="00AF2A09"/>
    <w:rsid w:val="00AF2A5F"/>
    <w:rsid w:val="00AF2FA9"/>
    <w:rsid w:val="00AF31FE"/>
    <w:rsid w:val="00AF37D5"/>
    <w:rsid w:val="00AF381B"/>
    <w:rsid w:val="00AF391B"/>
    <w:rsid w:val="00AF3D92"/>
    <w:rsid w:val="00AF3F63"/>
    <w:rsid w:val="00AF40FC"/>
    <w:rsid w:val="00AF4345"/>
    <w:rsid w:val="00AF463B"/>
    <w:rsid w:val="00AF4BEE"/>
    <w:rsid w:val="00AF4C88"/>
    <w:rsid w:val="00AF4CC5"/>
    <w:rsid w:val="00AF4EB1"/>
    <w:rsid w:val="00AF5319"/>
    <w:rsid w:val="00AF5B60"/>
    <w:rsid w:val="00AF608B"/>
    <w:rsid w:val="00AF6414"/>
    <w:rsid w:val="00AF6A59"/>
    <w:rsid w:val="00AF7BDD"/>
    <w:rsid w:val="00B00F8C"/>
    <w:rsid w:val="00B00FEC"/>
    <w:rsid w:val="00B010F8"/>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81C"/>
    <w:rsid w:val="00B06DA3"/>
    <w:rsid w:val="00B06EF8"/>
    <w:rsid w:val="00B077D1"/>
    <w:rsid w:val="00B07DDC"/>
    <w:rsid w:val="00B10713"/>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6245"/>
    <w:rsid w:val="00B17694"/>
    <w:rsid w:val="00B1780E"/>
    <w:rsid w:val="00B17EE1"/>
    <w:rsid w:val="00B200D3"/>
    <w:rsid w:val="00B204CA"/>
    <w:rsid w:val="00B2060E"/>
    <w:rsid w:val="00B2086A"/>
    <w:rsid w:val="00B20DCF"/>
    <w:rsid w:val="00B20F8A"/>
    <w:rsid w:val="00B215EB"/>
    <w:rsid w:val="00B22522"/>
    <w:rsid w:val="00B2288A"/>
    <w:rsid w:val="00B244D9"/>
    <w:rsid w:val="00B24D66"/>
    <w:rsid w:val="00B25276"/>
    <w:rsid w:val="00B258AF"/>
    <w:rsid w:val="00B2649C"/>
    <w:rsid w:val="00B264B0"/>
    <w:rsid w:val="00B26CDB"/>
    <w:rsid w:val="00B26ECF"/>
    <w:rsid w:val="00B27444"/>
    <w:rsid w:val="00B27734"/>
    <w:rsid w:val="00B27771"/>
    <w:rsid w:val="00B27787"/>
    <w:rsid w:val="00B278D7"/>
    <w:rsid w:val="00B3091E"/>
    <w:rsid w:val="00B30932"/>
    <w:rsid w:val="00B31602"/>
    <w:rsid w:val="00B319FE"/>
    <w:rsid w:val="00B32072"/>
    <w:rsid w:val="00B3232C"/>
    <w:rsid w:val="00B32565"/>
    <w:rsid w:val="00B331B8"/>
    <w:rsid w:val="00B33786"/>
    <w:rsid w:val="00B337A4"/>
    <w:rsid w:val="00B3388C"/>
    <w:rsid w:val="00B33AAC"/>
    <w:rsid w:val="00B34725"/>
    <w:rsid w:val="00B3558D"/>
    <w:rsid w:val="00B355F0"/>
    <w:rsid w:val="00B3578C"/>
    <w:rsid w:val="00B36730"/>
    <w:rsid w:val="00B36762"/>
    <w:rsid w:val="00B36D9E"/>
    <w:rsid w:val="00B37311"/>
    <w:rsid w:val="00B373FB"/>
    <w:rsid w:val="00B37975"/>
    <w:rsid w:val="00B37E18"/>
    <w:rsid w:val="00B4106F"/>
    <w:rsid w:val="00B41A1B"/>
    <w:rsid w:val="00B41BE7"/>
    <w:rsid w:val="00B424F7"/>
    <w:rsid w:val="00B42568"/>
    <w:rsid w:val="00B43102"/>
    <w:rsid w:val="00B4316E"/>
    <w:rsid w:val="00B4339F"/>
    <w:rsid w:val="00B433C1"/>
    <w:rsid w:val="00B4381B"/>
    <w:rsid w:val="00B4383C"/>
    <w:rsid w:val="00B43E26"/>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57BD2"/>
    <w:rsid w:val="00B6002D"/>
    <w:rsid w:val="00B60035"/>
    <w:rsid w:val="00B6010B"/>
    <w:rsid w:val="00B61262"/>
    <w:rsid w:val="00B61C96"/>
    <w:rsid w:val="00B6210A"/>
    <w:rsid w:val="00B6220A"/>
    <w:rsid w:val="00B629F3"/>
    <w:rsid w:val="00B62BBA"/>
    <w:rsid w:val="00B640CF"/>
    <w:rsid w:val="00B655BB"/>
    <w:rsid w:val="00B65828"/>
    <w:rsid w:val="00B65DE3"/>
    <w:rsid w:val="00B65E01"/>
    <w:rsid w:val="00B65E23"/>
    <w:rsid w:val="00B66011"/>
    <w:rsid w:val="00B665BB"/>
    <w:rsid w:val="00B66800"/>
    <w:rsid w:val="00B6680A"/>
    <w:rsid w:val="00B668CA"/>
    <w:rsid w:val="00B66AB0"/>
    <w:rsid w:val="00B677D7"/>
    <w:rsid w:val="00B7093C"/>
    <w:rsid w:val="00B7095E"/>
    <w:rsid w:val="00B70C27"/>
    <w:rsid w:val="00B70ED8"/>
    <w:rsid w:val="00B71089"/>
    <w:rsid w:val="00B710E0"/>
    <w:rsid w:val="00B7140E"/>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3F"/>
    <w:rsid w:val="00B76A7D"/>
    <w:rsid w:val="00B76CE1"/>
    <w:rsid w:val="00B77241"/>
    <w:rsid w:val="00B772EF"/>
    <w:rsid w:val="00B776D5"/>
    <w:rsid w:val="00B77B7E"/>
    <w:rsid w:val="00B80744"/>
    <w:rsid w:val="00B80979"/>
    <w:rsid w:val="00B813FD"/>
    <w:rsid w:val="00B818AA"/>
    <w:rsid w:val="00B81B66"/>
    <w:rsid w:val="00B81BC2"/>
    <w:rsid w:val="00B81C75"/>
    <w:rsid w:val="00B81D30"/>
    <w:rsid w:val="00B81D8F"/>
    <w:rsid w:val="00B81EEF"/>
    <w:rsid w:val="00B81F26"/>
    <w:rsid w:val="00B840BB"/>
    <w:rsid w:val="00B8488B"/>
    <w:rsid w:val="00B84AB9"/>
    <w:rsid w:val="00B84C9F"/>
    <w:rsid w:val="00B84E83"/>
    <w:rsid w:val="00B8525F"/>
    <w:rsid w:val="00B852F9"/>
    <w:rsid w:val="00B85552"/>
    <w:rsid w:val="00B856E9"/>
    <w:rsid w:val="00B85774"/>
    <w:rsid w:val="00B86429"/>
    <w:rsid w:val="00B8648F"/>
    <w:rsid w:val="00B86589"/>
    <w:rsid w:val="00B866C7"/>
    <w:rsid w:val="00B86EFB"/>
    <w:rsid w:val="00B872F1"/>
    <w:rsid w:val="00B87563"/>
    <w:rsid w:val="00B87726"/>
    <w:rsid w:val="00B87EBC"/>
    <w:rsid w:val="00B87FF0"/>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CCC"/>
    <w:rsid w:val="00B95D58"/>
    <w:rsid w:val="00B95F44"/>
    <w:rsid w:val="00B9615D"/>
    <w:rsid w:val="00B964FA"/>
    <w:rsid w:val="00B96D3C"/>
    <w:rsid w:val="00B9732C"/>
    <w:rsid w:val="00B97577"/>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E8B"/>
    <w:rsid w:val="00BA5FD5"/>
    <w:rsid w:val="00BA60D1"/>
    <w:rsid w:val="00BA62AB"/>
    <w:rsid w:val="00BA7E0B"/>
    <w:rsid w:val="00BB0DE3"/>
    <w:rsid w:val="00BB0EA0"/>
    <w:rsid w:val="00BB10CD"/>
    <w:rsid w:val="00BB10F0"/>
    <w:rsid w:val="00BB122E"/>
    <w:rsid w:val="00BB15E2"/>
    <w:rsid w:val="00BB25BB"/>
    <w:rsid w:val="00BB4735"/>
    <w:rsid w:val="00BB4A6F"/>
    <w:rsid w:val="00BB56B1"/>
    <w:rsid w:val="00BB5759"/>
    <w:rsid w:val="00BB59B3"/>
    <w:rsid w:val="00BB5A30"/>
    <w:rsid w:val="00BB5B98"/>
    <w:rsid w:val="00BB5EA1"/>
    <w:rsid w:val="00BB68FA"/>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63"/>
    <w:rsid w:val="00BC54D1"/>
    <w:rsid w:val="00BC5F78"/>
    <w:rsid w:val="00BC6308"/>
    <w:rsid w:val="00BC634B"/>
    <w:rsid w:val="00BC63FE"/>
    <w:rsid w:val="00BC666D"/>
    <w:rsid w:val="00BC67A4"/>
    <w:rsid w:val="00BC6B4D"/>
    <w:rsid w:val="00BC6C4F"/>
    <w:rsid w:val="00BC6DF0"/>
    <w:rsid w:val="00BC76AA"/>
    <w:rsid w:val="00BD1290"/>
    <w:rsid w:val="00BD1CFB"/>
    <w:rsid w:val="00BD2009"/>
    <w:rsid w:val="00BD2B8F"/>
    <w:rsid w:val="00BD3201"/>
    <w:rsid w:val="00BD33CC"/>
    <w:rsid w:val="00BD35B9"/>
    <w:rsid w:val="00BD36EC"/>
    <w:rsid w:val="00BD419E"/>
    <w:rsid w:val="00BD4919"/>
    <w:rsid w:val="00BD4A52"/>
    <w:rsid w:val="00BD4D8D"/>
    <w:rsid w:val="00BD51CA"/>
    <w:rsid w:val="00BD5CD2"/>
    <w:rsid w:val="00BD6352"/>
    <w:rsid w:val="00BD64E7"/>
    <w:rsid w:val="00BD6BFF"/>
    <w:rsid w:val="00BD719B"/>
    <w:rsid w:val="00BD77DE"/>
    <w:rsid w:val="00BD79C2"/>
    <w:rsid w:val="00BE1F2E"/>
    <w:rsid w:val="00BE1FA7"/>
    <w:rsid w:val="00BE23BB"/>
    <w:rsid w:val="00BE2891"/>
    <w:rsid w:val="00BE2AD7"/>
    <w:rsid w:val="00BE2BAA"/>
    <w:rsid w:val="00BE2CD0"/>
    <w:rsid w:val="00BE39D5"/>
    <w:rsid w:val="00BE4F8D"/>
    <w:rsid w:val="00BE590A"/>
    <w:rsid w:val="00BE5B76"/>
    <w:rsid w:val="00BE7348"/>
    <w:rsid w:val="00BE770F"/>
    <w:rsid w:val="00BE778C"/>
    <w:rsid w:val="00BE7CC7"/>
    <w:rsid w:val="00BE7E4D"/>
    <w:rsid w:val="00BE7F15"/>
    <w:rsid w:val="00BF0028"/>
    <w:rsid w:val="00BF01D4"/>
    <w:rsid w:val="00BF03B4"/>
    <w:rsid w:val="00BF0409"/>
    <w:rsid w:val="00BF1D3C"/>
    <w:rsid w:val="00BF1E87"/>
    <w:rsid w:val="00BF20FB"/>
    <w:rsid w:val="00BF2554"/>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F13"/>
    <w:rsid w:val="00C041F4"/>
    <w:rsid w:val="00C04926"/>
    <w:rsid w:val="00C04C59"/>
    <w:rsid w:val="00C0503D"/>
    <w:rsid w:val="00C0524E"/>
    <w:rsid w:val="00C05428"/>
    <w:rsid w:val="00C0552E"/>
    <w:rsid w:val="00C058A3"/>
    <w:rsid w:val="00C05E05"/>
    <w:rsid w:val="00C06CBE"/>
    <w:rsid w:val="00C06FEC"/>
    <w:rsid w:val="00C0711F"/>
    <w:rsid w:val="00C073D8"/>
    <w:rsid w:val="00C077E1"/>
    <w:rsid w:val="00C101B5"/>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1A"/>
    <w:rsid w:val="00C15CAE"/>
    <w:rsid w:val="00C160D9"/>
    <w:rsid w:val="00C16B32"/>
    <w:rsid w:val="00C16FF1"/>
    <w:rsid w:val="00C17089"/>
    <w:rsid w:val="00C1715B"/>
    <w:rsid w:val="00C1757F"/>
    <w:rsid w:val="00C179C2"/>
    <w:rsid w:val="00C17A66"/>
    <w:rsid w:val="00C17A78"/>
    <w:rsid w:val="00C17B74"/>
    <w:rsid w:val="00C17BCC"/>
    <w:rsid w:val="00C20358"/>
    <w:rsid w:val="00C20A09"/>
    <w:rsid w:val="00C20AEB"/>
    <w:rsid w:val="00C20F22"/>
    <w:rsid w:val="00C21FF8"/>
    <w:rsid w:val="00C220F2"/>
    <w:rsid w:val="00C22286"/>
    <w:rsid w:val="00C223A0"/>
    <w:rsid w:val="00C23398"/>
    <w:rsid w:val="00C2398F"/>
    <w:rsid w:val="00C23BBD"/>
    <w:rsid w:val="00C2414B"/>
    <w:rsid w:val="00C2455C"/>
    <w:rsid w:val="00C24638"/>
    <w:rsid w:val="00C26495"/>
    <w:rsid w:val="00C26A62"/>
    <w:rsid w:val="00C27194"/>
    <w:rsid w:val="00C2725D"/>
    <w:rsid w:val="00C273ED"/>
    <w:rsid w:val="00C27447"/>
    <w:rsid w:val="00C27645"/>
    <w:rsid w:val="00C27891"/>
    <w:rsid w:val="00C27CBD"/>
    <w:rsid w:val="00C27D45"/>
    <w:rsid w:val="00C300F5"/>
    <w:rsid w:val="00C30AED"/>
    <w:rsid w:val="00C31073"/>
    <w:rsid w:val="00C314B5"/>
    <w:rsid w:val="00C3154A"/>
    <w:rsid w:val="00C32570"/>
    <w:rsid w:val="00C32C1E"/>
    <w:rsid w:val="00C32D53"/>
    <w:rsid w:val="00C32F69"/>
    <w:rsid w:val="00C3312E"/>
    <w:rsid w:val="00C335B1"/>
    <w:rsid w:val="00C33CD5"/>
    <w:rsid w:val="00C340CF"/>
    <w:rsid w:val="00C34101"/>
    <w:rsid w:val="00C34760"/>
    <w:rsid w:val="00C34868"/>
    <w:rsid w:val="00C348FE"/>
    <w:rsid w:val="00C34FBC"/>
    <w:rsid w:val="00C35087"/>
    <w:rsid w:val="00C3523B"/>
    <w:rsid w:val="00C35947"/>
    <w:rsid w:val="00C36FFE"/>
    <w:rsid w:val="00C37F31"/>
    <w:rsid w:val="00C40000"/>
    <w:rsid w:val="00C4013D"/>
    <w:rsid w:val="00C40A83"/>
    <w:rsid w:val="00C40D37"/>
    <w:rsid w:val="00C40DA1"/>
    <w:rsid w:val="00C411CD"/>
    <w:rsid w:val="00C412E1"/>
    <w:rsid w:val="00C416FD"/>
    <w:rsid w:val="00C41E73"/>
    <w:rsid w:val="00C41FA0"/>
    <w:rsid w:val="00C4202A"/>
    <w:rsid w:val="00C4271F"/>
    <w:rsid w:val="00C42A6C"/>
    <w:rsid w:val="00C42B60"/>
    <w:rsid w:val="00C43E4A"/>
    <w:rsid w:val="00C43FD4"/>
    <w:rsid w:val="00C4445E"/>
    <w:rsid w:val="00C44846"/>
    <w:rsid w:val="00C451E7"/>
    <w:rsid w:val="00C4569D"/>
    <w:rsid w:val="00C45A51"/>
    <w:rsid w:val="00C464C0"/>
    <w:rsid w:val="00C469E3"/>
    <w:rsid w:val="00C46D75"/>
    <w:rsid w:val="00C47155"/>
    <w:rsid w:val="00C47987"/>
    <w:rsid w:val="00C47CD2"/>
    <w:rsid w:val="00C47D56"/>
    <w:rsid w:val="00C510DE"/>
    <w:rsid w:val="00C52447"/>
    <w:rsid w:val="00C536E4"/>
    <w:rsid w:val="00C538AE"/>
    <w:rsid w:val="00C53C32"/>
    <w:rsid w:val="00C53E7A"/>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45C6"/>
    <w:rsid w:val="00C747FA"/>
    <w:rsid w:val="00C7532A"/>
    <w:rsid w:val="00C75721"/>
    <w:rsid w:val="00C760A6"/>
    <w:rsid w:val="00C762B7"/>
    <w:rsid w:val="00C76668"/>
    <w:rsid w:val="00C76825"/>
    <w:rsid w:val="00C77C4B"/>
    <w:rsid w:val="00C77D50"/>
    <w:rsid w:val="00C80651"/>
    <w:rsid w:val="00C80DC6"/>
    <w:rsid w:val="00C815E4"/>
    <w:rsid w:val="00C8282D"/>
    <w:rsid w:val="00C8290C"/>
    <w:rsid w:val="00C833A9"/>
    <w:rsid w:val="00C83E1B"/>
    <w:rsid w:val="00C84DCF"/>
    <w:rsid w:val="00C8512B"/>
    <w:rsid w:val="00C858C8"/>
    <w:rsid w:val="00C85A79"/>
    <w:rsid w:val="00C85B02"/>
    <w:rsid w:val="00C86242"/>
    <w:rsid w:val="00C86550"/>
    <w:rsid w:val="00C86B76"/>
    <w:rsid w:val="00C86D64"/>
    <w:rsid w:val="00C86D89"/>
    <w:rsid w:val="00C87827"/>
    <w:rsid w:val="00C87A20"/>
    <w:rsid w:val="00C87CDD"/>
    <w:rsid w:val="00C909EE"/>
    <w:rsid w:val="00C90E27"/>
    <w:rsid w:val="00C910ED"/>
    <w:rsid w:val="00C914C9"/>
    <w:rsid w:val="00C9156F"/>
    <w:rsid w:val="00C91E4A"/>
    <w:rsid w:val="00C91E57"/>
    <w:rsid w:val="00C922E8"/>
    <w:rsid w:val="00C93188"/>
    <w:rsid w:val="00C93C96"/>
    <w:rsid w:val="00C94540"/>
    <w:rsid w:val="00C945D9"/>
    <w:rsid w:val="00C947A8"/>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7B2"/>
    <w:rsid w:val="00CA0A27"/>
    <w:rsid w:val="00CA13BF"/>
    <w:rsid w:val="00CA13F7"/>
    <w:rsid w:val="00CA145B"/>
    <w:rsid w:val="00CA1463"/>
    <w:rsid w:val="00CA14DE"/>
    <w:rsid w:val="00CA17E2"/>
    <w:rsid w:val="00CA1D0C"/>
    <w:rsid w:val="00CA25F5"/>
    <w:rsid w:val="00CA2A57"/>
    <w:rsid w:val="00CA2C4B"/>
    <w:rsid w:val="00CA30A9"/>
    <w:rsid w:val="00CA35EC"/>
    <w:rsid w:val="00CA3D36"/>
    <w:rsid w:val="00CA3EC4"/>
    <w:rsid w:val="00CA4249"/>
    <w:rsid w:val="00CA47B4"/>
    <w:rsid w:val="00CA4D37"/>
    <w:rsid w:val="00CA4EF3"/>
    <w:rsid w:val="00CA575F"/>
    <w:rsid w:val="00CA6F7C"/>
    <w:rsid w:val="00CA702A"/>
    <w:rsid w:val="00CA703D"/>
    <w:rsid w:val="00CA7AA1"/>
    <w:rsid w:val="00CA7C3E"/>
    <w:rsid w:val="00CB0652"/>
    <w:rsid w:val="00CB0A8A"/>
    <w:rsid w:val="00CB138C"/>
    <w:rsid w:val="00CB1BD3"/>
    <w:rsid w:val="00CB214A"/>
    <w:rsid w:val="00CB21EF"/>
    <w:rsid w:val="00CB222B"/>
    <w:rsid w:val="00CB26B1"/>
    <w:rsid w:val="00CB2714"/>
    <w:rsid w:val="00CB2824"/>
    <w:rsid w:val="00CB2C75"/>
    <w:rsid w:val="00CB2F95"/>
    <w:rsid w:val="00CB30E7"/>
    <w:rsid w:val="00CB3270"/>
    <w:rsid w:val="00CB332C"/>
    <w:rsid w:val="00CB441D"/>
    <w:rsid w:val="00CB44FC"/>
    <w:rsid w:val="00CB492B"/>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964"/>
    <w:rsid w:val="00CC2B9C"/>
    <w:rsid w:val="00CC326E"/>
    <w:rsid w:val="00CC346D"/>
    <w:rsid w:val="00CC38EE"/>
    <w:rsid w:val="00CC46B8"/>
    <w:rsid w:val="00CC500C"/>
    <w:rsid w:val="00CC566D"/>
    <w:rsid w:val="00CC6071"/>
    <w:rsid w:val="00CC6AA6"/>
    <w:rsid w:val="00CC6ACF"/>
    <w:rsid w:val="00CC722F"/>
    <w:rsid w:val="00CC726E"/>
    <w:rsid w:val="00CC7476"/>
    <w:rsid w:val="00CC75EE"/>
    <w:rsid w:val="00CC78B5"/>
    <w:rsid w:val="00CC7B99"/>
    <w:rsid w:val="00CD0BAE"/>
    <w:rsid w:val="00CD1017"/>
    <w:rsid w:val="00CD1264"/>
    <w:rsid w:val="00CD129C"/>
    <w:rsid w:val="00CD12BA"/>
    <w:rsid w:val="00CD181E"/>
    <w:rsid w:val="00CD1ABF"/>
    <w:rsid w:val="00CD2C45"/>
    <w:rsid w:val="00CD387C"/>
    <w:rsid w:val="00CD45E4"/>
    <w:rsid w:val="00CD474C"/>
    <w:rsid w:val="00CD5589"/>
    <w:rsid w:val="00CD55E5"/>
    <w:rsid w:val="00CD5CCC"/>
    <w:rsid w:val="00CD6B16"/>
    <w:rsid w:val="00CD6B5E"/>
    <w:rsid w:val="00CD7092"/>
    <w:rsid w:val="00CD7422"/>
    <w:rsid w:val="00CD764C"/>
    <w:rsid w:val="00CD7CC1"/>
    <w:rsid w:val="00CE078F"/>
    <w:rsid w:val="00CE0950"/>
    <w:rsid w:val="00CE0FC5"/>
    <w:rsid w:val="00CE11D8"/>
    <w:rsid w:val="00CE1251"/>
    <w:rsid w:val="00CE1648"/>
    <w:rsid w:val="00CE1A90"/>
    <w:rsid w:val="00CE1C5C"/>
    <w:rsid w:val="00CE1CA9"/>
    <w:rsid w:val="00CE1E07"/>
    <w:rsid w:val="00CE2567"/>
    <w:rsid w:val="00CE2A65"/>
    <w:rsid w:val="00CE2AFC"/>
    <w:rsid w:val="00CE3037"/>
    <w:rsid w:val="00CE32AD"/>
    <w:rsid w:val="00CE3361"/>
    <w:rsid w:val="00CE3958"/>
    <w:rsid w:val="00CE3A6B"/>
    <w:rsid w:val="00CE3F49"/>
    <w:rsid w:val="00CE453B"/>
    <w:rsid w:val="00CE49B0"/>
    <w:rsid w:val="00CE4EA8"/>
    <w:rsid w:val="00CE5261"/>
    <w:rsid w:val="00CE52F6"/>
    <w:rsid w:val="00CE5695"/>
    <w:rsid w:val="00CE584B"/>
    <w:rsid w:val="00CE5A0A"/>
    <w:rsid w:val="00CE5C82"/>
    <w:rsid w:val="00CE64F3"/>
    <w:rsid w:val="00CE6C5C"/>
    <w:rsid w:val="00CE72F6"/>
    <w:rsid w:val="00CE7FF2"/>
    <w:rsid w:val="00CF0A5E"/>
    <w:rsid w:val="00CF0E8B"/>
    <w:rsid w:val="00CF0EE3"/>
    <w:rsid w:val="00CF1090"/>
    <w:rsid w:val="00CF12DA"/>
    <w:rsid w:val="00CF140F"/>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63E0"/>
    <w:rsid w:val="00CF72BD"/>
    <w:rsid w:val="00CF747E"/>
    <w:rsid w:val="00CF757A"/>
    <w:rsid w:val="00CF767E"/>
    <w:rsid w:val="00CF78C0"/>
    <w:rsid w:val="00CF78E3"/>
    <w:rsid w:val="00D01011"/>
    <w:rsid w:val="00D015A8"/>
    <w:rsid w:val="00D01BA7"/>
    <w:rsid w:val="00D024F9"/>
    <w:rsid w:val="00D027F9"/>
    <w:rsid w:val="00D02E81"/>
    <w:rsid w:val="00D03109"/>
    <w:rsid w:val="00D032AA"/>
    <w:rsid w:val="00D0355C"/>
    <w:rsid w:val="00D03A3E"/>
    <w:rsid w:val="00D03B1A"/>
    <w:rsid w:val="00D03E97"/>
    <w:rsid w:val="00D040BB"/>
    <w:rsid w:val="00D04742"/>
    <w:rsid w:val="00D056E9"/>
    <w:rsid w:val="00D05CB6"/>
    <w:rsid w:val="00D06325"/>
    <w:rsid w:val="00D06C16"/>
    <w:rsid w:val="00D07684"/>
    <w:rsid w:val="00D076A6"/>
    <w:rsid w:val="00D07F59"/>
    <w:rsid w:val="00D102EA"/>
    <w:rsid w:val="00D104B0"/>
    <w:rsid w:val="00D104B2"/>
    <w:rsid w:val="00D10986"/>
    <w:rsid w:val="00D11BB2"/>
    <w:rsid w:val="00D12C7B"/>
    <w:rsid w:val="00D12F1F"/>
    <w:rsid w:val="00D13207"/>
    <w:rsid w:val="00D13358"/>
    <w:rsid w:val="00D1342C"/>
    <w:rsid w:val="00D1345E"/>
    <w:rsid w:val="00D142FA"/>
    <w:rsid w:val="00D14873"/>
    <w:rsid w:val="00D14C06"/>
    <w:rsid w:val="00D14DAF"/>
    <w:rsid w:val="00D15455"/>
    <w:rsid w:val="00D1564A"/>
    <w:rsid w:val="00D156E5"/>
    <w:rsid w:val="00D15AF0"/>
    <w:rsid w:val="00D161CF"/>
    <w:rsid w:val="00D16747"/>
    <w:rsid w:val="00D17088"/>
    <w:rsid w:val="00D175C7"/>
    <w:rsid w:val="00D17E09"/>
    <w:rsid w:val="00D200D2"/>
    <w:rsid w:val="00D20886"/>
    <w:rsid w:val="00D20AD4"/>
    <w:rsid w:val="00D22106"/>
    <w:rsid w:val="00D22E00"/>
    <w:rsid w:val="00D2366E"/>
    <w:rsid w:val="00D24218"/>
    <w:rsid w:val="00D24286"/>
    <w:rsid w:val="00D25126"/>
    <w:rsid w:val="00D251E6"/>
    <w:rsid w:val="00D2558D"/>
    <w:rsid w:val="00D25830"/>
    <w:rsid w:val="00D259B0"/>
    <w:rsid w:val="00D26097"/>
    <w:rsid w:val="00D261C5"/>
    <w:rsid w:val="00D26391"/>
    <w:rsid w:val="00D26982"/>
    <w:rsid w:val="00D2699D"/>
    <w:rsid w:val="00D27255"/>
    <w:rsid w:val="00D27747"/>
    <w:rsid w:val="00D27A59"/>
    <w:rsid w:val="00D27BF7"/>
    <w:rsid w:val="00D30729"/>
    <w:rsid w:val="00D30EAF"/>
    <w:rsid w:val="00D31495"/>
    <w:rsid w:val="00D314F6"/>
    <w:rsid w:val="00D31A4F"/>
    <w:rsid w:val="00D31D6C"/>
    <w:rsid w:val="00D31D99"/>
    <w:rsid w:val="00D322C6"/>
    <w:rsid w:val="00D32309"/>
    <w:rsid w:val="00D32CDD"/>
    <w:rsid w:val="00D32E0D"/>
    <w:rsid w:val="00D3326D"/>
    <w:rsid w:val="00D33977"/>
    <w:rsid w:val="00D33C40"/>
    <w:rsid w:val="00D33E2B"/>
    <w:rsid w:val="00D34097"/>
    <w:rsid w:val="00D3544C"/>
    <w:rsid w:val="00D35797"/>
    <w:rsid w:val="00D36DC1"/>
    <w:rsid w:val="00D3719F"/>
    <w:rsid w:val="00D371C8"/>
    <w:rsid w:val="00D37FC8"/>
    <w:rsid w:val="00D4061B"/>
    <w:rsid w:val="00D4072A"/>
    <w:rsid w:val="00D4091E"/>
    <w:rsid w:val="00D40BD8"/>
    <w:rsid w:val="00D40F32"/>
    <w:rsid w:val="00D4134D"/>
    <w:rsid w:val="00D417E2"/>
    <w:rsid w:val="00D422BF"/>
    <w:rsid w:val="00D431DA"/>
    <w:rsid w:val="00D43450"/>
    <w:rsid w:val="00D43463"/>
    <w:rsid w:val="00D43D75"/>
    <w:rsid w:val="00D43F48"/>
    <w:rsid w:val="00D43F90"/>
    <w:rsid w:val="00D44156"/>
    <w:rsid w:val="00D44198"/>
    <w:rsid w:val="00D441FB"/>
    <w:rsid w:val="00D445B3"/>
    <w:rsid w:val="00D453B5"/>
    <w:rsid w:val="00D45529"/>
    <w:rsid w:val="00D45977"/>
    <w:rsid w:val="00D45B74"/>
    <w:rsid w:val="00D46DBF"/>
    <w:rsid w:val="00D46F26"/>
    <w:rsid w:val="00D47186"/>
    <w:rsid w:val="00D47568"/>
    <w:rsid w:val="00D47591"/>
    <w:rsid w:val="00D4798C"/>
    <w:rsid w:val="00D50F4A"/>
    <w:rsid w:val="00D51089"/>
    <w:rsid w:val="00D516E3"/>
    <w:rsid w:val="00D5228C"/>
    <w:rsid w:val="00D52E06"/>
    <w:rsid w:val="00D5354C"/>
    <w:rsid w:val="00D53650"/>
    <w:rsid w:val="00D5401D"/>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445"/>
    <w:rsid w:val="00D62A24"/>
    <w:rsid w:val="00D62FAC"/>
    <w:rsid w:val="00D635B0"/>
    <w:rsid w:val="00D636FB"/>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6A"/>
    <w:rsid w:val="00D722C1"/>
    <w:rsid w:val="00D72437"/>
    <w:rsid w:val="00D726A5"/>
    <w:rsid w:val="00D727AC"/>
    <w:rsid w:val="00D72AC2"/>
    <w:rsid w:val="00D72CAE"/>
    <w:rsid w:val="00D73044"/>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285"/>
    <w:rsid w:val="00D81B9A"/>
    <w:rsid w:val="00D822C6"/>
    <w:rsid w:val="00D82713"/>
    <w:rsid w:val="00D82890"/>
    <w:rsid w:val="00D8307F"/>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20E8"/>
    <w:rsid w:val="00D92722"/>
    <w:rsid w:val="00D9277E"/>
    <w:rsid w:val="00D92A2B"/>
    <w:rsid w:val="00D92BF2"/>
    <w:rsid w:val="00D93295"/>
    <w:rsid w:val="00D9335B"/>
    <w:rsid w:val="00D93DAF"/>
    <w:rsid w:val="00D941AE"/>
    <w:rsid w:val="00D94370"/>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DA8"/>
    <w:rsid w:val="00DA22C1"/>
    <w:rsid w:val="00DA24B0"/>
    <w:rsid w:val="00DA2582"/>
    <w:rsid w:val="00DA2694"/>
    <w:rsid w:val="00DA3CDB"/>
    <w:rsid w:val="00DA3CF1"/>
    <w:rsid w:val="00DA4B0E"/>
    <w:rsid w:val="00DA50E4"/>
    <w:rsid w:val="00DA5BEB"/>
    <w:rsid w:val="00DA5F20"/>
    <w:rsid w:val="00DA6199"/>
    <w:rsid w:val="00DA6758"/>
    <w:rsid w:val="00DA6BFD"/>
    <w:rsid w:val="00DA7645"/>
    <w:rsid w:val="00DA7E15"/>
    <w:rsid w:val="00DA7FC8"/>
    <w:rsid w:val="00DB02FF"/>
    <w:rsid w:val="00DB0B44"/>
    <w:rsid w:val="00DB10BD"/>
    <w:rsid w:val="00DB1433"/>
    <w:rsid w:val="00DB147B"/>
    <w:rsid w:val="00DB197C"/>
    <w:rsid w:val="00DB1AAF"/>
    <w:rsid w:val="00DB26B5"/>
    <w:rsid w:val="00DB289D"/>
    <w:rsid w:val="00DB30B9"/>
    <w:rsid w:val="00DB33A2"/>
    <w:rsid w:val="00DB3AA0"/>
    <w:rsid w:val="00DB3C49"/>
    <w:rsid w:val="00DB41B9"/>
    <w:rsid w:val="00DB42C2"/>
    <w:rsid w:val="00DB444B"/>
    <w:rsid w:val="00DB4628"/>
    <w:rsid w:val="00DB4714"/>
    <w:rsid w:val="00DB4788"/>
    <w:rsid w:val="00DB4D04"/>
    <w:rsid w:val="00DB510A"/>
    <w:rsid w:val="00DB5178"/>
    <w:rsid w:val="00DB52E9"/>
    <w:rsid w:val="00DB5386"/>
    <w:rsid w:val="00DB53D5"/>
    <w:rsid w:val="00DB5ABE"/>
    <w:rsid w:val="00DB5B8E"/>
    <w:rsid w:val="00DB6292"/>
    <w:rsid w:val="00DB67E7"/>
    <w:rsid w:val="00DB68BB"/>
    <w:rsid w:val="00DB68E2"/>
    <w:rsid w:val="00DB6A53"/>
    <w:rsid w:val="00DB6EFF"/>
    <w:rsid w:val="00DB6F4C"/>
    <w:rsid w:val="00DB7F10"/>
    <w:rsid w:val="00DC025E"/>
    <w:rsid w:val="00DC0AF9"/>
    <w:rsid w:val="00DC1524"/>
    <w:rsid w:val="00DC1889"/>
    <w:rsid w:val="00DC1CA3"/>
    <w:rsid w:val="00DC2A33"/>
    <w:rsid w:val="00DC2ABE"/>
    <w:rsid w:val="00DC2D60"/>
    <w:rsid w:val="00DC3214"/>
    <w:rsid w:val="00DC3579"/>
    <w:rsid w:val="00DC3E0F"/>
    <w:rsid w:val="00DC41FA"/>
    <w:rsid w:val="00DC43AE"/>
    <w:rsid w:val="00DC466F"/>
    <w:rsid w:val="00DC4790"/>
    <w:rsid w:val="00DC4841"/>
    <w:rsid w:val="00DC5132"/>
    <w:rsid w:val="00DC51EE"/>
    <w:rsid w:val="00DC5533"/>
    <w:rsid w:val="00DC5770"/>
    <w:rsid w:val="00DC59D7"/>
    <w:rsid w:val="00DC6E13"/>
    <w:rsid w:val="00DC6E1B"/>
    <w:rsid w:val="00DC6E7B"/>
    <w:rsid w:val="00DC724A"/>
    <w:rsid w:val="00DC728F"/>
    <w:rsid w:val="00DC7EBE"/>
    <w:rsid w:val="00DD0345"/>
    <w:rsid w:val="00DD083E"/>
    <w:rsid w:val="00DD0C4B"/>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94A"/>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6EB"/>
    <w:rsid w:val="00DE3B74"/>
    <w:rsid w:val="00DE40F7"/>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F0A8D"/>
    <w:rsid w:val="00DF0DC8"/>
    <w:rsid w:val="00DF0E97"/>
    <w:rsid w:val="00DF11F0"/>
    <w:rsid w:val="00DF1861"/>
    <w:rsid w:val="00DF1956"/>
    <w:rsid w:val="00DF1AD2"/>
    <w:rsid w:val="00DF1D62"/>
    <w:rsid w:val="00DF2170"/>
    <w:rsid w:val="00DF2F00"/>
    <w:rsid w:val="00DF2FC2"/>
    <w:rsid w:val="00DF3193"/>
    <w:rsid w:val="00DF3D62"/>
    <w:rsid w:val="00DF50ED"/>
    <w:rsid w:val="00DF572E"/>
    <w:rsid w:val="00DF596A"/>
    <w:rsid w:val="00DF66C5"/>
    <w:rsid w:val="00DF6DA6"/>
    <w:rsid w:val="00DF708D"/>
    <w:rsid w:val="00DF7EB8"/>
    <w:rsid w:val="00E0031E"/>
    <w:rsid w:val="00E00B10"/>
    <w:rsid w:val="00E00FD5"/>
    <w:rsid w:val="00E0148E"/>
    <w:rsid w:val="00E01956"/>
    <w:rsid w:val="00E01B27"/>
    <w:rsid w:val="00E01D7A"/>
    <w:rsid w:val="00E01F0A"/>
    <w:rsid w:val="00E02047"/>
    <w:rsid w:val="00E023E5"/>
    <w:rsid w:val="00E0280B"/>
    <w:rsid w:val="00E02837"/>
    <w:rsid w:val="00E0287C"/>
    <w:rsid w:val="00E02FC0"/>
    <w:rsid w:val="00E03532"/>
    <w:rsid w:val="00E03CB3"/>
    <w:rsid w:val="00E0443C"/>
    <w:rsid w:val="00E04B4F"/>
    <w:rsid w:val="00E05F38"/>
    <w:rsid w:val="00E06B6A"/>
    <w:rsid w:val="00E06C61"/>
    <w:rsid w:val="00E06FD6"/>
    <w:rsid w:val="00E074C1"/>
    <w:rsid w:val="00E079C6"/>
    <w:rsid w:val="00E07B79"/>
    <w:rsid w:val="00E07CDC"/>
    <w:rsid w:val="00E07EAA"/>
    <w:rsid w:val="00E1006A"/>
    <w:rsid w:val="00E105B9"/>
    <w:rsid w:val="00E1069C"/>
    <w:rsid w:val="00E1079E"/>
    <w:rsid w:val="00E10BB0"/>
    <w:rsid w:val="00E10F6A"/>
    <w:rsid w:val="00E112FA"/>
    <w:rsid w:val="00E11820"/>
    <w:rsid w:val="00E11BF7"/>
    <w:rsid w:val="00E12CED"/>
    <w:rsid w:val="00E13D2C"/>
    <w:rsid w:val="00E13EE3"/>
    <w:rsid w:val="00E14058"/>
    <w:rsid w:val="00E148CD"/>
    <w:rsid w:val="00E14E22"/>
    <w:rsid w:val="00E14FF5"/>
    <w:rsid w:val="00E15524"/>
    <w:rsid w:val="00E15713"/>
    <w:rsid w:val="00E15DBF"/>
    <w:rsid w:val="00E16682"/>
    <w:rsid w:val="00E1678A"/>
    <w:rsid w:val="00E168B2"/>
    <w:rsid w:val="00E17549"/>
    <w:rsid w:val="00E17BAE"/>
    <w:rsid w:val="00E17E85"/>
    <w:rsid w:val="00E17E99"/>
    <w:rsid w:val="00E2002A"/>
    <w:rsid w:val="00E2055A"/>
    <w:rsid w:val="00E20655"/>
    <w:rsid w:val="00E20A30"/>
    <w:rsid w:val="00E21F2D"/>
    <w:rsid w:val="00E22A26"/>
    <w:rsid w:val="00E22DD9"/>
    <w:rsid w:val="00E22F54"/>
    <w:rsid w:val="00E2336E"/>
    <w:rsid w:val="00E23655"/>
    <w:rsid w:val="00E23A40"/>
    <w:rsid w:val="00E23AB9"/>
    <w:rsid w:val="00E23AC4"/>
    <w:rsid w:val="00E23B6E"/>
    <w:rsid w:val="00E23ED2"/>
    <w:rsid w:val="00E2446C"/>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A1E"/>
    <w:rsid w:val="00E40A57"/>
    <w:rsid w:val="00E411CA"/>
    <w:rsid w:val="00E41804"/>
    <w:rsid w:val="00E418D0"/>
    <w:rsid w:val="00E41CF2"/>
    <w:rsid w:val="00E41D23"/>
    <w:rsid w:val="00E4297F"/>
    <w:rsid w:val="00E438F7"/>
    <w:rsid w:val="00E43E29"/>
    <w:rsid w:val="00E43EE5"/>
    <w:rsid w:val="00E44ACD"/>
    <w:rsid w:val="00E44CB9"/>
    <w:rsid w:val="00E44F65"/>
    <w:rsid w:val="00E45200"/>
    <w:rsid w:val="00E45343"/>
    <w:rsid w:val="00E45B97"/>
    <w:rsid w:val="00E46852"/>
    <w:rsid w:val="00E46A71"/>
    <w:rsid w:val="00E46AB1"/>
    <w:rsid w:val="00E479FF"/>
    <w:rsid w:val="00E5043C"/>
    <w:rsid w:val="00E51353"/>
    <w:rsid w:val="00E51392"/>
    <w:rsid w:val="00E515B1"/>
    <w:rsid w:val="00E51662"/>
    <w:rsid w:val="00E5269A"/>
    <w:rsid w:val="00E52E68"/>
    <w:rsid w:val="00E535D1"/>
    <w:rsid w:val="00E536FC"/>
    <w:rsid w:val="00E53AA6"/>
    <w:rsid w:val="00E53C1D"/>
    <w:rsid w:val="00E53C6C"/>
    <w:rsid w:val="00E53CB2"/>
    <w:rsid w:val="00E53D6A"/>
    <w:rsid w:val="00E53E44"/>
    <w:rsid w:val="00E540EA"/>
    <w:rsid w:val="00E54898"/>
    <w:rsid w:val="00E54BB0"/>
    <w:rsid w:val="00E54D51"/>
    <w:rsid w:val="00E5540A"/>
    <w:rsid w:val="00E55558"/>
    <w:rsid w:val="00E55BB8"/>
    <w:rsid w:val="00E56344"/>
    <w:rsid w:val="00E57E87"/>
    <w:rsid w:val="00E60DE1"/>
    <w:rsid w:val="00E6106B"/>
    <w:rsid w:val="00E61076"/>
    <w:rsid w:val="00E61812"/>
    <w:rsid w:val="00E62446"/>
    <w:rsid w:val="00E62CF0"/>
    <w:rsid w:val="00E62E5D"/>
    <w:rsid w:val="00E62EB8"/>
    <w:rsid w:val="00E635BC"/>
    <w:rsid w:val="00E63A9F"/>
    <w:rsid w:val="00E6441B"/>
    <w:rsid w:val="00E65073"/>
    <w:rsid w:val="00E65E8C"/>
    <w:rsid w:val="00E66766"/>
    <w:rsid w:val="00E66800"/>
    <w:rsid w:val="00E668F9"/>
    <w:rsid w:val="00E66C08"/>
    <w:rsid w:val="00E66D78"/>
    <w:rsid w:val="00E66D94"/>
    <w:rsid w:val="00E66FCA"/>
    <w:rsid w:val="00E67132"/>
    <w:rsid w:val="00E673C1"/>
    <w:rsid w:val="00E67ACF"/>
    <w:rsid w:val="00E67C5C"/>
    <w:rsid w:val="00E67E55"/>
    <w:rsid w:val="00E70504"/>
    <w:rsid w:val="00E709F4"/>
    <w:rsid w:val="00E71198"/>
    <w:rsid w:val="00E7146F"/>
    <w:rsid w:val="00E71591"/>
    <w:rsid w:val="00E717B9"/>
    <w:rsid w:val="00E71E4F"/>
    <w:rsid w:val="00E72486"/>
    <w:rsid w:val="00E724EF"/>
    <w:rsid w:val="00E7264E"/>
    <w:rsid w:val="00E72651"/>
    <w:rsid w:val="00E72694"/>
    <w:rsid w:val="00E73957"/>
    <w:rsid w:val="00E73C90"/>
    <w:rsid w:val="00E73D3A"/>
    <w:rsid w:val="00E7412C"/>
    <w:rsid w:val="00E743A1"/>
    <w:rsid w:val="00E74BC5"/>
    <w:rsid w:val="00E74F05"/>
    <w:rsid w:val="00E7518B"/>
    <w:rsid w:val="00E7533D"/>
    <w:rsid w:val="00E7593F"/>
    <w:rsid w:val="00E760A9"/>
    <w:rsid w:val="00E76497"/>
    <w:rsid w:val="00E76C33"/>
    <w:rsid w:val="00E8011B"/>
    <w:rsid w:val="00E801FE"/>
    <w:rsid w:val="00E80768"/>
    <w:rsid w:val="00E80E1E"/>
    <w:rsid w:val="00E81171"/>
    <w:rsid w:val="00E815B2"/>
    <w:rsid w:val="00E81735"/>
    <w:rsid w:val="00E82135"/>
    <w:rsid w:val="00E823C3"/>
    <w:rsid w:val="00E82862"/>
    <w:rsid w:val="00E82CA0"/>
    <w:rsid w:val="00E82E17"/>
    <w:rsid w:val="00E849FF"/>
    <w:rsid w:val="00E84AD4"/>
    <w:rsid w:val="00E8534F"/>
    <w:rsid w:val="00E854EA"/>
    <w:rsid w:val="00E85EC9"/>
    <w:rsid w:val="00E85EE8"/>
    <w:rsid w:val="00E86213"/>
    <w:rsid w:val="00E86BAE"/>
    <w:rsid w:val="00E87452"/>
    <w:rsid w:val="00E876A3"/>
    <w:rsid w:val="00E87DC5"/>
    <w:rsid w:val="00E87E99"/>
    <w:rsid w:val="00E87F24"/>
    <w:rsid w:val="00E903A5"/>
    <w:rsid w:val="00E90648"/>
    <w:rsid w:val="00E90A19"/>
    <w:rsid w:val="00E913FF"/>
    <w:rsid w:val="00E91460"/>
    <w:rsid w:val="00E915F1"/>
    <w:rsid w:val="00E91C42"/>
    <w:rsid w:val="00E92341"/>
    <w:rsid w:val="00E93635"/>
    <w:rsid w:val="00E94F06"/>
    <w:rsid w:val="00E95243"/>
    <w:rsid w:val="00E9568A"/>
    <w:rsid w:val="00E956CB"/>
    <w:rsid w:val="00E95E51"/>
    <w:rsid w:val="00E960B8"/>
    <w:rsid w:val="00E96AEE"/>
    <w:rsid w:val="00E96D1C"/>
    <w:rsid w:val="00E977CB"/>
    <w:rsid w:val="00E977CE"/>
    <w:rsid w:val="00E97990"/>
    <w:rsid w:val="00E97D2F"/>
    <w:rsid w:val="00E97E19"/>
    <w:rsid w:val="00E97EA7"/>
    <w:rsid w:val="00E97FB1"/>
    <w:rsid w:val="00EA0463"/>
    <w:rsid w:val="00EA096F"/>
    <w:rsid w:val="00EA0BEE"/>
    <w:rsid w:val="00EA0D7F"/>
    <w:rsid w:val="00EA1514"/>
    <w:rsid w:val="00EA16E1"/>
    <w:rsid w:val="00EA1767"/>
    <w:rsid w:val="00EA1AA6"/>
    <w:rsid w:val="00EA1F8E"/>
    <w:rsid w:val="00EA2360"/>
    <w:rsid w:val="00EA272B"/>
    <w:rsid w:val="00EA2F5D"/>
    <w:rsid w:val="00EA301E"/>
    <w:rsid w:val="00EA35F1"/>
    <w:rsid w:val="00EA36F7"/>
    <w:rsid w:val="00EA3BA1"/>
    <w:rsid w:val="00EA449C"/>
    <w:rsid w:val="00EA4953"/>
    <w:rsid w:val="00EA4F1E"/>
    <w:rsid w:val="00EA4F7D"/>
    <w:rsid w:val="00EA5931"/>
    <w:rsid w:val="00EA5F9C"/>
    <w:rsid w:val="00EA633B"/>
    <w:rsid w:val="00EA659C"/>
    <w:rsid w:val="00EA7206"/>
    <w:rsid w:val="00EA7B31"/>
    <w:rsid w:val="00EB01C6"/>
    <w:rsid w:val="00EB02C9"/>
    <w:rsid w:val="00EB079F"/>
    <w:rsid w:val="00EB0A68"/>
    <w:rsid w:val="00EB0E6A"/>
    <w:rsid w:val="00EB0FE6"/>
    <w:rsid w:val="00EB16EB"/>
    <w:rsid w:val="00EB182C"/>
    <w:rsid w:val="00EB19D9"/>
    <w:rsid w:val="00EB2287"/>
    <w:rsid w:val="00EB269D"/>
    <w:rsid w:val="00EB30E8"/>
    <w:rsid w:val="00EB344E"/>
    <w:rsid w:val="00EB374D"/>
    <w:rsid w:val="00EB425C"/>
    <w:rsid w:val="00EB45D7"/>
    <w:rsid w:val="00EB47B3"/>
    <w:rsid w:val="00EB4926"/>
    <w:rsid w:val="00EB4AF2"/>
    <w:rsid w:val="00EB4B58"/>
    <w:rsid w:val="00EB4E5F"/>
    <w:rsid w:val="00EB5197"/>
    <w:rsid w:val="00EB52A9"/>
    <w:rsid w:val="00EB52B7"/>
    <w:rsid w:val="00EB5629"/>
    <w:rsid w:val="00EB5734"/>
    <w:rsid w:val="00EB5A33"/>
    <w:rsid w:val="00EB6C0E"/>
    <w:rsid w:val="00EB701C"/>
    <w:rsid w:val="00EB745D"/>
    <w:rsid w:val="00EB75EB"/>
    <w:rsid w:val="00EB7605"/>
    <w:rsid w:val="00EB7658"/>
    <w:rsid w:val="00EB76CB"/>
    <w:rsid w:val="00EB7D1E"/>
    <w:rsid w:val="00EC089D"/>
    <w:rsid w:val="00EC0DD3"/>
    <w:rsid w:val="00EC101A"/>
    <w:rsid w:val="00EC1243"/>
    <w:rsid w:val="00EC1394"/>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275"/>
    <w:rsid w:val="00EC774B"/>
    <w:rsid w:val="00EC782F"/>
    <w:rsid w:val="00EC7D0C"/>
    <w:rsid w:val="00ED0D53"/>
    <w:rsid w:val="00ED12C2"/>
    <w:rsid w:val="00ED13EB"/>
    <w:rsid w:val="00ED1462"/>
    <w:rsid w:val="00ED14A1"/>
    <w:rsid w:val="00ED17FA"/>
    <w:rsid w:val="00ED1856"/>
    <w:rsid w:val="00ED1BDF"/>
    <w:rsid w:val="00ED24B6"/>
    <w:rsid w:val="00ED25D2"/>
    <w:rsid w:val="00ED2DA3"/>
    <w:rsid w:val="00ED35C0"/>
    <w:rsid w:val="00ED3F38"/>
    <w:rsid w:val="00ED3F87"/>
    <w:rsid w:val="00ED4124"/>
    <w:rsid w:val="00ED455E"/>
    <w:rsid w:val="00ED4928"/>
    <w:rsid w:val="00ED5030"/>
    <w:rsid w:val="00ED547D"/>
    <w:rsid w:val="00ED596C"/>
    <w:rsid w:val="00ED5ACF"/>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BF4"/>
    <w:rsid w:val="00EF1D2F"/>
    <w:rsid w:val="00EF20C3"/>
    <w:rsid w:val="00EF231B"/>
    <w:rsid w:val="00EF2449"/>
    <w:rsid w:val="00EF2467"/>
    <w:rsid w:val="00EF256C"/>
    <w:rsid w:val="00EF2736"/>
    <w:rsid w:val="00EF3393"/>
    <w:rsid w:val="00EF3A43"/>
    <w:rsid w:val="00EF3C6A"/>
    <w:rsid w:val="00EF3F0C"/>
    <w:rsid w:val="00EF3F1A"/>
    <w:rsid w:val="00EF3F5E"/>
    <w:rsid w:val="00EF4186"/>
    <w:rsid w:val="00EF463E"/>
    <w:rsid w:val="00EF4BD9"/>
    <w:rsid w:val="00EF541D"/>
    <w:rsid w:val="00EF5712"/>
    <w:rsid w:val="00EF571F"/>
    <w:rsid w:val="00EF579C"/>
    <w:rsid w:val="00EF57BB"/>
    <w:rsid w:val="00EF585C"/>
    <w:rsid w:val="00EF5B95"/>
    <w:rsid w:val="00EF5D00"/>
    <w:rsid w:val="00EF5D0E"/>
    <w:rsid w:val="00EF5E2E"/>
    <w:rsid w:val="00EF60B7"/>
    <w:rsid w:val="00EF613D"/>
    <w:rsid w:val="00EF76F3"/>
    <w:rsid w:val="00EF79E4"/>
    <w:rsid w:val="00F00809"/>
    <w:rsid w:val="00F00922"/>
    <w:rsid w:val="00F009EE"/>
    <w:rsid w:val="00F00BEE"/>
    <w:rsid w:val="00F0102C"/>
    <w:rsid w:val="00F0106B"/>
    <w:rsid w:val="00F01260"/>
    <w:rsid w:val="00F0137B"/>
    <w:rsid w:val="00F0139C"/>
    <w:rsid w:val="00F020E1"/>
    <w:rsid w:val="00F0221D"/>
    <w:rsid w:val="00F02A43"/>
    <w:rsid w:val="00F02DE5"/>
    <w:rsid w:val="00F0324F"/>
    <w:rsid w:val="00F03408"/>
    <w:rsid w:val="00F039A0"/>
    <w:rsid w:val="00F03AA2"/>
    <w:rsid w:val="00F0424C"/>
    <w:rsid w:val="00F043F9"/>
    <w:rsid w:val="00F04503"/>
    <w:rsid w:val="00F0481E"/>
    <w:rsid w:val="00F04E02"/>
    <w:rsid w:val="00F05558"/>
    <w:rsid w:val="00F0595E"/>
    <w:rsid w:val="00F05A7B"/>
    <w:rsid w:val="00F05C14"/>
    <w:rsid w:val="00F05DCD"/>
    <w:rsid w:val="00F06454"/>
    <w:rsid w:val="00F064FE"/>
    <w:rsid w:val="00F06CB2"/>
    <w:rsid w:val="00F06E6D"/>
    <w:rsid w:val="00F06E72"/>
    <w:rsid w:val="00F070D2"/>
    <w:rsid w:val="00F07C8A"/>
    <w:rsid w:val="00F07D8B"/>
    <w:rsid w:val="00F07FAE"/>
    <w:rsid w:val="00F104D0"/>
    <w:rsid w:val="00F10840"/>
    <w:rsid w:val="00F116B0"/>
    <w:rsid w:val="00F116E1"/>
    <w:rsid w:val="00F11B5E"/>
    <w:rsid w:val="00F11E4F"/>
    <w:rsid w:val="00F1272B"/>
    <w:rsid w:val="00F13033"/>
    <w:rsid w:val="00F13232"/>
    <w:rsid w:val="00F132E7"/>
    <w:rsid w:val="00F13357"/>
    <w:rsid w:val="00F13A85"/>
    <w:rsid w:val="00F13C6A"/>
    <w:rsid w:val="00F13C93"/>
    <w:rsid w:val="00F14145"/>
    <w:rsid w:val="00F14212"/>
    <w:rsid w:val="00F14A1F"/>
    <w:rsid w:val="00F14C85"/>
    <w:rsid w:val="00F14D95"/>
    <w:rsid w:val="00F150C2"/>
    <w:rsid w:val="00F15B8F"/>
    <w:rsid w:val="00F15D2C"/>
    <w:rsid w:val="00F15EBF"/>
    <w:rsid w:val="00F16582"/>
    <w:rsid w:val="00F16B9D"/>
    <w:rsid w:val="00F16CE1"/>
    <w:rsid w:val="00F16F1D"/>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D6D"/>
    <w:rsid w:val="00F3000C"/>
    <w:rsid w:val="00F30616"/>
    <w:rsid w:val="00F319F9"/>
    <w:rsid w:val="00F32AF9"/>
    <w:rsid w:val="00F33B96"/>
    <w:rsid w:val="00F346B1"/>
    <w:rsid w:val="00F347FD"/>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3628"/>
    <w:rsid w:val="00F436F0"/>
    <w:rsid w:val="00F443B0"/>
    <w:rsid w:val="00F444E7"/>
    <w:rsid w:val="00F447EA"/>
    <w:rsid w:val="00F44943"/>
    <w:rsid w:val="00F44D2D"/>
    <w:rsid w:val="00F44E5A"/>
    <w:rsid w:val="00F453DF"/>
    <w:rsid w:val="00F45632"/>
    <w:rsid w:val="00F46D66"/>
    <w:rsid w:val="00F4737E"/>
    <w:rsid w:val="00F47D5F"/>
    <w:rsid w:val="00F47E5F"/>
    <w:rsid w:val="00F50623"/>
    <w:rsid w:val="00F5087C"/>
    <w:rsid w:val="00F50BAD"/>
    <w:rsid w:val="00F50E4E"/>
    <w:rsid w:val="00F511EE"/>
    <w:rsid w:val="00F51441"/>
    <w:rsid w:val="00F51D28"/>
    <w:rsid w:val="00F51E10"/>
    <w:rsid w:val="00F51E4D"/>
    <w:rsid w:val="00F53312"/>
    <w:rsid w:val="00F53398"/>
    <w:rsid w:val="00F533F9"/>
    <w:rsid w:val="00F539AC"/>
    <w:rsid w:val="00F53B8D"/>
    <w:rsid w:val="00F53D94"/>
    <w:rsid w:val="00F5420D"/>
    <w:rsid w:val="00F54768"/>
    <w:rsid w:val="00F54ADC"/>
    <w:rsid w:val="00F54AE2"/>
    <w:rsid w:val="00F553E8"/>
    <w:rsid w:val="00F55455"/>
    <w:rsid w:val="00F55AA3"/>
    <w:rsid w:val="00F55C08"/>
    <w:rsid w:val="00F55DFC"/>
    <w:rsid w:val="00F5602A"/>
    <w:rsid w:val="00F567D1"/>
    <w:rsid w:val="00F56C88"/>
    <w:rsid w:val="00F57256"/>
    <w:rsid w:val="00F5738E"/>
    <w:rsid w:val="00F577B3"/>
    <w:rsid w:val="00F57BDA"/>
    <w:rsid w:val="00F57F43"/>
    <w:rsid w:val="00F60058"/>
    <w:rsid w:val="00F6066A"/>
    <w:rsid w:val="00F60688"/>
    <w:rsid w:val="00F6088F"/>
    <w:rsid w:val="00F60D88"/>
    <w:rsid w:val="00F60DC0"/>
    <w:rsid w:val="00F61248"/>
    <w:rsid w:val="00F61281"/>
    <w:rsid w:val="00F613C3"/>
    <w:rsid w:val="00F6145D"/>
    <w:rsid w:val="00F617DF"/>
    <w:rsid w:val="00F6199F"/>
    <w:rsid w:val="00F62450"/>
    <w:rsid w:val="00F626F5"/>
    <w:rsid w:val="00F629DE"/>
    <w:rsid w:val="00F638B4"/>
    <w:rsid w:val="00F6394E"/>
    <w:rsid w:val="00F643C2"/>
    <w:rsid w:val="00F64A0B"/>
    <w:rsid w:val="00F64B59"/>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5FC9"/>
    <w:rsid w:val="00F7609A"/>
    <w:rsid w:val="00F7643C"/>
    <w:rsid w:val="00F764B7"/>
    <w:rsid w:val="00F76924"/>
    <w:rsid w:val="00F76FD6"/>
    <w:rsid w:val="00F770FE"/>
    <w:rsid w:val="00F77293"/>
    <w:rsid w:val="00F77477"/>
    <w:rsid w:val="00F77C33"/>
    <w:rsid w:val="00F77D71"/>
    <w:rsid w:val="00F808F0"/>
    <w:rsid w:val="00F80927"/>
    <w:rsid w:val="00F81382"/>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59AF"/>
    <w:rsid w:val="00F86769"/>
    <w:rsid w:val="00F8676D"/>
    <w:rsid w:val="00F86823"/>
    <w:rsid w:val="00F86C16"/>
    <w:rsid w:val="00F8725C"/>
    <w:rsid w:val="00F8798B"/>
    <w:rsid w:val="00F9034D"/>
    <w:rsid w:val="00F90624"/>
    <w:rsid w:val="00F907AF"/>
    <w:rsid w:val="00F90E09"/>
    <w:rsid w:val="00F91CBC"/>
    <w:rsid w:val="00F91E36"/>
    <w:rsid w:val="00F922ED"/>
    <w:rsid w:val="00F92998"/>
    <w:rsid w:val="00F92DC6"/>
    <w:rsid w:val="00F92E83"/>
    <w:rsid w:val="00F9348E"/>
    <w:rsid w:val="00F93667"/>
    <w:rsid w:val="00F93A0A"/>
    <w:rsid w:val="00F93D46"/>
    <w:rsid w:val="00F94A71"/>
    <w:rsid w:val="00F94CCA"/>
    <w:rsid w:val="00F9535C"/>
    <w:rsid w:val="00F95780"/>
    <w:rsid w:val="00F95EFB"/>
    <w:rsid w:val="00F9624E"/>
    <w:rsid w:val="00F96923"/>
    <w:rsid w:val="00F96B96"/>
    <w:rsid w:val="00F96E26"/>
    <w:rsid w:val="00F96ECB"/>
    <w:rsid w:val="00F970DB"/>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AEC"/>
    <w:rsid w:val="00FA5C1A"/>
    <w:rsid w:val="00FA62C1"/>
    <w:rsid w:val="00FA6B17"/>
    <w:rsid w:val="00FA7860"/>
    <w:rsid w:val="00FA7B83"/>
    <w:rsid w:val="00FB0060"/>
    <w:rsid w:val="00FB012F"/>
    <w:rsid w:val="00FB0A08"/>
    <w:rsid w:val="00FB0AD3"/>
    <w:rsid w:val="00FB0B2B"/>
    <w:rsid w:val="00FB0D58"/>
    <w:rsid w:val="00FB0F16"/>
    <w:rsid w:val="00FB185F"/>
    <w:rsid w:val="00FB21EE"/>
    <w:rsid w:val="00FB2506"/>
    <w:rsid w:val="00FB294D"/>
    <w:rsid w:val="00FB306B"/>
    <w:rsid w:val="00FB3784"/>
    <w:rsid w:val="00FB39B3"/>
    <w:rsid w:val="00FB466E"/>
    <w:rsid w:val="00FB4D3B"/>
    <w:rsid w:val="00FB4F6A"/>
    <w:rsid w:val="00FB50C2"/>
    <w:rsid w:val="00FB529D"/>
    <w:rsid w:val="00FB56C5"/>
    <w:rsid w:val="00FB57EF"/>
    <w:rsid w:val="00FB59E5"/>
    <w:rsid w:val="00FB5C5F"/>
    <w:rsid w:val="00FB5FB0"/>
    <w:rsid w:val="00FB614E"/>
    <w:rsid w:val="00FB6501"/>
    <w:rsid w:val="00FB6F0E"/>
    <w:rsid w:val="00FB7C8D"/>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6B8"/>
    <w:rsid w:val="00FC6947"/>
    <w:rsid w:val="00FC69DF"/>
    <w:rsid w:val="00FC6E6C"/>
    <w:rsid w:val="00FC6E74"/>
    <w:rsid w:val="00FC7186"/>
    <w:rsid w:val="00FC742F"/>
    <w:rsid w:val="00FC7C6E"/>
    <w:rsid w:val="00FC7C89"/>
    <w:rsid w:val="00FD0E51"/>
    <w:rsid w:val="00FD0F61"/>
    <w:rsid w:val="00FD1280"/>
    <w:rsid w:val="00FD143C"/>
    <w:rsid w:val="00FD1946"/>
    <w:rsid w:val="00FD2965"/>
    <w:rsid w:val="00FD2A64"/>
    <w:rsid w:val="00FD2CC3"/>
    <w:rsid w:val="00FD2F74"/>
    <w:rsid w:val="00FD3162"/>
    <w:rsid w:val="00FD3487"/>
    <w:rsid w:val="00FD3520"/>
    <w:rsid w:val="00FD3D58"/>
    <w:rsid w:val="00FD3D61"/>
    <w:rsid w:val="00FD3EC6"/>
    <w:rsid w:val="00FD40CD"/>
    <w:rsid w:val="00FD41C7"/>
    <w:rsid w:val="00FD436D"/>
    <w:rsid w:val="00FD491D"/>
    <w:rsid w:val="00FD49DB"/>
    <w:rsid w:val="00FD5062"/>
    <w:rsid w:val="00FD595E"/>
    <w:rsid w:val="00FD715A"/>
    <w:rsid w:val="00FD7446"/>
    <w:rsid w:val="00FD764D"/>
    <w:rsid w:val="00FD7B35"/>
    <w:rsid w:val="00FD7C6C"/>
    <w:rsid w:val="00FD7CDC"/>
    <w:rsid w:val="00FD7F20"/>
    <w:rsid w:val="00FE01A6"/>
    <w:rsid w:val="00FE0206"/>
    <w:rsid w:val="00FE02F8"/>
    <w:rsid w:val="00FE0BA6"/>
    <w:rsid w:val="00FE1445"/>
    <w:rsid w:val="00FE153E"/>
    <w:rsid w:val="00FE1710"/>
    <w:rsid w:val="00FE18EF"/>
    <w:rsid w:val="00FE1CE2"/>
    <w:rsid w:val="00FE1DFC"/>
    <w:rsid w:val="00FE235B"/>
    <w:rsid w:val="00FE27FE"/>
    <w:rsid w:val="00FE2852"/>
    <w:rsid w:val="00FE2EAE"/>
    <w:rsid w:val="00FE2F5F"/>
    <w:rsid w:val="00FE3406"/>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1744"/>
    <w:rsid w:val="00FF1A0D"/>
    <w:rsid w:val="00FF1AB4"/>
    <w:rsid w:val="00FF1BFD"/>
    <w:rsid w:val="00FF1E2A"/>
    <w:rsid w:val="00FF2265"/>
    <w:rsid w:val="00FF2A52"/>
    <w:rsid w:val="00FF2D52"/>
    <w:rsid w:val="00FF2F34"/>
    <w:rsid w:val="00FF3496"/>
    <w:rsid w:val="00FF3CA1"/>
    <w:rsid w:val="00FF4177"/>
    <w:rsid w:val="00FF4675"/>
    <w:rsid w:val="00FF48C8"/>
    <w:rsid w:val="00FF4E8E"/>
    <w:rsid w:val="00FF4FB4"/>
    <w:rsid w:val="00FF6584"/>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D9872"/>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9813FF"/>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9813FF"/>
    <w:rPr>
      <w:rFonts w:ascii="Arial" w:hAnsi="Arial" w:cs="Arial"/>
      <w:sz w:val="24"/>
      <w:szCs w:val="24"/>
      <w:lang w:val="es-ES_tradnl" w:eastAsia="es-ES"/>
    </w:rPr>
  </w:style>
  <w:style w:type="paragraph" w:styleId="Revisin">
    <w:name w:val="Revision"/>
    <w:hidden/>
    <w:uiPriority w:val="99"/>
    <w:semiHidden/>
    <w:rsid w:val="00D17088"/>
    <w:rPr>
      <w:rFonts w:ascii="Arial" w:hAnsi="Arial" w:cs="Arial"/>
      <w:sz w:val="24"/>
      <w:szCs w:val="24"/>
      <w:lang w:val="es-ES_tradnl" w:eastAsia="es-ES"/>
    </w:rPr>
  </w:style>
  <w:style w:type="paragraph" w:customStyle="1" w:styleId="Pa27">
    <w:name w:val="Pa27"/>
    <w:basedOn w:val="Default"/>
    <w:next w:val="Default"/>
    <w:uiPriority w:val="99"/>
    <w:rsid w:val="00185115"/>
    <w:pPr>
      <w:spacing w:line="221" w:lineRule="atLeast"/>
    </w:pPr>
    <w:rPr>
      <w:rFonts w:eastAsiaTheme="minorHAnsi"/>
      <w:color w:val="auto"/>
      <w:lang w:val="en-US" w:eastAsia="en-US"/>
    </w:rPr>
  </w:style>
  <w:style w:type="character" w:customStyle="1" w:styleId="A1">
    <w:name w:val="A1"/>
    <w:uiPriority w:val="99"/>
    <w:rsid w:val="0078042F"/>
    <w:rPr>
      <w:color w:val="000000"/>
      <w:sz w:val="20"/>
      <w:szCs w:val="20"/>
    </w:rPr>
  </w:style>
  <w:style w:type="character" w:customStyle="1" w:styleId="Mencinsinresolver3">
    <w:name w:val="Mención sin resolver3"/>
    <w:basedOn w:val="Fuentedeprrafopredeter"/>
    <w:uiPriority w:val="99"/>
    <w:semiHidden/>
    <w:unhideWhenUsed/>
    <w:rsid w:val="0030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7479">
      <w:bodyDiv w:val="1"/>
      <w:marLeft w:val="0"/>
      <w:marRight w:val="0"/>
      <w:marTop w:val="0"/>
      <w:marBottom w:val="0"/>
      <w:divBdr>
        <w:top w:val="none" w:sz="0" w:space="0" w:color="auto"/>
        <w:left w:val="none" w:sz="0" w:space="0" w:color="auto"/>
        <w:bottom w:val="none" w:sz="0" w:space="0" w:color="auto"/>
        <w:right w:val="none" w:sz="0" w:space="0" w:color="auto"/>
      </w:divBdr>
    </w:div>
    <w:div w:id="46732738">
      <w:bodyDiv w:val="1"/>
      <w:marLeft w:val="0"/>
      <w:marRight w:val="0"/>
      <w:marTop w:val="0"/>
      <w:marBottom w:val="0"/>
      <w:divBdr>
        <w:top w:val="none" w:sz="0" w:space="0" w:color="auto"/>
        <w:left w:val="none" w:sz="0" w:space="0" w:color="auto"/>
        <w:bottom w:val="none" w:sz="0" w:space="0" w:color="auto"/>
        <w:right w:val="none" w:sz="0" w:space="0" w:color="auto"/>
      </w:divBdr>
    </w:div>
    <w:div w:id="85420654">
      <w:bodyDiv w:val="1"/>
      <w:marLeft w:val="0"/>
      <w:marRight w:val="0"/>
      <w:marTop w:val="0"/>
      <w:marBottom w:val="0"/>
      <w:divBdr>
        <w:top w:val="none" w:sz="0" w:space="0" w:color="auto"/>
        <w:left w:val="none" w:sz="0" w:space="0" w:color="auto"/>
        <w:bottom w:val="none" w:sz="0" w:space="0" w:color="auto"/>
        <w:right w:val="none" w:sz="0" w:space="0" w:color="auto"/>
      </w:divBdr>
    </w:div>
    <w:div w:id="140510825">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252131231">
      <w:bodyDiv w:val="1"/>
      <w:marLeft w:val="0"/>
      <w:marRight w:val="0"/>
      <w:marTop w:val="0"/>
      <w:marBottom w:val="0"/>
      <w:divBdr>
        <w:top w:val="none" w:sz="0" w:space="0" w:color="auto"/>
        <w:left w:val="none" w:sz="0" w:space="0" w:color="auto"/>
        <w:bottom w:val="none" w:sz="0" w:space="0" w:color="auto"/>
        <w:right w:val="none" w:sz="0" w:space="0" w:color="auto"/>
      </w:divBdr>
    </w:div>
    <w:div w:id="369378576">
      <w:bodyDiv w:val="1"/>
      <w:marLeft w:val="0"/>
      <w:marRight w:val="0"/>
      <w:marTop w:val="0"/>
      <w:marBottom w:val="0"/>
      <w:divBdr>
        <w:top w:val="none" w:sz="0" w:space="0" w:color="auto"/>
        <w:left w:val="none" w:sz="0" w:space="0" w:color="auto"/>
        <w:bottom w:val="none" w:sz="0" w:space="0" w:color="auto"/>
        <w:right w:val="none" w:sz="0" w:space="0" w:color="auto"/>
      </w:divBdr>
    </w:div>
    <w:div w:id="42415771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4516830">
      <w:bodyDiv w:val="1"/>
      <w:marLeft w:val="0"/>
      <w:marRight w:val="0"/>
      <w:marTop w:val="0"/>
      <w:marBottom w:val="0"/>
      <w:divBdr>
        <w:top w:val="none" w:sz="0" w:space="0" w:color="auto"/>
        <w:left w:val="none" w:sz="0" w:space="0" w:color="auto"/>
        <w:bottom w:val="none" w:sz="0" w:space="0" w:color="auto"/>
        <w:right w:val="none" w:sz="0" w:space="0" w:color="auto"/>
      </w:divBdr>
    </w:div>
    <w:div w:id="507527364">
      <w:bodyDiv w:val="1"/>
      <w:marLeft w:val="0"/>
      <w:marRight w:val="0"/>
      <w:marTop w:val="0"/>
      <w:marBottom w:val="0"/>
      <w:divBdr>
        <w:top w:val="none" w:sz="0" w:space="0" w:color="auto"/>
        <w:left w:val="none" w:sz="0" w:space="0" w:color="auto"/>
        <w:bottom w:val="none" w:sz="0" w:space="0" w:color="auto"/>
        <w:right w:val="none" w:sz="0" w:space="0" w:color="auto"/>
      </w:divBdr>
    </w:div>
    <w:div w:id="535047730">
      <w:bodyDiv w:val="1"/>
      <w:marLeft w:val="0"/>
      <w:marRight w:val="0"/>
      <w:marTop w:val="0"/>
      <w:marBottom w:val="0"/>
      <w:divBdr>
        <w:top w:val="none" w:sz="0" w:space="0" w:color="auto"/>
        <w:left w:val="none" w:sz="0" w:space="0" w:color="auto"/>
        <w:bottom w:val="none" w:sz="0" w:space="0" w:color="auto"/>
        <w:right w:val="none" w:sz="0" w:space="0" w:color="auto"/>
      </w:divBdr>
    </w:div>
    <w:div w:id="554859047">
      <w:bodyDiv w:val="1"/>
      <w:marLeft w:val="0"/>
      <w:marRight w:val="0"/>
      <w:marTop w:val="0"/>
      <w:marBottom w:val="0"/>
      <w:divBdr>
        <w:top w:val="none" w:sz="0" w:space="0" w:color="auto"/>
        <w:left w:val="none" w:sz="0" w:space="0" w:color="auto"/>
        <w:bottom w:val="none" w:sz="0" w:space="0" w:color="auto"/>
        <w:right w:val="none" w:sz="0" w:space="0" w:color="auto"/>
      </w:divBdr>
    </w:div>
    <w:div w:id="59945967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373301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093975">
      <w:bodyDiv w:val="1"/>
      <w:marLeft w:val="0"/>
      <w:marRight w:val="0"/>
      <w:marTop w:val="0"/>
      <w:marBottom w:val="0"/>
      <w:divBdr>
        <w:top w:val="none" w:sz="0" w:space="0" w:color="auto"/>
        <w:left w:val="none" w:sz="0" w:space="0" w:color="auto"/>
        <w:bottom w:val="none" w:sz="0" w:space="0" w:color="auto"/>
        <w:right w:val="none" w:sz="0" w:space="0" w:color="auto"/>
      </w:divBdr>
    </w:div>
    <w:div w:id="68428587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7078077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95546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2945644">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965937">
      <w:bodyDiv w:val="1"/>
      <w:marLeft w:val="0"/>
      <w:marRight w:val="0"/>
      <w:marTop w:val="0"/>
      <w:marBottom w:val="0"/>
      <w:divBdr>
        <w:top w:val="none" w:sz="0" w:space="0" w:color="auto"/>
        <w:left w:val="none" w:sz="0" w:space="0" w:color="auto"/>
        <w:bottom w:val="none" w:sz="0" w:space="0" w:color="auto"/>
        <w:right w:val="none" w:sz="0" w:space="0" w:color="auto"/>
      </w:divBdr>
    </w:div>
    <w:div w:id="1202128470">
      <w:bodyDiv w:val="1"/>
      <w:marLeft w:val="0"/>
      <w:marRight w:val="0"/>
      <w:marTop w:val="0"/>
      <w:marBottom w:val="0"/>
      <w:divBdr>
        <w:top w:val="none" w:sz="0" w:space="0" w:color="auto"/>
        <w:left w:val="none" w:sz="0" w:space="0" w:color="auto"/>
        <w:bottom w:val="none" w:sz="0" w:space="0" w:color="auto"/>
        <w:right w:val="none" w:sz="0" w:space="0" w:color="auto"/>
      </w:divBdr>
    </w:div>
    <w:div w:id="1232693601">
      <w:bodyDiv w:val="1"/>
      <w:marLeft w:val="0"/>
      <w:marRight w:val="0"/>
      <w:marTop w:val="0"/>
      <w:marBottom w:val="0"/>
      <w:divBdr>
        <w:top w:val="none" w:sz="0" w:space="0" w:color="auto"/>
        <w:left w:val="none" w:sz="0" w:space="0" w:color="auto"/>
        <w:bottom w:val="none" w:sz="0" w:space="0" w:color="auto"/>
        <w:right w:val="none" w:sz="0" w:space="0" w:color="auto"/>
      </w:divBdr>
    </w:div>
    <w:div w:id="1233080250">
      <w:bodyDiv w:val="1"/>
      <w:marLeft w:val="0"/>
      <w:marRight w:val="0"/>
      <w:marTop w:val="0"/>
      <w:marBottom w:val="0"/>
      <w:divBdr>
        <w:top w:val="none" w:sz="0" w:space="0" w:color="auto"/>
        <w:left w:val="none" w:sz="0" w:space="0" w:color="auto"/>
        <w:bottom w:val="none" w:sz="0" w:space="0" w:color="auto"/>
        <w:right w:val="none" w:sz="0" w:space="0" w:color="auto"/>
      </w:divBdr>
    </w:div>
    <w:div w:id="1247110263">
      <w:bodyDiv w:val="1"/>
      <w:marLeft w:val="0"/>
      <w:marRight w:val="0"/>
      <w:marTop w:val="0"/>
      <w:marBottom w:val="0"/>
      <w:divBdr>
        <w:top w:val="none" w:sz="0" w:space="0" w:color="auto"/>
        <w:left w:val="none" w:sz="0" w:space="0" w:color="auto"/>
        <w:bottom w:val="none" w:sz="0" w:space="0" w:color="auto"/>
        <w:right w:val="none" w:sz="0" w:space="0" w:color="auto"/>
      </w:divBdr>
    </w:div>
    <w:div w:id="1337807846">
      <w:bodyDiv w:val="1"/>
      <w:marLeft w:val="0"/>
      <w:marRight w:val="0"/>
      <w:marTop w:val="0"/>
      <w:marBottom w:val="0"/>
      <w:divBdr>
        <w:top w:val="none" w:sz="0" w:space="0" w:color="auto"/>
        <w:left w:val="none" w:sz="0" w:space="0" w:color="auto"/>
        <w:bottom w:val="none" w:sz="0" w:space="0" w:color="auto"/>
        <w:right w:val="none" w:sz="0" w:space="0" w:color="auto"/>
      </w:divBdr>
    </w:div>
    <w:div w:id="1367178870">
      <w:bodyDiv w:val="1"/>
      <w:marLeft w:val="0"/>
      <w:marRight w:val="0"/>
      <w:marTop w:val="0"/>
      <w:marBottom w:val="0"/>
      <w:divBdr>
        <w:top w:val="none" w:sz="0" w:space="0" w:color="auto"/>
        <w:left w:val="none" w:sz="0" w:space="0" w:color="auto"/>
        <w:bottom w:val="none" w:sz="0" w:space="0" w:color="auto"/>
        <w:right w:val="none" w:sz="0" w:space="0" w:color="auto"/>
      </w:divBdr>
    </w:div>
    <w:div w:id="141134733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039601">
      <w:bodyDiv w:val="1"/>
      <w:marLeft w:val="0"/>
      <w:marRight w:val="0"/>
      <w:marTop w:val="0"/>
      <w:marBottom w:val="0"/>
      <w:divBdr>
        <w:top w:val="none" w:sz="0" w:space="0" w:color="auto"/>
        <w:left w:val="none" w:sz="0" w:space="0" w:color="auto"/>
        <w:bottom w:val="none" w:sz="0" w:space="0" w:color="auto"/>
        <w:right w:val="none" w:sz="0" w:space="0" w:color="auto"/>
      </w:divBdr>
    </w:div>
    <w:div w:id="1451363799">
      <w:bodyDiv w:val="1"/>
      <w:marLeft w:val="0"/>
      <w:marRight w:val="0"/>
      <w:marTop w:val="0"/>
      <w:marBottom w:val="0"/>
      <w:divBdr>
        <w:top w:val="none" w:sz="0" w:space="0" w:color="auto"/>
        <w:left w:val="none" w:sz="0" w:space="0" w:color="auto"/>
        <w:bottom w:val="none" w:sz="0" w:space="0" w:color="auto"/>
        <w:right w:val="none" w:sz="0" w:space="0" w:color="auto"/>
      </w:divBdr>
    </w:div>
    <w:div w:id="1457796126">
      <w:bodyDiv w:val="1"/>
      <w:marLeft w:val="0"/>
      <w:marRight w:val="0"/>
      <w:marTop w:val="0"/>
      <w:marBottom w:val="0"/>
      <w:divBdr>
        <w:top w:val="none" w:sz="0" w:space="0" w:color="auto"/>
        <w:left w:val="none" w:sz="0" w:space="0" w:color="auto"/>
        <w:bottom w:val="none" w:sz="0" w:space="0" w:color="auto"/>
        <w:right w:val="none" w:sz="0" w:space="0" w:color="auto"/>
      </w:divBdr>
    </w:div>
    <w:div w:id="147772455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7989333">
      <w:bodyDiv w:val="1"/>
      <w:marLeft w:val="0"/>
      <w:marRight w:val="0"/>
      <w:marTop w:val="0"/>
      <w:marBottom w:val="0"/>
      <w:divBdr>
        <w:top w:val="none" w:sz="0" w:space="0" w:color="auto"/>
        <w:left w:val="none" w:sz="0" w:space="0" w:color="auto"/>
        <w:bottom w:val="none" w:sz="0" w:space="0" w:color="auto"/>
        <w:right w:val="none" w:sz="0" w:space="0" w:color="auto"/>
      </w:divBdr>
    </w:div>
    <w:div w:id="1558779362">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06419458">
      <w:bodyDiv w:val="1"/>
      <w:marLeft w:val="0"/>
      <w:marRight w:val="0"/>
      <w:marTop w:val="0"/>
      <w:marBottom w:val="0"/>
      <w:divBdr>
        <w:top w:val="none" w:sz="0" w:space="0" w:color="auto"/>
        <w:left w:val="none" w:sz="0" w:space="0" w:color="auto"/>
        <w:bottom w:val="none" w:sz="0" w:space="0" w:color="auto"/>
        <w:right w:val="none" w:sz="0" w:space="0" w:color="auto"/>
      </w:divBdr>
    </w:div>
    <w:div w:id="160742605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56396331">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6597373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399320">
      <w:bodyDiv w:val="1"/>
      <w:marLeft w:val="0"/>
      <w:marRight w:val="0"/>
      <w:marTop w:val="0"/>
      <w:marBottom w:val="0"/>
      <w:divBdr>
        <w:top w:val="none" w:sz="0" w:space="0" w:color="auto"/>
        <w:left w:val="none" w:sz="0" w:space="0" w:color="auto"/>
        <w:bottom w:val="none" w:sz="0" w:space="0" w:color="auto"/>
        <w:right w:val="none" w:sz="0" w:space="0" w:color="auto"/>
      </w:divBdr>
    </w:div>
    <w:div w:id="1945963093">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1971200657">
      <w:bodyDiv w:val="1"/>
      <w:marLeft w:val="0"/>
      <w:marRight w:val="0"/>
      <w:marTop w:val="0"/>
      <w:marBottom w:val="0"/>
      <w:divBdr>
        <w:top w:val="none" w:sz="0" w:space="0" w:color="auto"/>
        <w:left w:val="none" w:sz="0" w:space="0" w:color="auto"/>
        <w:bottom w:val="none" w:sz="0" w:space="0" w:color="auto"/>
        <w:right w:val="none" w:sz="0" w:space="0" w:color="auto"/>
      </w:divBdr>
    </w:div>
    <w:div w:id="2008247258">
      <w:bodyDiv w:val="1"/>
      <w:marLeft w:val="0"/>
      <w:marRight w:val="0"/>
      <w:marTop w:val="0"/>
      <w:marBottom w:val="0"/>
      <w:divBdr>
        <w:top w:val="none" w:sz="0" w:space="0" w:color="auto"/>
        <w:left w:val="none" w:sz="0" w:space="0" w:color="auto"/>
        <w:bottom w:val="none" w:sz="0" w:space="0" w:color="auto"/>
        <w:right w:val="none" w:sz="0" w:space="0" w:color="auto"/>
      </w:divBdr>
    </w:div>
    <w:div w:id="204224388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5.xml"/><Relationship Id="rId39" Type="http://schemas.openxmlformats.org/officeDocument/2006/relationships/footer" Target="footer2.xml"/><Relationship Id="rId21" Type="http://schemas.openxmlformats.org/officeDocument/2006/relationships/image" Target="media/image6.png"/><Relationship Id="rId34" Type="http://schemas.openxmlformats.org/officeDocument/2006/relationships/chart" Target="charts/chart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hyperlink" Target="https://www.inegi.org.mx/programas/eac/201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8" Type="http://schemas.openxmlformats.org/officeDocument/2006/relationships/hyperlink" Target="https://www.inegi.org.mx/programas/eac/2013/" TargetMode="Externa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inegi.org.mx/app/saladeprensa/calendario/default.html" TargetMode="External"/><Relationship Id="rId1" Type="http://schemas.openxmlformats.org/officeDocument/2006/relationships/hyperlink" Target="https://www.inegi.org.mx/app/biblioteca/ficha.html?upc=7028250516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Nuevas_Gr&#225;ficas_EAC_2020_09_12_20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Archivos_\Gr&#225;fias%20faltantes_Nota_Tecnica_EAC_09_12_2021_09_55pm.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Archivos_\Gr&#225;fias%20faltantes_Nota_Tecnica_EAC_09_12_2021_09_55pm.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Usuarios\rodrigo.carranza\Documents\respaldo%20D\EMEC%20EAC%202021\EAC\GRAFICAS%20BOLET&#205;N%2009%20DIC%202021\Gr&#225;fias%20faltantes_Nota_Tecnica_EAC_09_12_2021_09_55pm%20CORRECTA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Usuarios\rodrigo.carranza\Documents\respaldo%20D\EMEC%20EAC%202021\EAC\GRAFICAS%20BOLET&#205;N%2009%20DIC%202021\Gr&#225;fias%20faltantes_Nota_Tecnica_EAC_09_12_2021_09_55pm%20CORRECTA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xlsx"/></Relationships>
</file>

<file path=word/charts/_rels/chart15.xml.rels><?xml version="1.0" encoding="UTF-8" standalone="yes"?>
<Relationships xmlns="http://schemas.openxmlformats.org/package/2006/relationships"><Relationship Id="rId3" Type="http://schemas.openxmlformats.org/officeDocument/2006/relationships/oleObject" Target="file:///d:\Usuarios\rodrigo.carranza\Documents\respaldo%20D\EMEC%20EAC%202021\EAC\GRAFICAS%20BOLET&#205;N%2009%20DIC%202021\GR&#193;FICAS%20CUADRO%2028%20Y%2029%20y%20cr&#233;dito%20OK.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Nuevas_Gr&#225;ficas_EAC_2020_09_12_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odrigo.carranza\AppData\Local\Microsoft\Windows\INetCache\Content.Outlook\1OIGR9X0\Gr&#225;fias%20faltantes_Nota_Tecnica_EAC_09_12_2021_09_55pm%20(0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odrigo.carranza\AppData\Local\Microsoft\Windows\INetCache\Content.Outlook\1OIGR9X0\Gr&#225;fias%20faltantes_Nota_Tecnica_EAC_09_12_2021_09_55pm%20(00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Nuevas_Gr&#225;ficas_EAC_2020_09_12_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Nuevas_Gr&#225;ficas_EAC_2020_09_12_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Nuevas_Gr&#225;ficas_EAC_2020_09_12_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Nuevas_Gr&#225;ficas_EAC_2020_09_12_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mario.pacheco\Escritorio\2020_2021_EMEC_JZ\EAC_\EAC_2021\Nota_T&#233;cnica_EAC_2021\Archivos_\Gr&#225;fias%20faltantes_Nota_Tecnica_EAC_09_12_2021_09_55pm.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Total de personal ocupado por sector y condición contractual, 2020</a:t>
            </a:r>
            <a:r>
              <a:rPr lang="en-US" sz="1400" b="1" i="0" baseline="0">
                <a:effectLst/>
              </a:rPr>
              <a:t>ᵖ</a:t>
            </a:r>
            <a:r>
              <a:rPr lang="en-US" sz="1400" b="1" i="0" baseline="30000">
                <a:effectLst/>
              </a:rPr>
              <a:t>/</a:t>
            </a:r>
            <a:endParaRPr lang="es-MX"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2.2349207243062906E-2"/>
          <c:y val="0.19183067504357454"/>
          <c:w val="0.60641574228884354"/>
          <c:h val="0.70252440428117124"/>
        </c:manualLayout>
      </c:layout>
      <c:barChart>
        <c:barDir val="col"/>
        <c:grouping val="stacked"/>
        <c:varyColors val="0"/>
        <c:ser>
          <c:idx val="0"/>
          <c:order val="0"/>
          <c:tx>
            <c:strRef>
              <c:f>Cuadro_3!$D$35</c:f>
              <c:strCache>
                <c:ptCount val="1"/>
                <c:pt idx="0">
                  <c:v>Personal dependiente de la razón social - Hombres</c:v>
                </c:pt>
              </c:strCache>
            </c:strRef>
          </c:tx>
          <c:spPr>
            <a:solidFill>
              <a:schemeClr val="accent5">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00FFFF"/>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Cuadro_3!$C$36:$C$37</c:f>
              <c:strCache>
                <c:ptCount val="2"/>
                <c:pt idx="0">
                  <c:v>Comercio al por mayor</c:v>
                </c:pt>
                <c:pt idx="1">
                  <c:v>Comercio al por menor</c:v>
                </c:pt>
              </c:strCache>
            </c:strRef>
          </c:cat>
          <c:val>
            <c:numRef>
              <c:f>Cuadro_3!$D$36:$D$37</c:f>
              <c:numCache>
                <c:formatCode>0.0%</c:formatCode>
                <c:ptCount val="2"/>
                <c:pt idx="0">
                  <c:v>0.36578566708930838</c:v>
                </c:pt>
                <c:pt idx="1">
                  <c:v>0.39742743113627943</c:v>
                </c:pt>
              </c:numCache>
            </c:numRef>
          </c:val>
          <c:extLst>
            <c:ext xmlns:c16="http://schemas.microsoft.com/office/drawing/2014/chart" uri="{C3380CC4-5D6E-409C-BE32-E72D297353CC}">
              <c16:uniqueId val="{00000000-DFDA-44D4-853D-B9B5A2464302}"/>
            </c:ext>
          </c:extLst>
        </c:ser>
        <c:ser>
          <c:idx val="1"/>
          <c:order val="1"/>
          <c:tx>
            <c:strRef>
              <c:f>Cuadro_3!$E$35</c:f>
              <c:strCache>
                <c:ptCount val="1"/>
                <c:pt idx="0">
                  <c:v>Personal dependiente de la razón social - Mujeres</c:v>
                </c:pt>
              </c:strCache>
            </c:strRef>
          </c:tx>
          <c:spPr>
            <a:solidFill>
              <a:schemeClr val="accent5">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FFFF0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Cuadro_3!$C$36:$C$37</c:f>
              <c:strCache>
                <c:ptCount val="2"/>
                <c:pt idx="0">
                  <c:v>Comercio al por mayor</c:v>
                </c:pt>
                <c:pt idx="1">
                  <c:v>Comercio al por menor</c:v>
                </c:pt>
              </c:strCache>
            </c:strRef>
          </c:cat>
          <c:val>
            <c:numRef>
              <c:f>Cuadro_3!$E$36:$E$37</c:f>
              <c:numCache>
                <c:formatCode>0.0%</c:formatCode>
                <c:ptCount val="2"/>
                <c:pt idx="0">
                  <c:v>0.14929014054324338</c:v>
                </c:pt>
                <c:pt idx="1">
                  <c:v>0.43554824743865472</c:v>
                </c:pt>
              </c:numCache>
            </c:numRef>
          </c:val>
          <c:extLst>
            <c:ext xmlns:c16="http://schemas.microsoft.com/office/drawing/2014/chart" uri="{C3380CC4-5D6E-409C-BE32-E72D297353CC}">
              <c16:uniqueId val="{00000001-DFDA-44D4-853D-B9B5A2464302}"/>
            </c:ext>
          </c:extLst>
        </c:ser>
        <c:ser>
          <c:idx val="2"/>
          <c:order val="2"/>
          <c:tx>
            <c:strRef>
              <c:f>Cuadro_3!$F$35</c:f>
              <c:strCache>
                <c:ptCount val="1"/>
                <c:pt idx="0">
                  <c:v>Personal No dependiente de la razón social - Hombres</c:v>
                </c:pt>
              </c:strCache>
            </c:strRef>
          </c:tx>
          <c:spPr>
            <a:solidFill>
              <a:schemeClr val="accent5">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00FFFF"/>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Cuadro_3!$C$36:$C$37</c:f>
              <c:strCache>
                <c:ptCount val="2"/>
                <c:pt idx="0">
                  <c:v>Comercio al por mayor</c:v>
                </c:pt>
                <c:pt idx="1">
                  <c:v>Comercio al por menor</c:v>
                </c:pt>
              </c:strCache>
            </c:strRef>
          </c:cat>
          <c:val>
            <c:numRef>
              <c:f>Cuadro_3!$F$36:$F$37</c:f>
              <c:numCache>
                <c:formatCode>0.0%</c:formatCode>
                <c:ptCount val="2"/>
                <c:pt idx="0">
                  <c:v>0.33332857117345571</c:v>
                </c:pt>
                <c:pt idx="1">
                  <c:v>8.8414992577782153E-2</c:v>
                </c:pt>
              </c:numCache>
            </c:numRef>
          </c:val>
          <c:extLst>
            <c:ext xmlns:c16="http://schemas.microsoft.com/office/drawing/2014/chart" uri="{C3380CC4-5D6E-409C-BE32-E72D297353CC}">
              <c16:uniqueId val="{00000002-DFDA-44D4-853D-B9B5A2464302}"/>
            </c:ext>
          </c:extLst>
        </c:ser>
        <c:ser>
          <c:idx val="3"/>
          <c:order val="3"/>
          <c:tx>
            <c:strRef>
              <c:f>Cuadro_3!$G$35</c:f>
              <c:strCache>
                <c:ptCount val="1"/>
                <c:pt idx="0">
                  <c:v>Personal No dependiente de la razón social - Mujeres</c:v>
                </c:pt>
              </c:strCache>
            </c:strRef>
          </c:tx>
          <c:spPr>
            <a:solidFill>
              <a:schemeClr val="accent5">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FFFF0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Cuadro_3!$C$36:$C$37</c:f>
              <c:strCache>
                <c:ptCount val="2"/>
                <c:pt idx="0">
                  <c:v>Comercio al por mayor</c:v>
                </c:pt>
                <c:pt idx="1">
                  <c:v>Comercio al por menor</c:v>
                </c:pt>
              </c:strCache>
            </c:strRef>
          </c:cat>
          <c:val>
            <c:numRef>
              <c:f>Cuadro_3!$G$36:$G$37</c:f>
              <c:numCache>
                <c:formatCode>0.0%</c:formatCode>
                <c:ptCount val="2"/>
                <c:pt idx="0">
                  <c:v>0.15159562119399253</c:v>
                </c:pt>
                <c:pt idx="1">
                  <c:v>7.8609328847283666E-2</c:v>
                </c:pt>
              </c:numCache>
            </c:numRef>
          </c:val>
          <c:extLst>
            <c:ext xmlns:c16="http://schemas.microsoft.com/office/drawing/2014/chart" uri="{C3380CC4-5D6E-409C-BE32-E72D297353CC}">
              <c16:uniqueId val="{00000003-DFDA-44D4-853D-B9B5A2464302}"/>
            </c:ext>
          </c:extLst>
        </c:ser>
        <c:dLbls>
          <c:dLblPos val="ctr"/>
          <c:showLegendKey val="0"/>
          <c:showVal val="1"/>
          <c:showCatName val="0"/>
          <c:showSerName val="0"/>
          <c:showPercent val="0"/>
          <c:showBubbleSize val="0"/>
        </c:dLbls>
        <c:gapWidth val="55"/>
        <c:overlap val="100"/>
        <c:axId val="796287327"/>
        <c:axId val="796286495"/>
      </c:barChart>
      <c:catAx>
        <c:axId val="796287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796286495"/>
        <c:crosses val="autoZero"/>
        <c:auto val="1"/>
        <c:lblAlgn val="ctr"/>
        <c:lblOffset val="100"/>
        <c:noMultiLvlLbl val="0"/>
      </c:catAx>
      <c:valAx>
        <c:axId val="796286495"/>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796287327"/>
        <c:crosses val="autoZero"/>
        <c:crossBetween val="between"/>
      </c:valAx>
      <c:spPr>
        <a:noFill/>
        <a:ln>
          <a:noFill/>
        </a:ln>
        <a:effectLst/>
      </c:spPr>
    </c:plotArea>
    <c:legend>
      <c:legendPos val="r"/>
      <c:layout>
        <c:manualLayout>
          <c:xMode val="edge"/>
          <c:yMode val="edge"/>
          <c:x val="0.65245878874975793"/>
          <c:y val="0.25447484034663392"/>
          <c:w val="0.31706501955515642"/>
          <c:h val="0.479706404718983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Distribución de personal femenino dependiente de la razón social por nivel de estudio, 2020p</a:t>
            </a:r>
          </a:p>
        </c:rich>
      </c:tx>
      <c:layout>
        <c:manualLayout>
          <c:xMode val="edge"/>
          <c:yMode val="edge"/>
          <c:x val="0.11444860186302512"/>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15987666666666667"/>
          <c:y val="0.18017323232323232"/>
          <c:w val="0.80660944444444449"/>
          <c:h val="0.54455858585858585"/>
        </c:manualLayout>
      </c:layout>
      <c:barChart>
        <c:barDir val="bar"/>
        <c:grouping val="percentStacked"/>
        <c:varyColors val="0"/>
        <c:ser>
          <c:idx val="0"/>
          <c:order val="0"/>
          <c:tx>
            <c:strRef>
              <c:f>Distribución_PO_Niveles!$G$11</c:f>
              <c:strCache>
                <c:ptCount val="1"/>
                <c:pt idx="0">
                  <c:v>Sin instrucción</c:v>
                </c:pt>
              </c:strCache>
            </c:strRef>
          </c:tx>
          <c:spPr>
            <a:solidFill>
              <a:schemeClr val="accent5">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00FFFF"/>
                    </a:highlight>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Distribución_PO_Niveles!$A$12:$A$13</c:f>
              <c:strCache>
                <c:ptCount val="2"/>
                <c:pt idx="0">
                  <c:v>Comercio al por menor</c:v>
                </c:pt>
                <c:pt idx="1">
                  <c:v>Comercio al por mayor</c:v>
                </c:pt>
              </c:strCache>
            </c:strRef>
          </c:cat>
          <c:val>
            <c:numRef>
              <c:f>Distribución_PO_Niveles!$G$12:$G$13</c:f>
              <c:numCache>
                <c:formatCode>0.0%</c:formatCode>
                <c:ptCount val="2"/>
                <c:pt idx="0">
                  <c:v>0.03</c:v>
                </c:pt>
                <c:pt idx="1">
                  <c:v>2.7999999999999997E-2</c:v>
                </c:pt>
              </c:numCache>
            </c:numRef>
          </c:val>
          <c:extLst>
            <c:ext xmlns:c16="http://schemas.microsoft.com/office/drawing/2014/chart" uri="{C3380CC4-5D6E-409C-BE32-E72D297353CC}">
              <c16:uniqueId val="{00000000-2E00-43CC-B25B-D8CC50C837FF}"/>
            </c:ext>
          </c:extLst>
        </c:ser>
        <c:ser>
          <c:idx val="1"/>
          <c:order val="1"/>
          <c:tx>
            <c:strRef>
              <c:f>Distribución_PO_Niveles!$H$11</c:f>
              <c:strCache>
                <c:ptCount val="1"/>
                <c:pt idx="0">
                  <c:v>Educación básica (preescolar, primaria, secundaria, formacion para el trabajo)</c:v>
                </c:pt>
              </c:strCache>
            </c:strRef>
          </c:tx>
          <c:spPr>
            <a:solidFill>
              <a:schemeClr val="accent5">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Distribución_PO_Niveles!$A$12:$A$13</c:f>
              <c:strCache>
                <c:ptCount val="2"/>
                <c:pt idx="0">
                  <c:v>Comercio al por menor</c:v>
                </c:pt>
                <c:pt idx="1">
                  <c:v>Comercio al por mayor</c:v>
                </c:pt>
              </c:strCache>
            </c:strRef>
          </c:cat>
          <c:val>
            <c:numRef>
              <c:f>Distribución_PO_Niveles!$H$12:$H$13</c:f>
              <c:numCache>
                <c:formatCode>0.0%</c:formatCode>
                <c:ptCount val="2"/>
                <c:pt idx="0">
                  <c:v>0.22899999999999998</c:v>
                </c:pt>
                <c:pt idx="1">
                  <c:v>0.435</c:v>
                </c:pt>
              </c:numCache>
            </c:numRef>
          </c:val>
          <c:extLst>
            <c:ext xmlns:c16="http://schemas.microsoft.com/office/drawing/2014/chart" uri="{C3380CC4-5D6E-409C-BE32-E72D297353CC}">
              <c16:uniqueId val="{00000001-2E00-43CC-B25B-D8CC50C837FF}"/>
            </c:ext>
          </c:extLst>
        </c:ser>
        <c:ser>
          <c:idx val="2"/>
          <c:order val="2"/>
          <c:tx>
            <c:strRef>
              <c:f>Distribución_PO_Niveles!$I$11</c:f>
              <c:strCache>
                <c:ptCount val="1"/>
                <c:pt idx="0">
                  <c:v>Educación media superior (bachillerato general, bachillerato bivalente, profesional técnico)</c:v>
                </c:pt>
              </c:strCache>
            </c:strRef>
          </c:tx>
          <c:spPr>
            <a:solidFill>
              <a:schemeClr val="accent5">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Distribución_PO_Niveles!$A$12:$A$13</c:f>
              <c:strCache>
                <c:ptCount val="2"/>
                <c:pt idx="0">
                  <c:v>Comercio al por menor</c:v>
                </c:pt>
                <c:pt idx="1">
                  <c:v>Comercio al por mayor</c:v>
                </c:pt>
              </c:strCache>
            </c:strRef>
          </c:cat>
          <c:val>
            <c:numRef>
              <c:f>Distribución_PO_Niveles!$I$12:$I$13</c:f>
              <c:numCache>
                <c:formatCode>0.0%</c:formatCode>
                <c:ptCount val="2"/>
                <c:pt idx="0">
                  <c:v>0.441</c:v>
                </c:pt>
                <c:pt idx="1">
                  <c:v>0.41399999999999998</c:v>
                </c:pt>
              </c:numCache>
            </c:numRef>
          </c:val>
          <c:extLst>
            <c:ext xmlns:c16="http://schemas.microsoft.com/office/drawing/2014/chart" uri="{C3380CC4-5D6E-409C-BE32-E72D297353CC}">
              <c16:uniqueId val="{00000002-2E00-43CC-B25B-D8CC50C837FF}"/>
            </c:ext>
          </c:extLst>
        </c:ser>
        <c:ser>
          <c:idx val="3"/>
          <c:order val="3"/>
          <c:tx>
            <c:strRef>
              <c:f>Distribución_PO_Niveles!$J$11</c:f>
              <c:strCache>
                <c:ptCount val="1"/>
                <c:pt idx="0">
                  <c:v>Educación superior (licenciatura, ingeniería, especialidad, posgrado)</c:v>
                </c:pt>
              </c:strCache>
            </c:strRef>
          </c:tx>
          <c:spPr>
            <a:solidFill>
              <a:schemeClr val="accent5">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Distribución_PO_Niveles!$A$12:$A$13</c:f>
              <c:strCache>
                <c:ptCount val="2"/>
                <c:pt idx="0">
                  <c:v>Comercio al por menor</c:v>
                </c:pt>
                <c:pt idx="1">
                  <c:v>Comercio al por mayor</c:v>
                </c:pt>
              </c:strCache>
            </c:strRef>
          </c:cat>
          <c:val>
            <c:numRef>
              <c:f>Distribución_PO_Niveles!$J$12:$J$13</c:f>
              <c:numCache>
                <c:formatCode>0.0%</c:formatCode>
                <c:ptCount val="2"/>
                <c:pt idx="0">
                  <c:v>0.30099999999999999</c:v>
                </c:pt>
                <c:pt idx="1">
                  <c:v>0.12300000000000001</c:v>
                </c:pt>
              </c:numCache>
            </c:numRef>
          </c:val>
          <c:extLst>
            <c:ext xmlns:c16="http://schemas.microsoft.com/office/drawing/2014/chart" uri="{C3380CC4-5D6E-409C-BE32-E72D297353CC}">
              <c16:uniqueId val="{00000003-2E00-43CC-B25B-D8CC50C837FF}"/>
            </c:ext>
          </c:extLst>
        </c:ser>
        <c:dLbls>
          <c:showLegendKey val="0"/>
          <c:showVal val="1"/>
          <c:showCatName val="0"/>
          <c:showSerName val="0"/>
          <c:showPercent val="0"/>
          <c:showBubbleSize val="0"/>
        </c:dLbls>
        <c:gapWidth val="219"/>
        <c:overlap val="100"/>
        <c:axId val="156293039"/>
        <c:axId val="156305103"/>
      </c:barChart>
      <c:catAx>
        <c:axId val="156293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156305103"/>
        <c:crosses val="autoZero"/>
        <c:auto val="1"/>
        <c:lblAlgn val="ctr"/>
        <c:lblOffset val="100"/>
        <c:noMultiLvlLbl val="0"/>
      </c:catAx>
      <c:valAx>
        <c:axId val="156305103"/>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6293039"/>
        <c:crosses val="autoZero"/>
        <c:crossBetween val="between"/>
      </c:valAx>
      <c:spPr>
        <a:noFill/>
        <a:ln>
          <a:noFill/>
        </a:ln>
        <a:effectLst/>
      </c:spPr>
    </c:plotArea>
    <c:legend>
      <c:legendPos val="b"/>
      <c:layout>
        <c:manualLayout>
          <c:xMode val="edge"/>
          <c:yMode val="edge"/>
          <c:x val="0.16392458333333335"/>
          <c:y val="0.73756010101010105"/>
          <c:w val="0.69199628436743088"/>
          <c:h val="0.227162121212121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Distribución de personal de las empresas comerciales que recibió capacitación por sexo, 2020p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11175847222222222"/>
          <c:y val="0.16668762626262626"/>
          <c:w val="0.85014250000000002"/>
          <c:h val="0.59356262626262624"/>
        </c:manualLayout>
      </c:layout>
      <c:barChart>
        <c:barDir val="bar"/>
        <c:grouping val="percentStacked"/>
        <c:varyColors val="0"/>
        <c:ser>
          <c:idx val="0"/>
          <c:order val="0"/>
          <c:tx>
            <c:strRef>
              <c:f>PO_Capacitación!$E$11:$E$12</c:f>
              <c:strCache>
                <c:ptCount val="2"/>
                <c:pt idx="0">
                  <c:v>Hombres</c:v>
                </c:pt>
                <c:pt idx="1">
                  <c:v>Personal de producción, ventas o servicios</c:v>
                </c:pt>
              </c:strCache>
            </c:strRef>
          </c:tx>
          <c:spPr>
            <a:solidFill>
              <a:schemeClr val="accent1">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PO_Capacitación!$A$13:$A$14</c:f>
              <c:strCache>
                <c:ptCount val="2"/>
                <c:pt idx="0">
                  <c:v>Comercio al por menor</c:v>
                </c:pt>
                <c:pt idx="1">
                  <c:v>Comercio al por mayor</c:v>
                </c:pt>
              </c:strCache>
            </c:strRef>
          </c:cat>
          <c:val>
            <c:numRef>
              <c:f>PO_Capacitación!$E$13:$E$14</c:f>
              <c:numCache>
                <c:formatCode>0.0%</c:formatCode>
                <c:ptCount val="2"/>
                <c:pt idx="0">
                  <c:v>0.41200000000000003</c:v>
                </c:pt>
                <c:pt idx="1">
                  <c:v>0.56100000000000005</c:v>
                </c:pt>
              </c:numCache>
            </c:numRef>
          </c:val>
          <c:extLst>
            <c:ext xmlns:c16="http://schemas.microsoft.com/office/drawing/2014/chart" uri="{C3380CC4-5D6E-409C-BE32-E72D297353CC}">
              <c16:uniqueId val="{00000000-61E5-4F42-A062-4D24DB09D4AB}"/>
            </c:ext>
          </c:extLst>
        </c:ser>
        <c:ser>
          <c:idx val="1"/>
          <c:order val="1"/>
          <c:tx>
            <c:strRef>
              <c:f>PO_Capacitación!$F$11:$F$12</c:f>
              <c:strCache>
                <c:ptCount val="2"/>
                <c:pt idx="0">
                  <c:v>Hombres</c:v>
                </c:pt>
                <c:pt idx="1">
                  <c:v>Personal administrativo, contable o de dirección</c:v>
                </c:pt>
              </c:strCache>
            </c:strRef>
          </c:tx>
          <c:spPr>
            <a:solidFill>
              <a:schemeClr val="accent1">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PO_Capacitación!$A$13:$A$14</c:f>
              <c:strCache>
                <c:ptCount val="2"/>
                <c:pt idx="0">
                  <c:v>Comercio al por menor</c:v>
                </c:pt>
                <c:pt idx="1">
                  <c:v>Comercio al por mayor</c:v>
                </c:pt>
              </c:strCache>
            </c:strRef>
          </c:cat>
          <c:val>
            <c:numRef>
              <c:f>PO_Capacitación!$F$13:$F$14</c:f>
              <c:numCache>
                <c:formatCode>0.0%</c:formatCode>
                <c:ptCount val="2"/>
                <c:pt idx="0">
                  <c:v>8.1000000000000003E-2</c:v>
                </c:pt>
                <c:pt idx="1">
                  <c:v>0.152</c:v>
                </c:pt>
              </c:numCache>
            </c:numRef>
          </c:val>
          <c:extLst>
            <c:ext xmlns:c16="http://schemas.microsoft.com/office/drawing/2014/chart" uri="{C3380CC4-5D6E-409C-BE32-E72D297353CC}">
              <c16:uniqueId val="{00000001-61E5-4F42-A062-4D24DB09D4AB}"/>
            </c:ext>
          </c:extLst>
        </c:ser>
        <c:ser>
          <c:idx val="2"/>
          <c:order val="2"/>
          <c:tx>
            <c:strRef>
              <c:f>PO_Capacitación!$G$11:$G$12</c:f>
              <c:strCache>
                <c:ptCount val="2"/>
                <c:pt idx="0">
                  <c:v>Mujeres</c:v>
                </c:pt>
                <c:pt idx="1">
                  <c:v>Personal de producción, ventas o servicios</c:v>
                </c:pt>
              </c:strCache>
            </c:strRef>
          </c:tx>
          <c:spPr>
            <a:solidFill>
              <a:schemeClr val="accent1">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PO_Capacitación!$A$13:$A$14</c:f>
              <c:strCache>
                <c:ptCount val="2"/>
                <c:pt idx="0">
                  <c:v>Comercio al por menor</c:v>
                </c:pt>
                <c:pt idx="1">
                  <c:v>Comercio al por mayor</c:v>
                </c:pt>
              </c:strCache>
            </c:strRef>
          </c:cat>
          <c:val>
            <c:numRef>
              <c:f>PO_Capacitación!$G$13:$G$14</c:f>
              <c:numCache>
                <c:formatCode>0.0%</c:formatCode>
                <c:ptCount val="2"/>
                <c:pt idx="0">
                  <c:v>0.40700000000000003</c:v>
                </c:pt>
                <c:pt idx="1">
                  <c:v>0.18100000000000002</c:v>
                </c:pt>
              </c:numCache>
            </c:numRef>
          </c:val>
          <c:extLst>
            <c:ext xmlns:c16="http://schemas.microsoft.com/office/drawing/2014/chart" uri="{C3380CC4-5D6E-409C-BE32-E72D297353CC}">
              <c16:uniqueId val="{00000002-61E5-4F42-A062-4D24DB09D4AB}"/>
            </c:ext>
          </c:extLst>
        </c:ser>
        <c:ser>
          <c:idx val="3"/>
          <c:order val="3"/>
          <c:tx>
            <c:strRef>
              <c:f>PO_Capacitación!$H$11:$H$12</c:f>
              <c:strCache>
                <c:ptCount val="2"/>
                <c:pt idx="0">
                  <c:v>Mujeres</c:v>
                </c:pt>
                <c:pt idx="1">
                  <c:v>Personal administrativo, contable o de dirección</c:v>
                </c:pt>
              </c:strCache>
            </c:strRef>
          </c:tx>
          <c:spPr>
            <a:solidFill>
              <a:schemeClr val="accent1">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PO_Capacitación!$A$13:$A$14</c:f>
              <c:strCache>
                <c:ptCount val="2"/>
                <c:pt idx="0">
                  <c:v>Comercio al por menor</c:v>
                </c:pt>
                <c:pt idx="1">
                  <c:v>Comercio al por mayor</c:v>
                </c:pt>
              </c:strCache>
            </c:strRef>
          </c:cat>
          <c:val>
            <c:numRef>
              <c:f>PO_Capacitación!$H$13:$H$14</c:f>
              <c:numCache>
                <c:formatCode>0.0%</c:formatCode>
                <c:ptCount val="2"/>
                <c:pt idx="0">
                  <c:v>0.10099999999999999</c:v>
                </c:pt>
                <c:pt idx="1">
                  <c:v>0.106</c:v>
                </c:pt>
              </c:numCache>
            </c:numRef>
          </c:val>
          <c:extLst>
            <c:ext xmlns:c16="http://schemas.microsoft.com/office/drawing/2014/chart" uri="{C3380CC4-5D6E-409C-BE32-E72D297353CC}">
              <c16:uniqueId val="{00000003-61E5-4F42-A062-4D24DB09D4AB}"/>
            </c:ext>
          </c:extLst>
        </c:ser>
        <c:dLbls>
          <c:showLegendKey val="0"/>
          <c:showVal val="1"/>
          <c:showCatName val="0"/>
          <c:showSerName val="0"/>
          <c:showPercent val="0"/>
          <c:showBubbleSize val="0"/>
        </c:dLbls>
        <c:gapWidth val="219"/>
        <c:overlap val="100"/>
        <c:axId val="156306767"/>
        <c:axId val="156295535"/>
      </c:barChart>
      <c:catAx>
        <c:axId val="156306767"/>
        <c:scaling>
          <c:orientation val="minMax"/>
        </c:scaling>
        <c:delete val="0"/>
        <c:axPos val="l"/>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156295535"/>
        <c:crosses val="autoZero"/>
        <c:auto val="1"/>
        <c:lblAlgn val="ctr"/>
        <c:lblOffset val="100"/>
        <c:noMultiLvlLbl val="0"/>
      </c:catAx>
      <c:valAx>
        <c:axId val="15629553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6306767"/>
        <c:crosses val="autoZero"/>
        <c:crossBetween val="between"/>
      </c:valAx>
      <c:spPr>
        <a:noFill/>
        <a:ln>
          <a:noFill/>
        </a:ln>
        <a:effectLst/>
      </c:spPr>
    </c:plotArea>
    <c:legend>
      <c:legendPos val="b"/>
      <c:layout>
        <c:manualLayout>
          <c:xMode val="edge"/>
          <c:yMode val="edge"/>
          <c:x val="8.6569444444444449E-2"/>
          <c:y val="0.78299090909090907"/>
          <c:w val="0.86919444444444449"/>
          <c:h val="0.178524242424242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300" b="1" i="0" u="none" strike="noStrike" kern="1200" spc="0" baseline="0">
                <a:solidFill>
                  <a:schemeClr val="tx1">
                    <a:lumMod val="65000"/>
                    <a:lumOff val="35000"/>
                  </a:schemeClr>
                </a:solidFill>
                <a:latin typeface="+mn-lt"/>
                <a:ea typeface="+mn-ea"/>
                <a:cs typeface="+mn-cs"/>
              </a:defRPr>
            </a:pPr>
            <a:r>
              <a:rPr lang="es-MX" sz="1300" b="1"/>
              <a:t>Empresas comerciales que obtuvieron ingresos mediante contratos o programas en colaboración con empresas ubicadas en otros países, del comercio al por mayor y comercio al por menor 2020p</a:t>
            </a:r>
          </a:p>
        </c:rich>
      </c:tx>
      <c:overlay val="0"/>
      <c:spPr>
        <a:noFill/>
        <a:ln>
          <a:noFill/>
        </a:ln>
        <a:effectLst/>
      </c:spPr>
      <c:txPr>
        <a:bodyPr rot="0" spcFirstLastPara="1" vertOverflow="ellipsis" vert="horz" wrap="square" anchor="ctr" anchorCtr="1"/>
        <a:lstStyle/>
        <a:p>
          <a:pPr>
            <a:defRPr sz="13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2.1709401709401711E-2"/>
          <c:y val="0.32832672681290692"/>
          <c:w val="0.96019943019943022"/>
          <c:h val="0.46143297629316321"/>
        </c:manualLayout>
      </c:layout>
      <c:barChart>
        <c:barDir val="col"/>
        <c:grouping val="clustered"/>
        <c:varyColors val="0"/>
        <c:ser>
          <c:idx val="0"/>
          <c:order val="0"/>
          <c:tx>
            <c:strRef>
              <c:f>Empresas_Contratos!$A$12</c:f>
              <c:strCache>
                <c:ptCount val="1"/>
                <c:pt idx="0">
                  <c:v>Comercio al por mayor</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Empresas_Contratos!$B$11:$C$11</c:f>
              <c:strCache>
                <c:ptCount val="2"/>
                <c:pt idx="0">
                  <c:v>No</c:v>
                </c:pt>
                <c:pt idx="1">
                  <c:v>Sí</c:v>
                </c:pt>
              </c:strCache>
            </c:strRef>
          </c:cat>
          <c:val>
            <c:numRef>
              <c:f>Empresas_Contratos!$B$12:$C$12</c:f>
              <c:numCache>
                <c:formatCode>0.0%</c:formatCode>
                <c:ptCount val="2"/>
                <c:pt idx="0">
                  <c:v>0.95700000000000007</c:v>
                </c:pt>
                <c:pt idx="1">
                  <c:v>4.2999999999999997E-2</c:v>
                </c:pt>
              </c:numCache>
            </c:numRef>
          </c:val>
          <c:extLst>
            <c:ext xmlns:c16="http://schemas.microsoft.com/office/drawing/2014/chart" uri="{C3380CC4-5D6E-409C-BE32-E72D297353CC}">
              <c16:uniqueId val="{00000000-F1DD-4B45-A62C-704F3814995A}"/>
            </c:ext>
          </c:extLst>
        </c:ser>
        <c:ser>
          <c:idx val="1"/>
          <c:order val="1"/>
          <c:tx>
            <c:strRef>
              <c:f>Empresas_Contratos!$A$13</c:f>
              <c:strCache>
                <c:ptCount val="1"/>
                <c:pt idx="0">
                  <c:v>Comercio al por menor</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Empresas_Contratos!$B$11:$C$11</c:f>
              <c:strCache>
                <c:ptCount val="2"/>
                <c:pt idx="0">
                  <c:v>No</c:v>
                </c:pt>
                <c:pt idx="1">
                  <c:v>Sí</c:v>
                </c:pt>
              </c:strCache>
            </c:strRef>
          </c:cat>
          <c:val>
            <c:numRef>
              <c:f>Empresas_Contratos!$B$13:$C$13</c:f>
              <c:numCache>
                <c:formatCode>0%</c:formatCode>
                <c:ptCount val="2"/>
                <c:pt idx="0">
                  <c:v>1</c:v>
                </c:pt>
                <c:pt idx="1">
                  <c:v>0</c:v>
                </c:pt>
              </c:numCache>
            </c:numRef>
          </c:val>
          <c:extLst>
            <c:ext xmlns:c16="http://schemas.microsoft.com/office/drawing/2014/chart" uri="{C3380CC4-5D6E-409C-BE32-E72D297353CC}">
              <c16:uniqueId val="{00000001-F1DD-4B45-A62C-704F3814995A}"/>
            </c:ext>
          </c:extLst>
        </c:ser>
        <c:dLbls>
          <c:dLblPos val="inEnd"/>
          <c:showLegendKey val="0"/>
          <c:showVal val="1"/>
          <c:showCatName val="0"/>
          <c:showSerName val="0"/>
          <c:showPercent val="0"/>
          <c:showBubbleSize val="0"/>
        </c:dLbls>
        <c:gapWidth val="219"/>
        <c:overlap val="-27"/>
        <c:axId val="96780079"/>
        <c:axId val="7080751"/>
      </c:barChart>
      <c:catAx>
        <c:axId val="9678007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crossAx val="7080751"/>
        <c:crosses val="autoZero"/>
        <c:auto val="1"/>
        <c:lblAlgn val="ctr"/>
        <c:lblOffset val="100"/>
        <c:noMultiLvlLbl val="0"/>
      </c:catAx>
      <c:valAx>
        <c:axId val="7080751"/>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96780079"/>
        <c:crosses val="autoZero"/>
        <c:crossBetween val="between"/>
      </c:valAx>
      <c:spPr>
        <a:noFill/>
        <a:ln>
          <a:noFill/>
        </a:ln>
        <a:effectLst/>
      </c:spPr>
    </c:plotArea>
    <c:legend>
      <c:legendPos val="b"/>
      <c:layout>
        <c:manualLayout>
          <c:xMode val="edge"/>
          <c:yMode val="edge"/>
          <c:x val="0.29088532763532765"/>
          <c:y val="0.87853181818181814"/>
          <c:w val="0.4526082621082621"/>
          <c:h val="5.799318181818181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300" b="1" i="0" u="none" strike="noStrike" kern="1200" spc="0" baseline="0">
                <a:solidFill>
                  <a:schemeClr val="tx1">
                    <a:lumMod val="65000"/>
                    <a:lumOff val="35000"/>
                  </a:schemeClr>
                </a:solidFill>
                <a:latin typeface="+mn-lt"/>
                <a:ea typeface="+mn-ea"/>
                <a:cs typeface="+mn-cs"/>
              </a:defRPr>
            </a:pPr>
            <a:r>
              <a:rPr lang="es-MX" sz="1300" b="1"/>
              <a:t>Tipos de contratos o programas de colaboración con unidades económicas ubicadas en otros países, del comercio al por mayor 2020p</a:t>
            </a:r>
          </a:p>
          <a:p>
            <a:pPr>
              <a:defRPr sz="1300" b="1"/>
            </a:pPr>
            <a:endParaRPr lang="es-MX" sz="1300" b="1"/>
          </a:p>
        </c:rich>
      </c:tx>
      <c:layout>
        <c:manualLayout>
          <c:xMode val="edge"/>
          <c:yMode val="edge"/>
          <c:x val="9.6847293447293467E-2"/>
          <c:y val="1.2828262179940772E-2"/>
        </c:manualLayout>
      </c:layout>
      <c:overlay val="0"/>
      <c:spPr>
        <a:noFill/>
        <a:ln>
          <a:noFill/>
        </a:ln>
        <a:effectLst/>
      </c:spPr>
      <c:txPr>
        <a:bodyPr rot="0" spcFirstLastPara="1" vertOverflow="ellipsis" vert="horz" wrap="square" anchor="ctr" anchorCtr="1"/>
        <a:lstStyle/>
        <a:p>
          <a:pPr>
            <a:defRPr sz="13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45520242165242164"/>
          <c:y val="0.23381850697549245"/>
          <c:w val="0.47016253561253568"/>
          <c:h val="0.59557075762442591"/>
        </c:manualLayout>
      </c:layout>
      <c:barChart>
        <c:barDir val="bar"/>
        <c:grouping val="clustered"/>
        <c:varyColors val="0"/>
        <c:ser>
          <c:idx val="1"/>
          <c:order val="0"/>
          <c:tx>
            <c:strRef>
              <c:f>Empresas_Contratos!$A$32</c:f>
              <c:strCache>
                <c:ptCount val="1"/>
                <c:pt idx="0">
                  <c:v>Comercio al por menor</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Empresas_Contratos!$B$30:$D$30</c:f>
              <c:strCache>
                <c:ptCount val="3"/>
                <c:pt idx="0">
                  <c:v>Empresas no filiales ubicadas en el extranjero</c:v>
                </c:pt>
                <c:pt idx="1">
                  <c:v>Filiales de empresas mexicanas ubicadas en el extranjero</c:v>
                </c:pt>
                <c:pt idx="2">
                  <c:v>Empresas ubicadas en el extranjero y pertenecientes al mismo grupo empresarial</c:v>
                </c:pt>
              </c:strCache>
            </c:strRef>
          </c:cat>
          <c:val>
            <c:numRef>
              <c:f>Empresas_Contratos!$B$32:$D$32</c:f>
              <c:numCache>
                <c:formatCode>0.0%</c:formatCode>
                <c:ptCount val="3"/>
                <c:pt idx="0">
                  <c:v>8.5000000000000006E-2</c:v>
                </c:pt>
                <c:pt idx="1">
                  <c:v>0.68700000000000006</c:v>
                </c:pt>
                <c:pt idx="2">
                  <c:v>0.22800000000000001</c:v>
                </c:pt>
              </c:numCache>
            </c:numRef>
          </c:val>
          <c:extLst>
            <c:ext xmlns:c16="http://schemas.microsoft.com/office/drawing/2014/chart" uri="{C3380CC4-5D6E-409C-BE32-E72D297353CC}">
              <c16:uniqueId val="{00000000-6BAE-4F62-B502-51F0AD91B5EF}"/>
            </c:ext>
          </c:extLst>
        </c:ser>
        <c:ser>
          <c:idx val="0"/>
          <c:order val="1"/>
          <c:tx>
            <c:strRef>
              <c:f>Empresas_Contratos!$A$31</c:f>
              <c:strCache>
                <c:ptCount val="1"/>
                <c:pt idx="0">
                  <c:v>Comercio al por mayor</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Empresas_Contratos!$B$30:$D$30</c:f>
              <c:strCache>
                <c:ptCount val="3"/>
                <c:pt idx="0">
                  <c:v>Empresas no filiales ubicadas en el extranjero</c:v>
                </c:pt>
                <c:pt idx="1">
                  <c:v>Filiales de empresas mexicanas ubicadas en el extranjero</c:v>
                </c:pt>
                <c:pt idx="2">
                  <c:v>Empresas ubicadas en el extranjero y pertenecientes al mismo grupo empresarial</c:v>
                </c:pt>
              </c:strCache>
            </c:strRef>
          </c:cat>
          <c:val>
            <c:numRef>
              <c:f>Empresas_Contratos!$B$31:$D$31</c:f>
              <c:numCache>
                <c:formatCode>0.0%</c:formatCode>
                <c:ptCount val="3"/>
                <c:pt idx="0">
                  <c:v>0.34799999999999998</c:v>
                </c:pt>
                <c:pt idx="1">
                  <c:v>5.2000000000000005E-2</c:v>
                </c:pt>
                <c:pt idx="2">
                  <c:v>0.6</c:v>
                </c:pt>
              </c:numCache>
            </c:numRef>
          </c:val>
          <c:extLst>
            <c:ext xmlns:c16="http://schemas.microsoft.com/office/drawing/2014/chart" uri="{C3380CC4-5D6E-409C-BE32-E72D297353CC}">
              <c16:uniqueId val="{00000001-6BAE-4F62-B502-51F0AD91B5EF}"/>
            </c:ext>
          </c:extLst>
        </c:ser>
        <c:dLbls>
          <c:dLblPos val="outEnd"/>
          <c:showLegendKey val="0"/>
          <c:showVal val="1"/>
          <c:showCatName val="0"/>
          <c:showSerName val="0"/>
          <c:showPercent val="0"/>
          <c:showBubbleSize val="0"/>
        </c:dLbls>
        <c:gapWidth val="182"/>
        <c:axId val="10667375"/>
        <c:axId val="10667791"/>
      </c:barChart>
      <c:catAx>
        <c:axId val="10667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667791"/>
        <c:crosses val="autoZero"/>
        <c:auto val="1"/>
        <c:lblAlgn val="ctr"/>
        <c:lblOffset val="100"/>
        <c:noMultiLvlLbl val="0"/>
      </c:catAx>
      <c:valAx>
        <c:axId val="10667791"/>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0667375"/>
        <c:crosses val="autoZero"/>
        <c:crossBetween val="between"/>
      </c:valAx>
      <c:spPr>
        <a:noFill/>
        <a:ln>
          <a:noFill/>
        </a:ln>
        <a:effectLst/>
      </c:spPr>
    </c:plotArea>
    <c:legend>
      <c:legendPos val="b"/>
      <c:layout>
        <c:manualLayout>
          <c:xMode val="edge"/>
          <c:yMode val="edge"/>
          <c:x val="0.273695868945869"/>
          <c:y val="0.9092480016772807"/>
          <c:w val="0.4526082621082621"/>
          <c:h val="4.814906832298136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Procedencia de crédito, préstamo o financiamiento en el</a:t>
            </a:r>
            <a:r>
              <a:rPr lang="es-MX" baseline="0"/>
              <a:t> comercio al por mayor, 2020</a:t>
            </a:r>
            <a:r>
              <a:rPr lang="es-MX" baseline="30000"/>
              <a:t>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16934437210781636"/>
          <c:y val="0.26289326167555627"/>
          <c:w val="0.32788265713713488"/>
          <c:h val="0.7040569886144543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CA-4FFE-8878-39E939426B5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ECA-4FFE-8878-39E939426B5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ECA-4FFE-8878-39E939426B5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ECA-4FFE-8878-39E939426B52}"/>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ECA-4FFE-8878-39E939426B52}"/>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9ECA-4FFE-8878-39E939426B52}"/>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9ECA-4FFE-8878-39E939426B52}"/>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9ECA-4FFE-8878-39E939426B52}"/>
              </c:ext>
            </c:extLst>
          </c:dPt>
          <c:dLbls>
            <c:dLbl>
              <c:idx val="5"/>
              <c:layout>
                <c:manualLayout>
                  <c:x val="-3.7754595131644385E-2"/>
                  <c:y val="3.53460808061504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CA-4FFE-8878-39E939426B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crédito!$C$3:$J$4</c:f>
              <c:strCache>
                <c:ptCount val="8"/>
                <c:pt idx="0">
                  <c:v>Bancos</c:v>
                </c:pt>
                <c:pt idx="1">
                  <c:v>Cajas de ahorro popular</c:v>
                </c:pt>
                <c:pt idx="2">
                  <c:v>Proveedores (incluye contado comercial)</c:v>
                </c:pt>
                <c:pt idx="3">
                  <c:v>Gobierno</c:v>
                </c:pt>
                <c:pt idx="4">
                  <c:v>Prestamistas privados o agiotistas</c:v>
                </c:pt>
                <c:pt idx="5">
                  <c:v>Emisión de títulos de deuda, por ejemplo bonos</c:v>
                </c:pt>
                <c:pt idx="6">
                  <c:v>Propietarios</c:v>
                </c:pt>
                <c:pt idx="7">
                  <c:v>Otros</c:v>
                </c:pt>
              </c:strCache>
            </c:strRef>
          </c:cat>
          <c:val>
            <c:numRef>
              <c:f>crédito!$C$5:$J$5</c:f>
              <c:numCache>
                <c:formatCode>General</c:formatCode>
                <c:ptCount val="8"/>
                <c:pt idx="0">
                  <c:v>82.1</c:v>
                </c:pt>
                <c:pt idx="1">
                  <c:v>1.1000000000000001</c:v>
                </c:pt>
                <c:pt idx="2">
                  <c:v>34.200000000000003</c:v>
                </c:pt>
                <c:pt idx="3">
                  <c:v>34.200000000000003</c:v>
                </c:pt>
                <c:pt idx="4">
                  <c:v>1.5</c:v>
                </c:pt>
                <c:pt idx="5">
                  <c:v>0.3</c:v>
                </c:pt>
                <c:pt idx="6">
                  <c:v>11</c:v>
                </c:pt>
                <c:pt idx="7">
                  <c:v>4.5</c:v>
                </c:pt>
              </c:numCache>
            </c:numRef>
          </c:val>
          <c:extLst>
            <c:ext xmlns:c16="http://schemas.microsoft.com/office/drawing/2014/chart" uri="{C3380CC4-5D6E-409C-BE32-E72D297353CC}">
              <c16:uniqueId val="{00000010-9ECA-4FFE-8878-39E939426B5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865885941165041"/>
          <c:y val="0.54178871908663073"/>
          <c:w val="0.41072642427270178"/>
          <c:h val="0.266265101192402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Procedencia de crédito, préstamo o financiamiento en el</a:t>
            </a:r>
            <a:r>
              <a:rPr lang="es-MX" baseline="0"/>
              <a:t> comercio al por menor, 2020</a:t>
            </a:r>
            <a:r>
              <a:rPr lang="es-MX" baseline="30000"/>
              <a:t>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20802065977756226"/>
          <c:y val="0.29153188954702974"/>
          <c:w val="0.32173263010513004"/>
          <c:h val="0.68769205840218361"/>
        </c:manualLayout>
      </c:layout>
      <c:pieChart>
        <c:varyColors val="1"/>
        <c:ser>
          <c:idx val="0"/>
          <c:order val="0"/>
          <c:dPt>
            <c:idx val="0"/>
            <c:bubble3D val="0"/>
            <c:spPr>
              <a:solidFill>
                <a:schemeClr val="accent1">
                  <a:shade val="45000"/>
                </a:schemeClr>
              </a:solidFill>
              <a:ln w="19050">
                <a:solidFill>
                  <a:schemeClr val="lt1"/>
                </a:solidFill>
              </a:ln>
              <a:effectLst/>
            </c:spPr>
            <c:extLst>
              <c:ext xmlns:c16="http://schemas.microsoft.com/office/drawing/2014/chart" uri="{C3380CC4-5D6E-409C-BE32-E72D297353CC}">
                <c16:uniqueId val="{00000001-0065-40EB-972A-0F0D256BBDF5}"/>
              </c:ext>
            </c:extLst>
          </c:dPt>
          <c:dPt>
            <c:idx val="1"/>
            <c:bubble3D val="0"/>
            <c:spPr>
              <a:solidFill>
                <a:schemeClr val="accent1">
                  <a:shade val="61000"/>
                </a:schemeClr>
              </a:solidFill>
              <a:ln w="19050">
                <a:solidFill>
                  <a:schemeClr val="lt1"/>
                </a:solidFill>
              </a:ln>
              <a:effectLst/>
            </c:spPr>
            <c:extLst>
              <c:ext xmlns:c16="http://schemas.microsoft.com/office/drawing/2014/chart" uri="{C3380CC4-5D6E-409C-BE32-E72D297353CC}">
                <c16:uniqueId val="{00000003-0065-40EB-972A-0F0D256BBDF5}"/>
              </c:ext>
            </c:extLst>
          </c:dPt>
          <c:dPt>
            <c:idx val="2"/>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5-0065-40EB-972A-0F0D256BBDF5}"/>
              </c:ext>
            </c:extLst>
          </c:dPt>
          <c:dPt>
            <c:idx val="3"/>
            <c:bubble3D val="0"/>
            <c:spPr>
              <a:solidFill>
                <a:schemeClr val="accent1">
                  <a:shade val="92000"/>
                </a:schemeClr>
              </a:solidFill>
              <a:ln w="19050">
                <a:solidFill>
                  <a:schemeClr val="lt1"/>
                </a:solidFill>
              </a:ln>
              <a:effectLst/>
            </c:spPr>
            <c:extLst>
              <c:ext xmlns:c16="http://schemas.microsoft.com/office/drawing/2014/chart" uri="{C3380CC4-5D6E-409C-BE32-E72D297353CC}">
                <c16:uniqueId val="{00000007-0065-40EB-972A-0F0D256BBDF5}"/>
              </c:ext>
            </c:extLst>
          </c:dPt>
          <c:dPt>
            <c:idx val="4"/>
            <c:bubble3D val="0"/>
            <c:spPr>
              <a:solidFill>
                <a:schemeClr val="accent1">
                  <a:tint val="93000"/>
                </a:schemeClr>
              </a:solidFill>
              <a:ln w="19050">
                <a:solidFill>
                  <a:schemeClr val="lt1"/>
                </a:solidFill>
              </a:ln>
              <a:effectLst/>
            </c:spPr>
            <c:extLst>
              <c:ext xmlns:c16="http://schemas.microsoft.com/office/drawing/2014/chart" uri="{C3380CC4-5D6E-409C-BE32-E72D297353CC}">
                <c16:uniqueId val="{00000009-0065-40EB-972A-0F0D256BBDF5}"/>
              </c:ext>
            </c:extLst>
          </c:dPt>
          <c:dPt>
            <c:idx val="5"/>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B-0065-40EB-972A-0F0D256BBDF5}"/>
              </c:ext>
            </c:extLst>
          </c:dPt>
          <c:dPt>
            <c:idx val="6"/>
            <c:bubble3D val="0"/>
            <c:spPr>
              <a:solidFill>
                <a:schemeClr val="accent1">
                  <a:tint val="62000"/>
                </a:schemeClr>
              </a:solidFill>
              <a:ln w="19050">
                <a:solidFill>
                  <a:schemeClr val="lt1"/>
                </a:solidFill>
              </a:ln>
              <a:effectLst/>
            </c:spPr>
            <c:extLst>
              <c:ext xmlns:c16="http://schemas.microsoft.com/office/drawing/2014/chart" uri="{C3380CC4-5D6E-409C-BE32-E72D297353CC}">
                <c16:uniqueId val="{0000000D-0065-40EB-972A-0F0D256BBDF5}"/>
              </c:ext>
            </c:extLst>
          </c:dPt>
          <c:dPt>
            <c:idx val="7"/>
            <c:bubble3D val="0"/>
            <c:spPr>
              <a:solidFill>
                <a:schemeClr val="accent1">
                  <a:tint val="46000"/>
                </a:schemeClr>
              </a:solidFill>
              <a:ln w="19050">
                <a:solidFill>
                  <a:schemeClr val="lt1"/>
                </a:solidFill>
              </a:ln>
              <a:effectLst/>
            </c:spPr>
            <c:extLst>
              <c:ext xmlns:c16="http://schemas.microsoft.com/office/drawing/2014/chart" uri="{C3380CC4-5D6E-409C-BE32-E72D297353CC}">
                <c16:uniqueId val="{0000000F-0065-40EB-972A-0F0D256BBD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crédito!$C$3:$J$4</c:f>
              <c:strCache>
                <c:ptCount val="8"/>
                <c:pt idx="0">
                  <c:v>Bancos</c:v>
                </c:pt>
                <c:pt idx="1">
                  <c:v>Cajas de ahorro popular</c:v>
                </c:pt>
                <c:pt idx="2">
                  <c:v>Proveedores (incluye contado comercial)</c:v>
                </c:pt>
                <c:pt idx="3">
                  <c:v>Gobierno</c:v>
                </c:pt>
                <c:pt idx="4">
                  <c:v>Prestamistas privados o agiotistas</c:v>
                </c:pt>
                <c:pt idx="5">
                  <c:v>Emisión de títulos de deuda, por ejemplo bonos</c:v>
                </c:pt>
                <c:pt idx="6">
                  <c:v>Propietarios</c:v>
                </c:pt>
                <c:pt idx="7">
                  <c:v>Otros</c:v>
                </c:pt>
              </c:strCache>
            </c:strRef>
          </c:cat>
          <c:val>
            <c:numRef>
              <c:f>crédito!$C$6:$J$6</c:f>
              <c:numCache>
                <c:formatCode>General</c:formatCode>
                <c:ptCount val="8"/>
                <c:pt idx="0">
                  <c:v>44.3</c:v>
                </c:pt>
                <c:pt idx="1">
                  <c:v>5.3</c:v>
                </c:pt>
                <c:pt idx="2">
                  <c:v>42.2</c:v>
                </c:pt>
                <c:pt idx="3">
                  <c:v>42.2</c:v>
                </c:pt>
                <c:pt idx="4">
                  <c:v>14.4</c:v>
                </c:pt>
                <c:pt idx="5">
                  <c:v>0</c:v>
                </c:pt>
                <c:pt idx="6">
                  <c:v>16.899999999999999</c:v>
                </c:pt>
                <c:pt idx="7">
                  <c:v>11.1</c:v>
                </c:pt>
              </c:numCache>
            </c:numRef>
          </c:val>
          <c:extLst>
            <c:ext xmlns:c16="http://schemas.microsoft.com/office/drawing/2014/chart" uri="{C3380CC4-5D6E-409C-BE32-E72D297353CC}">
              <c16:uniqueId val="{00000010-0065-40EB-972A-0F0D256BBDF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2284820986523968"/>
          <c:y val="0.33313585888018138"/>
          <c:w val="0.25357827256950327"/>
          <c:h val="0.483100471329318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sz="1400" b="1" i="0" baseline="0">
                <a:effectLst/>
              </a:rPr>
              <a:t>Total de personal ocupado dependiente de la razón social por sector y modalidad de pago, 2020</a:t>
            </a:r>
            <a:r>
              <a:rPr lang="en-US" sz="1400" b="1" i="0" baseline="0">
                <a:effectLst/>
              </a:rPr>
              <a:t>ᵖ</a:t>
            </a:r>
            <a:r>
              <a:rPr lang="en-US" sz="1400" b="1" i="0" baseline="30000">
                <a:effectLst/>
              </a:rPr>
              <a:t>/</a:t>
            </a:r>
            <a:endParaRPr lang="es-MX" sz="1400">
              <a:effectLst/>
            </a:endParaRPr>
          </a:p>
        </c:rich>
      </c:tx>
      <c:layout>
        <c:manualLayout>
          <c:xMode val="edge"/>
          <c:yMode val="edge"/>
          <c:x val="0.11159740740740741"/>
          <c:y val="2.117803221061969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2.587037037037037E-2"/>
          <c:y val="0.20182664696720573"/>
          <c:w val="0.94825925925925925"/>
          <c:h val="0.62474444618611991"/>
        </c:manualLayout>
      </c:layout>
      <c:barChart>
        <c:barDir val="col"/>
        <c:grouping val="stacked"/>
        <c:varyColors val="0"/>
        <c:ser>
          <c:idx val="0"/>
          <c:order val="0"/>
          <c:tx>
            <c:strRef>
              <c:f>Cuadro_4!$D$33</c:f>
              <c:strCache>
                <c:ptCount val="1"/>
                <c:pt idx="0">
                  <c:v>Remunerado</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Cuadro_4!$C$34:$C$35</c:f>
              <c:strCache>
                <c:ptCount val="2"/>
                <c:pt idx="0">
                  <c:v>Comercio al por mayor</c:v>
                </c:pt>
                <c:pt idx="1">
                  <c:v>Comercio al por menor</c:v>
                </c:pt>
              </c:strCache>
            </c:strRef>
          </c:cat>
          <c:val>
            <c:numRef>
              <c:f>Cuadro_4!$D$34:$D$35</c:f>
              <c:numCache>
                <c:formatCode>0.0%</c:formatCode>
                <c:ptCount val="2"/>
                <c:pt idx="0">
                  <c:v>0.99719166374853951</c:v>
                </c:pt>
                <c:pt idx="1">
                  <c:v>0.47400193202171292</c:v>
                </c:pt>
              </c:numCache>
            </c:numRef>
          </c:val>
          <c:extLst>
            <c:ext xmlns:c16="http://schemas.microsoft.com/office/drawing/2014/chart" uri="{C3380CC4-5D6E-409C-BE32-E72D297353CC}">
              <c16:uniqueId val="{00000000-ABD4-48CC-8583-F15E849A3132}"/>
            </c:ext>
          </c:extLst>
        </c:ser>
        <c:ser>
          <c:idx val="1"/>
          <c:order val="1"/>
          <c:tx>
            <c:strRef>
              <c:f>Cuadro_4!$E$33</c:f>
              <c:strCache>
                <c:ptCount val="1"/>
                <c:pt idx="0">
                  <c:v>No remunerado</c:v>
                </c:pt>
              </c:strCache>
            </c:strRef>
          </c:tx>
          <c:spPr>
            <a:solidFill>
              <a:schemeClr val="accent5">
                <a:tint val="77000"/>
              </a:schemeClr>
            </a:solidFill>
            <a:ln>
              <a:noFill/>
            </a:ln>
            <a:effectLst/>
          </c:spPr>
          <c:invertIfNegative val="0"/>
          <c:dLbls>
            <c:dLbl>
              <c:idx val="0"/>
              <c:layout>
                <c:manualLayout>
                  <c:x val="0"/>
                  <c:y val="1.764836017551638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D4-48CC-8583-F15E849A31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Cuadro_4!$C$34:$C$35</c:f>
              <c:strCache>
                <c:ptCount val="2"/>
                <c:pt idx="0">
                  <c:v>Comercio al por mayor</c:v>
                </c:pt>
                <c:pt idx="1">
                  <c:v>Comercio al por menor</c:v>
                </c:pt>
              </c:strCache>
            </c:strRef>
          </c:cat>
          <c:val>
            <c:numRef>
              <c:f>Cuadro_4!$E$34:$E$35</c:f>
              <c:numCache>
                <c:formatCode>0.0%</c:formatCode>
                <c:ptCount val="2"/>
                <c:pt idx="0">
                  <c:v>2.8083362514605081E-3</c:v>
                </c:pt>
                <c:pt idx="1">
                  <c:v>0.52600589843402346</c:v>
                </c:pt>
              </c:numCache>
            </c:numRef>
          </c:val>
          <c:extLst>
            <c:ext xmlns:c16="http://schemas.microsoft.com/office/drawing/2014/chart" uri="{C3380CC4-5D6E-409C-BE32-E72D297353CC}">
              <c16:uniqueId val="{00000002-ABD4-48CC-8583-F15E849A3132}"/>
            </c:ext>
          </c:extLst>
        </c:ser>
        <c:dLbls>
          <c:dLblPos val="ctr"/>
          <c:showLegendKey val="0"/>
          <c:showVal val="1"/>
          <c:showCatName val="0"/>
          <c:showSerName val="0"/>
          <c:showPercent val="0"/>
          <c:showBubbleSize val="0"/>
        </c:dLbls>
        <c:gapWidth val="150"/>
        <c:overlap val="100"/>
        <c:axId val="709588367"/>
        <c:axId val="709585039"/>
      </c:barChart>
      <c:catAx>
        <c:axId val="70958836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709585039"/>
        <c:crosses val="autoZero"/>
        <c:auto val="1"/>
        <c:lblAlgn val="ctr"/>
        <c:lblOffset val="100"/>
        <c:noMultiLvlLbl val="0"/>
      </c:catAx>
      <c:valAx>
        <c:axId val="709585039"/>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709588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Distribución de los ingresos del comercio al por mayor por subsector de actividad, 2020</a:t>
            </a:r>
            <a:r>
              <a:rPr lang="en-US" sz="1400" b="1" i="0" baseline="0">
                <a:effectLst/>
              </a:rPr>
              <a:t>ᵖ</a:t>
            </a:r>
            <a:endParaRPr lang="es-MX"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54582370025416316"/>
          <c:y val="0.16376484931595242"/>
          <c:w val="0.37628766718902967"/>
          <c:h val="0.75439705527857792"/>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Ingresos!$B$13:$B$19</c:f>
              <c:strCache>
                <c:ptCount val="7"/>
                <c:pt idx="0">
                  <c:v>Comercio al por mayor de abarrotes, alimentos, bebidas, hielo y tabaco</c:v>
                </c:pt>
                <c:pt idx="1">
                  <c:v>Comercio al por mayor de productos textiles y calzado</c:v>
                </c:pt>
                <c:pt idx="2">
                  <c:v>Comercio al por mayor de productos farmacéuticos, de perfumería, artículos para el esparcimiento, electrodomésticos menores y aparatos de línea blanca</c:v>
                </c:pt>
                <c:pt idx="3">
                  <c:v>Comercio al por mayor de materias primas agropecuarias y forestales, para la industria, y materiales de desecho</c:v>
                </c:pt>
                <c:pt idx="4">
                  <c:v>Comercio al por mayor de maquinaria, equipo y mobiliario para actividades agropecuarias, industriales, de servicios y comerciales, y de otra maquinaria y equipo de uso general</c:v>
                </c:pt>
                <c:pt idx="5">
                  <c:v>Comercio al por mayor de camiones y de partes y refacciones nuevas para automóviles, camionetas y camiones</c:v>
                </c:pt>
                <c:pt idx="6">
                  <c:v>Intermediación de comercio al por mayor</c:v>
                </c:pt>
              </c:strCache>
            </c:strRef>
          </c:cat>
          <c:val>
            <c:numRef>
              <c:f>Ingresos!$D$13:$D$19</c:f>
              <c:numCache>
                <c:formatCode>0.0%</c:formatCode>
                <c:ptCount val="7"/>
                <c:pt idx="0">
                  <c:v>0.37620561225662325</c:v>
                </c:pt>
                <c:pt idx="1">
                  <c:v>1.428293961100288E-2</c:v>
                </c:pt>
                <c:pt idx="2">
                  <c:v>0.14218146915313701</c:v>
                </c:pt>
                <c:pt idx="3">
                  <c:v>0.27270919260882731</c:v>
                </c:pt>
                <c:pt idx="4">
                  <c:v>0.15554527766037471</c:v>
                </c:pt>
                <c:pt idx="5">
                  <c:v>3.7777328762474402E-2</c:v>
                </c:pt>
                <c:pt idx="6">
                  <c:v>1.2981799475604329E-3</c:v>
                </c:pt>
              </c:numCache>
            </c:numRef>
          </c:val>
          <c:extLst>
            <c:ext xmlns:c16="http://schemas.microsoft.com/office/drawing/2014/chart" uri="{C3380CC4-5D6E-409C-BE32-E72D297353CC}">
              <c16:uniqueId val="{00000000-98CF-49ED-8CA1-0FE15FDFCCF2}"/>
            </c:ext>
          </c:extLst>
        </c:ser>
        <c:dLbls>
          <c:dLblPos val="outEnd"/>
          <c:showLegendKey val="0"/>
          <c:showVal val="1"/>
          <c:showCatName val="0"/>
          <c:showSerName val="0"/>
          <c:showPercent val="0"/>
          <c:showBubbleSize val="0"/>
        </c:dLbls>
        <c:gapWidth val="182"/>
        <c:axId val="1903032944"/>
        <c:axId val="1903025456"/>
      </c:barChart>
      <c:catAx>
        <c:axId val="1903032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03025456"/>
        <c:crosses val="autoZero"/>
        <c:auto val="1"/>
        <c:lblAlgn val="ctr"/>
        <c:lblOffset val="100"/>
        <c:noMultiLvlLbl val="0"/>
      </c:catAx>
      <c:valAx>
        <c:axId val="190302545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90303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Distribución de los ingresos del comercio al por menor por subsector de actividad, 2020</a:t>
            </a:r>
            <a:r>
              <a:rPr lang="en-US" sz="1400" b="1" i="0" baseline="0">
                <a:effectLst/>
              </a:rPr>
              <a:t>ᵖ</a:t>
            </a:r>
            <a:endParaRPr lang="es-MX" sz="1400">
              <a:effectLst/>
            </a:endParaRPr>
          </a:p>
        </c:rich>
      </c:tx>
      <c:layout>
        <c:manualLayout>
          <c:xMode val="edge"/>
          <c:yMode val="edge"/>
          <c:x val="0.1283971937398812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54582370025416316"/>
          <c:y val="0.16376484931595242"/>
          <c:w val="0.37628766718902967"/>
          <c:h val="0.804365828074371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85000"/>
                        <a:lumOff val="1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Ingresos!$B$22:$B$30</c:f>
              <c:strCache>
                <c:ptCount val="9"/>
                <c:pt idx="0">
                  <c:v>Comercio al por menor de abarrotes, alimentos, bebidas, hielo y tabaco</c:v>
                </c:pt>
                <c:pt idx="1">
                  <c:v>Comercio al por menor en tiendas de autoservicio y departamentales</c:v>
                </c:pt>
                <c:pt idx="2">
                  <c:v>Comercio al por menor de productos textiles, bisutería, accesorios de vestir y calzado</c:v>
                </c:pt>
                <c:pt idx="3">
                  <c:v>Comercio al por menor de artículos para el cuidado de la salud</c:v>
                </c:pt>
                <c:pt idx="4">
                  <c:v>Comercio al por menor de artículos de papelería, para el esparcimiento y otros artículos de uso personal</c:v>
                </c:pt>
                <c:pt idx="5">
                  <c:v>Comercio al por menor de enseres domésticos, computadoras, artículos para la decoración de interiores y artículos usados</c:v>
                </c:pt>
                <c:pt idx="6">
                  <c:v>Comercio al por menor de artículos de ferretería, tlapalería y vidrios</c:v>
                </c:pt>
                <c:pt idx="7">
                  <c:v>Comercio al por menor de vehículos de motor, refacciones, combustibles y lubricantes</c:v>
                </c:pt>
                <c:pt idx="8">
                  <c:v>Comercio al por menor exclusivamente a través de Internet, y catálogos impresos, televisión y similares</c:v>
                </c:pt>
              </c:strCache>
            </c:strRef>
          </c:cat>
          <c:val>
            <c:numRef>
              <c:f>Ingresos!$D$22:$D$30</c:f>
              <c:numCache>
                <c:formatCode>0.0%</c:formatCode>
                <c:ptCount val="9"/>
                <c:pt idx="0">
                  <c:v>0.12996245276007395</c:v>
                </c:pt>
                <c:pt idx="1">
                  <c:v>0.2615875099049943</c:v>
                </c:pt>
                <c:pt idx="2">
                  <c:v>3.3699680089238765E-2</c:v>
                </c:pt>
                <c:pt idx="3">
                  <c:v>5.2078590764624982E-2</c:v>
                </c:pt>
                <c:pt idx="4">
                  <c:v>2.814263435097554E-2</c:v>
                </c:pt>
                <c:pt idx="5">
                  <c:v>6.1324256111829817E-2</c:v>
                </c:pt>
                <c:pt idx="6">
                  <c:v>0.10169337418894293</c:v>
                </c:pt>
                <c:pt idx="7">
                  <c:v>0.3251765595707326</c:v>
                </c:pt>
                <c:pt idx="8">
                  <c:v>6.334942258587088E-3</c:v>
                </c:pt>
              </c:numCache>
            </c:numRef>
          </c:val>
          <c:extLst>
            <c:ext xmlns:c16="http://schemas.microsoft.com/office/drawing/2014/chart" uri="{C3380CC4-5D6E-409C-BE32-E72D297353CC}">
              <c16:uniqueId val="{00000000-6BE6-49DC-9147-B0CA70E0A7EC}"/>
            </c:ext>
          </c:extLst>
        </c:ser>
        <c:dLbls>
          <c:dLblPos val="outEnd"/>
          <c:showLegendKey val="0"/>
          <c:showVal val="1"/>
          <c:showCatName val="0"/>
          <c:showSerName val="0"/>
          <c:showPercent val="0"/>
          <c:showBubbleSize val="0"/>
        </c:dLbls>
        <c:gapWidth val="182"/>
        <c:axId val="1903032944"/>
        <c:axId val="1903025456"/>
      </c:barChart>
      <c:catAx>
        <c:axId val="1903032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03025456"/>
        <c:crosses val="autoZero"/>
        <c:auto val="1"/>
        <c:lblAlgn val="ctr"/>
        <c:lblOffset val="100"/>
        <c:noMultiLvlLbl val="0"/>
      </c:catAx>
      <c:valAx>
        <c:axId val="190302545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90303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u="none" strike="noStrike" baseline="0">
                <a:effectLst/>
              </a:rPr>
              <a:t>Total de activos fijos por sector, según tipo de activo, 2020</a:t>
            </a:r>
            <a:r>
              <a:rPr lang="en-US" sz="1400" b="1" i="0" u="none" strike="noStrike" baseline="0">
                <a:effectLst/>
              </a:rPr>
              <a:t>ᵖ</a:t>
            </a:r>
            <a:endParaRPr lang="es-MX"/>
          </a:p>
        </c:rich>
      </c:tx>
      <c:layout>
        <c:manualLayout>
          <c:xMode val="edge"/>
          <c:yMode val="edge"/>
          <c:x val="0.13358148148148147"/>
          <c:y val="1.55512187655454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8.1684014966706894E-2"/>
          <c:y val="0.15081127538219796"/>
          <c:w val="0.53583611111111107"/>
          <c:h val="0.70432602456663984"/>
        </c:manualLayout>
      </c:layout>
      <c:barChart>
        <c:barDir val="col"/>
        <c:grouping val="stacked"/>
        <c:varyColors val="0"/>
        <c:ser>
          <c:idx val="0"/>
          <c:order val="0"/>
          <c:tx>
            <c:strRef>
              <c:f>Cuadro_12!$C$32</c:f>
              <c:strCache>
                <c:ptCount val="1"/>
                <c:pt idx="0">
                  <c:v>Maquinaria y equipo de producción</c:v>
                </c:pt>
              </c:strCache>
            </c:strRef>
          </c:tx>
          <c:spPr>
            <a:solidFill>
              <a:schemeClr val="accent5">
                <a:shade val="5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00FFFF"/>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Cuadro_12!$B$33:$B$34</c:f>
              <c:strCache>
                <c:ptCount val="2"/>
                <c:pt idx="0">
                  <c:v>Comercio al por mayor</c:v>
                </c:pt>
                <c:pt idx="1">
                  <c:v>Comercio al por menor</c:v>
                </c:pt>
              </c:strCache>
            </c:strRef>
          </c:cat>
          <c:val>
            <c:numRef>
              <c:f>Cuadro_12!$C$33:$C$34</c:f>
              <c:numCache>
                <c:formatCode>0.0%</c:formatCode>
                <c:ptCount val="2"/>
                <c:pt idx="0">
                  <c:v>0.30415825986926753</c:v>
                </c:pt>
                <c:pt idx="1">
                  <c:v>0.1027317056025966</c:v>
                </c:pt>
              </c:numCache>
            </c:numRef>
          </c:val>
          <c:extLst>
            <c:ext xmlns:c16="http://schemas.microsoft.com/office/drawing/2014/chart" uri="{C3380CC4-5D6E-409C-BE32-E72D297353CC}">
              <c16:uniqueId val="{00000000-0559-46B8-B012-C14363618D73}"/>
            </c:ext>
          </c:extLst>
        </c:ser>
        <c:ser>
          <c:idx val="1"/>
          <c:order val="1"/>
          <c:tx>
            <c:strRef>
              <c:f>Cuadro_12!$D$32</c:f>
              <c:strCache>
                <c:ptCount val="1"/>
                <c:pt idx="0">
                  <c:v>Bienes inmuebles</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FFFF0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Cuadro_12!$B$33:$B$34</c:f>
              <c:strCache>
                <c:ptCount val="2"/>
                <c:pt idx="0">
                  <c:v>Comercio al por mayor</c:v>
                </c:pt>
                <c:pt idx="1">
                  <c:v>Comercio al por menor</c:v>
                </c:pt>
              </c:strCache>
            </c:strRef>
          </c:cat>
          <c:val>
            <c:numRef>
              <c:f>Cuadro_12!$D$33:$D$34</c:f>
              <c:numCache>
                <c:formatCode>0.0%</c:formatCode>
                <c:ptCount val="2"/>
                <c:pt idx="0">
                  <c:v>0.31159024495913779</c:v>
                </c:pt>
                <c:pt idx="1">
                  <c:v>0.52007144286234219</c:v>
                </c:pt>
              </c:numCache>
            </c:numRef>
          </c:val>
          <c:extLst>
            <c:ext xmlns:c16="http://schemas.microsoft.com/office/drawing/2014/chart" uri="{C3380CC4-5D6E-409C-BE32-E72D297353CC}">
              <c16:uniqueId val="{00000001-0559-46B8-B012-C14363618D73}"/>
            </c:ext>
          </c:extLst>
        </c:ser>
        <c:ser>
          <c:idx val="2"/>
          <c:order val="2"/>
          <c:tx>
            <c:strRef>
              <c:f>Cuadro_12!$E$32</c:f>
              <c:strCache>
                <c:ptCount val="1"/>
                <c:pt idx="0">
                  <c:v>Unidades y equipo de transporte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C0C0C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Cuadro_12!$B$33:$B$34</c:f>
              <c:strCache>
                <c:ptCount val="2"/>
                <c:pt idx="0">
                  <c:v>Comercio al por mayor</c:v>
                </c:pt>
                <c:pt idx="1">
                  <c:v>Comercio al por menor</c:v>
                </c:pt>
              </c:strCache>
            </c:strRef>
          </c:cat>
          <c:val>
            <c:numRef>
              <c:f>Cuadro_12!$E$33:$E$34</c:f>
              <c:numCache>
                <c:formatCode>0.0%</c:formatCode>
                <c:ptCount val="2"/>
                <c:pt idx="0">
                  <c:v>0.20868915486094372</c:v>
                </c:pt>
                <c:pt idx="1">
                  <c:v>0.13565933099477842</c:v>
                </c:pt>
              </c:numCache>
            </c:numRef>
          </c:val>
          <c:extLst>
            <c:ext xmlns:c16="http://schemas.microsoft.com/office/drawing/2014/chart" uri="{C3380CC4-5D6E-409C-BE32-E72D297353CC}">
              <c16:uniqueId val="{00000002-0559-46B8-B012-C14363618D73}"/>
            </c:ext>
          </c:extLst>
        </c:ser>
        <c:ser>
          <c:idx val="3"/>
          <c:order val="3"/>
          <c:tx>
            <c:strRef>
              <c:f>Cuadro_12!$F$32</c:f>
              <c:strCache>
                <c:ptCount val="1"/>
                <c:pt idx="0">
                  <c:v>Equipo de cómputo y periféricos</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Cuadro_12!$B$33:$B$34</c:f>
              <c:strCache>
                <c:ptCount val="2"/>
                <c:pt idx="0">
                  <c:v>Comercio al por mayor</c:v>
                </c:pt>
                <c:pt idx="1">
                  <c:v>Comercio al por menor</c:v>
                </c:pt>
              </c:strCache>
            </c:strRef>
          </c:cat>
          <c:val>
            <c:numRef>
              <c:f>Cuadro_12!$F$33:$F$34</c:f>
              <c:numCache>
                <c:formatCode>0.0%</c:formatCode>
                <c:ptCount val="2"/>
                <c:pt idx="0">
                  <c:v>7.4293761612589049E-2</c:v>
                </c:pt>
                <c:pt idx="1">
                  <c:v>6.9013097746776553E-2</c:v>
                </c:pt>
              </c:numCache>
            </c:numRef>
          </c:val>
          <c:extLst>
            <c:ext xmlns:c16="http://schemas.microsoft.com/office/drawing/2014/chart" uri="{C3380CC4-5D6E-409C-BE32-E72D297353CC}">
              <c16:uniqueId val="{00000003-0559-46B8-B012-C14363618D73}"/>
            </c:ext>
          </c:extLst>
        </c:ser>
        <c:ser>
          <c:idx val="4"/>
          <c:order val="4"/>
          <c:tx>
            <c:strRef>
              <c:f>Cuadro_12!$G$32</c:f>
              <c:strCache>
                <c:ptCount val="1"/>
                <c:pt idx="0">
                  <c:v>Mobiliario, equipo de oficina y otros activos fijos</c:v>
                </c:pt>
              </c:strCache>
            </c:strRef>
          </c:tx>
          <c:spPr>
            <a:solidFill>
              <a:schemeClr val="accent5">
                <a:tint val="5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Cuadro_12!$B$33:$B$34</c:f>
              <c:strCache>
                <c:ptCount val="2"/>
                <c:pt idx="0">
                  <c:v>Comercio al por mayor</c:v>
                </c:pt>
                <c:pt idx="1">
                  <c:v>Comercio al por menor</c:v>
                </c:pt>
              </c:strCache>
            </c:strRef>
          </c:cat>
          <c:val>
            <c:numRef>
              <c:f>Cuadro_12!$G$33:$G$34</c:f>
              <c:numCache>
                <c:formatCode>0.0%</c:formatCode>
                <c:ptCount val="2"/>
                <c:pt idx="0">
                  <c:v>0.10126857869806194</c:v>
                </c:pt>
                <c:pt idx="1">
                  <c:v>0.17252446387989234</c:v>
                </c:pt>
              </c:numCache>
            </c:numRef>
          </c:val>
          <c:extLst>
            <c:ext xmlns:c16="http://schemas.microsoft.com/office/drawing/2014/chart" uri="{C3380CC4-5D6E-409C-BE32-E72D297353CC}">
              <c16:uniqueId val="{00000004-0559-46B8-B012-C14363618D73}"/>
            </c:ext>
          </c:extLst>
        </c:ser>
        <c:dLbls>
          <c:showLegendKey val="0"/>
          <c:showVal val="0"/>
          <c:showCatName val="0"/>
          <c:showSerName val="0"/>
          <c:showPercent val="0"/>
          <c:showBubbleSize val="0"/>
        </c:dLbls>
        <c:gapWidth val="100"/>
        <c:overlap val="100"/>
        <c:axId val="723874271"/>
        <c:axId val="723874687"/>
      </c:barChart>
      <c:catAx>
        <c:axId val="7238742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723874687"/>
        <c:crosses val="autoZero"/>
        <c:auto val="1"/>
        <c:lblAlgn val="ctr"/>
        <c:lblOffset val="100"/>
        <c:noMultiLvlLbl val="0"/>
      </c:catAx>
      <c:valAx>
        <c:axId val="723874687"/>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723874271"/>
        <c:crosses val="autoZero"/>
        <c:crossBetween val="between"/>
      </c:valAx>
      <c:spPr>
        <a:noFill/>
        <a:ln>
          <a:noFill/>
        </a:ln>
        <a:effectLst/>
      </c:spPr>
    </c:plotArea>
    <c:legend>
      <c:legendPos val="r"/>
      <c:layout>
        <c:manualLayout>
          <c:xMode val="edge"/>
          <c:yMode val="edge"/>
          <c:x val="0.6270742592592593"/>
          <c:y val="0.26138353805533238"/>
          <c:w val="0.35881462962962957"/>
          <c:h val="0.5783155397390273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Distribución porcentual de las ventas netas de mercancías por sector, según tipo de cliente 2020</a:t>
            </a:r>
          </a:p>
        </c:rich>
      </c:tx>
      <c:layout>
        <c:manualLayout>
          <c:xMode val="edge"/>
          <c:yMode val="edge"/>
          <c:x val="0.15755606404779787"/>
          <c:y val="0"/>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7.9888802562504579E-2"/>
          <c:y val="0.21759577737457569"/>
          <c:w val="0.56070807801970768"/>
          <c:h val="0.682927015600448"/>
        </c:manualLayout>
      </c:layout>
      <c:barChart>
        <c:barDir val="col"/>
        <c:grouping val="stacked"/>
        <c:varyColors val="0"/>
        <c:ser>
          <c:idx val="0"/>
          <c:order val="0"/>
          <c:tx>
            <c:strRef>
              <c:f>Cuadro_16!$D$32</c:f>
              <c:strCache>
                <c:ptCount val="1"/>
                <c:pt idx="0">
                  <c:v>Otros clientes</c:v>
                </c:pt>
              </c:strCache>
            </c:strRef>
          </c:tx>
          <c:spPr>
            <a:solidFill>
              <a:schemeClr val="accent5">
                <a:shade val="50000"/>
              </a:schemeClr>
            </a:solidFill>
            <a:ln>
              <a:noFill/>
            </a:ln>
            <a:effectLst/>
          </c:spPr>
          <c:invertIfNegative val="0"/>
          <c:dLbls>
            <c:dLbl>
              <c:idx val="0"/>
              <c:layout>
                <c:manualLayout>
                  <c:x val="0"/>
                  <c:y val="-1.058333333333333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02-43B8-AD24-3525B1F84AED}"/>
                </c:ext>
              </c:extLst>
            </c:dLbl>
            <c:dLbl>
              <c:idx val="1"/>
              <c:layout>
                <c:manualLayout>
                  <c:x val="0"/>
                  <c:y val="-1.411111111111111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02-43B8-AD24-3525B1F84A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FFFF0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Cuadro_16!$C$33:$C$34</c:f>
              <c:strCache>
                <c:ptCount val="2"/>
                <c:pt idx="0">
                  <c:v>Comercio al por mayor</c:v>
                </c:pt>
                <c:pt idx="1">
                  <c:v>Comercio al por menor</c:v>
                </c:pt>
              </c:strCache>
            </c:strRef>
          </c:cat>
          <c:val>
            <c:numRef>
              <c:f>Cuadro_16!$D$33:$D$34</c:f>
              <c:numCache>
                <c:formatCode>0.0%</c:formatCode>
                <c:ptCount val="2"/>
                <c:pt idx="0">
                  <c:v>2.3E-2</c:v>
                </c:pt>
                <c:pt idx="1">
                  <c:v>8.0000000000000002E-3</c:v>
                </c:pt>
              </c:numCache>
            </c:numRef>
          </c:val>
          <c:extLst>
            <c:ext xmlns:c16="http://schemas.microsoft.com/office/drawing/2014/chart" uri="{C3380CC4-5D6E-409C-BE32-E72D297353CC}">
              <c16:uniqueId val="{00000002-0102-43B8-AD24-3525B1F84AED}"/>
            </c:ext>
          </c:extLst>
        </c:ser>
        <c:ser>
          <c:idx val="1"/>
          <c:order val="1"/>
          <c:tx>
            <c:strRef>
              <c:f>Cuadro_16!$E$32</c:f>
              <c:strCache>
                <c:ptCount val="1"/>
                <c:pt idx="0">
                  <c:v>Consumidores finales</c:v>
                </c:pt>
              </c:strCache>
            </c:strRef>
          </c:tx>
          <c:spPr>
            <a:solidFill>
              <a:schemeClr val="accent5">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00FFFF"/>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Cuadro_16!$C$33:$C$34</c:f>
              <c:strCache>
                <c:ptCount val="2"/>
                <c:pt idx="0">
                  <c:v>Comercio al por mayor</c:v>
                </c:pt>
                <c:pt idx="1">
                  <c:v>Comercio al por menor</c:v>
                </c:pt>
              </c:strCache>
            </c:strRef>
          </c:cat>
          <c:val>
            <c:numRef>
              <c:f>Cuadro_16!$E$33:$E$34</c:f>
              <c:numCache>
                <c:formatCode>0.0%</c:formatCode>
                <c:ptCount val="2"/>
                <c:pt idx="0">
                  <c:v>0.11599999999999999</c:v>
                </c:pt>
                <c:pt idx="1">
                  <c:v>0.55899999999999994</c:v>
                </c:pt>
              </c:numCache>
            </c:numRef>
          </c:val>
          <c:extLst>
            <c:ext xmlns:c16="http://schemas.microsoft.com/office/drawing/2014/chart" uri="{C3380CC4-5D6E-409C-BE32-E72D297353CC}">
              <c16:uniqueId val="{00000003-0102-43B8-AD24-3525B1F84AED}"/>
            </c:ext>
          </c:extLst>
        </c:ser>
        <c:ser>
          <c:idx val="2"/>
          <c:order val="2"/>
          <c:tx>
            <c:strRef>
              <c:f>Cuadro_16!$F$32</c:f>
              <c:strCache>
                <c:ptCount val="1"/>
                <c:pt idx="0">
                  <c:v>Comercios al por menor</c:v>
                </c:pt>
              </c:strCache>
            </c:strRef>
          </c:tx>
          <c:spPr>
            <a:solidFill>
              <a:schemeClr val="accent5">
                <a:shade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00FF0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Cuadro_16!$C$33:$C$34</c:f>
              <c:strCache>
                <c:ptCount val="2"/>
                <c:pt idx="0">
                  <c:v>Comercio al por mayor</c:v>
                </c:pt>
                <c:pt idx="1">
                  <c:v>Comercio al por menor</c:v>
                </c:pt>
              </c:strCache>
            </c:strRef>
          </c:cat>
          <c:val>
            <c:numRef>
              <c:f>Cuadro_16!$F$33:$F$34</c:f>
              <c:numCache>
                <c:formatCode>0.0%</c:formatCode>
                <c:ptCount val="2"/>
                <c:pt idx="0">
                  <c:v>0.184</c:v>
                </c:pt>
                <c:pt idx="1">
                  <c:v>0.18899999999999997</c:v>
                </c:pt>
              </c:numCache>
            </c:numRef>
          </c:val>
          <c:extLst>
            <c:ext xmlns:c16="http://schemas.microsoft.com/office/drawing/2014/chart" uri="{C3380CC4-5D6E-409C-BE32-E72D297353CC}">
              <c16:uniqueId val="{00000004-0102-43B8-AD24-3525B1F84AED}"/>
            </c:ext>
          </c:extLst>
        </c:ser>
        <c:ser>
          <c:idx val="3"/>
          <c:order val="3"/>
          <c:tx>
            <c:strRef>
              <c:f>Cuadro_16!$G$32</c:f>
              <c:strCache>
                <c:ptCount val="1"/>
                <c:pt idx="0">
                  <c:v>Comercios al por mayor</c:v>
                </c:pt>
              </c:strCache>
            </c:strRef>
          </c:tx>
          <c:spPr>
            <a:solidFill>
              <a:schemeClr val="accent5">
                <a:tint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C0C0C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Cuadro_16!$C$33:$C$34</c:f>
              <c:strCache>
                <c:ptCount val="2"/>
                <c:pt idx="0">
                  <c:v>Comercio al por mayor</c:v>
                </c:pt>
                <c:pt idx="1">
                  <c:v>Comercio al por menor</c:v>
                </c:pt>
              </c:strCache>
            </c:strRef>
          </c:cat>
          <c:val>
            <c:numRef>
              <c:f>Cuadro_16!$G$33:$G$34</c:f>
              <c:numCache>
                <c:formatCode>0.0%</c:formatCode>
                <c:ptCount val="2"/>
                <c:pt idx="0">
                  <c:v>0.45899999999999996</c:v>
                </c:pt>
                <c:pt idx="1">
                  <c:v>0.17699999999999999</c:v>
                </c:pt>
              </c:numCache>
            </c:numRef>
          </c:val>
          <c:extLst>
            <c:ext xmlns:c16="http://schemas.microsoft.com/office/drawing/2014/chart" uri="{C3380CC4-5D6E-409C-BE32-E72D297353CC}">
              <c16:uniqueId val="{00000005-0102-43B8-AD24-3525B1F84AED}"/>
            </c:ext>
          </c:extLst>
        </c:ser>
        <c:ser>
          <c:idx val="4"/>
          <c:order val="4"/>
          <c:tx>
            <c:strRef>
              <c:f>Cuadro_16!$H$32</c:f>
              <c:strCache>
                <c:ptCount val="1"/>
                <c:pt idx="0">
                  <c:v>Prestadores de servicios</c:v>
                </c:pt>
              </c:strCache>
            </c:strRef>
          </c:tx>
          <c:spPr>
            <a:solidFill>
              <a:schemeClr val="accent5">
                <a:tint val="70000"/>
              </a:schemeClr>
            </a:solidFill>
            <a:ln>
              <a:noFill/>
            </a:ln>
            <a:effectLst/>
          </c:spPr>
          <c:invertIfNegative val="0"/>
          <c:dLbls>
            <c:dLbl>
              <c:idx val="1"/>
              <c:layout>
                <c:manualLayout>
                  <c:x val="0"/>
                  <c:y val="1.05833333333333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02-43B8-AD24-3525B1F84A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Cuadro_16!$C$33:$C$34</c:f>
              <c:strCache>
                <c:ptCount val="2"/>
                <c:pt idx="0">
                  <c:v>Comercio al por mayor</c:v>
                </c:pt>
                <c:pt idx="1">
                  <c:v>Comercio al por menor</c:v>
                </c:pt>
              </c:strCache>
            </c:strRef>
          </c:cat>
          <c:val>
            <c:numRef>
              <c:f>Cuadro_16!$H$33:$H$34</c:f>
              <c:numCache>
                <c:formatCode>0.0%</c:formatCode>
                <c:ptCount val="2"/>
                <c:pt idx="0">
                  <c:v>5.4000000000000006E-2</c:v>
                </c:pt>
                <c:pt idx="1">
                  <c:v>2.7000000000000003E-2</c:v>
                </c:pt>
              </c:numCache>
            </c:numRef>
          </c:val>
          <c:extLst>
            <c:ext xmlns:c16="http://schemas.microsoft.com/office/drawing/2014/chart" uri="{C3380CC4-5D6E-409C-BE32-E72D297353CC}">
              <c16:uniqueId val="{00000007-0102-43B8-AD24-3525B1F84AED}"/>
            </c:ext>
          </c:extLst>
        </c:ser>
        <c:ser>
          <c:idx val="5"/>
          <c:order val="5"/>
          <c:tx>
            <c:strRef>
              <c:f>Cuadro_16!$I$32</c:f>
              <c:strCache>
                <c:ptCount val="1"/>
                <c:pt idx="0">
                  <c:v>Productores industriales y agropecuarios</c:v>
                </c:pt>
              </c:strCache>
            </c:strRef>
          </c:tx>
          <c:spPr>
            <a:solidFill>
              <a:schemeClr val="accent5">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Cuadro_16!$C$33:$C$34</c:f>
              <c:strCache>
                <c:ptCount val="2"/>
                <c:pt idx="0">
                  <c:v>Comercio al por mayor</c:v>
                </c:pt>
                <c:pt idx="1">
                  <c:v>Comercio al por menor</c:v>
                </c:pt>
              </c:strCache>
            </c:strRef>
          </c:cat>
          <c:val>
            <c:numRef>
              <c:f>Cuadro_16!$I$33:$I$34</c:f>
              <c:numCache>
                <c:formatCode>0.0%</c:formatCode>
                <c:ptCount val="2"/>
                <c:pt idx="0">
                  <c:v>0.16500000000000001</c:v>
                </c:pt>
                <c:pt idx="1">
                  <c:v>0.04</c:v>
                </c:pt>
              </c:numCache>
            </c:numRef>
          </c:val>
          <c:extLst>
            <c:ext xmlns:c16="http://schemas.microsoft.com/office/drawing/2014/chart" uri="{C3380CC4-5D6E-409C-BE32-E72D297353CC}">
              <c16:uniqueId val="{00000008-0102-43B8-AD24-3525B1F84AED}"/>
            </c:ext>
          </c:extLst>
        </c:ser>
        <c:dLbls>
          <c:dLblPos val="ctr"/>
          <c:showLegendKey val="0"/>
          <c:showVal val="1"/>
          <c:showCatName val="0"/>
          <c:showSerName val="0"/>
          <c:showPercent val="0"/>
          <c:showBubbleSize val="0"/>
        </c:dLbls>
        <c:gapWidth val="55"/>
        <c:overlap val="100"/>
        <c:axId val="876655679"/>
        <c:axId val="876656511"/>
      </c:barChart>
      <c:catAx>
        <c:axId val="87665567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876656511"/>
        <c:crosses val="autoZero"/>
        <c:auto val="1"/>
        <c:lblAlgn val="ctr"/>
        <c:lblOffset val="100"/>
        <c:noMultiLvlLbl val="0"/>
      </c:catAx>
      <c:valAx>
        <c:axId val="876656511"/>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876655679"/>
        <c:crosses val="autoZero"/>
        <c:crossBetween val="between"/>
      </c:valAx>
      <c:spPr>
        <a:noFill/>
        <a:ln>
          <a:noFill/>
        </a:ln>
        <a:effectLst/>
      </c:spPr>
    </c:plotArea>
    <c:legend>
      <c:legendPos val="r"/>
      <c:layout>
        <c:manualLayout>
          <c:xMode val="edge"/>
          <c:yMode val="edge"/>
          <c:x val="0.67130481481481485"/>
          <c:y val="0.26043749999999999"/>
          <c:w val="0.29576925925925923"/>
          <c:h val="0.638510000000000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Distribución porcentual del lugar en el que realiza la actividad comercial por sector, 2020</a:t>
            </a:r>
            <a:endParaRPr lang="es-MX"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stacked"/>
        <c:varyColors val="0"/>
        <c:ser>
          <c:idx val="0"/>
          <c:order val="0"/>
          <c:tx>
            <c:strRef>
              <c:f>Cuadro_17!$D$32</c:f>
              <c:strCache>
                <c:ptCount val="1"/>
                <c:pt idx="0">
                  <c:v>Otros</c:v>
                </c:pt>
              </c:strCache>
            </c:strRef>
          </c:tx>
          <c:spPr>
            <a:solidFill>
              <a:schemeClr val="accent5">
                <a:shade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FFFF0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Cuadro_17!$C$33:$C$34</c:f>
              <c:strCache>
                <c:ptCount val="2"/>
                <c:pt idx="0">
                  <c:v>Comercio al por mayor</c:v>
                </c:pt>
                <c:pt idx="1">
                  <c:v>Comercio al por menor</c:v>
                </c:pt>
              </c:strCache>
            </c:strRef>
          </c:cat>
          <c:val>
            <c:numRef>
              <c:f>Cuadro_17!$D$33:$D$34</c:f>
              <c:numCache>
                <c:formatCode>0.0%</c:formatCode>
                <c:ptCount val="2"/>
                <c:pt idx="0">
                  <c:v>7.0999999999999994E-2</c:v>
                </c:pt>
                <c:pt idx="1">
                  <c:v>8.6999999999999994E-2</c:v>
                </c:pt>
              </c:numCache>
            </c:numRef>
          </c:val>
          <c:extLst>
            <c:ext xmlns:c16="http://schemas.microsoft.com/office/drawing/2014/chart" uri="{C3380CC4-5D6E-409C-BE32-E72D297353CC}">
              <c16:uniqueId val="{00000000-8FF6-4632-AD1E-987BF9D71FE3}"/>
            </c:ext>
          </c:extLst>
        </c:ser>
        <c:ser>
          <c:idx val="1"/>
          <c:order val="1"/>
          <c:tx>
            <c:strRef>
              <c:f>Cuadro_17!$E$32</c:f>
              <c:strCache>
                <c:ptCount val="1"/>
                <c:pt idx="0">
                  <c:v>Por telecomunicaciones</c:v>
                </c:pt>
              </c:strCache>
            </c:strRef>
          </c:tx>
          <c:spPr>
            <a:solidFill>
              <a:schemeClr val="accent5">
                <a:shade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00FF0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Cuadro_17!$C$33:$C$34</c:f>
              <c:strCache>
                <c:ptCount val="2"/>
                <c:pt idx="0">
                  <c:v>Comercio al por mayor</c:v>
                </c:pt>
                <c:pt idx="1">
                  <c:v>Comercio al por menor</c:v>
                </c:pt>
              </c:strCache>
            </c:strRef>
          </c:cat>
          <c:val>
            <c:numRef>
              <c:f>Cuadro_17!$E$33:$E$34</c:f>
              <c:numCache>
                <c:formatCode>0.0%</c:formatCode>
                <c:ptCount val="2"/>
                <c:pt idx="0">
                  <c:v>5.2000000000000005E-2</c:v>
                </c:pt>
                <c:pt idx="1">
                  <c:v>1.3000000000000001E-2</c:v>
                </c:pt>
              </c:numCache>
            </c:numRef>
          </c:val>
          <c:extLst>
            <c:ext xmlns:c16="http://schemas.microsoft.com/office/drawing/2014/chart" uri="{C3380CC4-5D6E-409C-BE32-E72D297353CC}">
              <c16:uniqueId val="{00000001-8FF6-4632-AD1E-987BF9D71FE3}"/>
            </c:ext>
          </c:extLst>
        </c:ser>
        <c:ser>
          <c:idx val="2"/>
          <c:order val="2"/>
          <c:tx>
            <c:strRef>
              <c:f>Cuadro_17!$F$32</c:f>
              <c:strCache>
                <c:ptCount val="1"/>
                <c:pt idx="0">
                  <c:v>Ventas de bodega, almacén o depósito</c:v>
                </c:pt>
              </c:strCache>
            </c:strRef>
          </c:tx>
          <c:spPr>
            <a:solidFill>
              <a:schemeClr val="accent5">
                <a:shade val="90000"/>
              </a:schemeClr>
            </a:solidFill>
            <a:ln>
              <a:noFill/>
            </a:ln>
            <a:effectLst/>
          </c:spPr>
          <c:invertIfNegative val="0"/>
          <c:dLbls>
            <c:dLbl>
              <c:idx val="1"/>
              <c:layout>
                <c:manualLayout>
                  <c:x val="-8.6233571723655416E-17"/>
                  <c:y val="-2.116666666666666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F6-4632-AD1E-987BF9D71F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C0C0C0"/>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Cuadro_17!$C$33:$C$34</c:f>
              <c:strCache>
                <c:ptCount val="2"/>
                <c:pt idx="0">
                  <c:v>Comercio al por mayor</c:v>
                </c:pt>
                <c:pt idx="1">
                  <c:v>Comercio al por menor</c:v>
                </c:pt>
              </c:strCache>
            </c:strRef>
          </c:cat>
          <c:val>
            <c:numRef>
              <c:f>Cuadro_17!$F$33:$F$34</c:f>
              <c:numCache>
                <c:formatCode>0.0%</c:formatCode>
                <c:ptCount val="2"/>
                <c:pt idx="0">
                  <c:v>0.25600000000000001</c:v>
                </c:pt>
                <c:pt idx="1">
                  <c:v>4.2000000000000003E-2</c:v>
                </c:pt>
              </c:numCache>
            </c:numRef>
          </c:val>
          <c:extLst>
            <c:ext xmlns:c16="http://schemas.microsoft.com/office/drawing/2014/chart" uri="{C3380CC4-5D6E-409C-BE32-E72D297353CC}">
              <c16:uniqueId val="{00000003-8FF6-4632-AD1E-987BF9D71FE3}"/>
            </c:ext>
          </c:extLst>
        </c:ser>
        <c:ser>
          <c:idx val="3"/>
          <c:order val="3"/>
          <c:tx>
            <c:strRef>
              <c:f>Cuadro_17!$G$32</c:f>
              <c:strCache>
                <c:ptCount val="1"/>
                <c:pt idx="0">
                  <c:v>Oficina de ventas</c:v>
                </c:pt>
              </c:strCache>
            </c:strRef>
          </c:tx>
          <c:spPr>
            <a:solidFill>
              <a:schemeClr val="accent5">
                <a:tint val="90000"/>
              </a:schemeClr>
            </a:solidFill>
            <a:ln>
              <a:noFill/>
            </a:ln>
            <a:effectLst/>
          </c:spPr>
          <c:invertIfNegative val="0"/>
          <c:dLbls>
            <c:dLbl>
              <c:idx val="1"/>
              <c:layout>
                <c:manualLayout>
                  <c:x val="-8.6233571723655416E-17"/>
                  <c:y val="-1.411111111111124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F6-4632-AD1E-987BF9D71F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highlight>
                      <a:srgbClr val="00FFFF"/>
                    </a:highlight>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Cuadro_17!$C$33:$C$34</c:f>
              <c:strCache>
                <c:ptCount val="2"/>
                <c:pt idx="0">
                  <c:v>Comercio al por mayor</c:v>
                </c:pt>
                <c:pt idx="1">
                  <c:v>Comercio al por menor</c:v>
                </c:pt>
              </c:strCache>
            </c:strRef>
          </c:cat>
          <c:val>
            <c:numRef>
              <c:f>Cuadro_17!$G$33:$G$34</c:f>
              <c:numCache>
                <c:formatCode>0.0%</c:formatCode>
                <c:ptCount val="2"/>
                <c:pt idx="0">
                  <c:v>0.22399999999999998</c:v>
                </c:pt>
                <c:pt idx="1">
                  <c:v>5.7999999999999996E-2</c:v>
                </c:pt>
              </c:numCache>
            </c:numRef>
          </c:val>
          <c:extLst>
            <c:ext xmlns:c16="http://schemas.microsoft.com/office/drawing/2014/chart" uri="{C3380CC4-5D6E-409C-BE32-E72D297353CC}">
              <c16:uniqueId val="{00000005-8FF6-4632-AD1E-987BF9D71FE3}"/>
            </c:ext>
          </c:extLst>
        </c:ser>
        <c:ser>
          <c:idx val="4"/>
          <c:order val="4"/>
          <c:tx>
            <c:strRef>
              <c:f>Cuadro_17!$H$32</c:f>
              <c:strCache>
                <c:ptCount val="1"/>
                <c:pt idx="0">
                  <c:v>Tienda con atención personal del vendedor en el mostrador</c:v>
                </c:pt>
              </c:strCache>
            </c:strRef>
          </c:tx>
          <c:spPr>
            <a:solidFill>
              <a:schemeClr val="accent5">
                <a:tint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Cuadro_17!$C$33:$C$34</c:f>
              <c:strCache>
                <c:ptCount val="2"/>
                <c:pt idx="0">
                  <c:v>Comercio al por mayor</c:v>
                </c:pt>
                <c:pt idx="1">
                  <c:v>Comercio al por menor</c:v>
                </c:pt>
              </c:strCache>
            </c:strRef>
          </c:cat>
          <c:val>
            <c:numRef>
              <c:f>Cuadro_17!$H$33:$H$34</c:f>
              <c:numCache>
                <c:formatCode>0.0%</c:formatCode>
                <c:ptCount val="2"/>
                <c:pt idx="0">
                  <c:v>0.23800000000000002</c:v>
                </c:pt>
                <c:pt idx="1">
                  <c:v>0.33100000000000002</c:v>
                </c:pt>
              </c:numCache>
            </c:numRef>
          </c:val>
          <c:extLst>
            <c:ext xmlns:c16="http://schemas.microsoft.com/office/drawing/2014/chart" uri="{C3380CC4-5D6E-409C-BE32-E72D297353CC}">
              <c16:uniqueId val="{00000006-8FF6-4632-AD1E-987BF9D71FE3}"/>
            </c:ext>
          </c:extLst>
        </c:ser>
        <c:ser>
          <c:idx val="5"/>
          <c:order val="5"/>
          <c:tx>
            <c:strRef>
              <c:f>Cuadro_17!$I$32</c:f>
              <c:strCache>
                <c:ptCount val="1"/>
                <c:pt idx="0">
                  <c:v>Tienda con acceso del público a las mercancías</c:v>
                </c:pt>
              </c:strCache>
            </c:strRef>
          </c:tx>
          <c:spPr>
            <a:solidFill>
              <a:schemeClr val="accent5">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Cuadro_17!$C$33:$C$34</c:f>
              <c:strCache>
                <c:ptCount val="2"/>
                <c:pt idx="0">
                  <c:v>Comercio al por mayor</c:v>
                </c:pt>
                <c:pt idx="1">
                  <c:v>Comercio al por menor</c:v>
                </c:pt>
              </c:strCache>
            </c:strRef>
          </c:cat>
          <c:val>
            <c:numRef>
              <c:f>Cuadro_17!$I$33:$I$34</c:f>
              <c:numCache>
                <c:formatCode>0.0%</c:formatCode>
                <c:ptCount val="2"/>
                <c:pt idx="0">
                  <c:v>0.16</c:v>
                </c:pt>
                <c:pt idx="1">
                  <c:v>0.47</c:v>
                </c:pt>
              </c:numCache>
            </c:numRef>
          </c:val>
          <c:extLst>
            <c:ext xmlns:c16="http://schemas.microsoft.com/office/drawing/2014/chart" uri="{C3380CC4-5D6E-409C-BE32-E72D297353CC}">
              <c16:uniqueId val="{00000007-8FF6-4632-AD1E-987BF9D71FE3}"/>
            </c:ext>
          </c:extLst>
        </c:ser>
        <c:dLbls>
          <c:dLblPos val="ctr"/>
          <c:showLegendKey val="0"/>
          <c:showVal val="1"/>
          <c:showCatName val="0"/>
          <c:showSerName val="0"/>
          <c:showPercent val="0"/>
          <c:showBubbleSize val="0"/>
        </c:dLbls>
        <c:gapWidth val="55"/>
        <c:overlap val="100"/>
        <c:axId val="945475711"/>
        <c:axId val="945474047"/>
      </c:barChart>
      <c:catAx>
        <c:axId val="94547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945474047"/>
        <c:crosses val="autoZero"/>
        <c:auto val="1"/>
        <c:lblAlgn val="ctr"/>
        <c:lblOffset val="100"/>
        <c:noMultiLvlLbl val="0"/>
      </c:catAx>
      <c:valAx>
        <c:axId val="945474047"/>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945475711"/>
        <c:crosses val="autoZero"/>
        <c:crossBetween val="between"/>
      </c:valAx>
      <c:spPr>
        <a:noFill/>
        <a:ln>
          <a:noFill/>
        </a:ln>
        <a:effectLst/>
      </c:spPr>
    </c:plotArea>
    <c:legend>
      <c:legendPos val="r"/>
      <c:layout>
        <c:manualLayout>
          <c:xMode val="edge"/>
          <c:yMode val="edge"/>
          <c:x val="0.62903703703703706"/>
          <c:y val="0.22868749999999999"/>
          <c:w val="0.34038888888888891"/>
          <c:h val="0.670259999999999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Distribución porcentual de medios de comercialización por sector, según medios de comercialización 2020 </a:t>
            </a:r>
            <a:endParaRPr lang="es-MX" sz="1400">
              <a:effectLst/>
            </a:endParaRPr>
          </a:p>
        </c:rich>
      </c:tx>
      <c:layout>
        <c:manualLayout>
          <c:xMode val="edge"/>
          <c:yMode val="edge"/>
          <c:x val="0.1184564498346196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14339042790544235"/>
          <c:y val="0.18023401626666816"/>
          <c:w val="0.55606703703703708"/>
          <c:h val="0.81790852360815514"/>
        </c:manualLayout>
      </c:layout>
      <c:barChart>
        <c:barDir val="bar"/>
        <c:grouping val="percentStacked"/>
        <c:varyColors val="0"/>
        <c:ser>
          <c:idx val="0"/>
          <c:order val="0"/>
          <c:tx>
            <c:strRef>
              <c:f>Cuadro_18!$D$32</c:f>
              <c:strCache>
                <c:ptCount val="1"/>
                <c:pt idx="0">
                  <c:v>Otros medios</c:v>
                </c:pt>
              </c:strCache>
            </c:strRef>
          </c:tx>
          <c:spPr>
            <a:solidFill>
              <a:schemeClr val="accent5">
                <a:shade val="50000"/>
              </a:schemeClr>
            </a:solidFill>
            <a:ln>
              <a:noFill/>
            </a:ln>
            <a:effectLst/>
          </c:spPr>
          <c:invertIfNegative val="0"/>
          <c:dLbls>
            <c:dLbl>
              <c:idx val="0"/>
              <c:layout>
                <c:manualLayout>
                  <c:x val="2.1166666666666667E-2"/>
                  <c:y val="3.880555555555555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5A-4CF6-9480-5C74DE5DC764}"/>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extLst>
                <c:ext xmlns:c16="http://schemas.microsoft.com/office/drawing/2014/chart" uri="{C3380CC4-5D6E-409C-BE32-E72D297353CC}">
                  <c16:uniqueId val="{00000000-9105-4473-BD32-36DEE725D6A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Cuadro_18!$C$33:$C$34</c:f>
              <c:strCache>
                <c:ptCount val="2"/>
                <c:pt idx="0">
                  <c:v>Comercio al por menor</c:v>
                </c:pt>
                <c:pt idx="1">
                  <c:v>Comercio al por mayor</c:v>
                </c:pt>
              </c:strCache>
            </c:strRef>
          </c:cat>
          <c:val>
            <c:numRef>
              <c:f>Cuadro_18!$D$33:$D$34</c:f>
              <c:numCache>
                <c:formatCode>0.0%</c:formatCode>
                <c:ptCount val="2"/>
                <c:pt idx="0">
                  <c:v>2.7999999999999997E-2</c:v>
                </c:pt>
                <c:pt idx="1">
                  <c:v>0.21</c:v>
                </c:pt>
              </c:numCache>
            </c:numRef>
          </c:val>
          <c:extLst>
            <c:ext xmlns:c16="http://schemas.microsoft.com/office/drawing/2014/chart" uri="{C3380CC4-5D6E-409C-BE32-E72D297353CC}">
              <c16:uniqueId val="{00000001-435A-4CF6-9480-5C74DE5DC764}"/>
            </c:ext>
          </c:extLst>
        </c:ser>
        <c:ser>
          <c:idx val="1"/>
          <c:order val="1"/>
          <c:tx>
            <c:strRef>
              <c:f>Cuadro_18!$E$32</c:f>
              <c:strCache>
                <c:ptCount val="1"/>
                <c:pt idx="0">
                  <c:v>Otras telecomunicaciones</c:v>
                </c:pt>
              </c:strCache>
            </c:strRef>
          </c:tx>
          <c:spPr>
            <a:solidFill>
              <a:schemeClr val="accent5">
                <a:shade val="70000"/>
              </a:schemeClr>
            </a:solidFill>
            <a:ln>
              <a:noFill/>
            </a:ln>
            <a:effectLst/>
          </c:spPr>
          <c:invertIfNegative val="0"/>
          <c:dLbls>
            <c:dLbl>
              <c:idx val="0"/>
              <c:layout>
                <c:manualLayout>
                  <c:x val="3.2925925925925907E-2"/>
                  <c:y val="-6.4675178792741559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5A-4CF6-9480-5C74DE5DC764}"/>
                </c:ext>
              </c:extLst>
            </c:dLbl>
            <c:dLbl>
              <c:idx val="1"/>
              <c:layout>
                <c:manualLayout>
                  <c:x val="-2.587037037037037E-2"/>
                  <c:y val="-1.2935035758548312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5A-4CF6-9480-5C74DE5DC76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Cuadro_18!$C$33:$C$34</c:f>
              <c:strCache>
                <c:ptCount val="2"/>
                <c:pt idx="0">
                  <c:v>Comercio al por menor</c:v>
                </c:pt>
                <c:pt idx="1">
                  <c:v>Comercio al por mayor</c:v>
                </c:pt>
              </c:strCache>
            </c:strRef>
          </c:cat>
          <c:val>
            <c:numRef>
              <c:f>Cuadro_18!$E$33:$E$34</c:f>
              <c:numCache>
                <c:formatCode>0.0%</c:formatCode>
                <c:ptCount val="2"/>
                <c:pt idx="0">
                  <c:v>1.2E-2</c:v>
                </c:pt>
                <c:pt idx="1">
                  <c:v>2.6000000000000002E-2</c:v>
                </c:pt>
              </c:numCache>
            </c:numRef>
          </c:val>
          <c:extLst>
            <c:ext xmlns:c16="http://schemas.microsoft.com/office/drawing/2014/chart" uri="{C3380CC4-5D6E-409C-BE32-E72D297353CC}">
              <c16:uniqueId val="{00000004-435A-4CF6-9480-5C74DE5DC764}"/>
            </c:ext>
          </c:extLst>
        </c:ser>
        <c:ser>
          <c:idx val="2"/>
          <c:order val="2"/>
          <c:tx>
            <c:strRef>
              <c:f>Cuadro_18!$F$32</c:f>
              <c:strCache>
                <c:ptCount val="1"/>
                <c:pt idx="0">
                  <c:v>Teléfono</c:v>
                </c:pt>
              </c:strCache>
            </c:strRef>
          </c:tx>
          <c:spPr>
            <a:solidFill>
              <a:schemeClr val="accent5">
                <a:shade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Cuadro_18!$C$33:$C$34</c:f>
              <c:strCache>
                <c:ptCount val="2"/>
                <c:pt idx="0">
                  <c:v>Comercio al por menor</c:v>
                </c:pt>
                <c:pt idx="1">
                  <c:v>Comercio al por mayor</c:v>
                </c:pt>
              </c:strCache>
            </c:strRef>
          </c:cat>
          <c:val>
            <c:numRef>
              <c:f>Cuadro_18!$F$33:$F$34</c:f>
              <c:numCache>
                <c:formatCode>0.0%</c:formatCode>
                <c:ptCount val="2"/>
                <c:pt idx="0">
                  <c:v>0.06</c:v>
                </c:pt>
                <c:pt idx="1">
                  <c:v>0.16899999999999998</c:v>
                </c:pt>
              </c:numCache>
            </c:numRef>
          </c:val>
          <c:extLst>
            <c:ext xmlns:c16="http://schemas.microsoft.com/office/drawing/2014/chart" uri="{C3380CC4-5D6E-409C-BE32-E72D297353CC}">
              <c16:uniqueId val="{00000005-435A-4CF6-9480-5C74DE5DC764}"/>
            </c:ext>
          </c:extLst>
        </c:ser>
        <c:ser>
          <c:idx val="3"/>
          <c:order val="3"/>
          <c:tx>
            <c:strRef>
              <c:f>Cuadro_18!$G$32</c:f>
              <c:strCache>
                <c:ptCount val="1"/>
                <c:pt idx="0">
                  <c:v>Internet</c:v>
                </c:pt>
              </c:strCache>
            </c:strRef>
          </c:tx>
          <c:spPr>
            <a:solidFill>
              <a:schemeClr val="accent5">
                <a:tint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Cuadro_18!$C$33:$C$34</c:f>
              <c:strCache>
                <c:ptCount val="2"/>
                <c:pt idx="0">
                  <c:v>Comercio al por menor</c:v>
                </c:pt>
                <c:pt idx="1">
                  <c:v>Comercio al por mayor</c:v>
                </c:pt>
              </c:strCache>
            </c:strRef>
          </c:cat>
          <c:val>
            <c:numRef>
              <c:f>Cuadro_18!$G$33:$G$34</c:f>
              <c:numCache>
                <c:formatCode>0.0%</c:formatCode>
                <c:ptCount val="2"/>
                <c:pt idx="0">
                  <c:v>9.4E-2</c:v>
                </c:pt>
                <c:pt idx="1">
                  <c:v>0.10400000000000001</c:v>
                </c:pt>
              </c:numCache>
            </c:numRef>
          </c:val>
          <c:extLst>
            <c:ext xmlns:c16="http://schemas.microsoft.com/office/drawing/2014/chart" uri="{C3380CC4-5D6E-409C-BE32-E72D297353CC}">
              <c16:uniqueId val="{00000006-435A-4CF6-9480-5C74DE5DC764}"/>
            </c:ext>
          </c:extLst>
        </c:ser>
        <c:ser>
          <c:idx val="4"/>
          <c:order val="4"/>
          <c:tx>
            <c:strRef>
              <c:f>Cuadro_18!$H$32</c:f>
              <c:strCache>
                <c:ptCount val="1"/>
                <c:pt idx="0">
                  <c:v>Catálogo o correo postal</c:v>
                </c:pt>
              </c:strCache>
            </c:strRef>
          </c:tx>
          <c:spPr>
            <a:solidFill>
              <a:schemeClr val="accent5">
                <a:tint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Cuadro_18!$C$33:$C$34</c:f>
              <c:strCache>
                <c:ptCount val="2"/>
                <c:pt idx="0">
                  <c:v>Comercio al por menor</c:v>
                </c:pt>
                <c:pt idx="1">
                  <c:v>Comercio al por mayor</c:v>
                </c:pt>
              </c:strCache>
            </c:strRef>
          </c:cat>
          <c:val>
            <c:numRef>
              <c:f>Cuadro_18!$H$33:$H$34</c:f>
              <c:numCache>
                <c:formatCode>0.0%</c:formatCode>
                <c:ptCount val="2"/>
                <c:pt idx="0">
                  <c:v>2.2000000000000002E-2</c:v>
                </c:pt>
                <c:pt idx="1">
                  <c:v>1.3999999999999999E-2</c:v>
                </c:pt>
              </c:numCache>
            </c:numRef>
          </c:val>
          <c:extLst>
            <c:ext xmlns:c16="http://schemas.microsoft.com/office/drawing/2014/chart" uri="{C3380CC4-5D6E-409C-BE32-E72D297353CC}">
              <c16:uniqueId val="{00000007-435A-4CF6-9480-5C74DE5DC764}"/>
            </c:ext>
          </c:extLst>
        </c:ser>
        <c:ser>
          <c:idx val="5"/>
          <c:order val="5"/>
          <c:tx>
            <c:strRef>
              <c:f>Cuadro_18!$I$32</c:f>
              <c:strCache>
                <c:ptCount val="1"/>
                <c:pt idx="0">
                  <c:v>Venta directa en el establecimiento</c:v>
                </c:pt>
              </c:strCache>
            </c:strRef>
          </c:tx>
          <c:spPr>
            <a:solidFill>
              <a:schemeClr val="accent5">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Cuadro_18!$C$33:$C$34</c:f>
              <c:strCache>
                <c:ptCount val="2"/>
                <c:pt idx="0">
                  <c:v>Comercio al por menor</c:v>
                </c:pt>
                <c:pt idx="1">
                  <c:v>Comercio al por mayor</c:v>
                </c:pt>
              </c:strCache>
            </c:strRef>
          </c:cat>
          <c:val>
            <c:numRef>
              <c:f>Cuadro_18!$I$33:$I$34</c:f>
              <c:numCache>
                <c:formatCode>0.0%</c:formatCode>
                <c:ptCount val="2"/>
                <c:pt idx="0">
                  <c:v>0.77900000000000003</c:v>
                </c:pt>
                <c:pt idx="1">
                  <c:v>0.47799999999999998</c:v>
                </c:pt>
              </c:numCache>
            </c:numRef>
          </c:val>
          <c:extLst>
            <c:ext xmlns:c16="http://schemas.microsoft.com/office/drawing/2014/chart" uri="{C3380CC4-5D6E-409C-BE32-E72D297353CC}">
              <c16:uniqueId val="{00000008-435A-4CF6-9480-5C74DE5DC764}"/>
            </c:ext>
          </c:extLst>
        </c:ser>
        <c:dLbls>
          <c:dLblPos val="ctr"/>
          <c:showLegendKey val="0"/>
          <c:showVal val="1"/>
          <c:showCatName val="0"/>
          <c:showSerName val="0"/>
          <c:showPercent val="0"/>
          <c:showBubbleSize val="0"/>
        </c:dLbls>
        <c:gapWidth val="300"/>
        <c:axId val="636699695"/>
        <c:axId val="636700527"/>
      </c:barChart>
      <c:catAx>
        <c:axId val="636699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MX"/>
          </a:p>
        </c:txPr>
        <c:crossAx val="636700527"/>
        <c:crosses val="autoZero"/>
        <c:auto val="1"/>
        <c:lblAlgn val="ctr"/>
        <c:lblOffset val="100"/>
        <c:noMultiLvlLbl val="0"/>
      </c:catAx>
      <c:valAx>
        <c:axId val="636700527"/>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36699695"/>
        <c:crosses val="autoZero"/>
        <c:crossBetween val="between"/>
      </c:valAx>
      <c:spPr>
        <a:noFill/>
        <a:ln>
          <a:noFill/>
        </a:ln>
        <a:effectLst/>
      </c:spPr>
    </c:plotArea>
    <c:legend>
      <c:legendPos val="r"/>
      <c:layout>
        <c:manualLayout>
          <c:xMode val="edge"/>
          <c:yMode val="edge"/>
          <c:x val="0.70429624356492371"/>
          <c:y val="0.30746521892949691"/>
          <c:w val="0.27924074074074073"/>
          <c:h val="0.607662222222222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MX" b="1"/>
              <a:t>Distribución de personal masculino dependiente de la razón social por nivel de estudio, 2020p</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0.13116125000000001"/>
          <c:y val="0.18491918688406112"/>
          <c:w val="0.82231549887576072"/>
          <c:h val="0.50640165062342013"/>
        </c:manualLayout>
      </c:layout>
      <c:barChart>
        <c:barDir val="bar"/>
        <c:grouping val="stacked"/>
        <c:varyColors val="0"/>
        <c:ser>
          <c:idx val="0"/>
          <c:order val="0"/>
          <c:tx>
            <c:strRef>
              <c:f>Distribución_PO_Niveles!$B$11</c:f>
              <c:strCache>
                <c:ptCount val="1"/>
                <c:pt idx="0">
                  <c:v>Sin instrucción</c:v>
                </c:pt>
              </c:strCache>
            </c:strRef>
          </c:tx>
          <c:spPr>
            <a:solidFill>
              <a:schemeClr val="accent5">
                <a:shade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highlight>
                      <a:srgbClr val="00FFFF"/>
                    </a:highlight>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Distribución_PO_Niveles!$A$12:$A$13</c:f>
              <c:strCache>
                <c:ptCount val="2"/>
                <c:pt idx="0">
                  <c:v>Comercio al por menor</c:v>
                </c:pt>
                <c:pt idx="1">
                  <c:v>Comercio al por mayor</c:v>
                </c:pt>
              </c:strCache>
            </c:strRef>
          </c:cat>
          <c:val>
            <c:numRef>
              <c:f>Distribución_PO_Niveles!$B$12:$B$13</c:f>
              <c:numCache>
                <c:formatCode>0.0%</c:formatCode>
                <c:ptCount val="2"/>
                <c:pt idx="0">
                  <c:v>5.4000000000000006E-2</c:v>
                </c:pt>
                <c:pt idx="1">
                  <c:v>0.11</c:v>
                </c:pt>
              </c:numCache>
            </c:numRef>
          </c:val>
          <c:extLst>
            <c:ext xmlns:c16="http://schemas.microsoft.com/office/drawing/2014/chart" uri="{C3380CC4-5D6E-409C-BE32-E72D297353CC}">
              <c16:uniqueId val="{00000000-1D6C-43FD-95C8-798E28CDE60F}"/>
            </c:ext>
          </c:extLst>
        </c:ser>
        <c:ser>
          <c:idx val="1"/>
          <c:order val="1"/>
          <c:tx>
            <c:strRef>
              <c:f>Distribución_PO_Niveles!$C$11</c:f>
              <c:strCache>
                <c:ptCount val="1"/>
                <c:pt idx="0">
                  <c:v>Educación básica (preescolar, primaria, secundaria, formacion para el trabajo)</c:v>
                </c:pt>
              </c:strCache>
            </c:strRef>
          </c:tx>
          <c:spPr>
            <a:solidFill>
              <a:schemeClr val="accent5">
                <a:shade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Distribución_PO_Niveles!$A$12:$A$13</c:f>
              <c:strCache>
                <c:ptCount val="2"/>
                <c:pt idx="0">
                  <c:v>Comercio al por menor</c:v>
                </c:pt>
                <c:pt idx="1">
                  <c:v>Comercio al por mayor</c:v>
                </c:pt>
              </c:strCache>
            </c:strRef>
          </c:cat>
          <c:val>
            <c:numRef>
              <c:f>Distribución_PO_Niveles!$C$12:$C$13</c:f>
              <c:numCache>
                <c:formatCode>0.0%</c:formatCode>
                <c:ptCount val="2"/>
                <c:pt idx="0">
                  <c:v>0.38400000000000001</c:v>
                </c:pt>
                <c:pt idx="1">
                  <c:v>0.29100000000000004</c:v>
                </c:pt>
              </c:numCache>
            </c:numRef>
          </c:val>
          <c:extLst>
            <c:ext xmlns:c16="http://schemas.microsoft.com/office/drawing/2014/chart" uri="{C3380CC4-5D6E-409C-BE32-E72D297353CC}">
              <c16:uniqueId val="{00000001-1D6C-43FD-95C8-798E28CDE60F}"/>
            </c:ext>
          </c:extLst>
        </c:ser>
        <c:ser>
          <c:idx val="2"/>
          <c:order val="2"/>
          <c:tx>
            <c:strRef>
              <c:f>Distribución_PO_Niveles!$D$11</c:f>
              <c:strCache>
                <c:ptCount val="1"/>
                <c:pt idx="0">
                  <c:v>Educación media superior (bachillerato general, bachillerato bivalente, profesional técnico)</c:v>
                </c:pt>
              </c:strCache>
            </c:strRef>
          </c:tx>
          <c:spPr>
            <a:solidFill>
              <a:schemeClr val="accent5">
                <a:tint val="8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Distribución_PO_Niveles!$A$12:$A$13</c:f>
              <c:strCache>
                <c:ptCount val="2"/>
                <c:pt idx="0">
                  <c:v>Comercio al por menor</c:v>
                </c:pt>
                <c:pt idx="1">
                  <c:v>Comercio al por mayor</c:v>
                </c:pt>
              </c:strCache>
            </c:strRef>
          </c:cat>
          <c:val>
            <c:numRef>
              <c:f>Distribución_PO_Niveles!$D$12:$D$13</c:f>
              <c:numCache>
                <c:formatCode>0.0%</c:formatCode>
                <c:ptCount val="2"/>
                <c:pt idx="0">
                  <c:v>0.40299999999999997</c:v>
                </c:pt>
                <c:pt idx="1">
                  <c:v>0.379</c:v>
                </c:pt>
              </c:numCache>
            </c:numRef>
          </c:val>
          <c:extLst>
            <c:ext xmlns:c16="http://schemas.microsoft.com/office/drawing/2014/chart" uri="{C3380CC4-5D6E-409C-BE32-E72D297353CC}">
              <c16:uniqueId val="{00000002-1D6C-43FD-95C8-798E28CDE60F}"/>
            </c:ext>
          </c:extLst>
        </c:ser>
        <c:ser>
          <c:idx val="3"/>
          <c:order val="3"/>
          <c:tx>
            <c:strRef>
              <c:f>Distribución_PO_Niveles!$E$11</c:f>
              <c:strCache>
                <c:ptCount val="1"/>
                <c:pt idx="0">
                  <c:v>Educación superior (licenciatura, ingeniería, especialidad, posgrado)</c:v>
                </c:pt>
              </c:strCache>
            </c:strRef>
          </c:tx>
          <c:spPr>
            <a:solidFill>
              <a:schemeClr val="accent5">
                <a:tint val="5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Distribución_PO_Niveles!$A$12:$A$13</c:f>
              <c:strCache>
                <c:ptCount val="2"/>
                <c:pt idx="0">
                  <c:v>Comercio al por menor</c:v>
                </c:pt>
                <c:pt idx="1">
                  <c:v>Comercio al por mayor</c:v>
                </c:pt>
              </c:strCache>
            </c:strRef>
          </c:cat>
          <c:val>
            <c:numRef>
              <c:f>Distribución_PO_Niveles!$E$12:$E$13</c:f>
              <c:numCache>
                <c:formatCode>0.0%</c:formatCode>
                <c:ptCount val="2"/>
                <c:pt idx="0">
                  <c:v>0.16</c:v>
                </c:pt>
                <c:pt idx="1">
                  <c:v>0.21899999999999997</c:v>
                </c:pt>
              </c:numCache>
            </c:numRef>
          </c:val>
          <c:extLst>
            <c:ext xmlns:c16="http://schemas.microsoft.com/office/drawing/2014/chart" uri="{C3380CC4-5D6E-409C-BE32-E72D297353CC}">
              <c16:uniqueId val="{00000003-1D6C-43FD-95C8-798E28CDE60F}"/>
            </c:ext>
          </c:extLst>
        </c:ser>
        <c:dLbls>
          <c:dLblPos val="inEnd"/>
          <c:showLegendKey val="0"/>
          <c:showVal val="1"/>
          <c:showCatName val="0"/>
          <c:showSerName val="0"/>
          <c:showPercent val="0"/>
          <c:showBubbleSize val="0"/>
        </c:dLbls>
        <c:gapWidth val="219"/>
        <c:overlap val="100"/>
        <c:axId val="137244127"/>
        <c:axId val="137242879"/>
      </c:barChart>
      <c:catAx>
        <c:axId val="137244127"/>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MX"/>
          </a:p>
        </c:txPr>
        <c:crossAx val="137242879"/>
        <c:crosses val="autoZero"/>
        <c:auto val="1"/>
        <c:lblAlgn val="ctr"/>
        <c:lblOffset val="100"/>
        <c:noMultiLvlLbl val="0"/>
      </c:catAx>
      <c:valAx>
        <c:axId val="137242879"/>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137244127"/>
        <c:crosses val="autoZero"/>
        <c:crossBetween val="between"/>
      </c:valAx>
      <c:spPr>
        <a:noFill/>
        <a:ln>
          <a:noFill/>
        </a:ln>
        <a:effectLst/>
      </c:spPr>
    </c:plotArea>
    <c:legend>
      <c:legendPos val="b"/>
      <c:layout>
        <c:manualLayout>
          <c:xMode val="edge"/>
          <c:yMode val="edge"/>
          <c:x val="0.15157645261266267"/>
          <c:y val="0.70149635716456982"/>
          <c:w val="0.69861149936191813"/>
          <c:h val="0.265826836181433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12.xml><?xml version="1.0" encoding="utf-8"?>
<cs:colorStyle xmlns:cs="http://schemas.microsoft.com/office/drawing/2012/chartStyle" xmlns:a="http://schemas.openxmlformats.org/drawingml/2006/main" meth="withinLinear" id="18">
  <a:schemeClr val="accent5"/>
</cs:colorStyle>
</file>

<file path=word/charts/colors13.xml><?xml version="1.0" encoding="utf-8"?>
<cs:colorStyle xmlns:cs="http://schemas.microsoft.com/office/drawing/2012/chartStyle" xmlns:a="http://schemas.openxmlformats.org/drawingml/2006/main" meth="withinLinear" id="18">
  <a:schemeClr val="accent5"/>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8">
  <a:schemeClr val="accent5"/>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C9D7A-1070-4A5B-9C4C-C3100296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2710</Words>
  <Characters>14905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Comunicado de Prensa. Encuesta Anual del Comercio (EAC) 2020</vt:lpstr>
    </vt:vector>
  </TitlesOfParts>
  <Company>INEGI</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Encuesta Anual del Comercio (EAC) 2020</dc:title>
  <dc:creator>INEGI</dc:creator>
  <cp:keywords>PEA Ocupación Desocupación Subocupación</cp:keywords>
  <cp:lastModifiedBy>GUILLEN MEDINA MOISES</cp:lastModifiedBy>
  <cp:revision>6</cp:revision>
  <cp:lastPrinted>2019-10-24T20:15:00Z</cp:lastPrinted>
  <dcterms:created xsi:type="dcterms:W3CDTF">2021-12-11T02:54:00Z</dcterms:created>
  <dcterms:modified xsi:type="dcterms:W3CDTF">2021-12-13T00:09:00Z</dcterms:modified>
  <cp:category>Encuesta Nacional de Ocupación y Empleo</cp:category>
  <cp:version>1</cp:version>
</cp:coreProperties>
</file>