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267B" w14:textId="7A115C35" w:rsidR="00C659F1" w:rsidRPr="00C659F1" w:rsidRDefault="00C659F1" w:rsidP="00C659F1">
      <w:pPr>
        <w:pStyle w:val="Ttulo10"/>
      </w:pPr>
      <w:r w:rsidRPr="00C659F1">
        <w:t>ENCUESTA ANUAL DE SERVICIOS PRIVADOS NO FINANCIEROS 2020</w:t>
      </w:r>
    </w:p>
    <w:p w14:paraId="607A8931" w14:textId="582C1A42" w:rsidR="00C659F1" w:rsidRPr="00C659F1" w:rsidRDefault="00C659F1" w:rsidP="00C659F1">
      <w:pPr>
        <w:pStyle w:val="Profesin"/>
        <w:rPr>
          <w:bCs w:val="0"/>
          <w:sz w:val="24"/>
          <w:szCs w:val="24"/>
        </w:rPr>
      </w:pPr>
      <w:r w:rsidRPr="00C659F1">
        <w:rPr>
          <w:sz w:val="24"/>
          <w:szCs w:val="24"/>
        </w:rPr>
        <w:t>CIFRAS PRELIMINARES</w:t>
      </w:r>
    </w:p>
    <w:p w14:paraId="2FA01BDD" w14:textId="77777777" w:rsidR="00E858C5" w:rsidRPr="00AB7C80" w:rsidRDefault="00E858C5" w:rsidP="00343574">
      <w:pPr>
        <w:tabs>
          <w:tab w:val="left" w:pos="8789"/>
        </w:tabs>
        <w:ind w:right="51"/>
        <w:jc w:val="center"/>
        <w:rPr>
          <w:b/>
        </w:rPr>
      </w:pPr>
    </w:p>
    <w:p w14:paraId="24C0038D" w14:textId="054B80EC" w:rsidR="00C659F1" w:rsidRDefault="00AB7C80" w:rsidP="007F2878">
      <w:pPr>
        <w:tabs>
          <w:tab w:val="left" w:pos="4245"/>
          <w:tab w:val="left" w:pos="8789"/>
        </w:tabs>
        <w:ind w:right="51"/>
        <w:rPr>
          <w:color w:val="000000"/>
          <w:lang w:val="es-MX"/>
        </w:rPr>
      </w:pPr>
      <w:r w:rsidRPr="00AB7C80">
        <w:rPr>
          <w:lang w:val="es-MX"/>
        </w:rPr>
        <w:t xml:space="preserve">El Instituto Nacional de Estadística y Geografía (INEGI) da a conocer los resultados </w:t>
      </w:r>
      <w:r w:rsidR="00C659F1">
        <w:rPr>
          <w:lang w:val="es-MX"/>
        </w:rPr>
        <w:t xml:space="preserve">preliminares </w:t>
      </w:r>
      <w:r w:rsidRPr="00AB7C80">
        <w:rPr>
          <w:lang w:val="es-MX"/>
        </w:rPr>
        <w:t xml:space="preserve">de la </w:t>
      </w:r>
      <w:bookmarkStart w:id="0" w:name="_GoBack"/>
      <w:r w:rsidRPr="00AB7C80">
        <w:rPr>
          <w:lang w:val="es-MX"/>
        </w:rPr>
        <w:t xml:space="preserve">Encuesta Anual de Servicios Privados </w:t>
      </w:r>
      <w:r w:rsidR="00C659F1">
        <w:rPr>
          <w:lang w:val="es-MX"/>
        </w:rPr>
        <w:t>N</w:t>
      </w:r>
      <w:r w:rsidRPr="00AB7C80">
        <w:rPr>
          <w:lang w:val="es-MX"/>
        </w:rPr>
        <w:t>o Financieros (EASPNF)</w:t>
      </w:r>
      <w:r w:rsidR="00C659F1">
        <w:rPr>
          <w:lang w:val="es-MX"/>
        </w:rPr>
        <w:t xml:space="preserve"> 2020</w:t>
      </w:r>
      <w:bookmarkEnd w:id="0"/>
      <w:r w:rsidR="000D4CD2">
        <w:rPr>
          <w:lang w:val="es-MX"/>
        </w:rPr>
        <w:t xml:space="preserve">, </w:t>
      </w:r>
      <w:r w:rsidR="00C659F1">
        <w:rPr>
          <w:lang w:val="es-MX"/>
        </w:rPr>
        <w:t xml:space="preserve">con el objetivo de </w:t>
      </w:r>
      <w:r w:rsidR="00C659F1" w:rsidRPr="00AB7C80">
        <w:rPr>
          <w:color w:val="000000"/>
          <w:lang w:val="es-MX"/>
        </w:rPr>
        <w:t>generar información estadística básica, de manera oportuna y permanente</w:t>
      </w:r>
      <w:r w:rsidR="007F2878">
        <w:rPr>
          <w:color w:val="000000"/>
          <w:lang w:val="es-MX"/>
        </w:rPr>
        <w:t>,</w:t>
      </w:r>
      <w:r w:rsidR="00C659F1" w:rsidRPr="00AB7C80">
        <w:rPr>
          <w:color w:val="000000"/>
          <w:lang w:val="es-MX"/>
        </w:rPr>
        <w:t xml:space="preserve"> sobre las actividades de servicios prestados por el </w:t>
      </w:r>
      <w:r w:rsidR="007F2878">
        <w:rPr>
          <w:color w:val="000000"/>
          <w:lang w:val="es-MX"/>
        </w:rPr>
        <w:t>s</w:t>
      </w:r>
      <w:r w:rsidR="00C659F1" w:rsidRPr="00AB7C80">
        <w:rPr>
          <w:color w:val="000000"/>
          <w:lang w:val="es-MX"/>
        </w:rPr>
        <w:t xml:space="preserve">ector </w:t>
      </w:r>
      <w:r w:rsidR="007F2878">
        <w:rPr>
          <w:color w:val="000000"/>
          <w:lang w:val="es-MX"/>
        </w:rPr>
        <w:t>p</w:t>
      </w:r>
      <w:r w:rsidR="00C659F1" w:rsidRPr="00AB7C80">
        <w:rPr>
          <w:color w:val="000000"/>
          <w:lang w:val="es-MX"/>
        </w:rPr>
        <w:t xml:space="preserve">rivado </w:t>
      </w:r>
      <w:r w:rsidR="007F2878">
        <w:rPr>
          <w:color w:val="000000"/>
          <w:lang w:val="es-MX"/>
        </w:rPr>
        <w:t>n</w:t>
      </w:r>
      <w:r w:rsidR="00C659F1" w:rsidRPr="00AB7C80">
        <w:rPr>
          <w:color w:val="000000"/>
          <w:lang w:val="es-MX"/>
        </w:rPr>
        <w:t xml:space="preserve">o </w:t>
      </w:r>
      <w:r w:rsidR="007F2878">
        <w:rPr>
          <w:color w:val="000000"/>
          <w:lang w:val="es-MX"/>
        </w:rPr>
        <w:t>f</w:t>
      </w:r>
      <w:r w:rsidR="00C659F1" w:rsidRPr="00AB7C80">
        <w:rPr>
          <w:color w:val="000000"/>
          <w:lang w:val="es-MX"/>
        </w:rPr>
        <w:t>inanciero a nivel nacional</w:t>
      </w:r>
      <w:r w:rsidR="00C659F1">
        <w:rPr>
          <w:color w:val="000000"/>
          <w:lang w:val="es-MX"/>
        </w:rPr>
        <w:t>.</w:t>
      </w:r>
      <w:r w:rsidR="00C659F1" w:rsidRPr="00AB7C80">
        <w:rPr>
          <w:color w:val="000000"/>
          <w:lang w:val="es-MX"/>
        </w:rPr>
        <w:t xml:space="preserve"> </w:t>
      </w:r>
    </w:p>
    <w:p w14:paraId="10D917AD" w14:textId="5DB47F4E" w:rsidR="00C659F1" w:rsidRPr="00AB7C80" w:rsidRDefault="00C659F1" w:rsidP="00C659F1">
      <w:pPr>
        <w:pStyle w:val="Pa8"/>
        <w:spacing w:before="240" w:line="240" w:lineRule="auto"/>
        <w:ind w:right="51"/>
        <w:jc w:val="both"/>
        <w:rPr>
          <w:color w:val="000000"/>
          <w:lang w:val="es-MX"/>
        </w:rPr>
      </w:pPr>
      <w:r>
        <w:rPr>
          <w:color w:val="000000"/>
          <w:lang w:val="es-MX"/>
        </w:rPr>
        <w:t xml:space="preserve">La EASPNF sirve también </w:t>
      </w:r>
      <w:r w:rsidRPr="00AB7C80">
        <w:rPr>
          <w:color w:val="000000"/>
          <w:lang w:val="es-MX"/>
        </w:rPr>
        <w:t xml:space="preserve">como insumo o componente para la generación de algunos indicadores económicos que elabora el Sistema de Cuentas Nacionales de México, tales como </w:t>
      </w:r>
      <w:r>
        <w:rPr>
          <w:color w:val="000000"/>
          <w:lang w:val="es-MX"/>
        </w:rPr>
        <w:t xml:space="preserve">el </w:t>
      </w:r>
      <w:r w:rsidRPr="00AB7C80">
        <w:rPr>
          <w:color w:val="000000"/>
          <w:lang w:val="es-MX"/>
        </w:rPr>
        <w:t xml:space="preserve">Producto Interno Bruto (PIB), </w:t>
      </w:r>
      <w:r>
        <w:rPr>
          <w:color w:val="000000"/>
          <w:lang w:val="es-MX"/>
        </w:rPr>
        <w:t xml:space="preserve">la </w:t>
      </w:r>
      <w:r w:rsidRPr="00AB7C80">
        <w:rPr>
          <w:color w:val="000000"/>
          <w:lang w:val="es-MX"/>
        </w:rPr>
        <w:t xml:space="preserve">Cuenta de Bienes y Servicios, </w:t>
      </w:r>
      <w:r>
        <w:rPr>
          <w:color w:val="000000"/>
          <w:lang w:val="es-MX"/>
        </w:rPr>
        <w:t xml:space="preserve">el </w:t>
      </w:r>
      <w:r w:rsidRPr="00AB7C80">
        <w:rPr>
          <w:color w:val="000000"/>
          <w:lang w:val="es-MX"/>
        </w:rPr>
        <w:t>Indicador Global de la Actividad Económica (IGAE)</w:t>
      </w:r>
      <w:r>
        <w:rPr>
          <w:color w:val="000000"/>
          <w:lang w:val="es-MX"/>
        </w:rPr>
        <w:t xml:space="preserve"> y la </w:t>
      </w:r>
      <w:r w:rsidRPr="00AB7C80">
        <w:rPr>
          <w:color w:val="000000"/>
          <w:lang w:val="es-MX"/>
        </w:rPr>
        <w:t>Oferta y Utilización total de Bienes y Servicios, entre otros.</w:t>
      </w:r>
    </w:p>
    <w:p w14:paraId="736E0FA0" w14:textId="1E50372A" w:rsidR="00C659F1" w:rsidRPr="00AB7C80" w:rsidRDefault="00C659F1" w:rsidP="00C659F1">
      <w:pPr>
        <w:pStyle w:val="Pa8"/>
        <w:spacing w:before="240" w:line="240" w:lineRule="auto"/>
        <w:ind w:right="51"/>
        <w:jc w:val="both"/>
        <w:rPr>
          <w:lang w:val="es-MX" w:eastAsia="es-MX"/>
        </w:rPr>
      </w:pPr>
      <w:r w:rsidRPr="00AB7C80">
        <w:rPr>
          <w:lang w:val="es-ES_tradnl" w:eastAsia="es-MX"/>
        </w:rPr>
        <w:t xml:space="preserve">La unidad de observación es el establecimiento (excepto rama 5171 Operadores de servicios de telecomunicaciones alámbricas y 5172 Operadores de servicios de telecomunicaciones inalámbricas) y la cobertura sectorial corresponde a 89 actividades a nivel de clase o rama, de acuerdo con el Sistema de Clasificación Industrial de América del Norte </w:t>
      </w:r>
      <w:r w:rsidR="007F2878">
        <w:rPr>
          <w:lang w:val="es-ES_tradnl" w:eastAsia="es-MX"/>
        </w:rPr>
        <w:t>(</w:t>
      </w:r>
      <w:r w:rsidRPr="00AB7C80">
        <w:rPr>
          <w:lang w:val="es-ES_tradnl" w:eastAsia="es-MX"/>
        </w:rPr>
        <w:t>SCIAN</w:t>
      </w:r>
      <w:r w:rsidR="007F2878">
        <w:rPr>
          <w:lang w:val="es-ES_tradnl" w:eastAsia="es-MX"/>
        </w:rPr>
        <w:t>)</w:t>
      </w:r>
      <w:r w:rsidRPr="00AB7C80">
        <w:rPr>
          <w:lang w:val="es-ES_tradnl" w:eastAsia="es-MX"/>
        </w:rPr>
        <w:t xml:space="preserve"> 2013. </w:t>
      </w:r>
    </w:p>
    <w:p w14:paraId="6F2FD9C0" w14:textId="77777777" w:rsidR="007F2878" w:rsidRDefault="007F2878" w:rsidP="00C659F1">
      <w:pPr>
        <w:ind w:right="51"/>
        <w:rPr>
          <w:b/>
          <w:color w:val="000000"/>
          <w:lang w:val="es-MX"/>
        </w:rPr>
      </w:pPr>
    </w:p>
    <w:p w14:paraId="04688420" w14:textId="44EA64F5" w:rsidR="00C659F1" w:rsidRPr="00C659F1" w:rsidRDefault="00C659F1" w:rsidP="00C659F1">
      <w:pPr>
        <w:ind w:right="51"/>
        <w:rPr>
          <w:b/>
          <w:color w:val="000000"/>
          <w:lang w:val="es-MX"/>
        </w:rPr>
      </w:pPr>
      <w:r w:rsidRPr="00C659F1">
        <w:rPr>
          <w:b/>
          <w:color w:val="000000"/>
          <w:lang w:val="es-MX"/>
        </w:rPr>
        <w:t>PRINCIPALES RESULTADOS</w:t>
      </w:r>
    </w:p>
    <w:p w14:paraId="269E090A" w14:textId="77777777" w:rsidR="00C659F1" w:rsidRDefault="00C659F1" w:rsidP="00C659F1">
      <w:pPr>
        <w:ind w:right="51"/>
        <w:rPr>
          <w:color w:val="000000"/>
          <w:lang w:val="es-MX"/>
        </w:rPr>
      </w:pPr>
    </w:p>
    <w:p w14:paraId="09C4DA95" w14:textId="77777777" w:rsidR="004F019B" w:rsidRDefault="00FF2323" w:rsidP="00FF2323">
      <w:pPr>
        <w:ind w:right="51"/>
        <w:contextualSpacing/>
        <w:rPr>
          <w:bCs/>
          <w:lang w:val="es-MX" w:eastAsia="es-MX"/>
        </w:rPr>
      </w:pPr>
      <w:r>
        <w:rPr>
          <w:color w:val="000000"/>
          <w:lang w:val="es-MX"/>
        </w:rPr>
        <w:t xml:space="preserve">En cuanto a </w:t>
      </w:r>
      <w:r w:rsidRPr="00FF2323">
        <w:rPr>
          <w:bCs/>
          <w:lang w:val="es-MX" w:eastAsia="es-MX"/>
        </w:rPr>
        <w:t xml:space="preserve">personal ocupado dependiente de la razón social, destaca la participación de las mujeres en los </w:t>
      </w:r>
      <w:r>
        <w:rPr>
          <w:bCs/>
          <w:lang w:val="es-MX" w:eastAsia="es-MX"/>
        </w:rPr>
        <w:t>s</w:t>
      </w:r>
      <w:r w:rsidRPr="00FF2323">
        <w:rPr>
          <w:bCs/>
          <w:lang w:val="es-MX" w:eastAsia="es-MX"/>
        </w:rPr>
        <w:t xml:space="preserve">ervicios educativos con 64% y en los </w:t>
      </w:r>
      <w:r>
        <w:rPr>
          <w:bCs/>
          <w:lang w:val="es-MX" w:eastAsia="es-MX"/>
        </w:rPr>
        <w:t>s</w:t>
      </w:r>
      <w:r w:rsidRPr="00FF2323">
        <w:rPr>
          <w:bCs/>
          <w:lang w:val="es-MX" w:eastAsia="es-MX"/>
        </w:rPr>
        <w:t>ervicios de salud y de asistencia social con un 58</w:t>
      </w:r>
      <w:r>
        <w:rPr>
          <w:bCs/>
          <w:lang w:val="es-MX" w:eastAsia="es-MX"/>
        </w:rPr>
        <w:t xml:space="preserve"> por ciento</w:t>
      </w:r>
      <w:r w:rsidRPr="00FF2323">
        <w:rPr>
          <w:bCs/>
          <w:lang w:val="es-MX" w:eastAsia="es-MX"/>
        </w:rPr>
        <w:t>.</w:t>
      </w:r>
      <w:r w:rsidR="00351D80">
        <w:rPr>
          <w:bCs/>
          <w:lang w:val="es-MX" w:eastAsia="es-MX"/>
        </w:rPr>
        <w:t xml:space="preserve"> </w:t>
      </w:r>
    </w:p>
    <w:p w14:paraId="4E74977C" w14:textId="77777777" w:rsidR="004F019B" w:rsidRDefault="004F019B" w:rsidP="00FF2323">
      <w:pPr>
        <w:ind w:right="51"/>
        <w:contextualSpacing/>
        <w:rPr>
          <w:bCs/>
          <w:lang w:val="es-MX" w:eastAsia="es-MX"/>
        </w:rPr>
      </w:pPr>
    </w:p>
    <w:p w14:paraId="764FD07E" w14:textId="3111AB6C" w:rsidR="004F019B" w:rsidRDefault="004F019B" w:rsidP="00FF2323">
      <w:pPr>
        <w:ind w:right="51"/>
        <w:contextualSpacing/>
        <w:rPr>
          <w:bCs/>
          <w:lang w:val="es-MX" w:eastAsia="es-MX"/>
        </w:rPr>
      </w:pPr>
      <w:r>
        <w:rPr>
          <w:bCs/>
          <w:lang w:val="es-MX" w:eastAsia="es-MX"/>
        </w:rPr>
        <w:t>En los servicios de esparcimiento, culturales y deportivos, y otros servicios recreativos además de los servicios de inmobiliarios y de alquiler de bienes tangibles e intangibles se da la mayor participación de los hombres con 68 y 65%, respectivamente.</w:t>
      </w:r>
    </w:p>
    <w:p w14:paraId="2FE3728A" w14:textId="77777777" w:rsidR="004F019B" w:rsidRDefault="004F019B" w:rsidP="00FF2323">
      <w:pPr>
        <w:ind w:right="51"/>
        <w:contextualSpacing/>
        <w:rPr>
          <w:bCs/>
          <w:lang w:val="es-MX" w:eastAsia="es-MX"/>
        </w:rPr>
      </w:pPr>
    </w:p>
    <w:p w14:paraId="42310F0A" w14:textId="263ED131" w:rsidR="00AB7C80" w:rsidRPr="004F019B" w:rsidRDefault="007F2878" w:rsidP="00C659F1">
      <w:pPr>
        <w:ind w:right="51"/>
        <w:contextualSpacing/>
        <w:rPr>
          <w:bCs/>
          <w:lang w:val="es-MX"/>
        </w:rPr>
      </w:pPr>
      <w:r>
        <w:rPr>
          <w:bCs/>
        </w:rPr>
        <w:t>E</w:t>
      </w:r>
      <w:r w:rsidR="00AB7C80" w:rsidRPr="00AB7C80">
        <w:rPr>
          <w:bCs/>
        </w:rPr>
        <w:t xml:space="preserve">n los </w:t>
      </w:r>
      <w:r w:rsidR="00FF2323">
        <w:rPr>
          <w:bCs/>
        </w:rPr>
        <w:t>s</w:t>
      </w:r>
      <w:r w:rsidR="00AB7C80" w:rsidRPr="00AB7C80">
        <w:rPr>
          <w:bCs/>
        </w:rPr>
        <w:t xml:space="preserve">ervicios educativos 30% del consumo de bienes y servicios corresponde a otros gastos, mientras que 29% se refiere </w:t>
      </w:r>
      <w:r>
        <w:rPr>
          <w:bCs/>
        </w:rPr>
        <w:t xml:space="preserve">a </w:t>
      </w:r>
      <w:r w:rsidR="00AB7C80" w:rsidRPr="00AB7C80">
        <w:rPr>
          <w:bCs/>
        </w:rPr>
        <w:t>materiales consumidos para la prestación de servicios</w:t>
      </w:r>
      <w:r w:rsidR="004F019B">
        <w:rPr>
          <w:bCs/>
          <w:lang w:val="es-MX"/>
        </w:rPr>
        <w:t>, en tanto que e</w:t>
      </w:r>
      <w:r w:rsidR="00AB7C80" w:rsidRPr="00AB7C80">
        <w:rPr>
          <w:lang w:val="es-MX"/>
        </w:rPr>
        <w:t xml:space="preserve">n los </w:t>
      </w:r>
      <w:r w:rsidR="00C659F1">
        <w:rPr>
          <w:lang w:val="es-MX"/>
        </w:rPr>
        <w:t>s</w:t>
      </w:r>
      <w:r w:rsidR="00AB7C80" w:rsidRPr="00AB7C80">
        <w:rPr>
          <w:lang w:val="es-MX"/>
        </w:rPr>
        <w:t>ervicios de alojamiento temporal y de preparación de alimentos y bebidas, 51% del consumo corresponde a materiales consumidos para la prestación de servicios, mientras que 11% se destina al suministro de personal.</w:t>
      </w:r>
    </w:p>
    <w:p w14:paraId="4A468C67" w14:textId="77777777" w:rsidR="00AB7C80" w:rsidRPr="00AB7C80" w:rsidRDefault="00AB7C80" w:rsidP="00C659F1">
      <w:pPr>
        <w:ind w:right="51"/>
        <w:jc w:val="left"/>
      </w:pPr>
    </w:p>
    <w:p w14:paraId="2CE79D5E" w14:textId="218962E9" w:rsidR="00AB7C80" w:rsidRPr="00AB7C80" w:rsidRDefault="00AB7C80" w:rsidP="00C659F1">
      <w:pPr>
        <w:ind w:right="51"/>
        <w:contextualSpacing/>
        <w:rPr>
          <w:bCs/>
          <w:lang w:val="es-MX" w:eastAsia="es-MX"/>
        </w:rPr>
      </w:pPr>
      <w:r w:rsidRPr="00AB7C80">
        <w:rPr>
          <w:bCs/>
        </w:rPr>
        <w:t xml:space="preserve">Con relación a los </w:t>
      </w:r>
      <w:r w:rsidRPr="00AB7C80">
        <w:rPr>
          <w:bCs/>
          <w:lang w:val="es-MX" w:eastAsia="es-MX"/>
        </w:rPr>
        <w:t>ingresos por suministro de bienes y servicios, en las actividades de esparcimiento culturales y deportivos, y otros servicios recreativos, 84% corresponde a la prestación de servicios y 10% a otros ingresos</w:t>
      </w:r>
      <w:r w:rsidR="004F019B">
        <w:rPr>
          <w:bCs/>
          <w:lang w:val="es-MX" w:eastAsia="es-MX"/>
        </w:rPr>
        <w:t xml:space="preserve">. </w:t>
      </w:r>
      <w:r w:rsidRPr="00AB7C80">
        <w:rPr>
          <w:bCs/>
        </w:rPr>
        <w:t xml:space="preserve">Para el caso de los </w:t>
      </w:r>
      <w:r w:rsidR="00E53FC1">
        <w:rPr>
          <w:bCs/>
        </w:rPr>
        <w:t>s</w:t>
      </w:r>
      <w:r w:rsidRPr="00AB7C80">
        <w:rPr>
          <w:bCs/>
        </w:rPr>
        <w:t>ervicios profesionales, científicos y técnicos, 97% de los ingresos se obtienen por la prestación de servicios</w:t>
      </w:r>
    </w:p>
    <w:p w14:paraId="6179E5F8" w14:textId="77777777" w:rsidR="00AB7C80" w:rsidRPr="00AB7C80" w:rsidRDefault="00AB7C80" w:rsidP="00C659F1">
      <w:pPr>
        <w:ind w:right="51"/>
        <w:jc w:val="left"/>
      </w:pPr>
    </w:p>
    <w:p w14:paraId="3BB41E97" w14:textId="723CB30E" w:rsidR="00AB7C80" w:rsidRPr="004F019B" w:rsidRDefault="00E53FC1" w:rsidP="00C659F1">
      <w:pPr>
        <w:ind w:right="51"/>
        <w:contextualSpacing/>
        <w:rPr>
          <w:bCs/>
        </w:rPr>
      </w:pPr>
      <w:r>
        <w:rPr>
          <w:bCs/>
        </w:rPr>
        <w:t>En</w:t>
      </w:r>
      <w:r w:rsidR="00AB7C80" w:rsidRPr="00AB7C80">
        <w:rPr>
          <w:bCs/>
        </w:rPr>
        <w:t xml:space="preserve"> los servicios de </w:t>
      </w:r>
      <w:r>
        <w:rPr>
          <w:bCs/>
        </w:rPr>
        <w:t>i</w:t>
      </w:r>
      <w:r w:rsidR="00AB7C80" w:rsidRPr="00AB7C80">
        <w:rPr>
          <w:bCs/>
        </w:rPr>
        <w:t>nformación en medios masivos, 76% de los activos fijos pertenece a la maquinaria y equipo de producción, mientras que 9% corresponde a bienes inmuebles</w:t>
      </w:r>
      <w:r w:rsidR="007F2878">
        <w:rPr>
          <w:bCs/>
        </w:rPr>
        <w:t>.</w:t>
      </w:r>
      <w:r w:rsidR="004F019B">
        <w:rPr>
          <w:bCs/>
        </w:rPr>
        <w:t xml:space="preserve"> </w:t>
      </w:r>
      <w:r w:rsidR="00AB7C80" w:rsidRPr="00AB7C80">
        <w:rPr>
          <w:bCs/>
          <w:lang w:val="es-MX"/>
        </w:rPr>
        <w:t xml:space="preserve">En los </w:t>
      </w:r>
      <w:r>
        <w:rPr>
          <w:bCs/>
          <w:lang w:val="es-MX"/>
        </w:rPr>
        <w:t>s</w:t>
      </w:r>
      <w:r w:rsidR="00AB7C80" w:rsidRPr="00AB7C80">
        <w:rPr>
          <w:bCs/>
          <w:lang w:val="es-MX"/>
        </w:rPr>
        <w:t>ervicios de salud y de asistencia social, 40% de los activos fijos está representado por bienes inmuebles y 38% corresponde a maquinaria y equipo de producción.</w:t>
      </w:r>
    </w:p>
    <w:p w14:paraId="18116F18" w14:textId="6B2FD7DC" w:rsidR="00AB7C80" w:rsidRPr="00AB7C80" w:rsidRDefault="00AB7C80" w:rsidP="00C659F1">
      <w:pPr>
        <w:ind w:right="51"/>
        <w:contextualSpacing/>
        <w:rPr>
          <w:b/>
          <w:bCs/>
          <w:lang w:val="es-MX"/>
        </w:rPr>
      </w:pPr>
    </w:p>
    <w:p w14:paraId="7D51CF02" w14:textId="77777777" w:rsidR="00011BF3" w:rsidRDefault="00011BF3" w:rsidP="00C659F1">
      <w:pPr>
        <w:ind w:right="51"/>
        <w:contextualSpacing/>
        <w:rPr>
          <w:lang w:val="es-MX"/>
        </w:rPr>
      </w:pPr>
    </w:p>
    <w:p w14:paraId="22D1ABD9" w14:textId="62F57336" w:rsidR="00AB7C80" w:rsidRPr="007F2878" w:rsidRDefault="00E53FC1" w:rsidP="00C659F1">
      <w:pPr>
        <w:ind w:right="51"/>
        <w:contextualSpacing/>
        <w:rPr>
          <w:lang w:val="es-MX"/>
        </w:rPr>
      </w:pPr>
      <w:r>
        <w:rPr>
          <w:lang w:val="es-MX"/>
        </w:rPr>
        <w:lastRenderedPageBreak/>
        <w:t>E</w:t>
      </w:r>
      <w:r w:rsidR="00AB7C80" w:rsidRPr="00AB7C80">
        <w:rPr>
          <w:lang w:val="es-MX"/>
        </w:rPr>
        <w:t xml:space="preserve">n los </w:t>
      </w:r>
      <w:r>
        <w:rPr>
          <w:lang w:val="es-MX"/>
        </w:rPr>
        <w:t>s</w:t>
      </w:r>
      <w:r w:rsidR="00AB7C80" w:rsidRPr="00AB7C80">
        <w:rPr>
          <w:lang w:val="es-MX"/>
        </w:rPr>
        <w:t xml:space="preserve">ervicios educativos, 66% de las mujeres cuentan con educación superior, seguidos por 57% en los servicios de </w:t>
      </w:r>
      <w:r>
        <w:rPr>
          <w:lang w:val="es-MX"/>
        </w:rPr>
        <w:t>i</w:t>
      </w:r>
      <w:r w:rsidR="00AB7C80" w:rsidRPr="00AB7C80">
        <w:rPr>
          <w:lang w:val="es-MX"/>
        </w:rPr>
        <w:t>nformación en medios masivos</w:t>
      </w:r>
      <w:r w:rsidR="007F2878">
        <w:rPr>
          <w:lang w:val="es-MX"/>
        </w:rPr>
        <w:t>. En tanto, e</w:t>
      </w:r>
      <w:r w:rsidR="00AB7C80" w:rsidRPr="00AB7C80">
        <w:t xml:space="preserve">n los </w:t>
      </w:r>
      <w:r>
        <w:t>s</w:t>
      </w:r>
      <w:r w:rsidR="00AB7C80" w:rsidRPr="00AB7C80">
        <w:t>ervicios de salud y de asistencia social, 61% de los hombres cuentan con educación superior y 58% en los servicios de Información en medios masivos.</w:t>
      </w:r>
    </w:p>
    <w:p w14:paraId="7D4648C4" w14:textId="0C62889C" w:rsidR="00AB7C80" w:rsidRPr="00AB7C80" w:rsidRDefault="00AB7C80" w:rsidP="00C659F1">
      <w:pPr>
        <w:ind w:right="51"/>
      </w:pPr>
    </w:p>
    <w:p w14:paraId="74D127E8" w14:textId="77777777" w:rsidR="007F2878" w:rsidRDefault="007F2878" w:rsidP="00C659F1">
      <w:pPr>
        <w:ind w:right="51"/>
        <w:rPr>
          <w:lang w:val="es-MX"/>
        </w:rPr>
      </w:pPr>
      <w:r>
        <w:t>E</w:t>
      </w:r>
      <w:r w:rsidR="00AB7C80" w:rsidRPr="00AB7C80">
        <w:t xml:space="preserve">n las actividades de </w:t>
      </w:r>
      <w:r w:rsidR="00E53FC1">
        <w:t>p</w:t>
      </w:r>
      <w:r w:rsidR="00AB7C80" w:rsidRPr="00AB7C80">
        <w:t xml:space="preserve">roducción de canales para sistemas de televisión por cable o satelitales, 76% del total de ingresos proviene de la </w:t>
      </w:r>
      <w:r w:rsidR="00AB7C80" w:rsidRPr="00AB7C80">
        <w:rPr>
          <w:lang w:val="es-MX"/>
        </w:rPr>
        <w:t>colaboración económica con empresas ubicadas en otros países</w:t>
      </w:r>
      <w:r>
        <w:rPr>
          <w:lang w:val="es-MX"/>
        </w:rPr>
        <w:t>.</w:t>
      </w:r>
    </w:p>
    <w:p w14:paraId="49D1450B" w14:textId="77777777" w:rsidR="007F2878" w:rsidRDefault="007F2878" w:rsidP="00C659F1">
      <w:pPr>
        <w:ind w:right="51"/>
        <w:rPr>
          <w:lang w:val="es-MX"/>
        </w:rPr>
      </w:pPr>
    </w:p>
    <w:p w14:paraId="402A23A7" w14:textId="49067B9C" w:rsidR="00AB7C80" w:rsidRPr="00AB7C80" w:rsidRDefault="007F2878" w:rsidP="00C659F1">
      <w:pPr>
        <w:ind w:right="51"/>
        <w:rPr>
          <w:lang w:val="es-MX"/>
        </w:rPr>
      </w:pPr>
      <w:r>
        <w:rPr>
          <w:lang w:val="es-MX"/>
        </w:rPr>
        <w:t>L</w:t>
      </w:r>
      <w:r w:rsidRPr="00AB7C80">
        <w:rPr>
          <w:lang w:val="es-MX"/>
        </w:rPr>
        <w:t>a colaboración económica</w:t>
      </w:r>
      <w:r>
        <w:rPr>
          <w:lang w:val="es-MX"/>
        </w:rPr>
        <w:t xml:space="preserve"> de</w:t>
      </w:r>
      <w:r w:rsidRPr="00AB7C80">
        <w:rPr>
          <w:lang w:val="es-MX"/>
        </w:rPr>
        <w:t xml:space="preserve"> </w:t>
      </w:r>
      <w:r w:rsidR="00AB7C80" w:rsidRPr="00AB7C80">
        <w:rPr>
          <w:lang w:val="es-MX"/>
        </w:rPr>
        <w:t xml:space="preserve">las actividades de </w:t>
      </w:r>
      <w:r w:rsidR="00E53FC1">
        <w:rPr>
          <w:lang w:val="es-MX"/>
        </w:rPr>
        <w:t>o</w:t>
      </w:r>
      <w:r w:rsidR="00AB7C80" w:rsidRPr="00AB7C80">
        <w:rPr>
          <w:lang w:val="es-MX"/>
        </w:rPr>
        <w:t>rfanatos y otras residencias de asistencia social del sector privado</w:t>
      </w:r>
      <w:r>
        <w:rPr>
          <w:lang w:val="es-MX"/>
        </w:rPr>
        <w:t xml:space="preserve"> </w:t>
      </w:r>
      <w:r w:rsidR="00AB7C80" w:rsidRPr="00AB7C80">
        <w:rPr>
          <w:lang w:val="es-MX"/>
        </w:rPr>
        <w:t>con empresas ubicadas en otros países apenas alcan</w:t>
      </w:r>
      <w:r w:rsidR="00E53FC1">
        <w:rPr>
          <w:lang w:val="es-MX"/>
        </w:rPr>
        <w:t>z</w:t>
      </w:r>
      <w:r w:rsidR="00AB7C80" w:rsidRPr="00AB7C80">
        <w:rPr>
          <w:lang w:val="es-MX"/>
        </w:rPr>
        <w:t>a 0.1</w:t>
      </w:r>
      <w:r w:rsidR="00E53FC1">
        <w:rPr>
          <w:lang w:val="es-MX"/>
        </w:rPr>
        <w:t xml:space="preserve"> por ciento.</w:t>
      </w:r>
    </w:p>
    <w:p w14:paraId="3B1F7076" w14:textId="77777777" w:rsidR="00AB7C80" w:rsidRPr="00AB7C80" w:rsidRDefault="00AB7C80" w:rsidP="00C659F1">
      <w:pPr>
        <w:ind w:right="51"/>
      </w:pPr>
    </w:p>
    <w:p w14:paraId="01C43C59" w14:textId="77777777" w:rsidR="00AB7C80" w:rsidRPr="00AB7C80" w:rsidRDefault="00AB7C80" w:rsidP="00C659F1">
      <w:pPr>
        <w:ind w:right="51"/>
        <w:rPr>
          <w:b/>
          <w:bCs/>
        </w:rPr>
      </w:pPr>
      <w:r w:rsidRPr="00AB7C80">
        <w:rPr>
          <w:b/>
          <w:bCs/>
        </w:rPr>
        <w:t>Nota al usuario</w:t>
      </w:r>
    </w:p>
    <w:p w14:paraId="604BE518" w14:textId="77777777" w:rsidR="00AB7C80" w:rsidRPr="00AB7C80" w:rsidRDefault="00AB7C80" w:rsidP="00C659F1">
      <w:pPr>
        <w:ind w:right="51"/>
        <w:rPr>
          <w:b/>
          <w:bCs/>
        </w:rPr>
      </w:pPr>
    </w:p>
    <w:p w14:paraId="5AA0B47C" w14:textId="06E41E53" w:rsidR="00AB7C80" w:rsidRPr="00AB7C80" w:rsidRDefault="00AB7C80" w:rsidP="00C659F1">
      <w:pPr>
        <w:autoSpaceDE w:val="0"/>
        <w:autoSpaceDN w:val="0"/>
        <w:adjustRightInd w:val="0"/>
        <w:ind w:right="51"/>
      </w:pPr>
      <w:r w:rsidRPr="00AB7C80">
        <w:t>Es importante precisar que 2020 fue un año atípico, ya que el 11 de marzo de 2020 la Organización Mundial de la Salud declaró oficialmente una pandemia</w:t>
      </w:r>
      <w:r w:rsidR="00E53FC1">
        <w:t xml:space="preserve"> y</w:t>
      </w:r>
      <w:r w:rsidRPr="00AB7C80">
        <w:t xml:space="preserve"> con motivo de la propagación del Coronavirus COVID-19 se adoptaron medidas emergentes. Esta situación se ha prolongado hasta este año, lo cual se refleja en los resultados generados.</w:t>
      </w:r>
    </w:p>
    <w:p w14:paraId="6238EB63" w14:textId="77777777" w:rsidR="00AB7C80" w:rsidRPr="00AB7C80" w:rsidRDefault="00AB7C80" w:rsidP="00C659F1">
      <w:pPr>
        <w:ind w:right="51"/>
        <w:rPr>
          <w:b/>
          <w:bCs/>
          <w:noProof/>
          <w:lang w:eastAsia="es-MX"/>
        </w:rPr>
      </w:pPr>
    </w:p>
    <w:p w14:paraId="3CAB15D9" w14:textId="41352B99" w:rsidR="00AB7C80" w:rsidRPr="00AB7C80" w:rsidRDefault="00AB7C80" w:rsidP="00C659F1">
      <w:pPr>
        <w:ind w:right="51"/>
        <w:rPr>
          <w:rFonts w:eastAsia="Calibri"/>
          <w:lang w:eastAsia="es-MX"/>
        </w:rPr>
      </w:pPr>
      <w:r w:rsidRPr="00AB7C80">
        <w:t>L</w:t>
      </w:r>
      <w:r w:rsidRPr="00AB7C80">
        <w:rPr>
          <w:rFonts w:eastAsia="Calibri"/>
          <w:lang w:eastAsia="es-MX"/>
        </w:rPr>
        <w:t xml:space="preserve">a Tasa de no respuesta de la Encuesta Anual de Servicios Privados </w:t>
      </w:r>
      <w:r w:rsidR="00E53FC1">
        <w:rPr>
          <w:rFonts w:eastAsia="Calibri"/>
          <w:lang w:eastAsia="es-MX"/>
        </w:rPr>
        <w:t>N</w:t>
      </w:r>
      <w:r w:rsidRPr="00AB7C80">
        <w:rPr>
          <w:rFonts w:eastAsia="Calibri"/>
          <w:lang w:eastAsia="es-MX"/>
        </w:rPr>
        <w:t xml:space="preserve">o Financieros (EASPNF) correspondiente a 2021 registró porcentajes apropiados conforme al diseño estadístico de la encuesta, lo que permitió la generación de estadísticas con niveles altos de precisión. De los 86 dominios de estudio de la encuesta, solo para 4 dominios que representan 13.3%, en relación con la variable de ingresos del total de los Servicios Privados </w:t>
      </w:r>
      <w:r w:rsidR="00E53FC1">
        <w:rPr>
          <w:rFonts w:eastAsia="Calibri"/>
          <w:lang w:eastAsia="es-MX"/>
        </w:rPr>
        <w:t>N</w:t>
      </w:r>
      <w:r w:rsidRPr="00AB7C80">
        <w:rPr>
          <w:rFonts w:eastAsia="Calibri"/>
          <w:lang w:eastAsia="es-MX"/>
        </w:rPr>
        <w:t>o Financieros, se recomienda el uso con reserva, los cuales son los siguientes:</w:t>
      </w:r>
    </w:p>
    <w:p w14:paraId="0A71FA5B" w14:textId="77777777" w:rsidR="00AB7C80" w:rsidRPr="00AB7C80" w:rsidRDefault="00AB7C80" w:rsidP="00C659F1">
      <w:pPr>
        <w:ind w:right="51"/>
        <w:rPr>
          <w:rFonts w:eastAsia="Calibri"/>
          <w:lang w:eastAsia="es-MX"/>
        </w:rPr>
      </w:pPr>
    </w:p>
    <w:tbl>
      <w:tblPr>
        <w:tblW w:w="9214" w:type="dxa"/>
        <w:tblCellMar>
          <w:left w:w="70" w:type="dxa"/>
          <w:right w:w="70" w:type="dxa"/>
        </w:tblCellMar>
        <w:tblLook w:val="04A0" w:firstRow="1" w:lastRow="0" w:firstColumn="1" w:lastColumn="0" w:noHBand="0" w:noVBand="1"/>
      </w:tblPr>
      <w:tblGrid>
        <w:gridCol w:w="9214"/>
      </w:tblGrid>
      <w:tr w:rsidR="00AB7C80" w:rsidRPr="00AB7C80" w14:paraId="3AE4E8AF" w14:textId="77777777" w:rsidTr="007F2878">
        <w:trPr>
          <w:trHeight w:val="240"/>
        </w:trPr>
        <w:tc>
          <w:tcPr>
            <w:tcW w:w="9214" w:type="dxa"/>
            <w:tcBorders>
              <w:top w:val="nil"/>
              <w:left w:val="nil"/>
              <w:bottom w:val="nil"/>
              <w:right w:val="nil"/>
            </w:tcBorders>
            <w:shd w:val="clear" w:color="auto" w:fill="auto"/>
            <w:noWrap/>
            <w:vAlign w:val="bottom"/>
            <w:hideMark/>
          </w:tcPr>
          <w:p w14:paraId="519E2456" w14:textId="77777777" w:rsidR="00AB7C80" w:rsidRPr="00AB7C80" w:rsidRDefault="00AB7C80" w:rsidP="00C659F1">
            <w:pPr>
              <w:ind w:right="51"/>
              <w:jc w:val="left"/>
              <w:rPr>
                <w:lang w:val="es-MX" w:eastAsia="es-MX"/>
              </w:rPr>
            </w:pPr>
            <w:r w:rsidRPr="00AB7C80">
              <w:rPr>
                <w:lang w:val="es-MX" w:eastAsia="es-MX"/>
              </w:rPr>
              <w:t xml:space="preserve">Edición de software y edición de software integrada con la reproducción </w:t>
            </w:r>
          </w:p>
        </w:tc>
      </w:tr>
      <w:tr w:rsidR="00AB7C80" w:rsidRPr="00AB7C80" w14:paraId="1A2882EC" w14:textId="77777777" w:rsidTr="007F2878">
        <w:trPr>
          <w:trHeight w:val="240"/>
        </w:trPr>
        <w:tc>
          <w:tcPr>
            <w:tcW w:w="9214" w:type="dxa"/>
            <w:tcBorders>
              <w:top w:val="nil"/>
              <w:left w:val="nil"/>
              <w:bottom w:val="nil"/>
              <w:right w:val="nil"/>
            </w:tcBorders>
            <w:shd w:val="clear" w:color="auto" w:fill="auto"/>
            <w:noWrap/>
            <w:vAlign w:val="bottom"/>
            <w:hideMark/>
          </w:tcPr>
          <w:p w14:paraId="7ABF5B8F" w14:textId="77777777" w:rsidR="00AB7C80" w:rsidRPr="00AB7C80" w:rsidRDefault="00AB7C80" w:rsidP="00C659F1">
            <w:pPr>
              <w:ind w:right="51"/>
              <w:jc w:val="left"/>
              <w:rPr>
                <w:lang w:val="es-MX" w:eastAsia="es-MX"/>
              </w:rPr>
            </w:pPr>
            <w:r w:rsidRPr="00AB7C80">
              <w:rPr>
                <w:lang w:val="es-MX" w:eastAsia="es-MX"/>
              </w:rPr>
              <w:t>Hospitales generales</w:t>
            </w:r>
          </w:p>
        </w:tc>
      </w:tr>
      <w:tr w:rsidR="00AB7C80" w:rsidRPr="00AB7C80" w14:paraId="124B7514" w14:textId="77777777" w:rsidTr="007F2878">
        <w:trPr>
          <w:trHeight w:val="240"/>
        </w:trPr>
        <w:tc>
          <w:tcPr>
            <w:tcW w:w="9214" w:type="dxa"/>
            <w:tcBorders>
              <w:top w:val="nil"/>
              <w:left w:val="nil"/>
              <w:bottom w:val="nil"/>
              <w:right w:val="nil"/>
            </w:tcBorders>
            <w:shd w:val="clear" w:color="auto" w:fill="auto"/>
            <w:noWrap/>
            <w:vAlign w:val="bottom"/>
            <w:hideMark/>
          </w:tcPr>
          <w:p w14:paraId="1F3368E2" w14:textId="77777777" w:rsidR="00AB7C80" w:rsidRPr="00AB7C80" w:rsidRDefault="00AB7C80" w:rsidP="00C659F1">
            <w:pPr>
              <w:ind w:right="51"/>
              <w:jc w:val="left"/>
              <w:rPr>
                <w:lang w:val="es-MX" w:eastAsia="es-MX"/>
              </w:rPr>
            </w:pPr>
            <w:r w:rsidRPr="00AB7C80">
              <w:rPr>
                <w:lang w:val="es-MX" w:eastAsia="es-MX"/>
              </w:rPr>
              <w:t>Agencias de viajes</w:t>
            </w:r>
          </w:p>
        </w:tc>
      </w:tr>
      <w:tr w:rsidR="00AB7C80" w:rsidRPr="00AB7C80" w14:paraId="247DF3F4" w14:textId="77777777" w:rsidTr="007F2878">
        <w:trPr>
          <w:trHeight w:val="240"/>
        </w:trPr>
        <w:tc>
          <w:tcPr>
            <w:tcW w:w="9214" w:type="dxa"/>
            <w:tcBorders>
              <w:top w:val="nil"/>
              <w:left w:val="nil"/>
              <w:bottom w:val="nil"/>
              <w:right w:val="nil"/>
            </w:tcBorders>
            <w:shd w:val="clear" w:color="auto" w:fill="auto"/>
            <w:noWrap/>
            <w:vAlign w:val="bottom"/>
            <w:hideMark/>
          </w:tcPr>
          <w:p w14:paraId="73D744F9" w14:textId="77777777" w:rsidR="00AB7C80" w:rsidRPr="00AB7C80" w:rsidRDefault="00AB7C80" w:rsidP="00C659F1">
            <w:pPr>
              <w:ind w:right="51"/>
              <w:jc w:val="left"/>
              <w:rPr>
                <w:lang w:val="es-MX" w:eastAsia="es-MX"/>
              </w:rPr>
            </w:pPr>
            <w:r w:rsidRPr="00AB7C80">
              <w:rPr>
                <w:lang w:val="es-MX" w:eastAsia="es-MX"/>
              </w:rPr>
              <w:t>Servicios de preparación de alimentos y bebidas alcohólicas y no alcohólicas</w:t>
            </w:r>
          </w:p>
        </w:tc>
      </w:tr>
    </w:tbl>
    <w:p w14:paraId="0F0495E9" w14:textId="77777777" w:rsidR="00AB7C80" w:rsidRPr="00AB7C80" w:rsidRDefault="00AB7C80" w:rsidP="00C659F1">
      <w:pPr>
        <w:ind w:right="51"/>
        <w:rPr>
          <w:b/>
          <w:bCs/>
          <w:noProof/>
          <w:lang w:eastAsia="es-MX"/>
        </w:rPr>
      </w:pPr>
    </w:p>
    <w:p w14:paraId="6AC0389A" w14:textId="1EE5C24F" w:rsidR="007F2878" w:rsidRDefault="00AB7C80" w:rsidP="007F2878">
      <w:pPr>
        <w:ind w:right="51"/>
        <w:rPr>
          <w:snapToGrid w:val="0"/>
          <w:lang w:val="es-MX"/>
        </w:rPr>
      </w:pPr>
      <w:r w:rsidRPr="00AB7C80">
        <w:t xml:space="preserve">La información de la Encuesta Anual de Servicios Privados </w:t>
      </w:r>
      <w:r w:rsidR="00E53FC1">
        <w:t>N</w:t>
      </w:r>
      <w:r w:rsidRPr="00AB7C80">
        <w:t xml:space="preserve">o Financieros (EASPNF) se </w:t>
      </w:r>
      <w:r w:rsidRPr="00AB7C80">
        <w:rPr>
          <w:snapToGrid w:val="0"/>
          <w:lang w:val="es-MX"/>
        </w:rPr>
        <w:t>p</w:t>
      </w:r>
      <w:r w:rsidR="007F2878">
        <w:rPr>
          <w:snapToGrid w:val="0"/>
          <w:lang w:val="es-MX"/>
        </w:rPr>
        <w:t>uede</w:t>
      </w:r>
      <w:r w:rsidRPr="00AB7C80">
        <w:rPr>
          <w:snapToGrid w:val="0"/>
          <w:lang w:val="es-MX"/>
        </w:rPr>
        <w:t xml:space="preserve"> consulta</w:t>
      </w:r>
      <w:r w:rsidR="007F2878">
        <w:rPr>
          <w:snapToGrid w:val="0"/>
          <w:lang w:val="es-MX"/>
        </w:rPr>
        <w:t>r</w:t>
      </w:r>
      <w:r w:rsidRPr="00AB7C80">
        <w:rPr>
          <w:snapToGrid w:val="0"/>
          <w:lang w:val="es-MX"/>
        </w:rPr>
        <w:t xml:space="preserve"> en la página del INEGI en </w:t>
      </w:r>
      <w:r w:rsidR="007F2878">
        <w:rPr>
          <w:snapToGrid w:val="0"/>
          <w:lang w:val="es-MX"/>
        </w:rPr>
        <w:t>i</w:t>
      </w:r>
      <w:r w:rsidRPr="00AB7C80">
        <w:rPr>
          <w:snapToGrid w:val="0"/>
          <w:lang w:val="es-MX"/>
        </w:rPr>
        <w:t>nternet</w:t>
      </w:r>
      <w:r w:rsidR="00FF2323">
        <w:rPr>
          <w:snapToGrid w:val="0"/>
          <w:lang w:val="es-MX"/>
        </w:rPr>
        <w:t>:</w:t>
      </w:r>
    </w:p>
    <w:p w14:paraId="0995B2F7" w14:textId="50A3EAEE" w:rsidR="007F2878" w:rsidRDefault="003C100A" w:rsidP="007F2878">
      <w:pPr>
        <w:ind w:right="51"/>
        <w:rPr>
          <w:rStyle w:val="Hipervnculo"/>
          <w:snapToGrid w:val="0"/>
          <w:color w:val="auto"/>
          <w:u w:val="none"/>
          <w:lang w:val="es-MX"/>
        </w:rPr>
      </w:pPr>
      <w:hyperlink r:id="rId8" w:history="1">
        <w:r w:rsidR="007F2878" w:rsidRPr="002D53DC">
          <w:rPr>
            <w:rStyle w:val="Hipervnculo"/>
          </w:rPr>
          <w:t>https://www.inegi.org.mx/programas/easpnf/2013/</w:t>
        </w:r>
      </w:hyperlink>
    </w:p>
    <w:p w14:paraId="354F8ACA" w14:textId="77777777" w:rsidR="007F2878" w:rsidRDefault="007F2878" w:rsidP="007F2878">
      <w:pPr>
        <w:ind w:right="51"/>
        <w:rPr>
          <w:b/>
        </w:rPr>
      </w:pPr>
    </w:p>
    <w:p w14:paraId="0CEA277B" w14:textId="4EFF5AE9" w:rsidR="007F2878" w:rsidRPr="007F2878" w:rsidRDefault="007F2878" w:rsidP="007F2878">
      <w:pPr>
        <w:ind w:right="51"/>
        <w:jc w:val="center"/>
        <w:rPr>
          <w:snapToGrid w:val="0"/>
          <w:lang w:val="es-MX"/>
        </w:rPr>
      </w:pPr>
      <w:r w:rsidRPr="007F2878">
        <w:rPr>
          <w:b/>
        </w:rPr>
        <w:t>Se anexa nota técnica</w:t>
      </w:r>
    </w:p>
    <w:p w14:paraId="0BA90F68" w14:textId="18C0FDBF" w:rsidR="00AB7C80" w:rsidRPr="00AB7C80" w:rsidRDefault="00AB7C80" w:rsidP="007F2878">
      <w:pPr>
        <w:pStyle w:val="NormalWeb"/>
        <w:spacing w:before="0" w:beforeAutospacing="0" w:after="0" w:afterAutospacing="0"/>
        <w:ind w:right="51"/>
        <w:contextualSpacing/>
        <w:jc w:val="center"/>
        <w:rPr>
          <w:rFonts w:ascii="Arial" w:hAnsi="Arial" w:cs="Arial"/>
        </w:rPr>
      </w:pPr>
      <w:r w:rsidRPr="00AB7C80">
        <w:rPr>
          <w:rFonts w:ascii="Arial" w:hAnsi="Arial" w:cs="Arial"/>
        </w:rPr>
        <w:t xml:space="preserve">Para consultas de medios y periodistas, contactar a: </w:t>
      </w:r>
      <w:hyperlink r:id="rId9" w:history="1">
        <w:r w:rsidRPr="00AB7C80">
          <w:rPr>
            <w:rStyle w:val="Hipervnculo"/>
            <w:rFonts w:ascii="Arial" w:hAnsi="Arial" w:cs="Arial"/>
          </w:rPr>
          <w:t>comunicacionsocial@inegi.org.mx</w:t>
        </w:r>
      </w:hyperlink>
    </w:p>
    <w:p w14:paraId="6FC0CDA3" w14:textId="77777777" w:rsidR="00AB7C80" w:rsidRPr="00AB7C80" w:rsidRDefault="00AB7C80" w:rsidP="007F2878">
      <w:pPr>
        <w:pStyle w:val="NormalWeb"/>
        <w:spacing w:before="0" w:beforeAutospacing="0" w:after="0" w:afterAutospacing="0"/>
        <w:ind w:right="51"/>
        <w:contextualSpacing/>
        <w:jc w:val="center"/>
        <w:rPr>
          <w:rFonts w:ascii="Arial" w:hAnsi="Arial" w:cs="Arial"/>
        </w:rPr>
      </w:pPr>
      <w:r w:rsidRPr="00AB7C80">
        <w:rPr>
          <w:rFonts w:ascii="Arial" w:hAnsi="Arial" w:cs="Arial"/>
        </w:rPr>
        <w:t xml:space="preserve">o llamar al teléfono (55) 52-78-10-00, </w:t>
      </w:r>
      <w:proofErr w:type="spellStart"/>
      <w:r w:rsidRPr="00AB7C80">
        <w:rPr>
          <w:rFonts w:ascii="Arial" w:hAnsi="Arial" w:cs="Arial"/>
        </w:rPr>
        <w:t>exts</w:t>
      </w:r>
      <w:proofErr w:type="spellEnd"/>
      <w:r w:rsidRPr="00AB7C80">
        <w:rPr>
          <w:rFonts w:ascii="Arial" w:hAnsi="Arial" w:cs="Arial"/>
        </w:rPr>
        <w:t>. 1134, 1260 y 1241.</w:t>
      </w:r>
    </w:p>
    <w:p w14:paraId="529DE3A5" w14:textId="77777777" w:rsidR="00AB7C80" w:rsidRPr="00AB7C80" w:rsidRDefault="00AB7C80" w:rsidP="007F2878">
      <w:pPr>
        <w:ind w:left="-426" w:right="51"/>
        <w:contextualSpacing/>
        <w:jc w:val="center"/>
      </w:pPr>
    </w:p>
    <w:p w14:paraId="0E330D7B" w14:textId="77777777" w:rsidR="00AB7C80" w:rsidRPr="00AB7C80" w:rsidRDefault="00AB7C80" w:rsidP="007F2878">
      <w:pPr>
        <w:ind w:left="-426" w:right="51"/>
        <w:contextualSpacing/>
        <w:jc w:val="center"/>
      </w:pPr>
      <w:r w:rsidRPr="00AB7C80">
        <w:t>Dirección de Atención a Medios / Dirección General Adjunta de Comunicación</w:t>
      </w:r>
    </w:p>
    <w:p w14:paraId="5798E7AC" w14:textId="77777777" w:rsidR="00AB7C80" w:rsidRPr="007667FE" w:rsidRDefault="00AB7C80" w:rsidP="00AB7C80">
      <w:pPr>
        <w:ind w:left="-426" w:right="-518"/>
        <w:contextualSpacing/>
        <w:jc w:val="center"/>
        <w:rPr>
          <w:sz w:val="20"/>
          <w:szCs w:val="20"/>
        </w:rPr>
      </w:pPr>
    </w:p>
    <w:p w14:paraId="73C5A35A" w14:textId="77777777" w:rsidR="00FF2323" w:rsidRDefault="00AB7C80" w:rsidP="00AB7C80">
      <w:pPr>
        <w:ind w:left="-425" w:right="-516"/>
        <w:contextualSpacing/>
        <w:jc w:val="center"/>
        <w:rPr>
          <w:noProof/>
          <w:sz w:val="22"/>
          <w:szCs w:val="22"/>
          <w:lang w:eastAsia="es-MX"/>
        </w:rPr>
        <w:sectPr w:rsidR="00FF2323" w:rsidSect="007F2878">
          <w:headerReference w:type="default" r:id="rId10"/>
          <w:footerReference w:type="default" r:id="rId11"/>
          <w:pgSz w:w="12242" w:h="15842" w:code="1"/>
          <w:pgMar w:top="1134" w:right="1134" w:bottom="851" w:left="1134" w:header="567" w:footer="567" w:gutter="0"/>
          <w:paperSrc w:first="7" w:other="7"/>
          <w:pgNumType w:start="1"/>
          <w:cols w:space="720"/>
          <w:docGrid w:linePitch="360"/>
        </w:sectPr>
      </w:pPr>
      <w:r w:rsidRPr="00510F8F">
        <w:rPr>
          <w:noProof/>
          <w:sz w:val="22"/>
          <w:szCs w:val="22"/>
          <w:lang w:val="es-MX" w:eastAsia="es-MX"/>
        </w:rPr>
        <w:drawing>
          <wp:inline distT="0" distB="0" distL="0" distR="0" wp14:anchorId="372BF8CF" wp14:editId="2CF4DD44">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48D938CB" wp14:editId="50649B56">
            <wp:extent cx="365760" cy="365760"/>
            <wp:effectExtent l="0" t="0" r="0" b="0"/>
            <wp:docPr id="12" name="Imagen 12"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3EA8190B" wp14:editId="51D59CED">
            <wp:extent cx="365760" cy="365760"/>
            <wp:effectExtent l="0" t="0" r="0" b="0"/>
            <wp:docPr id="14" name="Imagen 1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0AF21973" wp14:editId="04C71318">
            <wp:extent cx="365760" cy="365760"/>
            <wp:effectExtent l="0" t="0" r="0" b="0"/>
            <wp:docPr id="16" name="Imagen 16"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643429AD" wp14:editId="402FC743">
            <wp:extent cx="2286000" cy="274320"/>
            <wp:effectExtent l="0" t="0" r="0" b="0"/>
            <wp:docPr id="18" name="Imagen 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FC8FF9" w14:textId="1C9DFB7D" w:rsidR="00AB7C80" w:rsidRPr="00510F8F" w:rsidRDefault="00AB7C80" w:rsidP="00AB7C80">
      <w:pPr>
        <w:ind w:left="-425" w:right="-516"/>
        <w:contextualSpacing/>
        <w:jc w:val="center"/>
        <w:rPr>
          <w:noProof/>
          <w:sz w:val="22"/>
          <w:szCs w:val="22"/>
          <w:lang w:eastAsia="es-MX"/>
        </w:rPr>
      </w:pPr>
    </w:p>
    <w:p w14:paraId="24D06A84" w14:textId="77777777" w:rsidR="00AB7C80" w:rsidRDefault="00AB7C80" w:rsidP="004F019B">
      <w:pPr>
        <w:tabs>
          <w:tab w:val="left" w:pos="8789"/>
        </w:tabs>
        <w:ind w:right="51"/>
        <w:rPr>
          <w:b/>
          <w:sz w:val="28"/>
          <w:szCs w:val="28"/>
        </w:rPr>
      </w:pPr>
    </w:p>
    <w:p w14:paraId="15A68414" w14:textId="0FE6D044" w:rsidR="00C945D9" w:rsidRPr="004F019B" w:rsidRDefault="00C945D9" w:rsidP="004F019B">
      <w:pPr>
        <w:tabs>
          <w:tab w:val="left" w:pos="8789"/>
        </w:tabs>
        <w:ind w:right="51"/>
        <w:jc w:val="center"/>
        <w:rPr>
          <w:b/>
        </w:rPr>
      </w:pPr>
      <w:r w:rsidRPr="004F019B">
        <w:rPr>
          <w:b/>
        </w:rPr>
        <w:lastRenderedPageBreak/>
        <w:t>NOTA TÉCNICA</w:t>
      </w:r>
    </w:p>
    <w:p w14:paraId="06E35A38" w14:textId="77777777" w:rsidR="00E858C5" w:rsidRPr="004F019B" w:rsidRDefault="00E858C5" w:rsidP="004F019B">
      <w:pPr>
        <w:tabs>
          <w:tab w:val="left" w:pos="8789"/>
        </w:tabs>
        <w:ind w:right="51"/>
        <w:rPr>
          <w:b/>
        </w:rPr>
      </w:pPr>
    </w:p>
    <w:p w14:paraId="775A1A7A" w14:textId="4C99DB54" w:rsidR="001330D5" w:rsidRPr="004F019B" w:rsidRDefault="00FF2323" w:rsidP="004F019B">
      <w:pPr>
        <w:pStyle w:val="Ttulo10"/>
      </w:pPr>
      <w:r w:rsidRPr="004F019B">
        <w:t>INDICADORES DEL SECTOR SERVICIOS</w:t>
      </w:r>
    </w:p>
    <w:p w14:paraId="3A9A3E60" w14:textId="5A9440DE" w:rsidR="009813FF" w:rsidRPr="004F019B" w:rsidRDefault="00FF2323" w:rsidP="004F019B">
      <w:pPr>
        <w:pStyle w:val="Ttulo10"/>
      </w:pPr>
      <w:r w:rsidRPr="004F019B">
        <w:t>ENCUESTA ANUAL DE SERVICIOS PRIVADOS NO FINANCIEROS. CIFRAS 2020</w:t>
      </w:r>
    </w:p>
    <w:p w14:paraId="7DCE30F4" w14:textId="6F204276" w:rsidR="00E858C5" w:rsidRDefault="009813FF" w:rsidP="004F019B">
      <w:pPr>
        <w:jc w:val="center"/>
        <w:rPr>
          <w:b/>
          <w:spacing w:val="25"/>
        </w:rPr>
      </w:pPr>
      <w:r w:rsidRPr="004F019B">
        <w:rPr>
          <w:b/>
          <w:spacing w:val="25"/>
        </w:rPr>
        <w:t>(</w:t>
      </w:r>
      <w:r w:rsidR="00FB7C8D" w:rsidRPr="004F019B">
        <w:rPr>
          <w:b/>
          <w:spacing w:val="25"/>
        </w:rPr>
        <w:t>Serie 2013</w:t>
      </w:r>
      <w:r w:rsidRPr="004F019B">
        <w:rPr>
          <w:b/>
          <w:spacing w:val="25"/>
        </w:rPr>
        <w:t>)</w:t>
      </w:r>
    </w:p>
    <w:p w14:paraId="43A2937E" w14:textId="77777777" w:rsidR="004F019B" w:rsidRPr="004F019B" w:rsidRDefault="004F019B" w:rsidP="004F019B">
      <w:pPr>
        <w:jc w:val="center"/>
        <w:rPr>
          <w:b/>
          <w:spacing w:val="25"/>
        </w:rPr>
      </w:pPr>
    </w:p>
    <w:p w14:paraId="7CC5FC19" w14:textId="71616DC4" w:rsidR="00185115" w:rsidRPr="00FF2323" w:rsidRDefault="009813FF" w:rsidP="004F019B">
      <w:pPr>
        <w:rPr>
          <w:lang w:val="es-MX"/>
        </w:rPr>
      </w:pPr>
      <w:r w:rsidRPr="00FF2323">
        <w:rPr>
          <w:lang w:val="es-MX"/>
        </w:rPr>
        <w:t>El Instituto Nacional de Estadística y Geografía (INEGI)</w:t>
      </w:r>
      <w:r w:rsidR="00185115" w:rsidRPr="00FF2323">
        <w:rPr>
          <w:lang w:val="es-MX"/>
        </w:rPr>
        <w:t>, en el mes de diciembre de 20</w:t>
      </w:r>
      <w:r w:rsidR="00E95E51" w:rsidRPr="00FF2323">
        <w:rPr>
          <w:lang w:val="es-MX"/>
        </w:rPr>
        <w:t>2</w:t>
      </w:r>
      <w:r w:rsidR="00A9338B" w:rsidRPr="00FF2323">
        <w:rPr>
          <w:lang w:val="es-MX"/>
        </w:rPr>
        <w:t>1</w:t>
      </w:r>
      <w:r w:rsidR="00185115" w:rsidRPr="00FF2323">
        <w:rPr>
          <w:lang w:val="es-MX"/>
        </w:rPr>
        <w:t xml:space="preserve"> da a conocer </w:t>
      </w:r>
      <w:r w:rsidR="007C2097" w:rsidRPr="00FF2323">
        <w:rPr>
          <w:lang w:val="es-MX"/>
        </w:rPr>
        <w:t xml:space="preserve">los resultados de la </w:t>
      </w:r>
      <w:r w:rsidR="00185115" w:rsidRPr="00FF2323">
        <w:rPr>
          <w:lang w:val="es-MX"/>
        </w:rPr>
        <w:t>Encuesta Anual de Servicios Privados no Financieros (EASPNF)</w:t>
      </w:r>
      <w:r w:rsidR="00E95E51" w:rsidRPr="00FF2323">
        <w:rPr>
          <w:lang w:val="es-MX"/>
        </w:rPr>
        <w:t xml:space="preserve"> Serie 2013</w:t>
      </w:r>
      <w:r w:rsidR="00185115" w:rsidRPr="00FF2323">
        <w:rPr>
          <w:lang w:val="es-MX"/>
        </w:rPr>
        <w:t xml:space="preserve"> con información referida a los años </w:t>
      </w:r>
      <w:r w:rsidR="00E95E51" w:rsidRPr="00FF2323">
        <w:rPr>
          <w:lang w:val="es-MX"/>
        </w:rPr>
        <w:t>201</w:t>
      </w:r>
      <w:r w:rsidR="00A9338B" w:rsidRPr="00FF2323">
        <w:rPr>
          <w:lang w:val="es-MX"/>
        </w:rPr>
        <w:t>9</w:t>
      </w:r>
      <w:r w:rsidR="00185115" w:rsidRPr="00FF2323">
        <w:rPr>
          <w:lang w:val="es-MX"/>
        </w:rPr>
        <w:t xml:space="preserve"> cifras definitivas y 20</w:t>
      </w:r>
      <w:r w:rsidR="00A9338B" w:rsidRPr="00FF2323">
        <w:rPr>
          <w:lang w:val="es-MX"/>
        </w:rPr>
        <w:t>20</w:t>
      </w:r>
      <w:r w:rsidR="00E95E51" w:rsidRPr="00FF2323">
        <w:rPr>
          <w:lang w:val="es-MX"/>
        </w:rPr>
        <w:t xml:space="preserve"> </w:t>
      </w:r>
      <w:r w:rsidR="00863AF4" w:rsidRPr="00FF2323">
        <w:rPr>
          <w:lang w:val="es-MX"/>
        </w:rPr>
        <w:t xml:space="preserve">cifras </w:t>
      </w:r>
      <w:r w:rsidR="00185115" w:rsidRPr="00FF2323">
        <w:rPr>
          <w:lang w:val="es-MX"/>
        </w:rPr>
        <w:t>preliminares.</w:t>
      </w:r>
    </w:p>
    <w:p w14:paraId="7389B000" w14:textId="77777777" w:rsidR="00185115" w:rsidRPr="00FF2323" w:rsidRDefault="00185115" w:rsidP="004F019B">
      <w:pPr>
        <w:rPr>
          <w:lang w:val="es-MX"/>
        </w:rPr>
      </w:pPr>
    </w:p>
    <w:p w14:paraId="0D5FE484" w14:textId="3DFD5704" w:rsidR="0078042F" w:rsidRPr="00FF2323" w:rsidRDefault="00E95E51" w:rsidP="004F019B">
      <w:r w:rsidRPr="00FF2323">
        <w:rPr>
          <w:lang w:val="es-MX"/>
        </w:rPr>
        <w:t>Cabe mencionar que la</w:t>
      </w:r>
      <w:r w:rsidR="007C2097" w:rsidRPr="00FF2323">
        <w:rPr>
          <w:lang w:val="es-MX"/>
        </w:rPr>
        <w:t xml:space="preserve"> s</w:t>
      </w:r>
      <w:r w:rsidR="00F54AE2" w:rsidRPr="00FF2323">
        <w:rPr>
          <w:lang w:val="es-MX"/>
        </w:rPr>
        <w:t>erie 2013</w:t>
      </w:r>
      <w:r w:rsidR="001C6FAA" w:rsidRPr="00FF2323">
        <w:rPr>
          <w:lang w:val="es-MX"/>
        </w:rPr>
        <w:t>,</w:t>
      </w:r>
      <w:r w:rsidR="00F54AE2" w:rsidRPr="00FF2323">
        <w:rPr>
          <w:lang w:val="es-MX"/>
        </w:rPr>
        <w:t xml:space="preserve"> adop</w:t>
      </w:r>
      <w:r w:rsidRPr="00FF2323">
        <w:rPr>
          <w:lang w:val="es-MX"/>
        </w:rPr>
        <w:t>ta</w:t>
      </w:r>
      <w:r w:rsidR="00F54AE2" w:rsidRPr="00FF2323">
        <w:rPr>
          <w:lang w:val="es-MX"/>
        </w:rPr>
        <w:t xml:space="preserve"> del </w:t>
      </w:r>
      <w:r w:rsidR="001C6FAA" w:rsidRPr="00FF2323">
        <w:rPr>
          <w:lang w:val="es-MX"/>
        </w:rPr>
        <w:t>Sistema de Clasificación</w:t>
      </w:r>
      <w:r w:rsidR="00F54AE2" w:rsidRPr="00FF2323">
        <w:rPr>
          <w:lang w:val="es-MX"/>
        </w:rPr>
        <w:t xml:space="preserve"> Industrial de América del Norte, México SCIAN 2013, la instrumentación de los nuevos diseños a partir de un marco estad</w:t>
      </w:r>
      <w:r w:rsidR="001C6FAA" w:rsidRPr="00FF2323">
        <w:rPr>
          <w:lang w:val="es-MX"/>
        </w:rPr>
        <w:t>ístico actualizado</w:t>
      </w:r>
      <w:r w:rsidRPr="00FF2323">
        <w:rPr>
          <w:lang w:val="es-MX"/>
        </w:rPr>
        <w:t xml:space="preserve"> y</w:t>
      </w:r>
      <w:r w:rsidR="0078042F" w:rsidRPr="00FF2323">
        <w:t xml:space="preserve"> se aplica la Norma Técnica del Proceso de Producción de Información Estadística y Geográfica para el </w:t>
      </w:r>
      <w:r w:rsidR="00D94370" w:rsidRPr="00FF2323">
        <w:t>INEGI</w:t>
      </w:r>
      <w:r w:rsidR="004F019B">
        <w:t>,</w:t>
      </w:r>
      <w:r w:rsidR="0078042F" w:rsidRPr="00FF2323">
        <w:t xml:space="preserve"> que proporciona un marco normativo regulatorio de la producción de información estadística en México.</w:t>
      </w:r>
    </w:p>
    <w:p w14:paraId="32CE5C18" w14:textId="77777777" w:rsidR="0078042F" w:rsidRPr="00FF2323" w:rsidRDefault="0078042F" w:rsidP="004F019B">
      <w:pPr>
        <w:pStyle w:val="Default"/>
        <w:jc w:val="both"/>
        <w:rPr>
          <w:color w:val="auto"/>
          <w:lang w:eastAsia="es-ES"/>
        </w:rPr>
      </w:pPr>
    </w:p>
    <w:p w14:paraId="31AFCAC7" w14:textId="17456C9B" w:rsidR="0078042F" w:rsidRPr="00FF2323" w:rsidRDefault="0078042F" w:rsidP="004F019B">
      <w:pPr>
        <w:pStyle w:val="Default"/>
        <w:tabs>
          <w:tab w:val="left" w:pos="3261"/>
          <w:tab w:val="left" w:pos="4253"/>
        </w:tabs>
        <w:jc w:val="both"/>
        <w:rPr>
          <w:color w:val="auto"/>
          <w:lang w:eastAsia="es-ES"/>
        </w:rPr>
      </w:pPr>
      <w:r w:rsidRPr="00FF2323">
        <w:rPr>
          <w:color w:val="auto"/>
          <w:lang w:eastAsia="es-ES"/>
        </w:rPr>
        <w:t>La EASPNF también retoma principios conceptuales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50918D93" w14:textId="36981935" w:rsidR="001B16B4" w:rsidRPr="00FF2323" w:rsidRDefault="001B16B4" w:rsidP="004F019B">
      <w:pPr>
        <w:pStyle w:val="Default"/>
        <w:tabs>
          <w:tab w:val="left" w:pos="3261"/>
          <w:tab w:val="left" w:pos="4253"/>
        </w:tabs>
        <w:jc w:val="both"/>
        <w:rPr>
          <w:color w:val="auto"/>
          <w:lang w:eastAsia="es-ES"/>
        </w:rPr>
      </w:pPr>
    </w:p>
    <w:p w14:paraId="040BE3D8" w14:textId="3E9AD71F" w:rsidR="00AD2109" w:rsidRPr="00FF2323" w:rsidRDefault="00AD2109" w:rsidP="004F019B">
      <w:pPr>
        <w:pStyle w:val="Default"/>
        <w:tabs>
          <w:tab w:val="left" w:pos="3261"/>
          <w:tab w:val="left" w:pos="4253"/>
        </w:tabs>
        <w:jc w:val="both"/>
        <w:rPr>
          <w:color w:val="auto"/>
          <w:lang w:eastAsia="es-ES"/>
        </w:rPr>
      </w:pPr>
      <w:r w:rsidRPr="00FF2323">
        <w:rPr>
          <w:color w:val="auto"/>
          <w:lang w:eastAsia="es-ES"/>
        </w:rPr>
        <w:t>Los resultados de la EASPNF se presentan en valores absolutos, variaciones anuales y estructuras por</w:t>
      </w:r>
      <w:r w:rsidR="00FF2323">
        <w:rPr>
          <w:color w:val="auto"/>
          <w:lang w:eastAsia="es-ES"/>
        </w:rPr>
        <w:t>c</w:t>
      </w:r>
      <w:r w:rsidRPr="00FF2323">
        <w:rPr>
          <w:color w:val="auto"/>
          <w:lang w:eastAsia="es-ES"/>
        </w:rPr>
        <w:t>entuales, según Sector y dominio de estudio.</w:t>
      </w:r>
    </w:p>
    <w:p w14:paraId="06A3FF8F" w14:textId="7A041F6C" w:rsidR="00BA4B21" w:rsidRPr="00FF2323" w:rsidRDefault="00BA4B21" w:rsidP="004F019B">
      <w:pPr>
        <w:pStyle w:val="Default"/>
        <w:tabs>
          <w:tab w:val="left" w:pos="3261"/>
          <w:tab w:val="left" w:pos="4253"/>
        </w:tabs>
        <w:jc w:val="both"/>
        <w:rPr>
          <w:color w:val="auto"/>
          <w:lang w:eastAsia="es-ES"/>
        </w:rPr>
      </w:pPr>
    </w:p>
    <w:p w14:paraId="0A3299C5" w14:textId="51C5B080" w:rsidR="00E858C5" w:rsidRPr="00FF2323" w:rsidRDefault="00E858C5" w:rsidP="004F019B">
      <w:pPr>
        <w:jc w:val="left"/>
        <w:rPr>
          <w:b/>
          <w:bCs/>
        </w:rPr>
      </w:pPr>
      <w:r w:rsidRPr="00FF2323">
        <w:rPr>
          <w:b/>
          <w:bCs/>
        </w:rPr>
        <w:t>Principales resultados</w:t>
      </w:r>
    </w:p>
    <w:p w14:paraId="7FB56FA2" w14:textId="77777777" w:rsidR="00FF2323" w:rsidRPr="00FF2323" w:rsidRDefault="00FF2323" w:rsidP="004F019B">
      <w:pPr>
        <w:ind w:right="193"/>
        <w:rPr>
          <w:b/>
        </w:rPr>
      </w:pPr>
    </w:p>
    <w:p w14:paraId="6E888CFA" w14:textId="269EB68B" w:rsidR="00FF2323" w:rsidRPr="00FF2323" w:rsidRDefault="00FF2323" w:rsidP="004F019B">
      <w:pPr>
        <w:ind w:right="51"/>
        <w:contextualSpacing/>
        <w:rPr>
          <w:bCs/>
          <w:lang w:val="es-MX" w:eastAsia="es-MX"/>
        </w:rPr>
      </w:pPr>
      <w:r w:rsidRPr="00FF2323">
        <w:rPr>
          <w:bCs/>
          <w:lang w:val="es-MX" w:eastAsia="es-MX"/>
        </w:rPr>
        <w:t xml:space="preserve">De acuerdo con los resultados de la encuesta, en el personal ocupado dependiente de la razón social destaca la participación de las mujeres en los </w:t>
      </w:r>
      <w:r>
        <w:rPr>
          <w:bCs/>
          <w:lang w:val="es-MX" w:eastAsia="es-MX"/>
        </w:rPr>
        <w:t>s</w:t>
      </w:r>
      <w:r w:rsidRPr="00FF2323">
        <w:rPr>
          <w:bCs/>
          <w:lang w:val="es-MX" w:eastAsia="es-MX"/>
        </w:rPr>
        <w:t xml:space="preserve">ervicios educativos con 64% y en los </w:t>
      </w:r>
      <w:r>
        <w:rPr>
          <w:bCs/>
          <w:lang w:val="es-MX" w:eastAsia="es-MX"/>
        </w:rPr>
        <w:t>s</w:t>
      </w:r>
      <w:r w:rsidRPr="00FF2323">
        <w:rPr>
          <w:bCs/>
          <w:lang w:val="es-MX" w:eastAsia="es-MX"/>
        </w:rPr>
        <w:t>ervicios de salud y de asistencia social con 58</w:t>
      </w:r>
      <w:r>
        <w:rPr>
          <w:bCs/>
          <w:lang w:val="es-MX" w:eastAsia="es-MX"/>
        </w:rPr>
        <w:t xml:space="preserve"> por ciento</w:t>
      </w:r>
      <w:r w:rsidRPr="00FF2323">
        <w:rPr>
          <w:bCs/>
          <w:lang w:val="es-MX" w:eastAsia="es-MX"/>
        </w:rPr>
        <w:t>.</w:t>
      </w:r>
    </w:p>
    <w:p w14:paraId="2BB95317" w14:textId="77777777" w:rsidR="00FF2323" w:rsidRPr="00FF2323" w:rsidRDefault="00FF2323" w:rsidP="004F019B">
      <w:pPr>
        <w:ind w:right="193"/>
        <w:rPr>
          <w:bCs/>
        </w:rPr>
      </w:pPr>
    </w:p>
    <w:p w14:paraId="2EA89249" w14:textId="6B685F8B" w:rsidR="009D67B1" w:rsidRPr="00FF2323" w:rsidRDefault="009D67B1" w:rsidP="00FF2323">
      <w:pPr>
        <w:ind w:right="193"/>
        <w:jc w:val="center"/>
        <w:rPr>
          <w:b/>
          <w:sz w:val="22"/>
          <w:szCs w:val="22"/>
        </w:rPr>
      </w:pPr>
      <w:r w:rsidRPr="00FF2323">
        <w:rPr>
          <w:b/>
          <w:sz w:val="22"/>
          <w:szCs w:val="22"/>
        </w:rPr>
        <w:t xml:space="preserve">Cuadro 1.- </w:t>
      </w:r>
      <w:r w:rsidR="00273F09" w:rsidRPr="00FF2323">
        <w:rPr>
          <w:b/>
          <w:sz w:val="22"/>
          <w:szCs w:val="22"/>
        </w:rPr>
        <w:t>Distribución del personal ocupado</w:t>
      </w:r>
      <w:r w:rsidR="000A278D" w:rsidRPr="00FF2323">
        <w:rPr>
          <w:rStyle w:val="Refdenotaalpie"/>
          <w:b/>
          <w:sz w:val="22"/>
          <w:szCs w:val="22"/>
          <w:lang w:val="es-MX" w:eastAsia="es-MX"/>
        </w:rPr>
        <w:footnoteReference w:id="1"/>
      </w:r>
      <w:r w:rsidR="00273F09" w:rsidRPr="00FF2323">
        <w:rPr>
          <w:b/>
          <w:sz w:val="22"/>
          <w:szCs w:val="22"/>
        </w:rPr>
        <w:t>, según sector, condición de contratación y sexo</w:t>
      </w:r>
      <w:r w:rsidR="00CF30C5" w:rsidRPr="00FF2323">
        <w:rPr>
          <w:b/>
          <w:sz w:val="22"/>
          <w:szCs w:val="22"/>
        </w:rPr>
        <w:t>, 2020</w:t>
      </w:r>
    </w:p>
    <w:p w14:paraId="0EBA2BC9" w14:textId="39982D45" w:rsidR="009D67B1" w:rsidRDefault="009D67B1" w:rsidP="009D67B1">
      <w:pPr>
        <w:ind w:right="193"/>
        <w:jc w:val="center"/>
        <w:rPr>
          <w:bCs/>
          <w:sz w:val="20"/>
          <w:szCs w:val="20"/>
        </w:rPr>
      </w:pPr>
      <w:r w:rsidRPr="009D67B1">
        <w:rPr>
          <w:noProof/>
        </w:rPr>
        <w:drawing>
          <wp:inline distT="0" distB="0" distL="0" distR="0" wp14:anchorId="3D2E633E" wp14:editId="6D2C8A9B">
            <wp:extent cx="4922988" cy="23336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4052" cy="2348350"/>
                    </a:xfrm>
                    <a:prstGeom prst="rect">
                      <a:avLst/>
                    </a:prstGeom>
                    <a:noFill/>
                    <a:ln>
                      <a:noFill/>
                    </a:ln>
                  </pic:spPr>
                </pic:pic>
              </a:graphicData>
            </a:graphic>
          </wp:inline>
        </w:drawing>
      </w:r>
    </w:p>
    <w:p w14:paraId="4038BD30" w14:textId="77777777" w:rsidR="00FF2323" w:rsidRDefault="00FF2323" w:rsidP="00BE751A">
      <w:pPr>
        <w:ind w:right="193"/>
        <w:jc w:val="center"/>
        <w:rPr>
          <w:b/>
          <w:sz w:val="22"/>
          <w:szCs w:val="22"/>
        </w:rPr>
      </w:pPr>
    </w:p>
    <w:p w14:paraId="6D7FE8E0" w14:textId="1E265933" w:rsidR="00BE751A" w:rsidRPr="00FF2323" w:rsidRDefault="00BE751A" w:rsidP="00BE751A">
      <w:pPr>
        <w:ind w:right="193"/>
        <w:jc w:val="center"/>
        <w:rPr>
          <w:b/>
          <w:sz w:val="22"/>
          <w:szCs w:val="22"/>
        </w:rPr>
      </w:pPr>
      <w:r w:rsidRPr="00FF2323">
        <w:rPr>
          <w:b/>
          <w:sz w:val="22"/>
          <w:szCs w:val="22"/>
        </w:rPr>
        <w:t>Gráfico 1.- Distribución del personal ocupado, según sector, condición de contratación y sexo, 2020</w:t>
      </w:r>
    </w:p>
    <w:p w14:paraId="7B943897" w14:textId="5BBEB519" w:rsidR="00BE751A" w:rsidRDefault="00BE751A" w:rsidP="00FF2323">
      <w:pPr>
        <w:ind w:right="51"/>
        <w:contextualSpacing/>
        <w:jc w:val="center"/>
        <w:rPr>
          <w:bCs/>
          <w:sz w:val="20"/>
          <w:szCs w:val="20"/>
          <w:lang w:val="es-MX" w:eastAsia="es-MX"/>
        </w:rPr>
      </w:pPr>
      <w:r>
        <w:rPr>
          <w:noProof/>
        </w:rPr>
        <w:drawing>
          <wp:inline distT="0" distB="0" distL="0" distR="0" wp14:anchorId="3764CCA9" wp14:editId="537F2FB3">
            <wp:extent cx="5836920" cy="2834640"/>
            <wp:effectExtent l="0" t="0" r="11430" b="3810"/>
            <wp:docPr id="1" name="Gráfico 1">
              <a:extLst xmlns:a="http://schemas.openxmlformats.org/drawingml/2006/main">
                <a:ext uri="{FF2B5EF4-FFF2-40B4-BE49-F238E27FC236}">
                  <a16:creationId xmlns:a16="http://schemas.microsoft.com/office/drawing/2014/main" id="{C716DE0A-2C06-4A58-924E-7CA089440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BC4143" w14:textId="77777777" w:rsidR="00FE55DB" w:rsidRDefault="00FE55DB" w:rsidP="00FF2323">
      <w:pPr>
        <w:jc w:val="center"/>
        <w:rPr>
          <w:b/>
          <w:sz w:val="22"/>
          <w:szCs w:val="22"/>
          <w:lang w:val="es-MX" w:eastAsia="es-MX"/>
        </w:rPr>
      </w:pPr>
    </w:p>
    <w:p w14:paraId="48FCBCE1" w14:textId="77777777" w:rsidR="00FE55DB" w:rsidRDefault="00FE55DB" w:rsidP="00FF2323">
      <w:pPr>
        <w:jc w:val="center"/>
        <w:rPr>
          <w:b/>
          <w:sz w:val="22"/>
          <w:szCs w:val="22"/>
          <w:lang w:val="es-MX" w:eastAsia="es-MX"/>
        </w:rPr>
      </w:pPr>
    </w:p>
    <w:p w14:paraId="0F8434C9" w14:textId="77777777" w:rsidR="00FE55DB" w:rsidRDefault="00FE55DB" w:rsidP="00FF2323">
      <w:pPr>
        <w:jc w:val="center"/>
        <w:rPr>
          <w:b/>
          <w:sz w:val="22"/>
          <w:szCs w:val="22"/>
          <w:lang w:val="es-MX" w:eastAsia="es-MX"/>
        </w:rPr>
      </w:pPr>
    </w:p>
    <w:p w14:paraId="2415D237" w14:textId="22E6E8F8" w:rsidR="009D67B1" w:rsidRPr="00FF2323" w:rsidRDefault="005562F2" w:rsidP="00FF2323">
      <w:pPr>
        <w:jc w:val="center"/>
        <w:rPr>
          <w:b/>
          <w:sz w:val="22"/>
          <w:szCs w:val="22"/>
          <w:lang w:val="es-MX" w:eastAsia="es-MX"/>
        </w:rPr>
      </w:pPr>
      <w:r w:rsidRPr="00FF2323">
        <w:rPr>
          <w:b/>
          <w:sz w:val="22"/>
          <w:szCs w:val="22"/>
          <w:lang w:val="es-MX" w:eastAsia="es-MX"/>
        </w:rPr>
        <w:t>Cuadro 2.- Distribución porcentual del consumo de bienes y servicios, según sector, 2020</w:t>
      </w:r>
    </w:p>
    <w:p w14:paraId="4DD58B5D" w14:textId="14505E82" w:rsidR="00D93C99" w:rsidRDefault="00D93C99" w:rsidP="000E3892">
      <w:pPr>
        <w:ind w:right="51"/>
        <w:contextualSpacing/>
        <w:rPr>
          <w:bCs/>
          <w:sz w:val="20"/>
          <w:szCs w:val="20"/>
          <w:lang w:val="es-MX" w:eastAsia="es-MX"/>
        </w:rPr>
      </w:pPr>
    </w:p>
    <w:p w14:paraId="6A464E08" w14:textId="3A7541C8" w:rsidR="00D93C99" w:rsidRPr="00FF56A4" w:rsidRDefault="00F47A3C" w:rsidP="0051217B">
      <w:pPr>
        <w:ind w:right="51"/>
        <w:contextualSpacing/>
        <w:jc w:val="center"/>
        <w:rPr>
          <w:bCs/>
          <w:sz w:val="20"/>
          <w:szCs w:val="20"/>
          <w:lang w:val="es-MX" w:eastAsia="es-MX"/>
        </w:rPr>
      </w:pPr>
      <w:r w:rsidRPr="00F47A3C">
        <w:rPr>
          <w:noProof/>
        </w:rPr>
        <w:drawing>
          <wp:inline distT="0" distB="0" distL="0" distR="0" wp14:anchorId="5A048BD9" wp14:editId="60DA85A9">
            <wp:extent cx="6333490" cy="37915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3490" cy="3791585"/>
                    </a:xfrm>
                    <a:prstGeom prst="rect">
                      <a:avLst/>
                    </a:prstGeom>
                    <a:noFill/>
                    <a:ln>
                      <a:noFill/>
                    </a:ln>
                  </pic:spPr>
                </pic:pic>
              </a:graphicData>
            </a:graphic>
          </wp:inline>
        </w:drawing>
      </w:r>
    </w:p>
    <w:p w14:paraId="6CC56A40" w14:textId="6C8A1268" w:rsidR="009D67B1" w:rsidRPr="009D67B1" w:rsidRDefault="009D67B1" w:rsidP="000E3892">
      <w:pPr>
        <w:ind w:right="51"/>
        <w:contextualSpacing/>
        <w:rPr>
          <w:bCs/>
          <w:sz w:val="20"/>
          <w:szCs w:val="20"/>
          <w:lang w:val="es-MX" w:eastAsia="es-MX"/>
        </w:rPr>
      </w:pPr>
    </w:p>
    <w:p w14:paraId="6816CE4F" w14:textId="77777777" w:rsidR="00FE55DB" w:rsidRDefault="00FE55DB" w:rsidP="00FF2323">
      <w:pPr>
        <w:ind w:right="51"/>
        <w:contextualSpacing/>
        <w:jc w:val="center"/>
        <w:rPr>
          <w:b/>
          <w:sz w:val="22"/>
          <w:szCs w:val="22"/>
        </w:rPr>
      </w:pPr>
    </w:p>
    <w:p w14:paraId="631F80CC" w14:textId="77777777" w:rsidR="00FE55DB" w:rsidRDefault="00FE55DB" w:rsidP="00FF2323">
      <w:pPr>
        <w:ind w:right="51"/>
        <w:contextualSpacing/>
        <w:jc w:val="center"/>
        <w:rPr>
          <w:b/>
          <w:sz w:val="22"/>
          <w:szCs w:val="22"/>
        </w:rPr>
      </w:pPr>
    </w:p>
    <w:p w14:paraId="048FB2DD" w14:textId="77777777" w:rsidR="00FE55DB" w:rsidRDefault="00FE55DB" w:rsidP="00FF2323">
      <w:pPr>
        <w:ind w:right="51"/>
        <w:contextualSpacing/>
        <w:jc w:val="center"/>
        <w:rPr>
          <w:b/>
          <w:sz w:val="22"/>
          <w:szCs w:val="22"/>
        </w:rPr>
      </w:pPr>
    </w:p>
    <w:p w14:paraId="1B6A43CE" w14:textId="4A9D032D" w:rsidR="0048063D" w:rsidRPr="00FF2323" w:rsidRDefault="0048063D" w:rsidP="00FF2323">
      <w:pPr>
        <w:ind w:right="51"/>
        <w:contextualSpacing/>
        <w:jc w:val="center"/>
        <w:rPr>
          <w:bCs/>
          <w:sz w:val="22"/>
          <w:szCs w:val="22"/>
          <w:lang w:val="es-MX"/>
        </w:rPr>
      </w:pPr>
      <w:r w:rsidRPr="00FF2323">
        <w:rPr>
          <w:b/>
          <w:sz w:val="22"/>
          <w:szCs w:val="22"/>
        </w:rPr>
        <w:t xml:space="preserve">Gráfico 2.- </w:t>
      </w:r>
      <w:r w:rsidRPr="00FF2323">
        <w:rPr>
          <w:b/>
          <w:sz w:val="22"/>
          <w:szCs w:val="22"/>
          <w:lang w:val="es-MX"/>
        </w:rPr>
        <w:t>Distribución</w:t>
      </w:r>
      <w:r w:rsidRPr="00FF2323">
        <w:rPr>
          <w:b/>
          <w:bCs/>
          <w:sz w:val="22"/>
          <w:szCs w:val="22"/>
          <w:lang w:val="es-MX"/>
        </w:rPr>
        <w:t xml:space="preserve"> porcentual del consumo de bienes y servicios</w:t>
      </w:r>
      <w:r w:rsidR="00351D80">
        <w:rPr>
          <w:b/>
          <w:bCs/>
          <w:sz w:val="22"/>
          <w:szCs w:val="22"/>
          <w:lang w:val="es-MX"/>
        </w:rPr>
        <w:t>.</w:t>
      </w:r>
      <w:r w:rsidRPr="00FF2323">
        <w:rPr>
          <w:b/>
          <w:bCs/>
          <w:sz w:val="22"/>
          <w:szCs w:val="22"/>
          <w:lang w:val="es-MX"/>
        </w:rPr>
        <w:t xml:space="preserve"> Información en medios masivos</w:t>
      </w:r>
      <w:r w:rsidR="006B3EAE" w:rsidRPr="00FF2323">
        <w:rPr>
          <w:b/>
          <w:bCs/>
          <w:sz w:val="22"/>
          <w:szCs w:val="22"/>
          <w:lang w:val="es-MX"/>
        </w:rPr>
        <w:t>, 2020</w:t>
      </w:r>
    </w:p>
    <w:p w14:paraId="6288C38B" w14:textId="427E9AC1" w:rsidR="00DF20F0" w:rsidRDefault="0048063D" w:rsidP="00F47A3C">
      <w:pPr>
        <w:ind w:right="51"/>
        <w:contextualSpacing/>
        <w:jc w:val="center"/>
        <w:rPr>
          <w:bCs/>
          <w:sz w:val="20"/>
          <w:szCs w:val="20"/>
        </w:rPr>
      </w:pPr>
      <w:r>
        <w:rPr>
          <w:noProof/>
        </w:rPr>
        <w:drawing>
          <wp:inline distT="0" distB="0" distL="0" distR="0" wp14:anchorId="1369B475" wp14:editId="1A0BA938">
            <wp:extent cx="5762625" cy="3200400"/>
            <wp:effectExtent l="0" t="0" r="9525" b="0"/>
            <wp:docPr id="20" name="Gráfico 20">
              <a:extLst xmlns:a="http://schemas.openxmlformats.org/drawingml/2006/main">
                <a:ext uri="{FF2B5EF4-FFF2-40B4-BE49-F238E27FC236}">
                  <a16:creationId xmlns:a16="http://schemas.microsoft.com/office/drawing/2014/main" id="{1DFA0FDD-3BB2-4ED9-AD63-EF11A725B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A8106B" w14:textId="77777777" w:rsidR="00FF2323" w:rsidRDefault="00BC7FBC" w:rsidP="00DF20F0">
      <w:pPr>
        <w:ind w:right="51"/>
        <w:contextualSpacing/>
        <w:rPr>
          <w:bCs/>
          <w:sz w:val="20"/>
          <w:szCs w:val="20"/>
        </w:rPr>
      </w:pPr>
      <w:r>
        <w:rPr>
          <w:bCs/>
          <w:sz w:val="20"/>
          <w:szCs w:val="20"/>
        </w:rPr>
        <w:t>.</w:t>
      </w:r>
    </w:p>
    <w:p w14:paraId="5ED74EB8" w14:textId="77777777" w:rsidR="00FF2323" w:rsidRDefault="00FF2323" w:rsidP="00DF20F0">
      <w:pPr>
        <w:ind w:right="51"/>
        <w:contextualSpacing/>
        <w:rPr>
          <w:b/>
          <w:sz w:val="20"/>
          <w:szCs w:val="20"/>
        </w:rPr>
      </w:pPr>
    </w:p>
    <w:p w14:paraId="03054CBA" w14:textId="6D0C93B4" w:rsidR="00FF2323" w:rsidRPr="00FF2323" w:rsidRDefault="00FF2323" w:rsidP="00FF2323">
      <w:pPr>
        <w:ind w:right="51"/>
        <w:contextualSpacing/>
        <w:rPr>
          <w:bCs/>
          <w:lang w:val="es-MX"/>
        </w:rPr>
      </w:pPr>
      <w:r w:rsidRPr="00FF2323">
        <w:rPr>
          <w:bCs/>
        </w:rPr>
        <w:t xml:space="preserve">Por su parte, en los </w:t>
      </w:r>
      <w:r>
        <w:rPr>
          <w:bCs/>
        </w:rPr>
        <w:t>s</w:t>
      </w:r>
      <w:r w:rsidRPr="00FF2323">
        <w:rPr>
          <w:bCs/>
        </w:rPr>
        <w:t>ervicios educativos 30% del consumo de bienes y servicios corresponde a otros gastos, mientras que 29% se refiere materiales consumidos para la prestación de servicios</w:t>
      </w:r>
    </w:p>
    <w:p w14:paraId="5AC2ECDA" w14:textId="77777777" w:rsidR="00FF2323" w:rsidRDefault="00FF2323" w:rsidP="00FF2323">
      <w:pPr>
        <w:ind w:right="51"/>
        <w:contextualSpacing/>
        <w:jc w:val="center"/>
        <w:rPr>
          <w:b/>
          <w:sz w:val="22"/>
          <w:szCs w:val="22"/>
        </w:rPr>
      </w:pPr>
    </w:p>
    <w:p w14:paraId="4B030913" w14:textId="43E42919" w:rsidR="00DF20F0" w:rsidRPr="00FF2323" w:rsidRDefault="00DF20F0" w:rsidP="00FF2323">
      <w:pPr>
        <w:ind w:right="51"/>
        <w:contextualSpacing/>
        <w:jc w:val="center"/>
        <w:rPr>
          <w:b/>
          <w:bCs/>
          <w:sz w:val="22"/>
          <w:szCs w:val="22"/>
          <w:lang w:val="es-MX"/>
        </w:rPr>
      </w:pPr>
      <w:r w:rsidRPr="00FF2323">
        <w:rPr>
          <w:b/>
          <w:sz w:val="22"/>
          <w:szCs w:val="22"/>
        </w:rPr>
        <w:t xml:space="preserve">Gráfico 3.- </w:t>
      </w:r>
      <w:r w:rsidRPr="00FF2323">
        <w:rPr>
          <w:b/>
          <w:sz w:val="22"/>
          <w:szCs w:val="22"/>
          <w:lang w:val="es-MX"/>
        </w:rPr>
        <w:t>Distribución</w:t>
      </w:r>
      <w:r w:rsidRPr="00FF2323">
        <w:rPr>
          <w:b/>
          <w:bCs/>
          <w:sz w:val="22"/>
          <w:szCs w:val="22"/>
          <w:lang w:val="es-MX"/>
        </w:rPr>
        <w:t xml:space="preserve"> porcentual del consumo de bienes y servicios</w:t>
      </w:r>
      <w:r w:rsidR="00FF2323">
        <w:rPr>
          <w:b/>
          <w:bCs/>
          <w:sz w:val="22"/>
          <w:szCs w:val="22"/>
          <w:lang w:val="es-MX"/>
        </w:rPr>
        <w:t>. S</w:t>
      </w:r>
      <w:r w:rsidR="003359FB" w:rsidRPr="00FF2323">
        <w:rPr>
          <w:b/>
          <w:bCs/>
          <w:sz w:val="22"/>
          <w:szCs w:val="22"/>
          <w:lang w:val="es-MX"/>
        </w:rPr>
        <w:t>ervicios educativos</w:t>
      </w:r>
      <w:r w:rsidR="006B3EAE" w:rsidRPr="00FF2323">
        <w:rPr>
          <w:b/>
          <w:bCs/>
          <w:sz w:val="22"/>
          <w:szCs w:val="22"/>
          <w:lang w:val="es-MX"/>
        </w:rPr>
        <w:t>, 2020</w:t>
      </w:r>
    </w:p>
    <w:p w14:paraId="1E80E380" w14:textId="1D8BDBD2" w:rsidR="00DF20F0" w:rsidRDefault="003359FB" w:rsidP="003359FB">
      <w:pPr>
        <w:ind w:right="51"/>
        <w:contextualSpacing/>
        <w:jc w:val="center"/>
        <w:rPr>
          <w:bCs/>
          <w:sz w:val="20"/>
          <w:szCs w:val="20"/>
        </w:rPr>
      </w:pPr>
      <w:r>
        <w:rPr>
          <w:noProof/>
        </w:rPr>
        <w:drawing>
          <wp:inline distT="0" distB="0" distL="0" distR="0" wp14:anchorId="197CB872" wp14:editId="36A6911E">
            <wp:extent cx="5524500" cy="3482340"/>
            <wp:effectExtent l="0" t="0" r="0" b="3810"/>
            <wp:docPr id="21" name="Gráfico 21">
              <a:extLst xmlns:a="http://schemas.openxmlformats.org/drawingml/2006/main">
                <a:ext uri="{FF2B5EF4-FFF2-40B4-BE49-F238E27FC236}">
                  <a16:creationId xmlns:a16="http://schemas.microsoft.com/office/drawing/2014/main" id="{A47C9C08-B115-4E62-86B1-FDD20F76A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9E4D5C3" w14:textId="407FD3BF" w:rsidR="00DF20F0" w:rsidRDefault="00DF20F0" w:rsidP="000E3892">
      <w:pPr>
        <w:ind w:right="51"/>
        <w:contextualSpacing/>
        <w:rPr>
          <w:bCs/>
          <w:sz w:val="20"/>
          <w:szCs w:val="20"/>
        </w:rPr>
      </w:pPr>
    </w:p>
    <w:p w14:paraId="377EF0EF" w14:textId="2205DA9A" w:rsidR="00670100" w:rsidRPr="00FF2323" w:rsidRDefault="00670100" w:rsidP="00FF2323">
      <w:pPr>
        <w:ind w:right="51"/>
        <w:contextualSpacing/>
        <w:jc w:val="center"/>
        <w:rPr>
          <w:b/>
          <w:bCs/>
          <w:sz w:val="22"/>
          <w:szCs w:val="22"/>
          <w:lang w:val="es-MX"/>
        </w:rPr>
      </w:pPr>
      <w:r w:rsidRPr="00FF2323">
        <w:rPr>
          <w:b/>
          <w:sz w:val="22"/>
          <w:szCs w:val="22"/>
        </w:rPr>
        <w:t xml:space="preserve">Gráfico 4.- </w:t>
      </w:r>
      <w:r w:rsidRPr="00FF2323">
        <w:rPr>
          <w:b/>
          <w:sz w:val="22"/>
          <w:szCs w:val="22"/>
          <w:lang w:val="es-MX"/>
        </w:rPr>
        <w:t>Distribución</w:t>
      </w:r>
      <w:r w:rsidRPr="00FF2323">
        <w:rPr>
          <w:b/>
          <w:bCs/>
          <w:sz w:val="22"/>
          <w:szCs w:val="22"/>
          <w:lang w:val="es-MX"/>
        </w:rPr>
        <w:t xml:space="preserve"> porcentual del consumo de bienes y servicios</w:t>
      </w:r>
      <w:r w:rsidR="00351D80">
        <w:rPr>
          <w:b/>
          <w:bCs/>
          <w:sz w:val="22"/>
          <w:szCs w:val="22"/>
          <w:lang w:val="es-MX"/>
        </w:rPr>
        <w:t>. S</w:t>
      </w:r>
      <w:r w:rsidRPr="00FF2323">
        <w:rPr>
          <w:b/>
          <w:bCs/>
          <w:sz w:val="22"/>
          <w:szCs w:val="22"/>
          <w:lang w:val="es-MX"/>
        </w:rPr>
        <w:t>ervicios de alojamiento temporal y de preparación de alimentos y bebidas</w:t>
      </w:r>
      <w:r w:rsidR="006B3EAE" w:rsidRPr="00FF2323">
        <w:rPr>
          <w:b/>
          <w:bCs/>
          <w:sz w:val="22"/>
          <w:szCs w:val="22"/>
          <w:lang w:val="es-MX"/>
        </w:rPr>
        <w:t>, 2020</w:t>
      </w:r>
    </w:p>
    <w:p w14:paraId="7D82844F" w14:textId="7BC44ECB" w:rsidR="00DF20F0" w:rsidRDefault="001E6469" w:rsidP="001E6469">
      <w:pPr>
        <w:ind w:right="51"/>
        <w:contextualSpacing/>
        <w:jc w:val="center"/>
        <w:rPr>
          <w:bCs/>
          <w:sz w:val="20"/>
          <w:szCs w:val="20"/>
        </w:rPr>
      </w:pPr>
      <w:r>
        <w:rPr>
          <w:noProof/>
        </w:rPr>
        <w:drawing>
          <wp:inline distT="0" distB="0" distL="0" distR="0" wp14:anchorId="350FBDAE" wp14:editId="2F1A0165">
            <wp:extent cx="5394960" cy="2933700"/>
            <wp:effectExtent l="0" t="0" r="15240" b="0"/>
            <wp:docPr id="24" name="Gráfico 24">
              <a:extLst xmlns:a="http://schemas.openxmlformats.org/drawingml/2006/main">
                <a:ext uri="{FF2B5EF4-FFF2-40B4-BE49-F238E27FC236}">
                  <a16:creationId xmlns:a16="http://schemas.microsoft.com/office/drawing/2014/main" id="{BC670AE1-65DB-4E4D-8FEF-07387F3B2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FEB2362" w14:textId="77777777" w:rsidR="00FE55DB" w:rsidRDefault="00FE55DB" w:rsidP="000E3892">
      <w:pPr>
        <w:ind w:right="51"/>
        <w:contextualSpacing/>
        <w:rPr>
          <w:lang w:val="es-MX"/>
        </w:rPr>
      </w:pPr>
    </w:p>
    <w:p w14:paraId="606B5AE7" w14:textId="77777777" w:rsidR="00FE55DB" w:rsidRDefault="00FE55DB" w:rsidP="000E3892">
      <w:pPr>
        <w:ind w:right="51"/>
        <w:contextualSpacing/>
        <w:rPr>
          <w:lang w:val="es-MX"/>
        </w:rPr>
      </w:pPr>
    </w:p>
    <w:p w14:paraId="7DDB79BB" w14:textId="6AB943CF" w:rsidR="00600963" w:rsidRPr="00351D80" w:rsidRDefault="00600963" w:rsidP="000E3892">
      <w:pPr>
        <w:ind w:right="51"/>
        <w:contextualSpacing/>
        <w:rPr>
          <w:lang w:val="es-MX"/>
        </w:rPr>
      </w:pPr>
      <w:r w:rsidRPr="00351D80">
        <w:rPr>
          <w:lang w:val="es-MX"/>
        </w:rPr>
        <w:t xml:space="preserve">En los </w:t>
      </w:r>
      <w:r w:rsidR="00351D80">
        <w:rPr>
          <w:lang w:val="es-MX"/>
        </w:rPr>
        <w:t>S</w:t>
      </w:r>
      <w:r w:rsidRPr="00351D80">
        <w:rPr>
          <w:lang w:val="es-MX"/>
        </w:rPr>
        <w:t xml:space="preserve">ervicios de alojamiento temporal y de preparación de alimentos y bebidas, 51% del consumo corresponde a materiales consumidos para la prestación de servicios, </w:t>
      </w:r>
      <w:r w:rsidR="00596B59" w:rsidRPr="00351D80">
        <w:rPr>
          <w:lang w:val="es-MX"/>
        </w:rPr>
        <w:t>mientras que</w:t>
      </w:r>
      <w:r w:rsidR="00351D80">
        <w:rPr>
          <w:lang w:val="es-MX"/>
        </w:rPr>
        <w:t xml:space="preserve"> </w:t>
      </w:r>
      <w:r w:rsidR="00596B59" w:rsidRPr="00351D80">
        <w:rPr>
          <w:lang w:val="es-MX"/>
        </w:rPr>
        <w:t>11% se destina al suministro de personal.</w:t>
      </w:r>
    </w:p>
    <w:p w14:paraId="451A3B20" w14:textId="47A93860" w:rsidR="00AE7646" w:rsidRDefault="00AE7646">
      <w:pPr>
        <w:jc w:val="left"/>
        <w:rPr>
          <w:bCs/>
          <w:sz w:val="20"/>
          <w:szCs w:val="20"/>
        </w:rPr>
      </w:pPr>
    </w:p>
    <w:p w14:paraId="6A41006B" w14:textId="5B6B8CBB" w:rsidR="00DF20F0" w:rsidRPr="00351D80" w:rsidRDefault="008C76F2" w:rsidP="00351D80">
      <w:pPr>
        <w:ind w:right="51"/>
        <w:contextualSpacing/>
        <w:jc w:val="center"/>
        <w:rPr>
          <w:b/>
          <w:sz w:val="22"/>
          <w:szCs w:val="22"/>
          <w:lang w:val="es-MX" w:eastAsia="es-MX"/>
        </w:rPr>
      </w:pPr>
      <w:r w:rsidRPr="00351D80">
        <w:rPr>
          <w:b/>
          <w:sz w:val="22"/>
          <w:szCs w:val="22"/>
          <w:lang w:val="es-MX" w:eastAsia="es-MX"/>
        </w:rPr>
        <w:t>Cuadro 3.- Distribución porcentual de ingresos por suministro de bienes y servicios, según sector, 2020</w:t>
      </w:r>
    </w:p>
    <w:p w14:paraId="342CBF65" w14:textId="08ED74A4" w:rsidR="00DF20F0" w:rsidRDefault="002D110C" w:rsidP="00351D80">
      <w:pPr>
        <w:ind w:right="51"/>
        <w:contextualSpacing/>
        <w:jc w:val="center"/>
        <w:rPr>
          <w:bCs/>
          <w:sz w:val="20"/>
          <w:szCs w:val="20"/>
        </w:rPr>
      </w:pPr>
      <w:r w:rsidRPr="002D110C">
        <w:rPr>
          <w:noProof/>
        </w:rPr>
        <w:drawing>
          <wp:inline distT="0" distB="0" distL="0" distR="0" wp14:anchorId="0BD1C7BD" wp14:editId="22CCE2E7">
            <wp:extent cx="6229350" cy="2741189"/>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41415" cy="2746498"/>
                    </a:xfrm>
                    <a:prstGeom prst="rect">
                      <a:avLst/>
                    </a:prstGeom>
                    <a:noFill/>
                    <a:ln>
                      <a:noFill/>
                    </a:ln>
                  </pic:spPr>
                </pic:pic>
              </a:graphicData>
            </a:graphic>
          </wp:inline>
        </w:drawing>
      </w:r>
    </w:p>
    <w:p w14:paraId="53339E27" w14:textId="7E472FD5" w:rsidR="003E590D" w:rsidRDefault="003E590D" w:rsidP="000E3892">
      <w:pPr>
        <w:ind w:right="51"/>
        <w:contextualSpacing/>
        <w:rPr>
          <w:bCs/>
          <w:sz w:val="20"/>
          <w:szCs w:val="20"/>
        </w:rPr>
      </w:pPr>
    </w:p>
    <w:p w14:paraId="23B0DEEF" w14:textId="77777777" w:rsidR="00FE55DB" w:rsidRDefault="00FE55DB" w:rsidP="00351D80">
      <w:pPr>
        <w:ind w:right="51"/>
        <w:contextualSpacing/>
        <w:rPr>
          <w:bCs/>
        </w:rPr>
      </w:pPr>
    </w:p>
    <w:p w14:paraId="6DF75C68" w14:textId="77777777" w:rsidR="00FE55DB" w:rsidRDefault="00FE55DB" w:rsidP="00351D80">
      <w:pPr>
        <w:ind w:right="51"/>
        <w:contextualSpacing/>
        <w:rPr>
          <w:bCs/>
        </w:rPr>
      </w:pPr>
    </w:p>
    <w:p w14:paraId="4946BB5D" w14:textId="77777777" w:rsidR="00FE55DB" w:rsidRDefault="00FE55DB" w:rsidP="00351D80">
      <w:pPr>
        <w:ind w:right="51"/>
        <w:contextualSpacing/>
        <w:rPr>
          <w:bCs/>
        </w:rPr>
      </w:pPr>
    </w:p>
    <w:p w14:paraId="35A0A907" w14:textId="77777777" w:rsidR="00FE55DB" w:rsidRDefault="00FE55DB" w:rsidP="00351D80">
      <w:pPr>
        <w:ind w:right="51"/>
        <w:contextualSpacing/>
        <w:rPr>
          <w:bCs/>
        </w:rPr>
      </w:pPr>
    </w:p>
    <w:p w14:paraId="4CC8B0B3" w14:textId="77777777" w:rsidR="00FE55DB" w:rsidRDefault="00FE55DB" w:rsidP="00351D80">
      <w:pPr>
        <w:ind w:right="51"/>
        <w:contextualSpacing/>
        <w:rPr>
          <w:bCs/>
        </w:rPr>
      </w:pPr>
    </w:p>
    <w:p w14:paraId="2B3274E1" w14:textId="6F8141DD" w:rsidR="00351D80" w:rsidRPr="00351D80" w:rsidRDefault="00351D80" w:rsidP="00351D80">
      <w:pPr>
        <w:ind w:right="51"/>
        <w:contextualSpacing/>
        <w:rPr>
          <w:bCs/>
          <w:lang w:val="es-MX" w:eastAsia="es-MX"/>
        </w:rPr>
      </w:pPr>
      <w:r w:rsidRPr="00351D80">
        <w:rPr>
          <w:bCs/>
        </w:rPr>
        <w:t xml:space="preserve">Con relación a los </w:t>
      </w:r>
      <w:r w:rsidRPr="00351D80">
        <w:rPr>
          <w:bCs/>
          <w:lang w:val="es-MX" w:eastAsia="es-MX"/>
        </w:rPr>
        <w:t>ingresos por suministro de bienes y servicios, en las actividades de esparcimiento culturales y deportivos, y otros servicios recreativos, 84% corresponde a la prestación de servicios y 10% a otros ingresos</w:t>
      </w:r>
    </w:p>
    <w:p w14:paraId="1A0B897E" w14:textId="77777777" w:rsidR="00351D80" w:rsidRPr="00351D80" w:rsidRDefault="00351D80" w:rsidP="00351D80">
      <w:pPr>
        <w:ind w:right="51"/>
        <w:contextualSpacing/>
        <w:jc w:val="center"/>
        <w:rPr>
          <w:b/>
          <w:sz w:val="22"/>
          <w:szCs w:val="22"/>
        </w:rPr>
      </w:pPr>
    </w:p>
    <w:p w14:paraId="1C798BE2" w14:textId="1F765074" w:rsidR="00B67177" w:rsidRPr="00351D80" w:rsidRDefault="0051217B" w:rsidP="00351D80">
      <w:pPr>
        <w:ind w:right="51"/>
        <w:contextualSpacing/>
        <w:jc w:val="center"/>
        <w:rPr>
          <w:b/>
          <w:sz w:val="22"/>
          <w:szCs w:val="22"/>
          <w:lang w:val="es-MX" w:eastAsia="es-MX"/>
        </w:rPr>
      </w:pPr>
      <w:r w:rsidRPr="00351D80">
        <w:rPr>
          <w:b/>
          <w:sz w:val="22"/>
          <w:szCs w:val="22"/>
        </w:rPr>
        <w:t xml:space="preserve">Gráfico 5.- </w:t>
      </w:r>
      <w:r w:rsidRPr="00351D80">
        <w:rPr>
          <w:b/>
          <w:sz w:val="22"/>
          <w:szCs w:val="22"/>
          <w:lang w:val="es-MX"/>
        </w:rPr>
        <w:t>Distribución</w:t>
      </w:r>
      <w:r w:rsidRPr="00351D80">
        <w:rPr>
          <w:b/>
          <w:bCs/>
          <w:sz w:val="22"/>
          <w:szCs w:val="22"/>
          <w:lang w:val="es-MX"/>
        </w:rPr>
        <w:t xml:space="preserve"> porcentual </w:t>
      </w:r>
      <w:r w:rsidRPr="00351D80">
        <w:rPr>
          <w:b/>
          <w:sz w:val="22"/>
          <w:szCs w:val="22"/>
          <w:lang w:val="es-MX" w:eastAsia="es-MX"/>
        </w:rPr>
        <w:t>de ingresos por suministro de bienes y servicios</w:t>
      </w:r>
      <w:r w:rsidR="00351D80">
        <w:rPr>
          <w:b/>
          <w:sz w:val="22"/>
          <w:szCs w:val="22"/>
          <w:lang w:val="es-MX" w:eastAsia="es-MX"/>
        </w:rPr>
        <w:t>.</w:t>
      </w:r>
      <w:r w:rsidRPr="00351D80">
        <w:rPr>
          <w:b/>
          <w:sz w:val="22"/>
          <w:szCs w:val="22"/>
          <w:lang w:val="es-MX" w:eastAsia="es-MX"/>
        </w:rPr>
        <w:t xml:space="preserve"> </w:t>
      </w:r>
      <w:r w:rsidR="006B3EAE" w:rsidRPr="00351D80">
        <w:rPr>
          <w:b/>
          <w:sz w:val="22"/>
          <w:szCs w:val="22"/>
          <w:lang w:val="es-MX" w:eastAsia="es-MX"/>
        </w:rPr>
        <w:t>Servicios de esparcimiento culturales y deportivos, y otros servicios recreativos, 2020</w:t>
      </w:r>
    </w:p>
    <w:p w14:paraId="3D31C31B" w14:textId="57CFA239" w:rsidR="003E590D" w:rsidRDefault="006B3EAE" w:rsidP="006B3EAE">
      <w:pPr>
        <w:ind w:right="51"/>
        <w:contextualSpacing/>
        <w:jc w:val="center"/>
        <w:rPr>
          <w:bCs/>
          <w:sz w:val="20"/>
          <w:szCs w:val="20"/>
        </w:rPr>
      </w:pPr>
      <w:r>
        <w:rPr>
          <w:noProof/>
        </w:rPr>
        <w:drawing>
          <wp:inline distT="0" distB="0" distL="0" distR="0" wp14:anchorId="538F3E05" wp14:editId="405E987E">
            <wp:extent cx="5657850" cy="3295650"/>
            <wp:effectExtent l="0" t="0" r="0" b="0"/>
            <wp:docPr id="27" name="Gráfico 27">
              <a:extLst xmlns:a="http://schemas.openxmlformats.org/drawingml/2006/main">
                <a:ext uri="{FF2B5EF4-FFF2-40B4-BE49-F238E27FC236}">
                  <a16:creationId xmlns:a16="http://schemas.microsoft.com/office/drawing/2014/main" id="{4E96E472-588D-4433-8F49-069E18A6A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855AA3" w14:textId="77777777" w:rsidR="00FE55DB" w:rsidRDefault="00FE55DB" w:rsidP="00351D80">
      <w:pPr>
        <w:ind w:right="51"/>
        <w:contextualSpacing/>
        <w:rPr>
          <w:bCs/>
        </w:rPr>
      </w:pPr>
    </w:p>
    <w:p w14:paraId="4297D5D1" w14:textId="77777777" w:rsidR="00FE55DB" w:rsidRDefault="00FE55DB" w:rsidP="00351D80">
      <w:pPr>
        <w:ind w:right="51"/>
        <w:contextualSpacing/>
        <w:rPr>
          <w:bCs/>
        </w:rPr>
      </w:pPr>
    </w:p>
    <w:p w14:paraId="546E141E" w14:textId="77777777" w:rsidR="00FE55DB" w:rsidRDefault="00FE55DB" w:rsidP="00351D80">
      <w:pPr>
        <w:ind w:right="51"/>
        <w:contextualSpacing/>
        <w:rPr>
          <w:bCs/>
        </w:rPr>
      </w:pPr>
    </w:p>
    <w:p w14:paraId="0E8D4A10" w14:textId="55F28891" w:rsidR="00351D80" w:rsidRPr="00351D80" w:rsidRDefault="00351D80" w:rsidP="00351D80">
      <w:pPr>
        <w:ind w:right="51"/>
        <w:contextualSpacing/>
        <w:rPr>
          <w:bCs/>
          <w:lang w:val="es-MX"/>
        </w:rPr>
      </w:pPr>
      <w:r w:rsidRPr="00351D80">
        <w:rPr>
          <w:bCs/>
        </w:rPr>
        <w:t xml:space="preserve">Para el caso de los </w:t>
      </w:r>
      <w:r>
        <w:rPr>
          <w:bCs/>
        </w:rPr>
        <w:t>s</w:t>
      </w:r>
      <w:r w:rsidRPr="00351D80">
        <w:rPr>
          <w:bCs/>
        </w:rPr>
        <w:t>ervicios profesionales, científicos y técnicos, 97% de los ingresos se obtienen por la prestación de servicios</w:t>
      </w:r>
    </w:p>
    <w:p w14:paraId="5F591E01" w14:textId="1E069CE4" w:rsidR="003E590D" w:rsidRDefault="003E590D" w:rsidP="00B37CD1">
      <w:pPr>
        <w:ind w:right="51"/>
        <w:contextualSpacing/>
        <w:rPr>
          <w:bCs/>
          <w:sz w:val="20"/>
          <w:szCs w:val="20"/>
        </w:rPr>
      </w:pPr>
    </w:p>
    <w:p w14:paraId="7EBD9012" w14:textId="494CFA0D" w:rsidR="00FE55DB" w:rsidRDefault="00FE55DB" w:rsidP="00B37CD1">
      <w:pPr>
        <w:ind w:right="51"/>
        <w:contextualSpacing/>
        <w:rPr>
          <w:bCs/>
          <w:sz w:val="20"/>
          <w:szCs w:val="20"/>
        </w:rPr>
      </w:pPr>
    </w:p>
    <w:p w14:paraId="292193C6" w14:textId="082EDE9C" w:rsidR="00FE55DB" w:rsidRDefault="00FE55DB" w:rsidP="00B37CD1">
      <w:pPr>
        <w:ind w:right="51"/>
        <w:contextualSpacing/>
        <w:rPr>
          <w:bCs/>
          <w:sz w:val="20"/>
          <w:szCs w:val="20"/>
        </w:rPr>
      </w:pPr>
    </w:p>
    <w:p w14:paraId="091ECBAF" w14:textId="7D78B736" w:rsidR="00FE55DB" w:rsidRDefault="00FE55DB" w:rsidP="00B37CD1">
      <w:pPr>
        <w:ind w:right="51"/>
        <w:contextualSpacing/>
        <w:rPr>
          <w:bCs/>
          <w:sz w:val="20"/>
          <w:szCs w:val="20"/>
        </w:rPr>
      </w:pPr>
    </w:p>
    <w:p w14:paraId="1B198D21" w14:textId="3E47DDDD" w:rsidR="00FE55DB" w:rsidRDefault="00FE55DB" w:rsidP="00B37CD1">
      <w:pPr>
        <w:ind w:right="51"/>
        <w:contextualSpacing/>
        <w:rPr>
          <w:bCs/>
          <w:sz w:val="20"/>
          <w:szCs w:val="20"/>
        </w:rPr>
      </w:pPr>
    </w:p>
    <w:p w14:paraId="66174DEF" w14:textId="2715C42F" w:rsidR="00FE55DB" w:rsidRDefault="00FE55DB" w:rsidP="00B37CD1">
      <w:pPr>
        <w:ind w:right="51"/>
        <w:contextualSpacing/>
        <w:rPr>
          <w:bCs/>
          <w:sz w:val="20"/>
          <w:szCs w:val="20"/>
        </w:rPr>
      </w:pPr>
    </w:p>
    <w:p w14:paraId="09140A4E" w14:textId="60DC13E6" w:rsidR="00FE55DB" w:rsidRDefault="00FE55DB" w:rsidP="00B37CD1">
      <w:pPr>
        <w:ind w:right="51"/>
        <w:contextualSpacing/>
        <w:rPr>
          <w:bCs/>
          <w:sz w:val="20"/>
          <w:szCs w:val="20"/>
        </w:rPr>
      </w:pPr>
    </w:p>
    <w:p w14:paraId="75F435EB" w14:textId="34C570A2" w:rsidR="00FE55DB" w:rsidRDefault="00FE55DB" w:rsidP="00B37CD1">
      <w:pPr>
        <w:ind w:right="51"/>
        <w:contextualSpacing/>
        <w:rPr>
          <w:bCs/>
          <w:sz w:val="20"/>
          <w:szCs w:val="20"/>
        </w:rPr>
      </w:pPr>
    </w:p>
    <w:p w14:paraId="157EBEDC" w14:textId="3A6CC6C1" w:rsidR="00FE55DB" w:rsidRDefault="00FE55DB" w:rsidP="00B37CD1">
      <w:pPr>
        <w:ind w:right="51"/>
        <w:contextualSpacing/>
        <w:rPr>
          <w:bCs/>
          <w:sz w:val="20"/>
          <w:szCs w:val="20"/>
        </w:rPr>
      </w:pPr>
    </w:p>
    <w:p w14:paraId="7A11A2DE" w14:textId="11A206CD" w:rsidR="00FE55DB" w:rsidRDefault="00FE55DB" w:rsidP="00B37CD1">
      <w:pPr>
        <w:ind w:right="51"/>
        <w:contextualSpacing/>
        <w:rPr>
          <w:bCs/>
          <w:sz w:val="20"/>
          <w:szCs w:val="20"/>
        </w:rPr>
      </w:pPr>
    </w:p>
    <w:p w14:paraId="0FEBAC89" w14:textId="5F46B0E0" w:rsidR="00FE55DB" w:rsidRDefault="00FE55DB" w:rsidP="00B37CD1">
      <w:pPr>
        <w:ind w:right="51"/>
        <w:contextualSpacing/>
        <w:rPr>
          <w:bCs/>
          <w:sz w:val="20"/>
          <w:szCs w:val="20"/>
        </w:rPr>
      </w:pPr>
    </w:p>
    <w:p w14:paraId="35FC688D" w14:textId="2F43C7A2" w:rsidR="00FE55DB" w:rsidRDefault="00FE55DB" w:rsidP="00B37CD1">
      <w:pPr>
        <w:ind w:right="51"/>
        <w:contextualSpacing/>
        <w:rPr>
          <w:bCs/>
          <w:sz w:val="20"/>
          <w:szCs w:val="20"/>
        </w:rPr>
      </w:pPr>
    </w:p>
    <w:p w14:paraId="564E6698" w14:textId="18C2BFC5" w:rsidR="00FE55DB" w:rsidRDefault="00FE55DB" w:rsidP="00B37CD1">
      <w:pPr>
        <w:ind w:right="51"/>
        <w:contextualSpacing/>
        <w:rPr>
          <w:bCs/>
          <w:sz w:val="20"/>
          <w:szCs w:val="20"/>
        </w:rPr>
      </w:pPr>
    </w:p>
    <w:p w14:paraId="0243A749" w14:textId="78755044" w:rsidR="00FE55DB" w:rsidRDefault="00FE55DB" w:rsidP="00B37CD1">
      <w:pPr>
        <w:ind w:right="51"/>
        <w:contextualSpacing/>
        <w:rPr>
          <w:bCs/>
          <w:sz w:val="20"/>
          <w:szCs w:val="20"/>
        </w:rPr>
      </w:pPr>
    </w:p>
    <w:p w14:paraId="47953C1D" w14:textId="432FF53C" w:rsidR="00FE55DB" w:rsidRDefault="00FE55DB" w:rsidP="00B37CD1">
      <w:pPr>
        <w:ind w:right="51"/>
        <w:contextualSpacing/>
        <w:rPr>
          <w:bCs/>
          <w:sz w:val="20"/>
          <w:szCs w:val="20"/>
        </w:rPr>
      </w:pPr>
    </w:p>
    <w:p w14:paraId="21DFCA54" w14:textId="2161AF97" w:rsidR="00FE55DB" w:rsidRDefault="00FE55DB" w:rsidP="00B37CD1">
      <w:pPr>
        <w:ind w:right="51"/>
        <w:contextualSpacing/>
        <w:rPr>
          <w:bCs/>
          <w:sz w:val="20"/>
          <w:szCs w:val="20"/>
        </w:rPr>
      </w:pPr>
    </w:p>
    <w:p w14:paraId="3B99FABD" w14:textId="1D34F80F" w:rsidR="00FE55DB" w:rsidRDefault="00FE55DB" w:rsidP="00B37CD1">
      <w:pPr>
        <w:ind w:right="51"/>
        <w:contextualSpacing/>
        <w:rPr>
          <w:bCs/>
          <w:sz w:val="20"/>
          <w:szCs w:val="20"/>
        </w:rPr>
      </w:pPr>
    </w:p>
    <w:p w14:paraId="141D114C" w14:textId="3A2D4CC7" w:rsidR="00FE55DB" w:rsidRDefault="00FE55DB" w:rsidP="00B37CD1">
      <w:pPr>
        <w:ind w:right="51"/>
        <w:contextualSpacing/>
        <w:rPr>
          <w:bCs/>
          <w:sz w:val="20"/>
          <w:szCs w:val="20"/>
        </w:rPr>
      </w:pPr>
    </w:p>
    <w:p w14:paraId="76E742A9" w14:textId="20F53B77" w:rsidR="00FE55DB" w:rsidRDefault="00FE55DB" w:rsidP="00B37CD1">
      <w:pPr>
        <w:ind w:right="51"/>
        <w:contextualSpacing/>
        <w:rPr>
          <w:bCs/>
          <w:sz w:val="20"/>
          <w:szCs w:val="20"/>
        </w:rPr>
      </w:pPr>
    </w:p>
    <w:p w14:paraId="7AF7179F" w14:textId="74523554" w:rsidR="00FE55DB" w:rsidRDefault="00FE55DB" w:rsidP="00B37CD1">
      <w:pPr>
        <w:ind w:right="51"/>
        <w:contextualSpacing/>
        <w:rPr>
          <w:bCs/>
          <w:sz w:val="20"/>
          <w:szCs w:val="20"/>
        </w:rPr>
      </w:pPr>
    </w:p>
    <w:p w14:paraId="10D4E06A" w14:textId="51B1F097" w:rsidR="00FE55DB" w:rsidRDefault="00FE55DB" w:rsidP="00B37CD1">
      <w:pPr>
        <w:ind w:right="51"/>
        <w:contextualSpacing/>
        <w:rPr>
          <w:bCs/>
          <w:sz w:val="20"/>
          <w:szCs w:val="20"/>
        </w:rPr>
      </w:pPr>
    </w:p>
    <w:p w14:paraId="32679F88" w14:textId="77777777" w:rsidR="00FE55DB" w:rsidRDefault="00FE55DB" w:rsidP="00B37CD1">
      <w:pPr>
        <w:ind w:right="51"/>
        <w:contextualSpacing/>
        <w:rPr>
          <w:bCs/>
          <w:sz w:val="20"/>
          <w:szCs w:val="20"/>
        </w:rPr>
      </w:pPr>
    </w:p>
    <w:p w14:paraId="1F882B23" w14:textId="315D3128" w:rsidR="00C064AF" w:rsidRPr="00351D80" w:rsidRDefault="00C064AF" w:rsidP="00351D80">
      <w:pPr>
        <w:ind w:right="51"/>
        <w:contextualSpacing/>
        <w:jc w:val="center"/>
        <w:rPr>
          <w:b/>
          <w:sz w:val="22"/>
          <w:szCs w:val="22"/>
          <w:lang w:val="es-MX" w:eastAsia="es-MX"/>
        </w:rPr>
      </w:pPr>
      <w:r w:rsidRPr="00351D80">
        <w:rPr>
          <w:b/>
          <w:sz w:val="22"/>
          <w:szCs w:val="22"/>
        </w:rPr>
        <w:t xml:space="preserve">Gráfico 6.- </w:t>
      </w:r>
      <w:r w:rsidRPr="00351D80">
        <w:rPr>
          <w:b/>
          <w:sz w:val="22"/>
          <w:szCs w:val="22"/>
          <w:lang w:val="es-MX"/>
        </w:rPr>
        <w:t>Distribución</w:t>
      </w:r>
      <w:r w:rsidRPr="00351D80">
        <w:rPr>
          <w:b/>
          <w:bCs/>
          <w:sz w:val="22"/>
          <w:szCs w:val="22"/>
          <w:lang w:val="es-MX"/>
        </w:rPr>
        <w:t xml:space="preserve"> porcentual </w:t>
      </w:r>
      <w:r w:rsidRPr="00351D80">
        <w:rPr>
          <w:b/>
          <w:sz w:val="22"/>
          <w:szCs w:val="22"/>
          <w:lang w:val="es-MX" w:eastAsia="es-MX"/>
        </w:rPr>
        <w:t>de ingresos por suministro de bienes y servicios</w:t>
      </w:r>
      <w:r w:rsidR="00351D80">
        <w:rPr>
          <w:b/>
          <w:sz w:val="22"/>
          <w:szCs w:val="22"/>
          <w:lang w:val="es-MX" w:eastAsia="es-MX"/>
        </w:rPr>
        <w:t xml:space="preserve">. </w:t>
      </w:r>
      <w:r w:rsidR="004A4B25" w:rsidRPr="00351D80">
        <w:rPr>
          <w:b/>
          <w:bCs/>
          <w:sz w:val="22"/>
          <w:szCs w:val="22"/>
          <w:lang w:val="es-MX" w:eastAsia="es-MX"/>
        </w:rPr>
        <w:t xml:space="preserve">Servicios profesionales, científicos y técnicos, </w:t>
      </w:r>
      <w:r w:rsidRPr="00351D80">
        <w:rPr>
          <w:b/>
          <w:sz w:val="22"/>
          <w:szCs w:val="22"/>
          <w:lang w:val="es-MX" w:eastAsia="es-MX"/>
        </w:rPr>
        <w:t>2020</w:t>
      </w:r>
    </w:p>
    <w:p w14:paraId="672D5E18" w14:textId="77777777" w:rsidR="00B37CD1" w:rsidRPr="00670100" w:rsidRDefault="00B37CD1" w:rsidP="00C064AF">
      <w:pPr>
        <w:ind w:right="51"/>
        <w:contextualSpacing/>
        <w:rPr>
          <w:b/>
          <w:bCs/>
          <w:sz w:val="20"/>
          <w:szCs w:val="20"/>
          <w:lang w:val="es-MX"/>
        </w:rPr>
      </w:pPr>
    </w:p>
    <w:p w14:paraId="2DD1FBB3" w14:textId="0046EE0B" w:rsidR="00596B59" w:rsidRDefault="004A4B25" w:rsidP="00FE55DB">
      <w:pPr>
        <w:ind w:right="51"/>
        <w:contextualSpacing/>
        <w:jc w:val="center"/>
        <w:rPr>
          <w:bCs/>
          <w:sz w:val="20"/>
          <w:szCs w:val="20"/>
        </w:rPr>
      </w:pPr>
      <w:r>
        <w:rPr>
          <w:noProof/>
        </w:rPr>
        <w:drawing>
          <wp:inline distT="0" distB="0" distL="0" distR="0" wp14:anchorId="5326D41E" wp14:editId="56EFB793">
            <wp:extent cx="6292850" cy="3200400"/>
            <wp:effectExtent l="0" t="0" r="12700" b="0"/>
            <wp:docPr id="28" name="Gráfico 28">
              <a:extLst xmlns:a="http://schemas.openxmlformats.org/drawingml/2006/main">
                <a:ext uri="{FF2B5EF4-FFF2-40B4-BE49-F238E27FC236}">
                  <a16:creationId xmlns:a16="http://schemas.microsoft.com/office/drawing/2014/main" id="{DB1980E2-1FD7-4555-B455-FDF6BBC40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C26C2E2" w14:textId="360F3C5C" w:rsidR="00FE55DB" w:rsidRDefault="00FE55DB" w:rsidP="00FE55DB">
      <w:pPr>
        <w:ind w:right="51"/>
        <w:contextualSpacing/>
        <w:jc w:val="center"/>
        <w:rPr>
          <w:bCs/>
          <w:sz w:val="20"/>
          <w:szCs w:val="20"/>
        </w:rPr>
      </w:pPr>
    </w:p>
    <w:p w14:paraId="018B58A3" w14:textId="59D41611" w:rsidR="00FE55DB" w:rsidRDefault="00FE55DB" w:rsidP="00FE55DB">
      <w:pPr>
        <w:ind w:right="51"/>
        <w:contextualSpacing/>
        <w:jc w:val="center"/>
        <w:rPr>
          <w:bCs/>
          <w:sz w:val="20"/>
          <w:szCs w:val="20"/>
        </w:rPr>
      </w:pPr>
    </w:p>
    <w:p w14:paraId="385F7480" w14:textId="77777777" w:rsidR="00FE55DB" w:rsidRDefault="00FE55DB" w:rsidP="00FE55DB">
      <w:pPr>
        <w:ind w:right="51"/>
        <w:contextualSpacing/>
        <w:jc w:val="center"/>
        <w:rPr>
          <w:bCs/>
          <w:sz w:val="20"/>
          <w:szCs w:val="20"/>
        </w:rPr>
      </w:pPr>
    </w:p>
    <w:p w14:paraId="3A95ECE5" w14:textId="77777777" w:rsidR="00B67177" w:rsidRDefault="00B67177" w:rsidP="004E283B">
      <w:pPr>
        <w:ind w:right="51"/>
        <w:contextualSpacing/>
        <w:rPr>
          <w:b/>
          <w:sz w:val="20"/>
          <w:szCs w:val="20"/>
          <w:lang w:val="es-MX" w:eastAsia="es-MX"/>
        </w:rPr>
      </w:pPr>
    </w:p>
    <w:p w14:paraId="77C09C7F" w14:textId="41E99F6D" w:rsidR="004E283B" w:rsidRPr="00351D80" w:rsidRDefault="004E283B" w:rsidP="004E283B">
      <w:pPr>
        <w:ind w:right="51"/>
        <w:contextualSpacing/>
        <w:rPr>
          <w:b/>
          <w:sz w:val="22"/>
          <w:szCs w:val="22"/>
          <w:lang w:val="es-MX" w:eastAsia="es-MX"/>
        </w:rPr>
      </w:pPr>
      <w:r w:rsidRPr="00351D80">
        <w:rPr>
          <w:b/>
          <w:sz w:val="22"/>
          <w:szCs w:val="22"/>
          <w:lang w:val="es-MX" w:eastAsia="es-MX"/>
        </w:rPr>
        <w:t>Cuadro 4.- Distribución porcentual de activos fijos, según sector, 2020</w:t>
      </w:r>
    </w:p>
    <w:p w14:paraId="61A82A06" w14:textId="26FE41EC" w:rsidR="00DF20F0" w:rsidRDefault="00DF20F0" w:rsidP="000E3892">
      <w:pPr>
        <w:ind w:right="51"/>
        <w:contextualSpacing/>
        <w:rPr>
          <w:bCs/>
          <w:sz w:val="20"/>
          <w:szCs w:val="20"/>
        </w:rPr>
      </w:pPr>
    </w:p>
    <w:p w14:paraId="0333CAB0" w14:textId="63D3BD88" w:rsidR="00C67592" w:rsidRDefault="004E283B" w:rsidP="000E3892">
      <w:pPr>
        <w:ind w:right="51"/>
        <w:contextualSpacing/>
        <w:rPr>
          <w:bCs/>
          <w:sz w:val="20"/>
          <w:szCs w:val="20"/>
        </w:rPr>
      </w:pPr>
      <w:r w:rsidRPr="004E283B">
        <w:rPr>
          <w:noProof/>
        </w:rPr>
        <w:drawing>
          <wp:inline distT="0" distB="0" distL="0" distR="0" wp14:anchorId="6DFB0E77" wp14:editId="1CE2FC04">
            <wp:extent cx="6333490" cy="2526030"/>
            <wp:effectExtent l="0" t="0" r="0" b="76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33490" cy="2526030"/>
                    </a:xfrm>
                    <a:prstGeom prst="rect">
                      <a:avLst/>
                    </a:prstGeom>
                    <a:noFill/>
                    <a:ln>
                      <a:noFill/>
                    </a:ln>
                  </pic:spPr>
                </pic:pic>
              </a:graphicData>
            </a:graphic>
          </wp:inline>
        </w:drawing>
      </w:r>
    </w:p>
    <w:p w14:paraId="2ACA5477" w14:textId="2F1716E6" w:rsidR="00C67592" w:rsidRDefault="00C67592" w:rsidP="000E3892">
      <w:pPr>
        <w:ind w:right="51"/>
        <w:contextualSpacing/>
        <w:rPr>
          <w:bCs/>
          <w:sz w:val="20"/>
          <w:szCs w:val="20"/>
        </w:rPr>
      </w:pPr>
    </w:p>
    <w:p w14:paraId="23D63BD7" w14:textId="77777777" w:rsidR="00C67592" w:rsidRDefault="00C67592" w:rsidP="000E3892">
      <w:pPr>
        <w:ind w:right="51"/>
        <w:contextualSpacing/>
        <w:rPr>
          <w:bCs/>
          <w:sz w:val="20"/>
          <w:szCs w:val="20"/>
        </w:rPr>
      </w:pPr>
    </w:p>
    <w:p w14:paraId="39D561BA" w14:textId="4A12F6B5" w:rsidR="00C67592" w:rsidRDefault="00C67592">
      <w:pPr>
        <w:jc w:val="left"/>
        <w:rPr>
          <w:bCs/>
          <w:sz w:val="20"/>
          <w:szCs w:val="20"/>
        </w:rPr>
      </w:pPr>
      <w:r>
        <w:rPr>
          <w:bCs/>
          <w:sz w:val="20"/>
          <w:szCs w:val="20"/>
        </w:rPr>
        <w:br w:type="page"/>
      </w:r>
    </w:p>
    <w:p w14:paraId="7EC7D42C" w14:textId="77777777" w:rsidR="00FE55DB" w:rsidRDefault="00FE55DB" w:rsidP="00351D80">
      <w:pPr>
        <w:ind w:right="51"/>
        <w:contextualSpacing/>
        <w:rPr>
          <w:bCs/>
        </w:rPr>
      </w:pPr>
    </w:p>
    <w:p w14:paraId="5B6A5E89" w14:textId="41052E23" w:rsidR="00351D80" w:rsidRPr="00351D80" w:rsidRDefault="00351D80" w:rsidP="00351D80">
      <w:pPr>
        <w:ind w:right="51"/>
        <w:contextualSpacing/>
        <w:rPr>
          <w:b/>
          <w:bCs/>
          <w:lang w:val="es-MX"/>
        </w:rPr>
      </w:pPr>
      <w:r w:rsidRPr="00351D80">
        <w:rPr>
          <w:bCs/>
        </w:rPr>
        <w:t xml:space="preserve">Para los servicios de </w:t>
      </w:r>
      <w:r>
        <w:rPr>
          <w:bCs/>
        </w:rPr>
        <w:t>i</w:t>
      </w:r>
      <w:r w:rsidRPr="00351D80">
        <w:rPr>
          <w:bCs/>
        </w:rPr>
        <w:t>nformación en medios masivos, 76% de los activos fijos pertenece a la maquinaria y equipo de producción, mientras que 9% corresponde a bienes inmuebles.</w:t>
      </w:r>
    </w:p>
    <w:p w14:paraId="5D2C3F78" w14:textId="77036FD0" w:rsidR="00351D80" w:rsidRDefault="00351D80" w:rsidP="00E93D3C">
      <w:pPr>
        <w:ind w:right="51"/>
        <w:contextualSpacing/>
        <w:rPr>
          <w:b/>
          <w:sz w:val="20"/>
          <w:szCs w:val="20"/>
        </w:rPr>
      </w:pPr>
    </w:p>
    <w:p w14:paraId="548F6B4C" w14:textId="5BFA4580" w:rsidR="00C67592" w:rsidRPr="00351D80" w:rsidRDefault="00E93D3C" w:rsidP="00351D80">
      <w:pPr>
        <w:ind w:right="51"/>
        <w:contextualSpacing/>
        <w:jc w:val="center"/>
        <w:rPr>
          <w:b/>
          <w:sz w:val="22"/>
          <w:szCs w:val="22"/>
          <w:lang w:val="es-MX" w:eastAsia="es-MX"/>
        </w:rPr>
      </w:pPr>
      <w:r w:rsidRPr="00351D80">
        <w:rPr>
          <w:b/>
          <w:sz w:val="22"/>
          <w:szCs w:val="22"/>
        </w:rPr>
        <w:t xml:space="preserve">Gráfico 7- </w:t>
      </w:r>
      <w:r w:rsidRPr="00351D80">
        <w:rPr>
          <w:b/>
          <w:sz w:val="22"/>
          <w:szCs w:val="22"/>
          <w:lang w:val="es-MX"/>
        </w:rPr>
        <w:t>Distribución</w:t>
      </w:r>
      <w:r w:rsidRPr="00351D80">
        <w:rPr>
          <w:b/>
          <w:bCs/>
          <w:sz w:val="22"/>
          <w:szCs w:val="22"/>
          <w:lang w:val="es-MX"/>
        </w:rPr>
        <w:t xml:space="preserve"> porcentual </w:t>
      </w:r>
      <w:r w:rsidRPr="00351D80">
        <w:rPr>
          <w:b/>
          <w:sz w:val="22"/>
          <w:szCs w:val="22"/>
          <w:lang w:val="es-MX" w:eastAsia="es-MX"/>
        </w:rPr>
        <w:t>de activos fijos</w:t>
      </w:r>
      <w:r w:rsidR="00351D80">
        <w:rPr>
          <w:b/>
          <w:sz w:val="22"/>
          <w:szCs w:val="22"/>
          <w:lang w:val="es-MX" w:eastAsia="es-MX"/>
        </w:rPr>
        <w:t>.</w:t>
      </w:r>
      <w:r w:rsidRPr="00351D80">
        <w:rPr>
          <w:b/>
          <w:sz w:val="22"/>
          <w:szCs w:val="22"/>
          <w:lang w:val="es-MX" w:eastAsia="es-MX"/>
        </w:rPr>
        <w:t xml:space="preserve"> </w:t>
      </w:r>
      <w:r w:rsidR="00DB198D" w:rsidRPr="00351D80">
        <w:rPr>
          <w:b/>
          <w:bCs/>
          <w:sz w:val="22"/>
          <w:szCs w:val="22"/>
          <w:lang w:val="es-MX" w:eastAsia="es-MX"/>
        </w:rPr>
        <w:t>Información en medios masivos</w:t>
      </w:r>
      <w:r w:rsidRPr="00351D80">
        <w:rPr>
          <w:b/>
          <w:bCs/>
          <w:sz w:val="22"/>
          <w:szCs w:val="22"/>
          <w:lang w:val="es-MX" w:eastAsia="es-MX"/>
        </w:rPr>
        <w:t xml:space="preserve">, </w:t>
      </w:r>
      <w:r w:rsidRPr="00351D80">
        <w:rPr>
          <w:b/>
          <w:sz w:val="22"/>
          <w:szCs w:val="22"/>
          <w:lang w:val="es-MX" w:eastAsia="es-MX"/>
        </w:rPr>
        <w:t>2020</w:t>
      </w:r>
    </w:p>
    <w:p w14:paraId="3D1CADBF" w14:textId="77777777" w:rsidR="00351D80" w:rsidRPr="00351D80" w:rsidRDefault="00351D80" w:rsidP="000E3892">
      <w:pPr>
        <w:ind w:right="51"/>
        <w:contextualSpacing/>
        <w:rPr>
          <w:b/>
          <w:sz w:val="20"/>
          <w:szCs w:val="20"/>
          <w:lang w:val="es-MX" w:eastAsia="es-MX"/>
        </w:rPr>
      </w:pPr>
    </w:p>
    <w:p w14:paraId="2529B962" w14:textId="50632FCC" w:rsidR="00DF20F0" w:rsidRDefault="00DB198D" w:rsidP="00DB198D">
      <w:pPr>
        <w:ind w:right="51"/>
        <w:contextualSpacing/>
        <w:jc w:val="center"/>
        <w:rPr>
          <w:bCs/>
          <w:sz w:val="20"/>
          <w:szCs w:val="20"/>
          <w:lang w:val="es-MX"/>
        </w:rPr>
      </w:pPr>
      <w:r>
        <w:rPr>
          <w:noProof/>
        </w:rPr>
        <w:drawing>
          <wp:inline distT="0" distB="0" distL="0" distR="0" wp14:anchorId="082D75D0" wp14:editId="689408A2">
            <wp:extent cx="6267450" cy="2743200"/>
            <wp:effectExtent l="0" t="0" r="0" b="0"/>
            <wp:docPr id="30" name="Gráfico 30">
              <a:extLst xmlns:a="http://schemas.openxmlformats.org/drawingml/2006/main">
                <a:ext uri="{FF2B5EF4-FFF2-40B4-BE49-F238E27FC236}">
                  <a16:creationId xmlns:a16="http://schemas.microsoft.com/office/drawing/2014/main" id="{77030050-2895-462F-B447-A50BD18B4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FE9B552" w14:textId="47DB9374" w:rsidR="00695335" w:rsidRDefault="00695335" w:rsidP="00DB198D">
      <w:pPr>
        <w:ind w:right="51"/>
        <w:contextualSpacing/>
        <w:rPr>
          <w:bCs/>
          <w:sz w:val="20"/>
          <w:szCs w:val="20"/>
          <w:lang w:val="es-MX"/>
        </w:rPr>
      </w:pPr>
    </w:p>
    <w:p w14:paraId="4DB49531" w14:textId="77777777" w:rsidR="00FE55DB" w:rsidRPr="00596B59" w:rsidRDefault="00FE55DB" w:rsidP="00DB198D">
      <w:pPr>
        <w:ind w:right="51"/>
        <w:contextualSpacing/>
        <w:rPr>
          <w:bCs/>
          <w:sz w:val="20"/>
          <w:szCs w:val="20"/>
        </w:rPr>
      </w:pPr>
    </w:p>
    <w:p w14:paraId="5CFDE2B6" w14:textId="77777777" w:rsidR="00351D80" w:rsidRPr="00351D80" w:rsidRDefault="00351D80" w:rsidP="00351D80">
      <w:pPr>
        <w:ind w:right="51"/>
        <w:contextualSpacing/>
        <w:rPr>
          <w:bCs/>
          <w:lang w:val="es-MX"/>
        </w:rPr>
      </w:pPr>
    </w:p>
    <w:p w14:paraId="0C9E7EB7" w14:textId="77777777" w:rsidR="00351D80" w:rsidRDefault="00351D80" w:rsidP="00351D80">
      <w:pPr>
        <w:ind w:right="51"/>
        <w:contextualSpacing/>
        <w:rPr>
          <w:bCs/>
          <w:lang w:val="es-MX"/>
        </w:rPr>
      </w:pPr>
    </w:p>
    <w:p w14:paraId="12EF4F77" w14:textId="074F69E7" w:rsidR="00351D80" w:rsidRDefault="00351D80" w:rsidP="00351D80">
      <w:pPr>
        <w:ind w:right="51"/>
        <w:contextualSpacing/>
        <w:rPr>
          <w:bCs/>
          <w:lang w:val="es-MX"/>
        </w:rPr>
      </w:pPr>
      <w:r w:rsidRPr="00351D80">
        <w:rPr>
          <w:bCs/>
          <w:lang w:val="es-MX"/>
        </w:rPr>
        <w:t xml:space="preserve">En los </w:t>
      </w:r>
      <w:r>
        <w:rPr>
          <w:bCs/>
          <w:lang w:val="es-MX"/>
        </w:rPr>
        <w:t>s</w:t>
      </w:r>
      <w:r w:rsidRPr="00351D80">
        <w:rPr>
          <w:bCs/>
          <w:lang w:val="es-MX"/>
        </w:rPr>
        <w:t>ervicios de salud y de asistencia social, 40% de los activos fijos está representado por bienes inmuebles y 38% corresponde a maquinaria y equipo de producción.</w:t>
      </w:r>
    </w:p>
    <w:p w14:paraId="792EA5DB" w14:textId="77777777" w:rsidR="00351D80" w:rsidRPr="00351D80" w:rsidRDefault="00351D80" w:rsidP="00351D80">
      <w:pPr>
        <w:ind w:right="51"/>
        <w:contextualSpacing/>
        <w:rPr>
          <w:bCs/>
          <w:lang w:val="es-MX"/>
        </w:rPr>
      </w:pPr>
    </w:p>
    <w:p w14:paraId="3D9FCD66" w14:textId="0417C49A" w:rsidR="00DB198D" w:rsidRPr="00351D80" w:rsidRDefault="00DB198D" w:rsidP="00351D80">
      <w:pPr>
        <w:ind w:right="51"/>
        <w:contextualSpacing/>
        <w:jc w:val="center"/>
        <w:rPr>
          <w:b/>
          <w:bCs/>
          <w:sz w:val="22"/>
          <w:szCs w:val="22"/>
          <w:lang w:val="es-MX"/>
        </w:rPr>
      </w:pPr>
      <w:r w:rsidRPr="00351D80">
        <w:rPr>
          <w:b/>
          <w:sz w:val="22"/>
          <w:szCs w:val="22"/>
        </w:rPr>
        <w:t xml:space="preserve">Gráfico 8- </w:t>
      </w:r>
      <w:r w:rsidRPr="00351D80">
        <w:rPr>
          <w:b/>
          <w:sz w:val="22"/>
          <w:szCs w:val="22"/>
          <w:lang w:val="es-MX"/>
        </w:rPr>
        <w:t>Distribución</w:t>
      </w:r>
      <w:r w:rsidRPr="00351D80">
        <w:rPr>
          <w:b/>
          <w:bCs/>
          <w:sz w:val="22"/>
          <w:szCs w:val="22"/>
          <w:lang w:val="es-MX"/>
        </w:rPr>
        <w:t xml:space="preserve"> porcentual </w:t>
      </w:r>
      <w:r w:rsidRPr="00351D80">
        <w:rPr>
          <w:b/>
          <w:sz w:val="22"/>
          <w:szCs w:val="22"/>
          <w:lang w:val="es-MX" w:eastAsia="es-MX"/>
        </w:rPr>
        <w:t>de activos fijos</w:t>
      </w:r>
      <w:r w:rsidR="00351D80">
        <w:rPr>
          <w:b/>
          <w:sz w:val="22"/>
          <w:szCs w:val="22"/>
          <w:lang w:val="es-MX" w:eastAsia="es-MX"/>
        </w:rPr>
        <w:t xml:space="preserve">. </w:t>
      </w:r>
      <w:r w:rsidRPr="00351D80">
        <w:rPr>
          <w:b/>
          <w:bCs/>
          <w:sz w:val="22"/>
          <w:szCs w:val="22"/>
          <w:lang w:val="es-MX" w:eastAsia="es-MX"/>
        </w:rPr>
        <w:t xml:space="preserve">Servicios de salud y de asistencia social, </w:t>
      </w:r>
      <w:r w:rsidRPr="00351D80">
        <w:rPr>
          <w:b/>
          <w:sz w:val="22"/>
          <w:szCs w:val="22"/>
          <w:lang w:val="es-MX" w:eastAsia="es-MX"/>
        </w:rPr>
        <w:t>2020</w:t>
      </w:r>
    </w:p>
    <w:p w14:paraId="732FFBBF" w14:textId="1C110ED1" w:rsidR="00DB198D" w:rsidRDefault="00DB198D" w:rsidP="00DB198D">
      <w:pPr>
        <w:ind w:right="51"/>
        <w:contextualSpacing/>
        <w:jc w:val="center"/>
        <w:rPr>
          <w:bCs/>
          <w:sz w:val="20"/>
          <w:szCs w:val="20"/>
          <w:lang w:val="es-MX"/>
        </w:rPr>
      </w:pPr>
      <w:r>
        <w:rPr>
          <w:noProof/>
        </w:rPr>
        <w:drawing>
          <wp:inline distT="0" distB="0" distL="0" distR="0" wp14:anchorId="55721BB3" wp14:editId="7A5F0857">
            <wp:extent cx="6242050" cy="2743200"/>
            <wp:effectExtent l="0" t="0" r="6350" b="0"/>
            <wp:docPr id="31" name="Gráfico 31">
              <a:extLst xmlns:a="http://schemas.openxmlformats.org/drawingml/2006/main">
                <a:ext uri="{FF2B5EF4-FFF2-40B4-BE49-F238E27FC236}">
                  <a16:creationId xmlns:a16="http://schemas.microsoft.com/office/drawing/2014/main" id="{504CED4A-7CD3-453B-A3CC-6ABA93C6E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8128B71" w14:textId="376FE402" w:rsidR="00E93D3C" w:rsidRDefault="00E93D3C">
      <w:pPr>
        <w:jc w:val="left"/>
        <w:rPr>
          <w:bCs/>
          <w:sz w:val="20"/>
          <w:szCs w:val="20"/>
          <w:lang w:val="es-MX"/>
        </w:rPr>
      </w:pPr>
    </w:p>
    <w:p w14:paraId="72A4B710" w14:textId="77777777" w:rsidR="00FE55DB" w:rsidRDefault="00FE55DB" w:rsidP="00351D80">
      <w:pPr>
        <w:ind w:right="51"/>
        <w:contextualSpacing/>
        <w:jc w:val="center"/>
        <w:rPr>
          <w:b/>
          <w:sz w:val="22"/>
          <w:szCs w:val="22"/>
          <w:lang w:val="es-MX" w:eastAsia="es-MX"/>
        </w:rPr>
      </w:pPr>
    </w:p>
    <w:p w14:paraId="5FA58EB8" w14:textId="77777777" w:rsidR="00FE55DB" w:rsidRDefault="00FE55DB" w:rsidP="00351D80">
      <w:pPr>
        <w:ind w:right="51"/>
        <w:contextualSpacing/>
        <w:jc w:val="center"/>
        <w:rPr>
          <w:b/>
          <w:sz w:val="22"/>
          <w:szCs w:val="22"/>
          <w:lang w:val="es-MX" w:eastAsia="es-MX"/>
        </w:rPr>
      </w:pPr>
    </w:p>
    <w:p w14:paraId="405FC656" w14:textId="77777777" w:rsidR="00FE55DB" w:rsidRDefault="00FE55DB" w:rsidP="00351D80">
      <w:pPr>
        <w:ind w:right="51"/>
        <w:contextualSpacing/>
        <w:jc w:val="center"/>
        <w:rPr>
          <w:b/>
          <w:sz w:val="22"/>
          <w:szCs w:val="22"/>
          <w:lang w:val="es-MX" w:eastAsia="es-MX"/>
        </w:rPr>
      </w:pPr>
    </w:p>
    <w:p w14:paraId="02D95E16" w14:textId="6D611497" w:rsidR="00D73857" w:rsidRPr="00351D80" w:rsidRDefault="00D73857" w:rsidP="00351D80">
      <w:pPr>
        <w:ind w:right="51"/>
        <w:contextualSpacing/>
        <w:jc w:val="center"/>
        <w:rPr>
          <w:b/>
          <w:sz w:val="22"/>
          <w:szCs w:val="22"/>
          <w:lang w:val="es-MX" w:eastAsia="es-MX"/>
        </w:rPr>
      </w:pPr>
      <w:r w:rsidRPr="00351D80">
        <w:rPr>
          <w:b/>
          <w:sz w:val="22"/>
          <w:szCs w:val="22"/>
          <w:lang w:val="es-MX" w:eastAsia="es-MX"/>
        </w:rPr>
        <w:t xml:space="preserve">Cuadro 5.- </w:t>
      </w:r>
      <w:r w:rsidRPr="00351D80">
        <w:rPr>
          <w:b/>
          <w:sz w:val="22"/>
          <w:szCs w:val="22"/>
          <w:lang w:val="es-MX"/>
        </w:rPr>
        <w:t xml:space="preserve">Indicadores generales de las unidades económicas, </w:t>
      </w:r>
      <w:r w:rsidRPr="00351D80">
        <w:rPr>
          <w:b/>
          <w:sz w:val="22"/>
          <w:szCs w:val="22"/>
          <w:lang w:val="es-MX" w:eastAsia="es-MX"/>
        </w:rPr>
        <w:t>según sector, 2020</w:t>
      </w:r>
    </w:p>
    <w:p w14:paraId="1FCAD4B4" w14:textId="3201874B" w:rsidR="00E918EB" w:rsidRDefault="00D73857" w:rsidP="00D73857">
      <w:pPr>
        <w:ind w:right="51"/>
        <w:contextualSpacing/>
        <w:jc w:val="center"/>
        <w:rPr>
          <w:bCs/>
          <w:sz w:val="20"/>
          <w:szCs w:val="20"/>
          <w:lang w:val="es-MX"/>
        </w:rPr>
      </w:pPr>
      <w:r w:rsidRPr="00D73857">
        <w:rPr>
          <w:noProof/>
        </w:rPr>
        <w:drawing>
          <wp:inline distT="0" distB="0" distL="0" distR="0" wp14:anchorId="0CB78585" wp14:editId="4767AEDD">
            <wp:extent cx="6333490" cy="2680970"/>
            <wp:effectExtent l="0" t="0" r="0" b="508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3490" cy="2680970"/>
                    </a:xfrm>
                    <a:prstGeom prst="rect">
                      <a:avLst/>
                    </a:prstGeom>
                    <a:noFill/>
                    <a:ln>
                      <a:noFill/>
                    </a:ln>
                  </pic:spPr>
                </pic:pic>
              </a:graphicData>
            </a:graphic>
          </wp:inline>
        </w:drawing>
      </w:r>
    </w:p>
    <w:p w14:paraId="3CB60864" w14:textId="77FAA0B7" w:rsidR="00E918EB" w:rsidRDefault="00E918EB" w:rsidP="000E3892">
      <w:pPr>
        <w:ind w:right="51"/>
        <w:contextualSpacing/>
        <w:rPr>
          <w:bCs/>
          <w:sz w:val="20"/>
          <w:szCs w:val="20"/>
          <w:lang w:val="es-MX"/>
        </w:rPr>
      </w:pPr>
    </w:p>
    <w:p w14:paraId="64F4741B" w14:textId="111711BE" w:rsidR="00D73857" w:rsidRDefault="00D73857" w:rsidP="000E3892">
      <w:pPr>
        <w:ind w:right="51"/>
        <w:contextualSpacing/>
        <w:rPr>
          <w:bCs/>
          <w:sz w:val="20"/>
          <w:szCs w:val="20"/>
          <w:lang w:val="es-MX"/>
        </w:rPr>
      </w:pPr>
    </w:p>
    <w:p w14:paraId="211A3A15" w14:textId="318A1405" w:rsidR="00351D80" w:rsidRPr="00351D80" w:rsidRDefault="00351D80" w:rsidP="00351D80">
      <w:pPr>
        <w:ind w:right="51"/>
        <w:contextualSpacing/>
        <w:rPr>
          <w:bCs/>
          <w:lang w:val="es-MX"/>
        </w:rPr>
      </w:pPr>
      <w:r w:rsidRPr="00351D80">
        <w:rPr>
          <w:bCs/>
          <w:lang w:val="es-MX"/>
        </w:rPr>
        <w:t xml:space="preserve">Con relación a la capacitación, los </w:t>
      </w:r>
      <w:r>
        <w:rPr>
          <w:bCs/>
          <w:lang w:val="es-MX"/>
        </w:rPr>
        <w:t>s</w:t>
      </w:r>
      <w:r w:rsidRPr="00351D80">
        <w:rPr>
          <w:bCs/>
          <w:lang w:val="es-MX"/>
        </w:rPr>
        <w:t xml:space="preserve">ervicios inmobiliarios y de alquiles de bienes muebles e intangibles brindan capacitación a 75% del personal ocupado, seguido por los servicios de </w:t>
      </w:r>
      <w:r>
        <w:rPr>
          <w:bCs/>
          <w:lang w:val="es-MX"/>
        </w:rPr>
        <w:t>i</w:t>
      </w:r>
      <w:r w:rsidRPr="00351D80">
        <w:rPr>
          <w:bCs/>
          <w:lang w:val="es-MX"/>
        </w:rPr>
        <w:t>nformación en medios masivos con 62</w:t>
      </w:r>
      <w:r>
        <w:rPr>
          <w:bCs/>
          <w:lang w:val="es-MX"/>
        </w:rPr>
        <w:t xml:space="preserve"> por ciento.</w:t>
      </w:r>
    </w:p>
    <w:p w14:paraId="6CFEBF1F" w14:textId="77777777" w:rsidR="00351D80" w:rsidRDefault="00351D80" w:rsidP="00486D14">
      <w:pPr>
        <w:ind w:right="51"/>
        <w:contextualSpacing/>
        <w:rPr>
          <w:b/>
          <w:sz w:val="20"/>
          <w:szCs w:val="20"/>
        </w:rPr>
      </w:pPr>
    </w:p>
    <w:p w14:paraId="6BB21FDA" w14:textId="323FF2A4" w:rsidR="00486D14" w:rsidRPr="00351D80" w:rsidRDefault="00372AB8" w:rsidP="00351D80">
      <w:pPr>
        <w:ind w:right="51"/>
        <w:contextualSpacing/>
        <w:jc w:val="center"/>
        <w:rPr>
          <w:b/>
          <w:bCs/>
          <w:sz w:val="22"/>
          <w:szCs w:val="22"/>
          <w:lang w:val="es-MX"/>
        </w:rPr>
      </w:pPr>
      <w:r w:rsidRPr="00351D80">
        <w:rPr>
          <w:b/>
          <w:sz w:val="22"/>
          <w:szCs w:val="22"/>
        </w:rPr>
        <w:t xml:space="preserve">Gráfico 9- Porcentaje de </w:t>
      </w:r>
      <w:r w:rsidRPr="00351D80">
        <w:rPr>
          <w:b/>
          <w:bCs/>
          <w:sz w:val="22"/>
          <w:szCs w:val="22"/>
          <w:lang w:val="es-MX"/>
        </w:rPr>
        <w:t xml:space="preserve">empresas del sector Servicios Privados </w:t>
      </w:r>
      <w:r w:rsidR="00351D80">
        <w:rPr>
          <w:b/>
          <w:bCs/>
          <w:sz w:val="22"/>
          <w:szCs w:val="22"/>
          <w:lang w:val="es-MX"/>
        </w:rPr>
        <w:t>N</w:t>
      </w:r>
      <w:r w:rsidRPr="00351D80">
        <w:rPr>
          <w:b/>
          <w:bCs/>
          <w:sz w:val="22"/>
          <w:szCs w:val="22"/>
          <w:lang w:val="es-MX"/>
        </w:rPr>
        <w:t>o Financieros que brindan capacitación, según sector, 2020</w:t>
      </w:r>
    </w:p>
    <w:p w14:paraId="71236433" w14:textId="77777777" w:rsidR="00486D14" w:rsidRDefault="00486D14" w:rsidP="00486D14">
      <w:pPr>
        <w:ind w:right="51"/>
        <w:contextualSpacing/>
        <w:rPr>
          <w:b/>
          <w:bCs/>
          <w:sz w:val="20"/>
          <w:szCs w:val="20"/>
          <w:lang w:val="es-MX"/>
        </w:rPr>
      </w:pPr>
    </w:p>
    <w:p w14:paraId="12E452BB" w14:textId="0246D56E" w:rsidR="00486D14" w:rsidRDefault="00486D14" w:rsidP="000E3892">
      <w:pPr>
        <w:ind w:right="51"/>
        <w:contextualSpacing/>
        <w:rPr>
          <w:b/>
          <w:bCs/>
          <w:sz w:val="20"/>
          <w:szCs w:val="20"/>
          <w:lang w:val="es-MX"/>
        </w:rPr>
      </w:pPr>
      <w:r w:rsidRPr="00372AB8">
        <w:rPr>
          <w:bCs/>
          <w:noProof/>
          <w:sz w:val="20"/>
          <w:szCs w:val="20"/>
        </w:rPr>
        <w:drawing>
          <wp:inline distT="0" distB="0" distL="0" distR="0" wp14:anchorId="72768472" wp14:editId="3B389A30">
            <wp:extent cx="6333490" cy="3820101"/>
            <wp:effectExtent l="0" t="0" r="0" b="0"/>
            <wp:docPr id="7" name="Gráfico 7">
              <a:extLst xmlns:a="http://schemas.openxmlformats.org/drawingml/2006/main">
                <a:ext uri="{FF2B5EF4-FFF2-40B4-BE49-F238E27FC236}">
                  <a16:creationId xmlns:a16="http://schemas.microsoft.com/office/drawing/2014/main" id="{B223232D-FB95-4B57-BE63-AB762B270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62D5022" w14:textId="1B720841" w:rsidR="00372AB8" w:rsidRDefault="00372AB8" w:rsidP="002300AD">
      <w:pPr>
        <w:ind w:right="51"/>
        <w:contextualSpacing/>
        <w:rPr>
          <w:bCs/>
          <w:sz w:val="20"/>
          <w:szCs w:val="20"/>
          <w:lang w:val="es-MX"/>
        </w:rPr>
      </w:pPr>
    </w:p>
    <w:p w14:paraId="41A9C15A" w14:textId="77777777" w:rsidR="00FE55DB" w:rsidRDefault="00FE55DB" w:rsidP="00DF7E48">
      <w:pPr>
        <w:ind w:right="51"/>
        <w:contextualSpacing/>
        <w:rPr>
          <w:b/>
          <w:sz w:val="20"/>
          <w:szCs w:val="20"/>
        </w:rPr>
      </w:pPr>
    </w:p>
    <w:p w14:paraId="7D421A49" w14:textId="0FA0A7CD" w:rsidR="00FE55DB" w:rsidRPr="00FE55DB" w:rsidRDefault="00FE55DB" w:rsidP="00FE55DB">
      <w:pPr>
        <w:ind w:right="51"/>
        <w:contextualSpacing/>
        <w:rPr>
          <w:lang w:val="es-MX"/>
        </w:rPr>
      </w:pPr>
      <w:r w:rsidRPr="00FE55DB">
        <w:rPr>
          <w:lang w:val="es-MX"/>
        </w:rPr>
        <w:t xml:space="preserve">Destaca que, en los </w:t>
      </w:r>
      <w:r>
        <w:rPr>
          <w:lang w:val="es-MX"/>
        </w:rPr>
        <w:t>s</w:t>
      </w:r>
      <w:r w:rsidRPr="00FE55DB">
        <w:rPr>
          <w:lang w:val="es-MX"/>
        </w:rPr>
        <w:t xml:space="preserve">ervicios educativos 66% de las mujeres cuentan con educación superior, seguidos por 57% en los servicios de </w:t>
      </w:r>
      <w:r>
        <w:rPr>
          <w:lang w:val="es-MX"/>
        </w:rPr>
        <w:t>i</w:t>
      </w:r>
      <w:r w:rsidRPr="00FE55DB">
        <w:rPr>
          <w:lang w:val="es-MX"/>
        </w:rPr>
        <w:t>nformación en medios masivos.</w:t>
      </w:r>
    </w:p>
    <w:p w14:paraId="3ADABBDC" w14:textId="77777777" w:rsidR="00FE55DB" w:rsidRDefault="00FE55DB" w:rsidP="00DF7E48">
      <w:pPr>
        <w:ind w:right="51"/>
        <w:contextualSpacing/>
        <w:rPr>
          <w:b/>
          <w:sz w:val="20"/>
          <w:szCs w:val="20"/>
        </w:rPr>
      </w:pPr>
    </w:p>
    <w:p w14:paraId="303E6571" w14:textId="546E5F16" w:rsidR="00486D14" w:rsidRDefault="00DF7E48" w:rsidP="00FE55DB">
      <w:pPr>
        <w:ind w:right="51"/>
        <w:contextualSpacing/>
        <w:jc w:val="center"/>
        <w:rPr>
          <w:b/>
          <w:bCs/>
          <w:sz w:val="22"/>
          <w:szCs w:val="22"/>
          <w:lang w:val="es-MX"/>
        </w:rPr>
      </w:pPr>
      <w:r w:rsidRPr="00FE55DB">
        <w:rPr>
          <w:b/>
          <w:sz w:val="22"/>
          <w:szCs w:val="22"/>
        </w:rPr>
        <w:t xml:space="preserve">Gráfico 10- </w:t>
      </w:r>
      <w:r w:rsidRPr="00FE55DB">
        <w:rPr>
          <w:b/>
          <w:bCs/>
          <w:sz w:val="22"/>
          <w:szCs w:val="22"/>
          <w:lang w:val="es-MX"/>
        </w:rPr>
        <w:t xml:space="preserve">Nivel de estudios, distribución de </w:t>
      </w:r>
      <w:r w:rsidR="00FE55DB">
        <w:rPr>
          <w:b/>
          <w:bCs/>
          <w:sz w:val="22"/>
          <w:szCs w:val="22"/>
          <w:lang w:val="es-MX"/>
        </w:rPr>
        <w:t>p</w:t>
      </w:r>
      <w:r w:rsidRPr="00FE55DB">
        <w:rPr>
          <w:b/>
          <w:bCs/>
          <w:sz w:val="22"/>
          <w:szCs w:val="22"/>
          <w:lang w:val="es-MX"/>
        </w:rPr>
        <w:t xml:space="preserve">ersonal de </w:t>
      </w:r>
      <w:r w:rsidR="00FE55DB">
        <w:rPr>
          <w:b/>
          <w:bCs/>
          <w:sz w:val="22"/>
          <w:szCs w:val="22"/>
          <w:lang w:val="es-MX"/>
        </w:rPr>
        <w:t>e</w:t>
      </w:r>
      <w:r w:rsidRPr="00FE55DB">
        <w:rPr>
          <w:b/>
          <w:bCs/>
          <w:sz w:val="22"/>
          <w:szCs w:val="22"/>
          <w:lang w:val="es-MX"/>
        </w:rPr>
        <w:t>mpresas del sector Servicios Privados No Financieros por nivel de estudio, sector y sexo, 2020</w:t>
      </w:r>
    </w:p>
    <w:p w14:paraId="2942AC81" w14:textId="77777777" w:rsidR="00FE55DB" w:rsidRPr="00FE55DB" w:rsidRDefault="00FE55DB" w:rsidP="00FE55DB">
      <w:pPr>
        <w:ind w:right="51"/>
        <w:contextualSpacing/>
        <w:jc w:val="center"/>
        <w:rPr>
          <w:b/>
          <w:bCs/>
          <w:sz w:val="22"/>
          <w:szCs w:val="22"/>
          <w:lang w:val="es-MX"/>
        </w:rPr>
      </w:pPr>
    </w:p>
    <w:p w14:paraId="05CDB1BA" w14:textId="03A80E8E" w:rsidR="006E5DCB" w:rsidRDefault="00B635C2" w:rsidP="00DF7E48">
      <w:pPr>
        <w:ind w:right="51"/>
        <w:contextualSpacing/>
        <w:rPr>
          <w:b/>
          <w:bCs/>
          <w:sz w:val="20"/>
          <w:szCs w:val="20"/>
          <w:lang w:val="es-MX"/>
        </w:rPr>
      </w:pPr>
      <w:r>
        <w:rPr>
          <w:noProof/>
        </w:rPr>
        <w:drawing>
          <wp:inline distT="0" distB="0" distL="0" distR="0" wp14:anchorId="6142FEB4" wp14:editId="1B9BF80F">
            <wp:extent cx="6285470" cy="2569845"/>
            <wp:effectExtent l="0" t="0" r="1270" b="1905"/>
            <wp:docPr id="2" name="Gráfico 2">
              <a:extLst xmlns:a="http://schemas.openxmlformats.org/drawingml/2006/main">
                <a:ext uri="{FF2B5EF4-FFF2-40B4-BE49-F238E27FC236}">
                  <a16:creationId xmlns:a16="http://schemas.microsoft.com/office/drawing/2014/main" id="{29A8D555-FD78-4AF6-BB8D-C25BA141D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8DEF19D" w14:textId="51223EA3" w:rsidR="006E5DCB" w:rsidRPr="00FE55DB" w:rsidRDefault="006E5DCB" w:rsidP="00DF7E48">
      <w:pPr>
        <w:ind w:right="51"/>
        <w:contextualSpacing/>
        <w:rPr>
          <w:lang w:val="es-MX"/>
        </w:rPr>
      </w:pPr>
    </w:p>
    <w:p w14:paraId="2144CBE5" w14:textId="77777777" w:rsidR="00FE55DB" w:rsidRDefault="00FE55DB" w:rsidP="00FE55DB"/>
    <w:p w14:paraId="22B0209E" w14:textId="79CBFA0D" w:rsidR="00FE55DB" w:rsidRPr="00FE55DB" w:rsidRDefault="00FE55DB" w:rsidP="00FE55DB">
      <w:r w:rsidRPr="00FE55DB">
        <w:t xml:space="preserve">En el caso de los hombres, en los </w:t>
      </w:r>
      <w:r>
        <w:t>s</w:t>
      </w:r>
      <w:r w:rsidRPr="00FE55DB">
        <w:t>ervicios de salud y de asistencia social, 61% de los hombres cuentan con educación superior</w:t>
      </w:r>
      <w:r>
        <w:t xml:space="preserve"> </w:t>
      </w:r>
      <w:r w:rsidRPr="00FE55DB">
        <w:t xml:space="preserve">y 58% en los servicios de </w:t>
      </w:r>
      <w:r>
        <w:t>i</w:t>
      </w:r>
      <w:r w:rsidRPr="00FE55DB">
        <w:t>nformación en medios masivos.</w:t>
      </w:r>
    </w:p>
    <w:p w14:paraId="03C78972" w14:textId="77777777" w:rsidR="00FE55DB" w:rsidRDefault="00FE55DB" w:rsidP="00DF7E48">
      <w:pPr>
        <w:ind w:right="51"/>
        <w:contextualSpacing/>
        <w:rPr>
          <w:b/>
          <w:bCs/>
          <w:sz w:val="20"/>
          <w:szCs w:val="20"/>
          <w:lang w:val="es-MX"/>
        </w:rPr>
      </w:pPr>
    </w:p>
    <w:p w14:paraId="75CB3CEF" w14:textId="674EDDBD" w:rsidR="00486D14" w:rsidRDefault="006E5DCB" w:rsidP="00FE55DB">
      <w:pPr>
        <w:ind w:right="51"/>
        <w:contextualSpacing/>
        <w:jc w:val="center"/>
        <w:rPr>
          <w:b/>
          <w:bCs/>
          <w:sz w:val="22"/>
          <w:szCs w:val="22"/>
          <w:lang w:val="es-MX"/>
        </w:rPr>
      </w:pPr>
      <w:r w:rsidRPr="00FE55DB">
        <w:rPr>
          <w:b/>
          <w:bCs/>
          <w:sz w:val="22"/>
          <w:szCs w:val="22"/>
          <w:lang w:val="es-MX"/>
        </w:rPr>
        <w:t>Gráfico 1</w:t>
      </w:r>
      <w:r w:rsidR="00121132" w:rsidRPr="00FE55DB">
        <w:rPr>
          <w:b/>
          <w:bCs/>
          <w:sz w:val="22"/>
          <w:szCs w:val="22"/>
          <w:lang w:val="es-MX"/>
        </w:rPr>
        <w:t>1</w:t>
      </w:r>
      <w:r w:rsidRPr="00FE55DB">
        <w:rPr>
          <w:b/>
          <w:bCs/>
          <w:sz w:val="22"/>
          <w:szCs w:val="22"/>
          <w:lang w:val="es-MX"/>
        </w:rPr>
        <w:t>- Nivel de estudios, distribución de Personal de Empresas del sector Servicios Privados No Financieros por nivel de estudio, sector y sexo, 2020</w:t>
      </w:r>
    </w:p>
    <w:p w14:paraId="579D9BC9" w14:textId="77777777" w:rsidR="00FE55DB" w:rsidRPr="00FE55DB" w:rsidRDefault="00FE55DB" w:rsidP="00FE55DB">
      <w:pPr>
        <w:ind w:right="51"/>
        <w:contextualSpacing/>
        <w:jc w:val="center"/>
        <w:rPr>
          <w:b/>
          <w:bCs/>
          <w:sz w:val="22"/>
          <w:szCs w:val="22"/>
          <w:lang w:val="es-MX"/>
        </w:rPr>
      </w:pPr>
    </w:p>
    <w:p w14:paraId="1F05171D" w14:textId="5AA29981" w:rsidR="008C0B1E" w:rsidRPr="008C0B1E" w:rsidRDefault="00B635C2" w:rsidP="00DF7E48">
      <w:pPr>
        <w:ind w:right="51"/>
        <w:contextualSpacing/>
        <w:rPr>
          <w:sz w:val="16"/>
          <w:szCs w:val="16"/>
          <w:lang w:val="es-MX"/>
        </w:rPr>
      </w:pPr>
      <w:r>
        <w:rPr>
          <w:noProof/>
        </w:rPr>
        <w:drawing>
          <wp:inline distT="0" distB="0" distL="0" distR="0" wp14:anchorId="2AE7C86D" wp14:editId="7BC22B77">
            <wp:extent cx="6400800" cy="2569845"/>
            <wp:effectExtent l="0" t="0" r="0" b="1905"/>
            <wp:docPr id="5" name="Gráfico 5">
              <a:extLst xmlns:a="http://schemas.openxmlformats.org/drawingml/2006/main">
                <a:ext uri="{FF2B5EF4-FFF2-40B4-BE49-F238E27FC236}">
                  <a16:creationId xmlns:a16="http://schemas.microsoft.com/office/drawing/2014/main" id="{ECC44FE5-DB25-4399-AB53-449948942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22EB11C" w14:textId="43606C58" w:rsidR="00DF7E48" w:rsidRPr="00DF7E48" w:rsidRDefault="00DF7E48" w:rsidP="00EB10CA">
      <w:pPr>
        <w:ind w:right="51"/>
        <w:contextualSpacing/>
        <w:rPr>
          <w:sz w:val="20"/>
          <w:szCs w:val="20"/>
        </w:rPr>
      </w:pPr>
    </w:p>
    <w:p w14:paraId="229F6D03" w14:textId="7DE09EB6" w:rsidR="00486D14" w:rsidRDefault="00486D14" w:rsidP="007B6463">
      <w:pPr>
        <w:ind w:right="51"/>
        <w:contextualSpacing/>
        <w:rPr>
          <w:b/>
          <w:sz w:val="20"/>
          <w:szCs w:val="20"/>
        </w:rPr>
      </w:pPr>
    </w:p>
    <w:p w14:paraId="2D35A1C2" w14:textId="7D8B49D8" w:rsidR="00FE55DB" w:rsidRDefault="00FE55DB" w:rsidP="007B6463">
      <w:pPr>
        <w:ind w:right="51"/>
        <w:contextualSpacing/>
        <w:rPr>
          <w:b/>
          <w:sz w:val="20"/>
          <w:szCs w:val="20"/>
        </w:rPr>
      </w:pPr>
    </w:p>
    <w:p w14:paraId="639CD06A" w14:textId="11F4508C" w:rsidR="00FE55DB" w:rsidRDefault="00FE55DB" w:rsidP="007B6463">
      <w:pPr>
        <w:ind w:right="51"/>
        <w:contextualSpacing/>
        <w:rPr>
          <w:b/>
          <w:sz w:val="20"/>
          <w:szCs w:val="20"/>
        </w:rPr>
      </w:pPr>
    </w:p>
    <w:p w14:paraId="64C2BCC2" w14:textId="77777777" w:rsidR="00FE55DB" w:rsidRDefault="00FE55DB" w:rsidP="007B6463">
      <w:pPr>
        <w:ind w:right="51"/>
        <w:contextualSpacing/>
        <w:rPr>
          <w:b/>
          <w:sz w:val="20"/>
          <w:szCs w:val="20"/>
        </w:rPr>
      </w:pPr>
    </w:p>
    <w:p w14:paraId="0F77BB67" w14:textId="77777777" w:rsidR="00FE55DB" w:rsidRDefault="00FE55DB" w:rsidP="00FE55DB"/>
    <w:p w14:paraId="5DA4CCB1" w14:textId="66E58D83" w:rsidR="00FE55DB" w:rsidRPr="00FE55DB" w:rsidRDefault="00FE55DB" w:rsidP="00FE55DB">
      <w:pPr>
        <w:rPr>
          <w:lang w:val="es-MX"/>
        </w:rPr>
      </w:pPr>
      <w:r w:rsidRPr="00FE55DB">
        <w:t xml:space="preserve">Con relación a la vinculación internacional, en las actividades de </w:t>
      </w:r>
      <w:r>
        <w:t>p</w:t>
      </w:r>
      <w:r w:rsidRPr="00FE55DB">
        <w:t xml:space="preserve">roducción de canales para sistemas de televisión por cable o satelitales, 76% del total de ingresos proviene de la </w:t>
      </w:r>
      <w:r w:rsidRPr="00FE55DB">
        <w:rPr>
          <w:lang w:val="es-MX"/>
        </w:rPr>
        <w:t xml:space="preserve">colaboración económica con empresas ubicadas en otros países, en contraste con las actividades de </w:t>
      </w:r>
      <w:r>
        <w:rPr>
          <w:lang w:val="es-MX"/>
        </w:rPr>
        <w:t>o</w:t>
      </w:r>
      <w:r w:rsidRPr="00FE55DB">
        <w:rPr>
          <w:lang w:val="es-MX"/>
        </w:rPr>
        <w:t>rfanatos y otras residencias de asistencia social del sector privado, donde la colaboración económica con empresas ubicadas en otros pa</w:t>
      </w:r>
      <w:r>
        <w:rPr>
          <w:lang w:val="es-MX"/>
        </w:rPr>
        <w:t>í</w:t>
      </w:r>
      <w:r w:rsidRPr="00FE55DB">
        <w:rPr>
          <w:lang w:val="es-MX"/>
        </w:rPr>
        <w:t>ses apenas alcan</w:t>
      </w:r>
      <w:r>
        <w:rPr>
          <w:lang w:val="es-MX"/>
        </w:rPr>
        <w:t>z</w:t>
      </w:r>
      <w:r w:rsidRPr="00FE55DB">
        <w:rPr>
          <w:lang w:val="es-MX"/>
        </w:rPr>
        <w:t>a 0.1</w:t>
      </w:r>
      <w:r>
        <w:rPr>
          <w:lang w:val="es-MX"/>
        </w:rPr>
        <w:t xml:space="preserve"> por ciento.</w:t>
      </w:r>
    </w:p>
    <w:p w14:paraId="3874A229" w14:textId="77777777" w:rsidR="00FE55DB" w:rsidRDefault="00FE55DB" w:rsidP="007B6463">
      <w:pPr>
        <w:ind w:right="51"/>
        <w:contextualSpacing/>
        <w:rPr>
          <w:b/>
          <w:sz w:val="20"/>
          <w:szCs w:val="20"/>
        </w:rPr>
      </w:pPr>
    </w:p>
    <w:p w14:paraId="79527EA8" w14:textId="41385256" w:rsidR="00486D14" w:rsidRDefault="007B6463" w:rsidP="00FE55DB">
      <w:pPr>
        <w:ind w:right="51"/>
        <w:contextualSpacing/>
        <w:jc w:val="center"/>
        <w:rPr>
          <w:sz w:val="20"/>
          <w:szCs w:val="20"/>
          <w:lang w:val="es-MX"/>
        </w:rPr>
      </w:pPr>
      <w:r w:rsidRPr="00FE55DB">
        <w:rPr>
          <w:b/>
          <w:sz w:val="22"/>
          <w:szCs w:val="22"/>
        </w:rPr>
        <w:t xml:space="preserve">Gráfico 12- </w:t>
      </w:r>
      <w:r w:rsidRPr="00FE55DB">
        <w:rPr>
          <w:b/>
          <w:bCs/>
          <w:sz w:val="22"/>
          <w:szCs w:val="22"/>
          <w:lang w:val="es-MX"/>
        </w:rPr>
        <w:t>Vinculación internacional, porcentaje del total de Ingresos obtenidos mediante contratos o programas de colaboración económica con empresas ubicadas en otros países por dominio de estudio con mayor participación en cada Sector</w:t>
      </w:r>
      <w:r w:rsidR="00F9794A" w:rsidRPr="00FE55DB">
        <w:rPr>
          <w:b/>
          <w:bCs/>
          <w:sz w:val="22"/>
          <w:szCs w:val="22"/>
          <w:lang w:val="es-MX"/>
        </w:rPr>
        <w:t xml:space="preserve"> en 2020</w:t>
      </w:r>
      <w:r w:rsidRPr="00FE55DB">
        <w:rPr>
          <w:b/>
          <w:bCs/>
          <w:sz w:val="22"/>
          <w:szCs w:val="22"/>
          <w:lang w:val="es-MX"/>
        </w:rPr>
        <w:t>.</w:t>
      </w:r>
    </w:p>
    <w:tbl>
      <w:tblPr>
        <w:tblpPr w:leftFromText="141" w:rightFromText="141" w:vertAnchor="text" w:horzAnchor="margin" w:tblpY="229"/>
        <w:tblW w:w="4395" w:type="dxa"/>
        <w:tblCellMar>
          <w:left w:w="70" w:type="dxa"/>
          <w:right w:w="70" w:type="dxa"/>
        </w:tblCellMar>
        <w:tblLook w:val="04A0" w:firstRow="1" w:lastRow="0" w:firstColumn="1" w:lastColumn="0" w:noHBand="0" w:noVBand="1"/>
      </w:tblPr>
      <w:tblGrid>
        <w:gridCol w:w="780"/>
        <w:gridCol w:w="3615"/>
      </w:tblGrid>
      <w:tr w:rsidR="007B6463" w:rsidRPr="005A11CE" w14:paraId="0D6EB2CD" w14:textId="77777777" w:rsidTr="0069621B">
        <w:trPr>
          <w:trHeight w:val="289"/>
        </w:trPr>
        <w:tc>
          <w:tcPr>
            <w:tcW w:w="780" w:type="dxa"/>
            <w:vMerge w:val="restart"/>
            <w:tcBorders>
              <w:top w:val="single" w:sz="4" w:space="0" w:color="FFFFFF"/>
              <w:left w:val="nil"/>
              <w:bottom w:val="nil"/>
              <w:right w:val="nil"/>
            </w:tcBorders>
            <w:shd w:val="clear" w:color="000000" w:fill="003366"/>
            <w:vAlign w:val="center"/>
            <w:hideMark/>
          </w:tcPr>
          <w:p w14:paraId="50658197" w14:textId="77777777" w:rsidR="007B6463" w:rsidRPr="005A11CE" w:rsidRDefault="007B6463" w:rsidP="0069621B">
            <w:pPr>
              <w:jc w:val="center"/>
              <w:rPr>
                <w:b/>
                <w:bCs/>
                <w:color w:val="FFFFFF"/>
                <w:sz w:val="16"/>
                <w:szCs w:val="16"/>
                <w:lang w:val="es-MX" w:eastAsia="es-MX"/>
              </w:rPr>
            </w:pPr>
            <w:r w:rsidRPr="005A11CE">
              <w:rPr>
                <w:b/>
                <w:bCs/>
                <w:color w:val="FFFFFF"/>
                <w:sz w:val="16"/>
                <w:szCs w:val="16"/>
                <w:lang w:val="es-MX" w:eastAsia="es-MX"/>
              </w:rPr>
              <w:t>Dominio</w:t>
            </w:r>
          </w:p>
        </w:tc>
        <w:tc>
          <w:tcPr>
            <w:tcW w:w="3615" w:type="dxa"/>
            <w:vMerge w:val="restart"/>
            <w:tcBorders>
              <w:top w:val="single" w:sz="4" w:space="0" w:color="FFFFFF"/>
              <w:left w:val="nil"/>
              <w:bottom w:val="nil"/>
              <w:right w:val="single" w:sz="4" w:space="0" w:color="FFFFFF"/>
            </w:tcBorders>
            <w:shd w:val="clear" w:color="000000" w:fill="003366"/>
            <w:vAlign w:val="center"/>
            <w:hideMark/>
          </w:tcPr>
          <w:p w14:paraId="61296E05" w14:textId="77777777" w:rsidR="007B6463" w:rsidRPr="005A11CE" w:rsidRDefault="007B6463" w:rsidP="0069621B">
            <w:pPr>
              <w:jc w:val="center"/>
              <w:rPr>
                <w:b/>
                <w:bCs/>
                <w:color w:val="FFFFFF"/>
                <w:sz w:val="16"/>
                <w:szCs w:val="16"/>
                <w:lang w:val="es-MX" w:eastAsia="es-MX"/>
              </w:rPr>
            </w:pPr>
            <w:r w:rsidRPr="005A11CE">
              <w:rPr>
                <w:b/>
                <w:bCs/>
                <w:color w:val="FFFFFF"/>
                <w:sz w:val="16"/>
                <w:szCs w:val="16"/>
                <w:lang w:val="es-MX" w:eastAsia="es-MX"/>
              </w:rPr>
              <w:t>Descripción</w:t>
            </w:r>
          </w:p>
        </w:tc>
      </w:tr>
      <w:tr w:rsidR="007B6463" w:rsidRPr="005A11CE" w14:paraId="4BD83921" w14:textId="77777777" w:rsidTr="0069621B">
        <w:trPr>
          <w:trHeight w:val="276"/>
        </w:trPr>
        <w:tc>
          <w:tcPr>
            <w:tcW w:w="780" w:type="dxa"/>
            <w:vMerge/>
            <w:tcBorders>
              <w:top w:val="single" w:sz="4" w:space="0" w:color="FFFFFF"/>
              <w:left w:val="nil"/>
              <w:bottom w:val="nil"/>
              <w:right w:val="nil"/>
            </w:tcBorders>
            <w:vAlign w:val="center"/>
            <w:hideMark/>
          </w:tcPr>
          <w:p w14:paraId="6ACE150C" w14:textId="77777777" w:rsidR="007B6463" w:rsidRPr="005A11CE" w:rsidRDefault="007B6463" w:rsidP="0069621B">
            <w:pPr>
              <w:jc w:val="left"/>
              <w:rPr>
                <w:b/>
                <w:bCs/>
                <w:color w:val="FFFFFF"/>
                <w:sz w:val="16"/>
                <w:szCs w:val="16"/>
                <w:lang w:val="es-MX" w:eastAsia="es-MX"/>
              </w:rPr>
            </w:pPr>
          </w:p>
        </w:tc>
        <w:tc>
          <w:tcPr>
            <w:tcW w:w="3615" w:type="dxa"/>
            <w:vMerge/>
            <w:tcBorders>
              <w:top w:val="single" w:sz="4" w:space="0" w:color="FFFFFF"/>
              <w:left w:val="nil"/>
              <w:bottom w:val="nil"/>
              <w:right w:val="single" w:sz="4" w:space="0" w:color="FFFFFF"/>
            </w:tcBorders>
            <w:vAlign w:val="center"/>
            <w:hideMark/>
          </w:tcPr>
          <w:p w14:paraId="7F0A5E7F" w14:textId="77777777" w:rsidR="007B6463" w:rsidRPr="005A11CE" w:rsidRDefault="007B6463" w:rsidP="0069621B">
            <w:pPr>
              <w:jc w:val="left"/>
              <w:rPr>
                <w:b/>
                <w:bCs/>
                <w:color w:val="FFFFFF"/>
                <w:sz w:val="16"/>
                <w:szCs w:val="16"/>
                <w:lang w:val="es-MX" w:eastAsia="es-MX"/>
              </w:rPr>
            </w:pPr>
          </w:p>
        </w:tc>
      </w:tr>
      <w:tr w:rsidR="007B6463" w:rsidRPr="005A11CE" w14:paraId="4482A263" w14:textId="77777777" w:rsidTr="0069621B">
        <w:trPr>
          <w:trHeight w:val="62"/>
        </w:trPr>
        <w:tc>
          <w:tcPr>
            <w:tcW w:w="780" w:type="dxa"/>
            <w:vMerge/>
            <w:tcBorders>
              <w:top w:val="single" w:sz="4" w:space="0" w:color="FFFFFF"/>
              <w:left w:val="nil"/>
              <w:bottom w:val="nil"/>
              <w:right w:val="nil"/>
            </w:tcBorders>
            <w:vAlign w:val="center"/>
            <w:hideMark/>
          </w:tcPr>
          <w:p w14:paraId="41147EBB" w14:textId="77777777" w:rsidR="007B6463" w:rsidRPr="005A11CE" w:rsidRDefault="007B6463" w:rsidP="0069621B">
            <w:pPr>
              <w:jc w:val="left"/>
              <w:rPr>
                <w:b/>
                <w:bCs/>
                <w:color w:val="FFFFFF"/>
                <w:sz w:val="16"/>
                <w:szCs w:val="16"/>
                <w:lang w:val="es-MX" w:eastAsia="es-MX"/>
              </w:rPr>
            </w:pPr>
          </w:p>
        </w:tc>
        <w:tc>
          <w:tcPr>
            <w:tcW w:w="3615" w:type="dxa"/>
            <w:tcBorders>
              <w:top w:val="nil"/>
              <w:left w:val="nil"/>
              <w:bottom w:val="nil"/>
              <w:right w:val="single" w:sz="4" w:space="0" w:color="FFFFFF"/>
            </w:tcBorders>
            <w:shd w:val="clear" w:color="000000" w:fill="003366"/>
            <w:vAlign w:val="center"/>
            <w:hideMark/>
          </w:tcPr>
          <w:p w14:paraId="4A4E9A4F" w14:textId="77777777" w:rsidR="007B6463" w:rsidRPr="005A11CE" w:rsidRDefault="007B6463" w:rsidP="0069621B">
            <w:pPr>
              <w:rPr>
                <w:b/>
                <w:bCs/>
                <w:color w:val="FFFFFF"/>
                <w:sz w:val="16"/>
                <w:szCs w:val="16"/>
                <w:lang w:val="es-MX" w:eastAsia="es-MX"/>
              </w:rPr>
            </w:pPr>
          </w:p>
        </w:tc>
      </w:tr>
      <w:tr w:rsidR="007B6463" w:rsidRPr="005A11CE" w14:paraId="24DB97E4" w14:textId="77777777" w:rsidTr="0069621B">
        <w:trPr>
          <w:trHeight w:val="510"/>
        </w:trPr>
        <w:tc>
          <w:tcPr>
            <w:tcW w:w="780" w:type="dxa"/>
            <w:tcBorders>
              <w:top w:val="nil"/>
              <w:left w:val="nil"/>
              <w:bottom w:val="nil"/>
              <w:right w:val="nil"/>
            </w:tcBorders>
            <w:shd w:val="clear" w:color="auto" w:fill="auto"/>
            <w:noWrap/>
            <w:vAlign w:val="center"/>
            <w:hideMark/>
          </w:tcPr>
          <w:p w14:paraId="629C9A10"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515210</w:t>
            </w:r>
          </w:p>
        </w:tc>
        <w:tc>
          <w:tcPr>
            <w:tcW w:w="3615" w:type="dxa"/>
            <w:tcBorders>
              <w:top w:val="single" w:sz="4" w:space="0" w:color="FFFFFF"/>
              <w:left w:val="single" w:sz="4" w:space="0" w:color="FFFFFF"/>
              <w:bottom w:val="single" w:sz="4" w:space="0" w:color="FFFFFF"/>
              <w:right w:val="single" w:sz="4" w:space="0" w:color="FFFFFF"/>
            </w:tcBorders>
            <w:shd w:val="clear" w:color="000000" w:fill="003366"/>
            <w:vAlign w:val="center"/>
            <w:hideMark/>
          </w:tcPr>
          <w:p w14:paraId="2CCF3972"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Producción de programación de canales para sistemas de televisión por cable o satelitales</w:t>
            </w:r>
          </w:p>
        </w:tc>
      </w:tr>
      <w:tr w:rsidR="007B6463" w:rsidRPr="005A11CE" w14:paraId="742D8769" w14:textId="77777777" w:rsidTr="0069621B">
        <w:trPr>
          <w:trHeight w:val="300"/>
        </w:trPr>
        <w:tc>
          <w:tcPr>
            <w:tcW w:w="780" w:type="dxa"/>
            <w:tcBorders>
              <w:top w:val="nil"/>
              <w:left w:val="nil"/>
              <w:bottom w:val="nil"/>
              <w:right w:val="nil"/>
            </w:tcBorders>
            <w:shd w:val="clear" w:color="auto" w:fill="auto"/>
            <w:noWrap/>
            <w:vAlign w:val="center"/>
            <w:hideMark/>
          </w:tcPr>
          <w:p w14:paraId="175ED8A0"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532110</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2CA940F3"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Alquiler de automóviles sin chofer</w:t>
            </w:r>
          </w:p>
        </w:tc>
      </w:tr>
      <w:tr w:rsidR="007B6463" w:rsidRPr="005A11CE" w14:paraId="0825C8DA" w14:textId="77777777" w:rsidTr="0069621B">
        <w:trPr>
          <w:trHeight w:val="765"/>
        </w:trPr>
        <w:tc>
          <w:tcPr>
            <w:tcW w:w="780" w:type="dxa"/>
            <w:tcBorders>
              <w:top w:val="nil"/>
              <w:left w:val="nil"/>
              <w:bottom w:val="nil"/>
              <w:right w:val="nil"/>
            </w:tcBorders>
            <w:shd w:val="clear" w:color="auto" w:fill="auto"/>
            <w:noWrap/>
            <w:vAlign w:val="center"/>
            <w:hideMark/>
          </w:tcPr>
          <w:p w14:paraId="11B0BEE2"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541711</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4497A1C5"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Servicios de investigación científica y desarrollo en ciencias naturales y exactas, ingeniería, y ciencias de la vida, prestados por el sector privado</w:t>
            </w:r>
          </w:p>
        </w:tc>
      </w:tr>
      <w:tr w:rsidR="007B6463" w:rsidRPr="005A11CE" w14:paraId="400604B6" w14:textId="77777777" w:rsidTr="0069621B">
        <w:trPr>
          <w:trHeight w:val="510"/>
        </w:trPr>
        <w:tc>
          <w:tcPr>
            <w:tcW w:w="780" w:type="dxa"/>
            <w:tcBorders>
              <w:top w:val="nil"/>
              <w:left w:val="nil"/>
              <w:bottom w:val="nil"/>
              <w:right w:val="nil"/>
            </w:tcBorders>
            <w:shd w:val="clear" w:color="auto" w:fill="auto"/>
            <w:noWrap/>
            <w:vAlign w:val="center"/>
            <w:hideMark/>
          </w:tcPr>
          <w:p w14:paraId="2C971535"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561520</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3B156D11"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Organización de excursiones y paquetes turísticos para agencias de viajes (Operadores de tours)</w:t>
            </w:r>
          </w:p>
        </w:tc>
      </w:tr>
      <w:tr w:rsidR="007B6463" w:rsidRPr="005A11CE" w14:paraId="207A2617" w14:textId="77777777" w:rsidTr="0069621B">
        <w:trPr>
          <w:trHeight w:val="300"/>
        </w:trPr>
        <w:tc>
          <w:tcPr>
            <w:tcW w:w="780" w:type="dxa"/>
            <w:tcBorders>
              <w:top w:val="nil"/>
              <w:left w:val="nil"/>
              <w:bottom w:val="nil"/>
              <w:right w:val="nil"/>
            </w:tcBorders>
            <w:shd w:val="clear" w:color="auto" w:fill="auto"/>
            <w:noWrap/>
            <w:vAlign w:val="center"/>
            <w:hideMark/>
          </w:tcPr>
          <w:p w14:paraId="41EF844C"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6113</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1CB32AB5"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Escuelas de educación técnica superior</w:t>
            </w:r>
          </w:p>
        </w:tc>
      </w:tr>
      <w:tr w:rsidR="007B6463" w:rsidRPr="005A11CE" w14:paraId="02D93B61" w14:textId="77777777" w:rsidTr="0069621B">
        <w:trPr>
          <w:trHeight w:val="510"/>
        </w:trPr>
        <w:tc>
          <w:tcPr>
            <w:tcW w:w="780" w:type="dxa"/>
            <w:tcBorders>
              <w:top w:val="nil"/>
              <w:left w:val="nil"/>
              <w:bottom w:val="nil"/>
              <w:right w:val="nil"/>
            </w:tcBorders>
            <w:shd w:val="clear" w:color="auto" w:fill="auto"/>
            <w:noWrap/>
            <w:vAlign w:val="center"/>
            <w:hideMark/>
          </w:tcPr>
          <w:p w14:paraId="09140D03"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623991</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6143D898"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Orfanatos y otras residencias de asistencia social del sector privado</w:t>
            </w:r>
          </w:p>
        </w:tc>
      </w:tr>
      <w:tr w:rsidR="007B6463" w:rsidRPr="005A11CE" w14:paraId="41E304C3" w14:textId="77777777" w:rsidTr="0069621B">
        <w:trPr>
          <w:trHeight w:val="510"/>
        </w:trPr>
        <w:tc>
          <w:tcPr>
            <w:tcW w:w="780" w:type="dxa"/>
            <w:tcBorders>
              <w:top w:val="nil"/>
              <w:left w:val="nil"/>
              <w:bottom w:val="nil"/>
              <w:right w:val="nil"/>
            </w:tcBorders>
            <w:shd w:val="clear" w:color="auto" w:fill="auto"/>
            <w:noWrap/>
            <w:vAlign w:val="center"/>
            <w:hideMark/>
          </w:tcPr>
          <w:p w14:paraId="62C7AAE3"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711410</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20F3BE94"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Agentes y representantes de artistas, deportistas y similares</w:t>
            </w:r>
          </w:p>
        </w:tc>
      </w:tr>
      <w:tr w:rsidR="007B6463" w:rsidRPr="005A11CE" w14:paraId="77D19FB3" w14:textId="77777777" w:rsidTr="0069621B">
        <w:trPr>
          <w:trHeight w:val="300"/>
        </w:trPr>
        <w:tc>
          <w:tcPr>
            <w:tcW w:w="780" w:type="dxa"/>
            <w:tcBorders>
              <w:top w:val="nil"/>
              <w:left w:val="nil"/>
              <w:bottom w:val="nil"/>
              <w:right w:val="nil"/>
            </w:tcBorders>
            <w:shd w:val="clear" w:color="auto" w:fill="auto"/>
            <w:noWrap/>
            <w:vAlign w:val="center"/>
            <w:hideMark/>
          </w:tcPr>
          <w:p w14:paraId="3D3A943E" w14:textId="77777777" w:rsidR="007B6463" w:rsidRPr="005A11CE" w:rsidRDefault="007B6463" w:rsidP="0069621B">
            <w:pPr>
              <w:jc w:val="center"/>
              <w:rPr>
                <w:rFonts w:ascii="Calibri" w:hAnsi="Calibri" w:cs="Calibri"/>
                <w:color w:val="000000"/>
                <w:sz w:val="16"/>
                <w:szCs w:val="16"/>
                <w:lang w:val="es-MX" w:eastAsia="es-MX"/>
              </w:rPr>
            </w:pPr>
            <w:r w:rsidRPr="005A11CE">
              <w:rPr>
                <w:rFonts w:ascii="Calibri" w:hAnsi="Calibri" w:cs="Calibri"/>
                <w:color w:val="000000"/>
                <w:sz w:val="16"/>
                <w:szCs w:val="16"/>
                <w:lang w:val="es-MX" w:eastAsia="es-MX"/>
              </w:rPr>
              <w:t>721111</w:t>
            </w:r>
          </w:p>
        </w:tc>
        <w:tc>
          <w:tcPr>
            <w:tcW w:w="3615" w:type="dxa"/>
            <w:tcBorders>
              <w:top w:val="nil"/>
              <w:left w:val="single" w:sz="4" w:space="0" w:color="FFFFFF"/>
              <w:bottom w:val="single" w:sz="4" w:space="0" w:color="FFFFFF"/>
              <w:right w:val="single" w:sz="4" w:space="0" w:color="FFFFFF"/>
            </w:tcBorders>
            <w:shd w:val="clear" w:color="000000" w:fill="003366"/>
            <w:vAlign w:val="center"/>
            <w:hideMark/>
          </w:tcPr>
          <w:p w14:paraId="0B55DB7A" w14:textId="77777777" w:rsidR="007B6463" w:rsidRPr="005A11CE" w:rsidRDefault="007B6463" w:rsidP="0069621B">
            <w:pPr>
              <w:jc w:val="left"/>
              <w:rPr>
                <w:b/>
                <w:bCs/>
                <w:color w:val="FFFFFF"/>
                <w:sz w:val="16"/>
                <w:szCs w:val="16"/>
                <w:lang w:val="es-MX" w:eastAsia="es-MX"/>
              </w:rPr>
            </w:pPr>
            <w:r w:rsidRPr="005A11CE">
              <w:rPr>
                <w:b/>
                <w:bCs/>
                <w:color w:val="FFFFFF"/>
                <w:sz w:val="16"/>
                <w:szCs w:val="16"/>
                <w:lang w:val="es-MX" w:eastAsia="es-MX"/>
              </w:rPr>
              <w:t xml:space="preserve"> Hoteles con otros servicios integrados</w:t>
            </w:r>
          </w:p>
        </w:tc>
      </w:tr>
    </w:tbl>
    <w:p w14:paraId="33CC6487" w14:textId="47139650" w:rsidR="00DF7E48" w:rsidRDefault="007B6463" w:rsidP="007B6463">
      <w:pPr>
        <w:rPr>
          <w:sz w:val="20"/>
          <w:szCs w:val="20"/>
        </w:rPr>
      </w:pPr>
      <w:r>
        <w:rPr>
          <w:noProof/>
        </w:rPr>
        <w:drawing>
          <wp:anchor distT="0" distB="0" distL="114300" distR="114300" simplePos="0" relativeHeight="251659264" behindDoc="1" locked="0" layoutInCell="1" allowOverlap="1" wp14:anchorId="55C48A9D" wp14:editId="21170681">
            <wp:simplePos x="0" y="0"/>
            <wp:positionH relativeFrom="margin">
              <wp:align>right</wp:align>
            </wp:positionH>
            <wp:positionV relativeFrom="paragraph">
              <wp:posOffset>130329</wp:posOffset>
            </wp:positionV>
            <wp:extent cx="3533775" cy="2948940"/>
            <wp:effectExtent l="0" t="0" r="0" b="3810"/>
            <wp:wrapNone/>
            <wp:docPr id="8" name="Gráfico 8">
              <a:extLst xmlns:a="http://schemas.openxmlformats.org/drawingml/2006/main">
                <a:ext uri="{FF2B5EF4-FFF2-40B4-BE49-F238E27FC236}">
                  <a16:creationId xmlns:a16="http://schemas.microsoft.com/office/drawing/2014/main" id="{8CEC49D8-EEFD-4933-9E42-0DC089454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Pr>
          <w:sz w:val="20"/>
          <w:szCs w:val="20"/>
          <w:lang w:val="es-MX"/>
        </w:rPr>
        <w:br w:type="textWrapping" w:clear="all"/>
      </w:r>
    </w:p>
    <w:p w14:paraId="5AF82217" w14:textId="761F654B" w:rsidR="004734FC" w:rsidRPr="00367571" w:rsidRDefault="004734FC" w:rsidP="007B6463">
      <w:pPr>
        <w:rPr>
          <w:sz w:val="20"/>
          <w:szCs w:val="20"/>
          <w:lang w:val="es-MX"/>
        </w:rPr>
      </w:pPr>
    </w:p>
    <w:p w14:paraId="7557E176" w14:textId="4ABC44F9" w:rsidR="00FA7C70" w:rsidRPr="00FE55DB" w:rsidRDefault="00FA7C70" w:rsidP="00FA7C70">
      <w:pPr>
        <w:rPr>
          <w:b/>
          <w:bCs/>
        </w:rPr>
      </w:pPr>
      <w:r w:rsidRPr="00FE55DB">
        <w:rPr>
          <w:b/>
          <w:bCs/>
        </w:rPr>
        <w:t>Nota al usuario</w:t>
      </w:r>
    </w:p>
    <w:p w14:paraId="33AEEF75" w14:textId="59251DAA" w:rsidR="00F02E9F" w:rsidRPr="00FE55DB" w:rsidRDefault="00F02E9F" w:rsidP="00FA7C70">
      <w:pPr>
        <w:rPr>
          <w:b/>
          <w:bCs/>
        </w:rPr>
      </w:pPr>
    </w:p>
    <w:p w14:paraId="38CAA44B" w14:textId="6F5F7562" w:rsidR="00F02E9F" w:rsidRPr="00FE55DB" w:rsidRDefault="00F02E9F" w:rsidP="00F02E9F">
      <w:pPr>
        <w:autoSpaceDE w:val="0"/>
        <w:autoSpaceDN w:val="0"/>
        <w:adjustRightInd w:val="0"/>
      </w:pPr>
      <w:r w:rsidRPr="00FE55DB">
        <w:t>Es importante precisar que 2020 fue un año atípico, ya que el 11 de marzo de 2020 la Organización Mundial de la Salud declaró oficialmente una pandemi</w:t>
      </w:r>
      <w:r w:rsidR="00FE55DB">
        <w:t>a y</w:t>
      </w:r>
      <w:r w:rsidRPr="00FE55DB">
        <w:t xml:space="preserve"> con motivo de la propagación del Coronavirus COVID-19 se adoptaron medidas emergentes. Esta situación se ha prolongado hasta este año, lo cual se refleja en los resultados generados.</w:t>
      </w:r>
    </w:p>
    <w:p w14:paraId="510DAA2F" w14:textId="77777777" w:rsidR="00F02E9F" w:rsidRPr="00FE55DB" w:rsidRDefault="00F02E9F" w:rsidP="00F02E9F">
      <w:pPr>
        <w:rPr>
          <w:b/>
          <w:bCs/>
          <w:noProof/>
          <w:lang w:eastAsia="es-MX"/>
        </w:rPr>
      </w:pPr>
    </w:p>
    <w:p w14:paraId="79FF7775" w14:textId="6643A5D9" w:rsidR="001C1D7F" w:rsidRPr="00FE55DB" w:rsidRDefault="00D43198" w:rsidP="001C1D7F">
      <w:pPr>
        <w:rPr>
          <w:rFonts w:eastAsia="Calibri"/>
          <w:lang w:eastAsia="es-MX"/>
        </w:rPr>
      </w:pPr>
      <w:r w:rsidRPr="00FE55DB">
        <w:t>L</w:t>
      </w:r>
      <w:r w:rsidRPr="00FE55DB">
        <w:rPr>
          <w:rFonts w:eastAsia="Calibri"/>
          <w:lang w:eastAsia="es-MX"/>
        </w:rPr>
        <w:t xml:space="preserve">a Tasa de no respuesta de la Encuesta Anual de Servicios Privados </w:t>
      </w:r>
      <w:r w:rsidR="00FE55DB">
        <w:rPr>
          <w:rFonts w:eastAsia="Calibri"/>
          <w:lang w:eastAsia="es-MX"/>
        </w:rPr>
        <w:t>N</w:t>
      </w:r>
      <w:r w:rsidRPr="00FE55DB">
        <w:rPr>
          <w:rFonts w:eastAsia="Calibri"/>
          <w:lang w:eastAsia="es-MX"/>
        </w:rPr>
        <w:t xml:space="preserve">o Financieros (EASPNF), correspondiente a 2021 registró porcentajes apropiados conforme al diseño estadístico de la encuesta, lo que permitió la generación de estadísticas con niveles altos de precisión. De los 86 dominios de estudio de la encuesta, solo para </w:t>
      </w:r>
      <w:r w:rsidR="001B3F5C" w:rsidRPr="00FE55DB">
        <w:rPr>
          <w:rFonts w:eastAsia="Calibri"/>
          <w:lang w:eastAsia="es-MX"/>
        </w:rPr>
        <w:t>4</w:t>
      </w:r>
      <w:r w:rsidRPr="00FE55DB">
        <w:rPr>
          <w:rFonts w:eastAsia="Calibri"/>
          <w:lang w:eastAsia="es-MX"/>
        </w:rPr>
        <w:t xml:space="preserve"> dominios que representan el </w:t>
      </w:r>
      <w:r w:rsidR="001B3F5C" w:rsidRPr="00FE55DB">
        <w:rPr>
          <w:rFonts w:eastAsia="Calibri"/>
          <w:lang w:eastAsia="es-MX"/>
        </w:rPr>
        <w:t>13.3</w:t>
      </w:r>
      <w:r w:rsidRPr="00FE55DB">
        <w:rPr>
          <w:rFonts w:eastAsia="Calibri"/>
          <w:lang w:eastAsia="es-MX"/>
        </w:rPr>
        <w:t xml:space="preserve">%, en relación con la variable de ingresos del total de los </w:t>
      </w:r>
      <w:r w:rsidR="00FE55DB">
        <w:rPr>
          <w:rFonts w:eastAsia="Calibri"/>
          <w:lang w:eastAsia="es-MX"/>
        </w:rPr>
        <w:t>s</w:t>
      </w:r>
      <w:r w:rsidRPr="00FE55DB">
        <w:rPr>
          <w:rFonts w:eastAsia="Calibri"/>
          <w:lang w:eastAsia="es-MX"/>
        </w:rPr>
        <w:t xml:space="preserve">ervicios </w:t>
      </w:r>
      <w:r w:rsidR="00FE55DB">
        <w:rPr>
          <w:rFonts w:eastAsia="Calibri"/>
          <w:lang w:eastAsia="es-MX"/>
        </w:rPr>
        <w:t>p</w:t>
      </w:r>
      <w:r w:rsidRPr="00FE55DB">
        <w:rPr>
          <w:rFonts w:eastAsia="Calibri"/>
          <w:lang w:eastAsia="es-MX"/>
        </w:rPr>
        <w:t xml:space="preserve">rivados no </w:t>
      </w:r>
      <w:r w:rsidR="00FE55DB">
        <w:rPr>
          <w:rFonts w:eastAsia="Calibri"/>
          <w:lang w:eastAsia="es-MX"/>
        </w:rPr>
        <w:t>f</w:t>
      </w:r>
      <w:r w:rsidRPr="00FE55DB">
        <w:rPr>
          <w:rFonts w:eastAsia="Calibri"/>
          <w:lang w:eastAsia="es-MX"/>
        </w:rPr>
        <w:t>inancieros, se recomienda el uso con reserva, los cuales son los siguientes:</w:t>
      </w:r>
    </w:p>
    <w:p w14:paraId="2B12862D" w14:textId="77777777" w:rsidR="001C1D7F" w:rsidRPr="00FE55DB" w:rsidRDefault="001C1D7F" w:rsidP="001C1D7F">
      <w:pPr>
        <w:rPr>
          <w:rFonts w:eastAsia="Calibri"/>
          <w:lang w:eastAsia="es-MX"/>
        </w:rPr>
      </w:pPr>
    </w:p>
    <w:tbl>
      <w:tblPr>
        <w:tblW w:w="8647" w:type="dxa"/>
        <w:tblCellMar>
          <w:left w:w="70" w:type="dxa"/>
          <w:right w:w="70" w:type="dxa"/>
        </w:tblCellMar>
        <w:tblLook w:val="04A0" w:firstRow="1" w:lastRow="0" w:firstColumn="1" w:lastColumn="0" w:noHBand="0" w:noVBand="1"/>
      </w:tblPr>
      <w:tblGrid>
        <w:gridCol w:w="8647"/>
      </w:tblGrid>
      <w:tr w:rsidR="001B3F5C" w:rsidRPr="00FE55DB" w14:paraId="26D3C495" w14:textId="77777777" w:rsidTr="00FE55DB">
        <w:trPr>
          <w:trHeight w:val="240"/>
        </w:trPr>
        <w:tc>
          <w:tcPr>
            <w:tcW w:w="8647" w:type="dxa"/>
            <w:tcBorders>
              <w:top w:val="nil"/>
              <w:left w:val="nil"/>
              <w:bottom w:val="nil"/>
              <w:right w:val="nil"/>
            </w:tcBorders>
            <w:shd w:val="clear" w:color="auto" w:fill="auto"/>
            <w:noWrap/>
            <w:vAlign w:val="bottom"/>
            <w:hideMark/>
          </w:tcPr>
          <w:p w14:paraId="1339ADF8" w14:textId="77777777" w:rsidR="001B3F5C" w:rsidRPr="00FE55DB" w:rsidRDefault="001B3F5C" w:rsidP="001B3F5C">
            <w:pPr>
              <w:jc w:val="left"/>
              <w:rPr>
                <w:lang w:val="es-MX" w:eastAsia="es-MX"/>
              </w:rPr>
            </w:pPr>
            <w:r w:rsidRPr="00FE55DB">
              <w:rPr>
                <w:lang w:val="es-MX" w:eastAsia="es-MX"/>
              </w:rPr>
              <w:t xml:space="preserve">Edición de software y edición de software integrada con la reproducción </w:t>
            </w:r>
          </w:p>
        </w:tc>
      </w:tr>
      <w:tr w:rsidR="001B3F5C" w:rsidRPr="00FE55DB" w14:paraId="3E360910" w14:textId="77777777" w:rsidTr="00FE55DB">
        <w:trPr>
          <w:trHeight w:val="240"/>
        </w:trPr>
        <w:tc>
          <w:tcPr>
            <w:tcW w:w="8647" w:type="dxa"/>
            <w:tcBorders>
              <w:top w:val="nil"/>
              <w:left w:val="nil"/>
              <w:bottom w:val="nil"/>
              <w:right w:val="nil"/>
            </w:tcBorders>
            <w:shd w:val="clear" w:color="auto" w:fill="auto"/>
            <w:noWrap/>
            <w:vAlign w:val="bottom"/>
            <w:hideMark/>
          </w:tcPr>
          <w:p w14:paraId="25295887" w14:textId="77777777" w:rsidR="001B3F5C" w:rsidRPr="00FE55DB" w:rsidRDefault="001B3F5C" w:rsidP="001B3F5C">
            <w:pPr>
              <w:jc w:val="left"/>
              <w:rPr>
                <w:lang w:val="es-MX" w:eastAsia="es-MX"/>
              </w:rPr>
            </w:pPr>
            <w:r w:rsidRPr="00FE55DB">
              <w:rPr>
                <w:lang w:val="es-MX" w:eastAsia="es-MX"/>
              </w:rPr>
              <w:t>Hospitales generales</w:t>
            </w:r>
          </w:p>
        </w:tc>
      </w:tr>
      <w:tr w:rsidR="001B3F5C" w:rsidRPr="00FE55DB" w14:paraId="245E6BE6" w14:textId="77777777" w:rsidTr="00FE55DB">
        <w:trPr>
          <w:trHeight w:val="240"/>
        </w:trPr>
        <w:tc>
          <w:tcPr>
            <w:tcW w:w="8647" w:type="dxa"/>
            <w:tcBorders>
              <w:top w:val="nil"/>
              <w:left w:val="nil"/>
              <w:bottom w:val="nil"/>
              <w:right w:val="nil"/>
            </w:tcBorders>
            <w:shd w:val="clear" w:color="auto" w:fill="auto"/>
            <w:noWrap/>
            <w:vAlign w:val="bottom"/>
            <w:hideMark/>
          </w:tcPr>
          <w:p w14:paraId="3A06725F" w14:textId="77777777" w:rsidR="001B3F5C" w:rsidRPr="00FE55DB" w:rsidRDefault="001B3F5C" w:rsidP="001B3F5C">
            <w:pPr>
              <w:jc w:val="left"/>
              <w:rPr>
                <w:lang w:val="es-MX" w:eastAsia="es-MX"/>
              </w:rPr>
            </w:pPr>
            <w:r w:rsidRPr="00FE55DB">
              <w:rPr>
                <w:lang w:val="es-MX" w:eastAsia="es-MX"/>
              </w:rPr>
              <w:t>Agencias de viajes</w:t>
            </w:r>
          </w:p>
        </w:tc>
      </w:tr>
      <w:tr w:rsidR="001B3F5C" w:rsidRPr="00FE55DB" w14:paraId="14D8D964" w14:textId="77777777" w:rsidTr="00FE55DB">
        <w:trPr>
          <w:trHeight w:val="240"/>
        </w:trPr>
        <w:tc>
          <w:tcPr>
            <w:tcW w:w="8647" w:type="dxa"/>
            <w:tcBorders>
              <w:top w:val="nil"/>
              <w:left w:val="nil"/>
              <w:bottom w:val="nil"/>
              <w:right w:val="nil"/>
            </w:tcBorders>
            <w:shd w:val="clear" w:color="auto" w:fill="auto"/>
            <w:noWrap/>
            <w:vAlign w:val="bottom"/>
            <w:hideMark/>
          </w:tcPr>
          <w:p w14:paraId="555E11AC" w14:textId="77777777" w:rsidR="001B3F5C" w:rsidRPr="00FE55DB" w:rsidRDefault="001B3F5C" w:rsidP="001B3F5C">
            <w:pPr>
              <w:jc w:val="left"/>
              <w:rPr>
                <w:lang w:val="es-MX" w:eastAsia="es-MX"/>
              </w:rPr>
            </w:pPr>
            <w:r w:rsidRPr="00FE55DB">
              <w:rPr>
                <w:lang w:val="es-MX" w:eastAsia="es-MX"/>
              </w:rPr>
              <w:t>Servicios de preparación de alimentos y bebidas alcohólicas y no alcohólicas</w:t>
            </w:r>
          </w:p>
        </w:tc>
      </w:tr>
    </w:tbl>
    <w:p w14:paraId="0742706C" w14:textId="77777777" w:rsidR="00FE55DB" w:rsidRDefault="00FE55DB" w:rsidP="00FA7C70">
      <w:pPr>
        <w:jc w:val="left"/>
        <w:rPr>
          <w:b/>
          <w:bCs/>
          <w:noProof/>
          <w:lang w:eastAsia="es-MX"/>
        </w:rPr>
      </w:pPr>
    </w:p>
    <w:p w14:paraId="308A05BD" w14:textId="7DAD9538" w:rsidR="00C86D89" w:rsidRPr="00FE55DB" w:rsidRDefault="00C86D89" w:rsidP="00FA7C70">
      <w:pPr>
        <w:jc w:val="left"/>
        <w:rPr>
          <w:b/>
          <w:bCs/>
          <w:noProof/>
          <w:lang w:eastAsia="es-MX"/>
        </w:rPr>
      </w:pPr>
      <w:r w:rsidRPr="00FE55DB">
        <w:rPr>
          <w:b/>
          <w:bCs/>
          <w:noProof/>
          <w:lang w:eastAsia="es-MX"/>
        </w:rPr>
        <w:t xml:space="preserve">Aspectos metodológicos </w:t>
      </w:r>
    </w:p>
    <w:p w14:paraId="3A0AFE19" w14:textId="776B99BA" w:rsidR="00C86D89" w:rsidRPr="00FE55DB" w:rsidRDefault="00C86D89" w:rsidP="000E3892">
      <w:pPr>
        <w:pStyle w:val="Pa8"/>
        <w:spacing w:before="240" w:line="240" w:lineRule="auto"/>
        <w:ind w:right="51"/>
        <w:jc w:val="both"/>
        <w:rPr>
          <w:color w:val="000000"/>
          <w:lang w:val="es-MX"/>
        </w:rPr>
      </w:pPr>
      <w:r w:rsidRPr="00FE55DB">
        <w:rPr>
          <w:color w:val="000000"/>
          <w:lang w:val="es-MX"/>
        </w:rPr>
        <w:t xml:space="preserve">La </w:t>
      </w:r>
      <w:r w:rsidRPr="00FE55DB">
        <w:rPr>
          <w:bCs/>
          <w:color w:val="000000"/>
          <w:lang w:val="es-MX"/>
        </w:rPr>
        <w:t xml:space="preserve">Encuesta Anual de Servicios Privados </w:t>
      </w:r>
      <w:r w:rsidR="00FE55DB">
        <w:rPr>
          <w:bCs/>
          <w:color w:val="000000"/>
          <w:lang w:val="es-MX"/>
        </w:rPr>
        <w:t>N</w:t>
      </w:r>
      <w:r w:rsidRPr="00FE55DB">
        <w:rPr>
          <w:bCs/>
          <w:color w:val="000000"/>
          <w:lang w:val="es-MX"/>
        </w:rPr>
        <w:t>o</w:t>
      </w:r>
      <w:r w:rsidRPr="00FE55DB">
        <w:rPr>
          <w:b/>
          <w:bCs/>
          <w:color w:val="000000"/>
          <w:lang w:val="es-MX"/>
        </w:rPr>
        <w:t xml:space="preserve"> </w:t>
      </w:r>
      <w:r w:rsidRPr="00FE55DB">
        <w:rPr>
          <w:bCs/>
          <w:color w:val="000000"/>
          <w:lang w:val="es-MX"/>
        </w:rPr>
        <w:t>Financieros</w:t>
      </w:r>
      <w:r w:rsidRPr="00FE55DB">
        <w:rPr>
          <w:color w:val="000000"/>
          <w:lang w:val="es-MX"/>
        </w:rPr>
        <w:t xml:space="preserve"> (EASPNF), es un programa estadístico que nació con la filosofía de satisfacer una impostergable y creciente demanda por caracterizar al, </w:t>
      </w:r>
      <w:r w:rsidR="00A70080" w:rsidRPr="00FE55DB">
        <w:rPr>
          <w:color w:val="000000"/>
          <w:lang w:val="es-MX"/>
        </w:rPr>
        <w:t>sin lugar a duda</w:t>
      </w:r>
      <w:r w:rsidRPr="00FE55DB">
        <w:rPr>
          <w:color w:val="000000"/>
          <w:lang w:val="es-MX"/>
        </w:rPr>
        <w:t xml:space="preserve">, más dinámico sector de la economía nacional. </w:t>
      </w:r>
    </w:p>
    <w:p w14:paraId="5CDC10F1" w14:textId="07278B5F" w:rsidR="0039394C" w:rsidRPr="00FE55DB" w:rsidRDefault="00C86D89" w:rsidP="000E3892">
      <w:pPr>
        <w:pStyle w:val="Pa8"/>
        <w:spacing w:before="240" w:line="240" w:lineRule="auto"/>
        <w:ind w:right="51"/>
        <w:jc w:val="both"/>
        <w:rPr>
          <w:color w:val="000000"/>
          <w:lang w:val="es-MX"/>
        </w:rPr>
      </w:pPr>
      <w:r w:rsidRPr="00FE55DB">
        <w:rPr>
          <w:color w:val="000000"/>
          <w:lang w:val="es-MX"/>
        </w:rPr>
        <w:t xml:space="preserve">Los </w:t>
      </w:r>
      <w:r w:rsidR="00FE55DB">
        <w:rPr>
          <w:color w:val="000000"/>
          <w:lang w:val="es-MX"/>
        </w:rPr>
        <w:t>s</w:t>
      </w:r>
      <w:r w:rsidRPr="00FE55DB">
        <w:rPr>
          <w:color w:val="000000"/>
          <w:lang w:val="es-MX"/>
        </w:rPr>
        <w:t xml:space="preserve">ectores de </w:t>
      </w:r>
      <w:r w:rsidR="00FE55DB">
        <w:rPr>
          <w:color w:val="000000"/>
          <w:lang w:val="es-MX"/>
        </w:rPr>
        <w:t>s</w:t>
      </w:r>
      <w:r w:rsidRPr="00FE55DB">
        <w:rPr>
          <w:color w:val="000000"/>
          <w:lang w:val="es-MX"/>
        </w:rPr>
        <w:t xml:space="preserve">ervicios han observado una participación creciente en la economía, representando alrededor de </w:t>
      </w:r>
      <w:r w:rsidR="00987F62" w:rsidRPr="00FE55DB">
        <w:rPr>
          <w:color w:val="000000"/>
          <w:lang w:val="es-MX"/>
        </w:rPr>
        <w:t>27.6</w:t>
      </w:r>
      <w:r w:rsidRPr="00FE55DB">
        <w:rPr>
          <w:color w:val="000000"/>
          <w:lang w:val="es-MX"/>
        </w:rPr>
        <w:t>% de la estructura porcentual del Producto Interno Bruto (</w:t>
      </w:r>
      <w:r w:rsidR="003B1002" w:rsidRPr="00FE55DB">
        <w:rPr>
          <w:color w:val="000000"/>
          <w:lang w:val="es-MX"/>
        </w:rPr>
        <w:t xml:space="preserve">al tercer trimestre de 2021, </w:t>
      </w:r>
      <w:r w:rsidR="00A70080" w:rsidRPr="00FE55DB">
        <w:rPr>
          <w:color w:val="000000"/>
          <w:lang w:val="es-MX"/>
        </w:rPr>
        <w:t>cifras</w:t>
      </w:r>
      <w:r w:rsidR="003B1002" w:rsidRPr="00FE55DB">
        <w:rPr>
          <w:color w:val="000000"/>
          <w:lang w:val="es-MX"/>
        </w:rPr>
        <w:t xml:space="preserve"> preliminares</w:t>
      </w:r>
      <w:r w:rsidR="003B1002" w:rsidRPr="00FE55DB">
        <w:rPr>
          <w:rStyle w:val="Refdenotaalpie"/>
          <w:color w:val="000000"/>
          <w:lang w:val="es-MX"/>
        </w:rPr>
        <w:footnoteReference w:id="2"/>
      </w:r>
      <w:r w:rsidR="003B1002" w:rsidRPr="00FE55DB">
        <w:rPr>
          <w:color w:val="000000"/>
          <w:lang w:val="es-MX"/>
        </w:rPr>
        <w:t xml:space="preserve">) </w:t>
      </w:r>
      <w:r w:rsidRPr="00FE55DB">
        <w:rPr>
          <w:color w:val="000000"/>
          <w:lang w:val="es-MX"/>
        </w:rPr>
        <w:t xml:space="preserve">generado por el país. </w:t>
      </w:r>
    </w:p>
    <w:p w14:paraId="79241CCA" w14:textId="7D6FD8D6" w:rsidR="0039394C" w:rsidRPr="00FE55DB" w:rsidRDefault="00C86D89" w:rsidP="000E3892">
      <w:pPr>
        <w:pStyle w:val="Pa8"/>
        <w:spacing w:before="240" w:line="240" w:lineRule="auto"/>
        <w:ind w:right="51"/>
        <w:jc w:val="both"/>
        <w:rPr>
          <w:color w:val="000000"/>
          <w:lang w:val="es-MX"/>
        </w:rPr>
      </w:pPr>
      <w:r w:rsidRPr="00FE55DB">
        <w:rPr>
          <w:color w:val="000000"/>
          <w:lang w:val="es-MX"/>
        </w:rPr>
        <w:t xml:space="preserve">Así pues, la finalidad de la EASPNF es generar información estadística básica, de manera oportuna y permanente sobre las actividades de servicios prestados por el </w:t>
      </w:r>
      <w:r w:rsidR="00FE55DB">
        <w:rPr>
          <w:color w:val="000000"/>
          <w:lang w:val="es-MX"/>
        </w:rPr>
        <w:t>s</w:t>
      </w:r>
      <w:r w:rsidRPr="00FE55DB">
        <w:rPr>
          <w:color w:val="000000"/>
          <w:lang w:val="es-MX"/>
        </w:rPr>
        <w:t xml:space="preserve">ector </w:t>
      </w:r>
      <w:r w:rsidR="00FE55DB">
        <w:rPr>
          <w:color w:val="000000"/>
          <w:lang w:val="es-MX"/>
        </w:rPr>
        <w:t>p</w:t>
      </w:r>
      <w:r w:rsidRPr="00FE55DB">
        <w:rPr>
          <w:color w:val="000000"/>
          <w:lang w:val="es-MX"/>
        </w:rPr>
        <w:t xml:space="preserve">rivado no </w:t>
      </w:r>
      <w:r w:rsidR="00FE55DB">
        <w:rPr>
          <w:color w:val="000000"/>
          <w:lang w:val="es-MX"/>
        </w:rPr>
        <w:t>f</w:t>
      </w:r>
      <w:r w:rsidRPr="00FE55DB">
        <w:rPr>
          <w:color w:val="000000"/>
          <w:lang w:val="es-MX"/>
        </w:rPr>
        <w:t xml:space="preserve">inanciero a nivel nacional, además de servir como insumo o componente para la </w:t>
      </w:r>
      <w:r w:rsidR="000E3892" w:rsidRPr="00FE55DB">
        <w:rPr>
          <w:color w:val="000000"/>
          <w:lang w:val="es-MX"/>
        </w:rPr>
        <w:t>generación</w:t>
      </w:r>
      <w:r w:rsidRPr="00FE55DB">
        <w:rPr>
          <w:color w:val="000000"/>
          <w:lang w:val="es-MX"/>
        </w:rPr>
        <w:t xml:space="preserve"> de algunos indicadores económicos que elabora el Sistema de Cuentas Nacionales de México, tales como</w:t>
      </w:r>
      <w:r w:rsidR="00FE55DB">
        <w:rPr>
          <w:color w:val="000000"/>
          <w:lang w:val="es-MX"/>
        </w:rPr>
        <w:t xml:space="preserve"> el</w:t>
      </w:r>
      <w:r w:rsidRPr="00FE55DB">
        <w:rPr>
          <w:color w:val="000000"/>
          <w:lang w:val="es-MX"/>
        </w:rPr>
        <w:t xml:space="preserve"> Producto Interno Bruto (PIB),</w:t>
      </w:r>
      <w:r w:rsidR="00FE55DB">
        <w:rPr>
          <w:color w:val="000000"/>
          <w:lang w:val="es-MX"/>
        </w:rPr>
        <w:t xml:space="preserve"> la</w:t>
      </w:r>
      <w:r w:rsidRPr="00FE55DB">
        <w:rPr>
          <w:color w:val="000000"/>
          <w:lang w:val="es-MX"/>
        </w:rPr>
        <w:t xml:space="preserve"> Cuenta de Bienes y Servicios,</w:t>
      </w:r>
      <w:r w:rsidR="00FE55DB">
        <w:rPr>
          <w:color w:val="000000"/>
          <w:lang w:val="es-MX"/>
        </w:rPr>
        <w:t xml:space="preserve"> el</w:t>
      </w:r>
      <w:r w:rsidRPr="00FE55DB">
        <w:rPr>
          <w:color w:val="000000"/>
          <w:lang w:val="es-MX"/>
        </w:rPr>
        <w:t xml:space="preserve"> Indicador Global de la Actividad Económica (IGAE)</w:t>
      </w:r>
      <w:r w:rsidR="00FE55DB">
        <w:rPr>
          <w:color w:val="000000"/>
          <w:lang w:val="es-MX"/>
        </w:rPr>
        <w:t xml:space="preserve"> y la</w:t>
      </w:r>
      <w:r w:rsidRPr="00FE55DB">
        <w:rPr>
          <w:color w:val="000000"/>
          <w:lang w:val="es-MX"/>
        </w:rPr>
        <w:t xml:space="preserve"> Oferta y Utilización total de Bienes y Servicios, entre otros.</w:t>
      </w:r>
    </w:p>
    <w:p w14:paraId="1A506580" w14:textId="20B135C8" w:rsidR="00C86D89" w:rsidRPr="00FE55DB" w:rsidRDefault="00C86D89" w:rsidP="000E3892">
      <w:pPr>
        <w:pStyle w:val="Pa8"/>
        <w:spacing w:before="240" w:line="240" w:lineRule="auto"/>
        <w:ind w:right="51"/>
        <w:jc w:val="both"/>
        <w:rPr>
          <w:lang w:val="es-MX" w:eastAsia="es-MX"/>
        </w:rPr>
      </w:pPr>
      <w:r w:rsidRPr="00FE55DB">
        <w:rPr>
          <w:lang w:val="es-ES_tradnl" w:eastAsia="es-MX"/>
        </w:rPr>
        <w:t>La unidad de observación es el establecimiento</w:t>
      </w:r>
      <w:r w:rsidR="003055D2" w:rsidRPr="00FE55DB">
        <w:rPr>
          <w:lang w:val="es-ES_tradnl" w:eastAsia="es-MX"/>
        </w:rPr>
        <w:t xml:space="preserve"> (excepto rama 5171 Operadores de servicios de telecomunicaciones alámbricas y 5172 Operadores de servicios de telecomunicaciones inalámbricas)</w:t>
      </w:r>
      <w:r w:rsidRPr="00FE55DB">
        <w:rPr>
          <w:lang w:val="es-ES_tradnl" w:eastAsia="es-MX"/>
        </w:rPr>
        <w:t xml:space="preserve"> y la cobertura sectorial corresponde a 89 actividades a nivel de clase o rama, de acuerdo con el Sistema de Clasificación Industrial de América del Norte</w:t>
      </w:r>
      <w:r w:rsidR="00FE55DB">
        <w:rPr>
          <w:lang w:val="es-ES_tradnl" w:eastAsia="es-MX"/>
        </w:rPr>
        <w:t xml:space="preserve"> (SCIAN)</w:t>
      </w:r>
      <w:r w:rsidRPr="00FE55DB">
        <w:rPr>
          <w:lang w:val="es-ES_tradnl" w:eastAsia="es-MX"/>
        </w:rPr>
        <w:t xml:space="preserve"> 2013. </w:t>
      </w:r>
    </w:p>
    <w:p w14:paraId="4CEB80F9" w14:textId="4D9F0855" w:rsidR="003055D2" w:rsidRPr="00FE55DB" w:rsidRDefault="00C86D89" w:rsidP="00C86D89">
      <w:pPr>
        <w:autoSpaceDE w:val="0"/>
        <w:autoSpaceDN w:val="0"/>
        <w:adjustRightInd w:val="0"/>
        <w:spacing w:before="240"/>
        <w:rPr>
          <w:lang w:eastAsia="es-MX"/>
        </w:rPr>
      </w:pPr>
      <w:r w:rsidRPr="00FE55DB">
        <w:rPr>
          <w:lang w:eastAsia="es-MX"/>
        </w:rPr>
        <w:t xml:space="preserve">La cobertura temática que </w:t>
      </w:r>
      <w:r w:rsidR="00700568" w:rsidRPr="00FE55DB">
        <w:rPr>
          <w:lang w:eastAsia="es-MX"/>
        </w:rPr>
        <w:t>tiene</w:t>
      </w:r>
      <w:r w:rsidRPr="00FE55DB">
        <w:rPr>
          <w:lang w:eastAsia="es-MX"/>
        </w:rPr>
        <w:t xml:space="preserve"> el programa estadístico está integrada por los siguientes capítulos:</w:t>
      </w:r>
    </w:p>
    <w:p w14:paraId="14527F27" w14:textId="77777777" w:rsidR="00C86D89" w:rsidRPr="00FE55DB" w:rsidRDefault="00C86D89" w:rsidP="00C86D89">
      <w:pPr>
        <w:autoSpaceDE w:val="0"/>
        <w:autoSpaceDN w:val="0"/>
        <w:adjustRightInd w:val="0"/>
        <w:rPr>
          <w:lang w:eastAsia="es-MX"/>
        </w:rPr>
      </w:pPr>
    </w:p>
    <w:p w14:paraId="72C5447B" w14:textId="62CB859B" w:rsidR="003055D2" w:rsidRPr="00FE55DB" w:rsidRDefault="003055D2" w:rsidP="00C86D89">
      <w:pPr>
        <w:pStyle w:val="Prrafodelista"/>
        <w:numPr>
          <w:ilvl w:val="0"/>
          <w:numId w:val="23"/>
        </w:numPr>
        <w:autoSpaceDE w:val="0"/>
        <w:autoSpaceDN w:val="0"/>
        <w:adjustRightInd w:val="0"/>
        <w:contextualSpacing/>
        <w:jc w:val="left"/>
        <w:rPr>
          <w:lang w:eastAsia="es-MX"/>
        </w:rPr>
      </w:pPr>
      <w:r w:rsidRPr="00FE55DB">
        <w:rPr>
          <w:lang w:eastAsia="es-MX"/>
        </w:rPr>
        <w:t>Vinculación internacional</w:t>
      </w:r>
    </w:p>
    <w:p w14:paraId="3BE4BBC2" w14:textId="5646BCC9" w:rsidR="00C86D89" w:rsidRPr="00FE55DB" w:rsidRDefault="00C86D89" w:rsidP="00C86D89">
      <w:pPr>
        <w:pStyle w:val="Prrafodelista"/>
        <w:numPr>
          <w:ilvl w:val="0"/>
          <w:numId w:val="23"/>
        </w:numPr>
        <w:autoSpaceDE w:val="0"/>
        <w:autoSpaceDN w:val="0"/>
        <w:adjustRightInd w:val="0"/>
        <w:contextualSpacing/>
        <w:jc w:val="left"/>
        <w:rPr>
          <w:lang w:eastAsia="es-MX"/>
        </w:rPr>
      </w:pPr>
      <w:r w:rsidRPr="00FE55DB">
        <w:rPr>
          <w:lang w:eastAsia="es-MX"/>
        </w:rPr>
        <w:t>Personal dependiente de la razón social</w:t>
      </w:r>
    </w:p>
    <w:p w14:paraId="5103CAFB" w14:textId="34D17688" w:rsidR="00C86D89" w:rsidRPr="00FE55DB" w:rsidRDefault="00C86D89" w:rsidP="00C86D89">
      <w:pPr>
        <w:pStyle w:val="Prrafodelista"/>
        <w:numPr>
          <w:ilvl w:val="0"/>
          <w:numId w:val="23"/>
        </w:numPr>
        <w:autoSpaceDE w:val="0"/>
        <w:autoSpaceDN w:val="0"/>
        <w:adjustRightInd w:val="0"/>
        <w:contextualSpacing/>
        <w:jc w:val="left"/>
        <w:rPr>
          <w:lang w:eastAsia="es-MX"/>
        </w:rPr>
      </w:pPr>
      <w:r w:rsidRPr="00FE55DB">
        <w:rPr>
          <w:lang w:eastAsia="es-MX"/>
        </w:rPr>
        <w:t>Personal no dependiente de la razón social</w:t>
      </w:r>
    </w:p>
    <w:p w14:paraId="62BD1679" w14:textId="05BE49C7" w:rsidR="003055D2" w:rsidRPr="00FE55DB" w:rsidRDefault="003055D2" w:rsidP="00C86D89">
      <w:pPr>
        <w:pStyle w:val="Prrafodelista"/>
        <w:numPr>
          <w:ilvl w:val="0"/>
          <w:numId w:val="23"/>
        </w:numPr>
        <w:autoSpaceDE w:val="0"/>
        <w:autoSpaceDN w:val="0"/>
        <w:adjustRightInd w:val="0"/>
        <w:contextualSpacing/>
        <w:jc w:val="left"/>
        <w:rPr>
          <w:lang w:eastAsia="es-MX"/>
        </w:rPr>
      </w:pPr>
      <w:r w:rsidRPr="00FE55DB">
        <w:rPr>
          <w:lang w:eastAsia="es-MX"/>
        </w:rPr>
        <w:t>Capacitación</w:t>
      </w:r>
    </w:p>
    <w:p w14:paraId="198EE04B" w14:textId="7021018D" w:rsidR="00C86D89" w:rsidRPr="00FE55DB" w:rsidRDefault="00C86D89" w:rsidP="00C86D89">
      <w:pPr>
        <w:pStyle w:val="Prrafodelista"/>
        <w:numPr>
          <w:ilvl w:val="0"/>
          <w:numId w:val="23"/>
        </w:numPr>
        <w:autoSpaceDE w:val="0"/>
        <w:autoSpaceDN w:val="0"/>
        <w:adjustRightInd w:val="0"/>
        <w:contextualSpacing/>
        <w:jc w:val="left"/>
        <w:rPr>
          <w:lang w:eastAsia="es-MX"/>
        </w:rPr>
      </w:pPr>
      <w:r w:rsidRPr="00FE55DB">
        <w:rPr>
          <w:lang w:eastAsia="es-MX"/>
        </w:rPr>
        <w:t>Remuneraciones</w:t>
      </w:r>
    </w:p>
    <w:p w14:paraId="3D456925" w14:textId="3F380F2D" w:rsidR="003055D2" w:rsidRPr="00FE55DB" w:rsidRDefault="003055D2" w:rsidP="00C86D89">
      <w:pPr>
        <w:pStyle w:val="Prrafodelista"/>
        <w:numPr>
          <w:ilvl w:val="0"/>
          <w:numId w:val="23"/>
        </w:numPr>
        <w:autoSpaceDE w:val="0"/>
        <w:autoSpaceDN w:val="0"/>
        <w:adjustRightInd w:val="0"/>
        <w:contextualSpacing/>
        <w:jc w:val="left"/>
        <w:rPr>
          <w:lang w:eastAsia="es-MX"/>
        </w:rPr>
      </w:pPr>
      <w:r w:rsidRPr="00FE55DB">
        <w:rPr>
          <w:lang w:eastAsia="es-MX"/>
        </w:rPr>
        <w:t>Consumo de bienes y servicios</w:t>
      </w:r>
    </w:p>
    <w:p w14:paraId="64AAFB3A" w14:textId="56D9B222" w:rsidR="003055D2" w:rsidRPr="00FE55DB" w:rsidRDefault="003055D2" w:rsidP="00C86D89">
      <w:pPr>
        <w:pStyle w:val="Prrafodelista"/>
        <w:numPr>
          <w:ilvl w:val="0"/>
          <w:numId w:val="23"/>
        </w:numPr>
        <w:autoSpaceDE w:val="0"/>
        <w:autoSpaceDN w:val="0"/>
        <w:adjustRightInd w:val="0"/>
        <w:contextualSpacing/>
        <w:jc w:val="left"/>
        <w:rPr>
          <w:lang w:eastAsia="es-MX"/>
        </w:rPr>
      </w:pPr>
      <w:r w:rsidRPr="00FE55DB">
        <w:rPr>
          <w:lang w:eastAsia="es-MX"/>
        </w:rPr>
        <w:t>Gastos por comercio electrónico</w:t>
      </w:r>
    </w:p>
    <w:p w14:paraId="193F604F" w14:textId="77777777" w:rsidR="00C86D89" w:rsidRPr="00FE55DB" w:rsidRDefault="00C86D89" w:rsidP="00C86D89">
      <w:pPr>
        <w:pStyle w:val="Prrafodelista"/>
        <w:numPr>
          <w:ilvl w:val="0"/>
          <w:numId w:val="23"/>
        </w:numPr>
        <w:autoSpaceDE w:val="0"/>
        <w:autoSpaceDN w:val="0"/>
        <w:adjustRightInd w:val="0"/>
        <w:contextualSpacing/>
        <w:jc w:val="left"/>
        <w:rPr>
          <w:lang w:eastAsia="es-MX"/>
        </w:rPr>
      </w:pPr>
      <w:r w:rsidRPr="00FE55DB">
        <w:rPr>
          <w:lang w:eastAsia="es-MX"/>
        </w:rPr>
        <w:t>Gastos fiscales, financieros y donaciones</w:t>
      </w:r>
    </w:p>
    <w:p w14:paraId="2F5E7FFB" w14:textId="040B5079" w:rsidR="00C86D89" w:rsidRPr="00FE55DB" w:rsidRDefault="00C86D89" w:rsidP="00C86D89">
      <w:pPr>
        <w:pStyle w:val="Pa8"/>
        <w:numPr>
          <w:ilvl w:val="0"/>
          <w:numId w:val="23"/>
        </w:numPr>
        <w:spacing w:line="240" w:lineRule="auto"/>
        <w:jc w:val="both"/>
        <w:rPr>
          <w:lang w:val="es-ES_tradnl" w:eastAsia="es-MX"/>
        </w:rPr>
      </w:pPr>
      <w:r w:rsidRPr="00FE55DB">
        <w:rPr>
          <w:lang w:val="es-ES_tradnl" w:eastAsia="es-MX"/>
        </w:rPr>
        <w:t>Ingresos por suministro de bienes y servicios</w:t>
      </w:r>
    </w:p>
    <w:p w14:paraId="411AD83F" w14:textId="7025AC32" w:rsidR="003055D2" w:rsidRPr="00FE55DB" w:rsidRDefault="003055D2" w:rsidP="003055D2">
      <w:pPr>
        <w:pStyle w:val="Pa8"/>
        <w:numPr>
          <w:ilvl w:val="0"/>
          <w:numId w:val="23"/>
        </w:numPr>
        <w:spacing w:line="240" w:lineRule="auto"/>
        <w:jc w:val="both"/>
        <w:rPr>
          <w:lang w:val="es-ES_tradnl" w:eastAsia="es-MX"/>
        </w:rPr>
      </w:pPr>
      <w:r w:rsidRPr="00FE55DB">
        <w:rPr>
          <w:lang w:val="es-ES_tradnl" w:eastAsia="es-MX"/>
        </w:rPr>
        <w:t>Ingresos por comercio electrónico</w:t>
      </w:r>
    </w:p>
    <w:p w14:paraId="704BFE43" w14:textId="054E0156" w:rsidR="003055D2" w:rsidRPr="00FE55DB" w:rsidRDefault="003055D2" w:rsidP="003055D2">
      <w:pPr>
        <w:pStyle w:val="Pa8"/>
        <w:numPr>
          <w:ilvl w:val="0"/>
          <w:numId w:val="23"/>
        </w:numPr>
        <w:spacing w:line="240" w:lineRule="auto"/>
        <w:jc w:val="both"/>
        <w:rPr>
          <w:lang w:val="es-ES_tradnl" w:eastAsia="es-MX"/>
        </w:rPr>
      </w:pPr>
      <w:r w:rsidRPr="00FE55DB">
        <w:rPr>
          <w:lang w:val="es-ES_tradnl" w:eastAsia="es-MX"/>
        </w:rPr>
        <w:t>Ingresos financieros, subsidios y donaciones</w:t>
      </w:r>
    </w:p>
    <w:p w14:paraId="57608C62" w14:textId="77777777" w:rsidR="00C86D89" w:rsidRPr="00FE55DB" w:rsidRDefault="00C86D89" w:rsidP="00C86D89">
      <w:pPr>
        <w:pStyle w:val="Default"/>
        <w:numPr>
          <w:ilvl w:val="0"/>
          <w:numId w:val="23"/>
        </w:numPr>
        <w:rPr>
          <w:lang w:val="es-ES_tradnl"/>
        </w:rPr>
      </w:pPr>
      <w:r w:rsidRPr="00FE55DB">
        <w:rPr>
          <w:lang w:val="es-ES_tradnl"/>
        </w:rPr>
        <w:t>Activos fijos a valor presente o costo de reposición</w:t>
      </w:r>
    </w:p>
    <w:p w14:paraId="2DF68164" w14:textId="1C95FFA2" w:rsidR="00C86D89" w:rsidRPr="00FE55DB" w:rsidRDefault="00C86D89" w:rsidP="00C86D89">
      <w:pPr>
        <w:pStyle w:val="Default"/>
        <w:numPr>
          <w:ilvl w:val="0"/>
          <w:numId w:val="23"/>
        </w:numPr>
        <w:rPr>
          <w:lang w:val="es-ES_tradnl"/>
        </w:rPr>
      </w:pPr>
      <w:r w:rsidRPr="00FE55DB">
        <w:rPr>
          <w:lang w:val="es-ES_tradnl"/>
        </w:rPr>
        <w:t>Clasificación económica</w:t>
      </w:r>
    </w:p>
    <w:p w14:paraId="417CB6F4" w14:textId="6E860950" w:rsidR="003055D2" w:rsidRPr="00FE55DB" w:rsidRDefault="003055D2" w:rsidP="00C86D89">
      <w:pPr>
        <w:pStyle w:val="Default"/>
        <w:numPr>
          <w:ilvl w:val="0"/>
          <w:numId w:val="23"/>
        </w:numPr>
        <w:rPr>
          <w:lang w:val="es-ES_tradnl"/>
        </w:rPr>
      </w:pPr>
      <w:r w:rsidRPr="00FE55DB">
        <w:rPr>
          <w:lang w:val="es-ES_tradnl"/>
        </w:rPr>
        <w:t>Características generales del establecimiento</w:t>
      </w:r>
    </w:p>
    <w:p w14:paraId="48A73B9D" w14:textId="77777777" w:rsidR="00D43198" w:rsidRPr="00FE55DB" w:rsidRDefault="00D43198" w:rsidP="00D43198">
      <w:pPr>
        <w:autoSpaceDE w:val="0"/>
        <w:autoSpaceDN w:val="0"/>
        <w:adjustRightInd w:val="0"/>
        <w:ind w:left="360"/>
        <w:jc w:val="left"/>
        <w:rPr>
          <w:lang w:val="es-MX" w:eastAsia="es-MX"/>
        </w:rPr>
      </w:pPr>
    </w:p>
    <w:p w14:paraId="2D51FBB0" w14:textId="77777777" w:rsidR="00057CAE" w:rsidRDefault="00057CAE" w:rsidP="00EA349F"/>
    <w:p w14:paraId="29F81E34" w14:textId="77777777" w:rsidR="00057CAE" w:rsidRDefault="00057CAE" w:rsidP="00EA349F"/>
    <w:p w14:paraId="52A6D74B" w14:textId="150307A8" w:rsidR="00D43198" w:rsidRDefault="00EA349F" w:rsidP="00057CAE">
      <w:pPr>
        <w:rPr>
          <w:lang w:val="es-MX" w:eastAsia="es-MX"/>
        </w:rPr>
      </w:pPr>
      <w:r w:rsidRPr="00FE55DB">
        <w:lastRenderedPageBreak/>
        <w:t>Adicionalmente, a</w:t>
      </w:r>
      <w:r w:rsidRPr="00FE55DB">
        <w:rPr>
          <w:lang w:val="es-MX" w:eastAsia="es-MX"/>
        </w:rPr>
        <w:t xml:space="preserve"> partir del análisis del Cuestionario del Censo Económico 2019, se decidió incluir temas de interés en el Cuestionario </w:t>
      </w:r>
      <w:r w:rsidR="00057CAE">
        <w:rPr>
          <w:lang w:val="es-MX" w:eastAsia="es-MX"/>
        </w:rPr>
        <w:t>a</w:t>
      </w:r>
      <w:r w:rsidRPr="00FE55DB">
        <w:rPr>
          <w:lang w:val="es-MX" w:eastAsia="es-MX"/>
        </w:rPr>
        <w:t xml:space="preserve">nual de </w:t>
      </w:r>
      <w:r w:rsidR="00057CAE">
        <w:rPr>
          <w:lang w:val="es-MX" w:eastAsia="es-MX"/>
        </w:rPr>
        <w:t>s</w:t>
      </w:r>
      <w:r w:rsidRPr="00FE55DB">
        <w:rPr>
          <w:lang w:val="es-MX" w:eastAsia="es-MX"/>
        </w:rPr>
        <w:t>ervicios, l</w:t>
      </w:r>
      <w:r w:rsidR="00D43198" w:rsidRPr="00FE55DB">
        <w:rPr>
          <w:lang w:val="es-MX" w:eastAsia="es-MX"/>
        </w:rPr>
        <w:t xml:space="preserve">a publicación </w:t>
      </w:r>
      <w:r w:rsidRPr="00FE55DB">
        <w:rPr>
          <w:lang w:val="es-MX" w:eastAsia="es-MX"/>
        </w:rPr>
        <w:t xml:space="preserve">de dichas variables </w:t>
      </w:r>
      <w:r w:rsidR="00D43198" w:rsidRPr="00FE55DB">
        <w:rPr>
          <w:lang w:val="es-MX" w:eastAsia="es-MX"/>
        </w:rPr>
        <w:t>está disponible en el micrositio correspondiente de manera independiente a la información que se publica de manera anual.</w:t>
      </w:r>
    </w:p>
    <w:p w14:paraId="304972C7" w14:textId="77777777" w:rsidR="00057CAE" w:rsidRPr="00FE55DB" w:rsidRDefault="00057CAE" w:rsidP="00057CAE">
      <w:pPr>
        <w:rPr>
          <w:lang w:val="es-MX" w:eastAsia="es-MX"/>
        </w:rPr>
      </w:pPr>
    </w:p>
    <w:p w14:paraId="730F17DC" w14:textId="0CC4FF5B" w:rsidR="00E85EE8" w:rsidRDefault="00C86D89" w:rsidP="00057CAE">
      <w:pPr>
        <w:autoSpaceDE w:val="0"/>
        <w:autoSpaceDN w:val="0"/>
        <w:adjustRightInd w:val="0"/>
        <w:ind w:right="51"/>
        <w:rPr>
          <w:lang w:eastAsia="es-MX"/>
        </w:rPr>
      </w:pPr>
      <w:r w:rsidRPr="00FE55DB">
        <w:rPr>
          <w:lang w:eastAsia="es-MX"/>
        </w:rPr>
        <w:t>La cobertura geográfica, de acuerdo con el diseño, permite generar información significativa a nivel nacional.</w:t>
      </w:r>
    </w:p>
    <w:p w14:paraId="7C850F56" w14:textId="77777777" w:rsidR="00057CAE" w:rsidRPr="00FE55DB" w:rsidRDefault="00057CAE" w:rsidP="00057CAE">
      <w:pPr>
        <w:autoSpaceDE w:val="0"/>
        <w:autoSpaceDN w:val="0"/>
        <w:adjustRightInd w:val="0"/>
        <w:ind w:right="51"/>
        <w:rPr>
          <w:lang w:eastAsia="es-MX"/>
        </w:rPr>
      </w:pPr>
    </w:p>
    <w:p w14:paraId="512BA733" w14:textId="17AA48CF" w:rsidR="00E31710" w:rsidRDefault="00E31710" w:rsidP="00057CAE">
      <w:pPr>
        <w:autoSpaceDE w:val="0"/>
        <w:autoSpaceDN w:val="0"/>
        <w:adjustRightInd w:val="0"/>
        <w:ind w:right="51"/>
      </w:pPr>
      <w:r w:rsidRPr="00FE55DB">
        <w:t>La difusión de los productos estadísticos siempre se acompaña de los indicadores de precisión estadística que son instrumentos que permiten determinar los niveles de confiabilidad de las estadísticas generadas a partir de encuestas con diseño probabilístico.</w:t>
      </w:r>
    </w:p>
    <w:p w14:paraId="7AB7FCB2" w14:textId="77777777" w:rsidR="00057CAE" w:rsidRPr="00FE55DB" w:rsidRDefault="00057CAE" w:rsidP="00057CAE">
      <w:pPr>
        <w:autoSpaceDE w:val="0"/>
        <w:autoSpaceDN w:val="0"/>
        <w:adjustRightInd w:val="0"/>
        <w:ind w:right="51"/>
      </w:pPr>
    </w:p>
    <w:p w14:paraId="0A393ED2" w14:textId="2DB4400F" w:rsidR="00E31710" w:rsidRPr="00FE55DB" w:rsidRDefault="00E31710" w:rsidP="00057CAE">
      <w:pPr>
        <w:autoSpaceDE w:val="0"/>
        <w:autoSpaceDN w:val="0"/>
        <w:adjustRightInd w:val="0"/>
        <w:ind w:right="51"/>
      </w:pPr>
      <w:r w:rsidRPr="00FE55DB">
        <w:t xml:space="preserve">Entre los indicadores de precisión estadística para las estimaciones obtenidas a partir de encuestas con diseño </w:t>
      </w:r>
      <w:r w:rsidRPr="00FE55DB">
        <w:rPr>
          <w:b/>
          <w:bCs/>
        </w:rPr>
        <w:t>probabilístico</w:t>
      </w:r>
      <w:r w:rsidRPr="00FE55DB">
        <w:t>, se calculan los siguientes:</w:t>
      </w:r>
    </w:p>
    <w:p w14:paraId="5DC0854D" w14:textId="77777777" w:rsidR="00057CAE" w:rsidRDefault="00057CAE" w:rsidP="00057CAE">
      <w:pPr>
        <w:pStyle w:val="Prrafodelista"/>
        <w:autoSpaceDE w:val="0"/>
        <w:autoSpaceDN w:val="0"/>
        <w:adjustRightInd w:val="0"/>
        <w:ind w:left="720" w:right="51"/>
        <w:rPr>
          <w:lang w:eastAsia="es-MX"/>
        </w:rPr>
      </w:pPr>
    </w:p>
    <w:p w14:paraId="71537E14" w14:textId="4EFD12A1" w:rsidR="00E31710" w:rsidRPr="00FE55DB" w:rsidRDefault="00E31710" w:rsidP="00057CAE">
      <w:pPr>
        <w:pStyle w:val="Prrafodelista"/>
        <w:numPr>
          <w:ilvl w:val="0"/>
          <w:numId w:val="32"/>
        </w:numPr>
        <w:autoSpaceDE w:val="0"/>
        <w:autoSpaceDN w:val="0"/>
        <w:adjustRightInd w:val="0"/>
        <w:ind w:right="51"/>
        <w:rPr>
          <w:lang w:eastAsia="es-MX"/>
        </w:rPr>
      </w:pPr>
      <w:r w:rsidRPr="00FE55DB">
        <w:rPr>
          <w:lang w:eastAsia="es-MX"/>
        </w:rPr>
        <w:t>Error estándar</w:t>
      </w:r>
    </w:p>
    <w:p w14:paraId="2AF3E4A6" w14:textId="17384007" w:rsidR="00E31710" w:rsidRPr="00FE55DB" w:rsidRDefault="00E31710" w:rsidP="00057CAE">
      <w:pPr>
        <w:pStyle w:val="Prrafodelista"/>
        <w:numPr>
          <w:ilvl w:val="0"/>
          <w:numId w:val="32"/>
        </w:numPr>
        <w:autoSpaceDE w:val="0"/>
        <w:autoSpaceDN w:val="0"/>
        <w:adjustRightInd w:val="0"/>
        <w:ind w:right="51"/>
        <w:rPr>
          <w:lang w:eastAsia="es-MX"/>
        </w:rPr>
      </w:pPr>
      <w:r w:rsidRPr="00FE55DB">
        <w:rPr>
          <w:lang w:eastAsia="es-MX"/>
        </w:rPr>
        <w:t>Coeficiente de variación</w:t>
      </w:r>
    </w:p>
    <w:p w14:paraId="3803B9A2" w14:textId="477F5653" w:rsidR="00E31710" w:rsidRDefault="00E31710" w:rsidP="00057CAE">
      <w:pPr>
        <w:pStyle w:val="Prrafodelista"/>
        <w:numPr>
          <w:ilvl w:val="0"/>
          <w:numId w:val="32"/>
        </w:numPr>
        <w:autoSpaceDE w:val="0"/>
        <w:autoSpaceDN w:val="0"/>
        <w:adjustRightInd w:val="0"/>
        <w:ind w:right="51"/>
        <w:rPr>
          <w:lang w:eastAsia="es-MX"/>
        </w:rPr>
      </w:pPr>
      <w:r w:rsidRPr="00FE55DB">
        <w:rPr>
          <w:lang w:eastAsia="es-MX"/>
        </w:rPr>
        <w:t>Intervalo de confianza</w:t>
      </w:r>
    </w:p>
    <w:p w14:paraId="7B1F76C1" w14:textId="77777777" w:rsidR="00057CAE" w:rsidRPr="00FE55DB" w:rsidRDefault="00057CAE" w:rsidP="00057CAE">
      <w:pPr>
        <w:pStyle w:val="Prrafodelista"/>
        <w:autoSpaceDE w:val="0"/>
        <w:autoSpaceDN w:val="0"/>
        <w:adjustRightInd w:val="0"/>
        <w:ind w:left="720" w:right="51"/>
        <w:rPr>
          <w:lang w:eastAsia="es-MX"/>
        </w:rPr>
      </w:pPr>
    </w:p>
    <w:p w14:paraId="73CE725E" w14:textId="4D360FBE" w:rsidR="00F957C0" w:rsidRPr="00FE55DB" w:rsidRDefault="00F957C0" w:rsidP="00057CAE">
      <w:pPr>
        <w:autoSpaceDE w:val="0"/>
        <w:autoSpaceDN w:val="0"/>
        <w:adjustRightInd w:val="0"/>
        <w:ind w:right="51"/>
      </w:pPr>
      <w:r w:rsidRPr="00FE55DB">
        <w:t xml:space="preserve">Para las encuestas con diseño de muestra </w:t>
      </w:r>
      <w:r w:rsidRPr="00FE55DB">
        <w:rPr>
          <w:b/>
          <w:bCs/>
        </w:rPr>
        <w:t>no probabilístico</w:t>
      </w:r>
      <w:r w:rsidRPr="00FE55DB">
        <w:t>, se utiliza el nivel de cobertura como indicador de calidad de la información.</w:t>
      </w:r>
    </w:p>
    <w:p w14:paraId="169D86CB" w14:textId="7C40C536" w:rsidR="00D4581D" w:rsidRPr="00FE55DB" w:rsidRDefault="00D4581D" w:rsidP="00057CAE">
      <w:pPr>
        <w:jc w:val="left"/>
        <w:rPr>
          <w:lang w:eastAsia="es-MX"/>
        </w:rPr>
      </w:pPr>
    </w:p>
    <w:p w14:paraId="35BFD71F" w14:textId="011BCAB2" w:rsidR="00187C97" w:rsidRDefault="009778AC" w:rsidP="00057CAE">
      <w:pPr>
        <w:jc w:val="left"/>
        <w:rPr>
          <w:lang w:eastAsia="es-MX"/>
        </w:rPr>
      </w:pPr>
      <w:r w:rsidRPr="00FE55DB">
        <w:rPr>
          <w:lang w:eastAsia="es-MX"/>
        </w:rPr>
        <w:t>De acuerdo con el diseño estadístico de la muestra, 49</w:t>
      </w:r>
      <w:r w:rsidR="00187C97" w:rsidRPr="00FE55DB">
        <w:rPr>
          <w:lang w:eastAsia="es-MX"/>
        </w:rPr>
        <w:t xml:space="preserve"> dominios </w:t>
      </w:r>
      <w:r w:rsidRPr="00FE55DB">
        <w:rPr>
          <w:lang w:eastAsia="es-MX"/>
        </w:rPr>
        <w:t xml:space="preserve">tienen </w:t>
      </w:r>
      <w:r w:rsidR="00187C97" w:rsidRPr="00FE55DB">
        <w:rPr>
          <w:lang w:eastAsia="es-MX"/>
        </w:rPr>
        <w:t xml:space="preserve">esquema de muestreo </w:t>
      </w:r>
      <w:r w:rsidRPr="00FE55DB">
        <w:rPr>
          <w:b/>
          <w:bCs/>
          <w:lang w:eastAsia="es-MX"/>
        </w:rPr>
        <w:t xml:space="preserve">no </w:t>
      </w:r>
      <w:r w:rsidR="00187C97" w:rsidRPr="00FE55DB">
        <w:rPr>
          <w:b/>
          <w:bCs/>
          <w:lang w:eastAsia="es-MX"/>
        </w:rPr>
        <w:t>probabilístico</w:t>
      </w:r>
      <w:r w:rsidR="00187C97" w:rsidRPr="00FE55DB">
        <w:rPr>
          <w:lang w:eastAsia="es-MX"/>
        </w:rPr>
        <w:t xml:space="preserve">, </w:t>
      </w:r>
      <w:r w:rsidRPr="00FE55DB">
        <w:rPr>
          <w:lang w:eastAsia="es-MX"/>
        </w:rPr>
        <w:t xml:space="preserve">para los que se </w:t>
      </w:r>
      <w:r w:rsidR="00187C97" w:rsidRPr="00FE55DB">
        <w:rPr>
          <w:lang w:eastAsia="es-MX"/>
        </w:rPr>
        <w:t>consideró una cobertura del al menos el 60% de los ingresos de los Servicios Privados no Financieros</w:t>
      </w:r>
      <w:r w:rsidR="00EC6410" w:rsidRPr="00FE55DB">
        <w:rPr>
          <w:lang w:eastAsia="es-MX"/>
        </w:rPr>
        <w:t>.</w:t>
      </w:r>
    </w:p>
    <w:p w14:paraId="223BB674" w14:textId="77777777" w:rsidR="00057CAE" w:rsidRPr="00FE55DB" w:rsidRDefault="00057CAE" w:rsidP="00057CAE">
      <w:pPr>
        <w:jc w:val="left"/>
        <w:rPr>
          <w:lang w:eastAsia="es-MX"/>
        </w:rPr>
      </w:pPr>
    </w:p>
    <w:p w14:paraId="56ED723E" w14:textId="75B45C1A" w:rsidR="003961CC" w:rsidRPr="00FE55DB" w:rsidRDefault="000F08A2" w:rsidP="00057CAE">
      <w:pPr>
        <w:autoSpaceDE w:val="0"/>
        <w:autoSpaceDN w:val="0"/>
        <w:adjustRightInd w:val="0"/>
        <w:ind w:right="51"/>
        <w:rPr>
          <w:lang w:eastAsia="es-MX"/>
        </w:rPr>
      </w:pPr>
      <w:r w:rsidRPr="00FE55DB">
        <w:rPr>
          <w:lang w:eastAsia="es-MX"/>
        </w:rPr>
        <w:t>Y p</w:t>
      </w:r>
      <w:r w:rsidR="00187C97" w:rsidRPr="00FE55DB">
        <w:rPr>
          <w:lang w:eastAsia="es-MX"/>
        </w:rPr>
        <w:t xml:space="preserve">ara los </w:t>
      </w:r>
      <w:r w:rsidRPr="00FE55DB">
        <w:rPr>
          <w:lang w:eastAsia="es-MX"/>
        </w:rPr>
        <w:t xml:space="preserve">38 </w:t>
      </w:r>
      <w:r w:rsidR="00187C97" w:rsidRPr="00FE55DB">
        <w:rPr>
          <w:lang w:eastAsia="es-MX"/>
        </w:rPr>
        <w:t xml:space="preserve">dominios bajo esquema de muestreo </w:t>
      </w:r>
      <w:r w:rsidR="00187C97" w:rsidRPr="00FE55DB">
        <w:rPr>
          <w:b/>
          <w:bCs/>
          <w:lang w:eastAsia="es-MX"/>
        </w:rPr>
        <w:t>proba</w:t>
      </w:r>
      <w:r w:rsidR="004912F4" w:rsidRPr="00FE55DB">
        <w:rPr>
          <w:b/>
          <w:bCs/>
          <w:lang w:eastAsia="es-MX"/>
        </w:rPr>
        <w:t>bilístico</w:t>
      </w:r>
      <w:r w:rsidR="004912F4" w:rsidRPr="00FE55DB">
        <w:rPr>
          <w:lang w:eastAsia="es-MX"/>
        </w:rPr>
        <w:t>, enseguida los parámetros</w:t>
      </w:r>
      <w:r w:rsidR="003961CC" w:rsidRPr="00FE55DB">
        <w:rPr>
          <w:lang w:eastAsia="es-MX"/>
        </w:rPr>
        <w:t>:</w:t>
      </w:r>
    </w:p>
    <w:p w14:paraId="0E2E0520" w14:textId="16874F81" w:rsidR="00790F78" w:rsidRPr="00FE55DB" w:rsidRDefault="00790F78" w:rsidP="00057CAE">
      <w:pPr>
        <w:autoSpaceDE w:val="0"/>
        <w:autoSpaceDN w:val="0"/>
        <w:adjustRightInd w:val="0"/>
        <w:ind w:right="51"/>
        <w:rPr>
          <w:lang w:eastAsia="es-MX"/>
        </w:rPr>
      </w:pPr>
    </w:p>
    <w:p w14:paraId="4A6E3E52" w14:textId="7A2C1D22" w:rsidR="00790F78" w:rsidRPr="00FE55DB" w:rsidRDefault="00790F78" w:rsidP="00057CAE">
      <w:pPr>
        <w:pStyle w:val="Prrafodelista"/>
        <w:numPr>
          <w:ilvl w:val="0"/>
          <w:numId w:val="39"/>
        </w:numPr>
        <w:autoSpaceDE w:val="0"/>
        <w:autoSpaceDN w:val="0"/>
        <w:adjustRightInd w:val="0"/>
        <w:ind w:right="51"/>
        <w:rPr>
          <w:lang w:eastAsia="es-MX"/>
        </w:rPr>
      </w:pPr>
      <w:r w:rsidRPr="00FE55DB">
        <w:rPr>
          <w:lang w:eastAsia="es-MX"/>
        </w:rPr>
        <w:t>Nivel de confianza de 95</w:t>
      </w:r>
    </w:p>
    <w:p w14:paraId="0D93CC70" w14:textId="77777777" w:rsidR="00790F78" w:rsidRPr="00FE55DB" w:rsidRDefault="00790F78" w:rsidP="00057CAE">
      <w:pPr>
        <w:pStyle w:val="Prrafodelista"/>
        <w:numPr>
          <w:ilvl w:val="0"/>
          <w:numId w:val="39"/>
        </w:numPr>
        <w:autoSpaceDE w:val="0"/>
        <w:autoSpaceDN w:val="0"/>
        <w:adjustRightInd w:val="0"/>
        <w:ind w:right="51"/>
        <w:rPr>
          <w:lang w:eastAsia="es-MX"/>
        </w:rPr>
      </w:pPr>
      <w:r w:rsidRPr="00FE55DB">
        <w:rPr>
          <w:lang w:eastAsia="es-MX"/>
        </w:rPr>
        <w:t>Tasa de no respuesta esperada de 15%</w:t>
      </w:r>
    </w:p>
    <w:p w14:paraId="788D15E2" w14:textId="67D344ED" w:rsidR="003961CC" w:rsidRDefault="00790F78" w:rsidP="00057CAE">
      <w:pPr>
        <w:pStyle w:val="Prrafodelista"/>
        <w:numPr>
          <w:ilvl w:val="0"/>
          <w:numId w:val="39"/>
        </w:numPr>
        <w:autoSpaceDE w:val="0"/>
        <w:autoSpaceDN w:val="0"/>
        <w:adjustRightInd w:val="0"/>
        <w:ind w:right="51"/>
        <w:rPr>
          <w:lang w:eastAsia="es-MX"/>
        </w:rPr>
      </w:pPr>
      <w:r w:rsidRPr="00FE55DB">
        <w:rPr>
          <w:lang w:eastAsia="es-MX"/>
        </w:rPr>
        <w:t>Error relativo de 10</w:t>
      </w:r>
      <w:r w:rsidR="003961CC" w:rsidRPr="00FE55DB">
        <w:rPr>
          <w:lang w:eastAsia="es-MX"/>
        </w:rPr>
        <w:t>%</w:t>
      </w:r>
    </w:p>
    <w:p w14:paraId="2F0813B3" w14:textId="77777777" w:rsidR="00057CAE" w:rsidRPr="00FE55DB" w:rsidRDefault="00057CAE" w:rsidP="00057CAE">
      <w:pPr>
        <w:pStyle w:val="Prrafodelista"/>
        <w:autoSpaceDE w:val="0"/>
        <w:autoSpaceDN w:val="0"/>
        <w:adjustRightInd w:val="0"/>
        <w:ind w:left="360" w:right="51"/>
        <w:rPr>
          <w:lang w:eastAsia="es-MX"/>
        </w:rPr>
      </w:pPr>
    </w:p>
    <w:p w14:paraId="4018C5E0" w14:textId="3F738D35" w:rsidR="00057CAE" w:rsidRDefault="00C86D89" w:rsidP="00057CAE">
      <w:pPr>
        <w:autoSpaceDE w:val="0"/>
        <w:autoSpaceDN w:val="0"/>
        <w:adjustRightInd w:val="0"/>
        <w:ind w:right="51"/>
      </w:pPr>
      <w:r w:rsidRPr="00FE55D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FE55DB">
        <w:rPr>
          <w:shd w:val="clear" w:color="auto" w:fill="FFFFFF" w:themeFill="background1"/>
        </w:rPr>
        <w:t>Sistema de Clasificación Industrial de América del Norte, México SCIAN 2013</w:t>
      </w:r>
      <w:r w:rsidRPr="00FE55DB">
        <w:rPr>
          <w:rStyle w:val="Refdenotaalpie"/>
          <w:shd w:val="clear" w:color="auto" w:fill="FFFFFF" w:themeFill="background1"/>
        </w:rPr>
        <w:footnoteReference w:id="3"/>
      </w:r>
      <w:r w:rsidRPr="00FE55DB">
        <w:rPr>
          <w:shd w:val="clear" w:color="auto" w:fill="FFFFFF" w:themeFill="background1"/>
        </w:rPr>
        <w:t xml:space="preserve"> y la Clasificación Industrial Internacional Uniforme de todas las Actividades Económicas (CIIU) en su cuarta revisión.</w:t>
      </w:r>
    </w:p>
    <w:p w14:paraId="77FF4CE8" w14:textId="77777777" w:rsidR="00057CAE" w:rsidRDefault="00057CAE" w:rsidP="00057CAE"/>
    <w:p w14:paraId="6A439B7E" w14:textId="69F0FAAD" w:rsidR="00CF63E0" w:rsidRPr="00FE55DB" w:rsidRDefault="00C86D89" w:rsidP="00057CAE">
      <w:r w:rsidRPr="00FE55DB">
        <w:t xml:space="preserve">La información contenida en este documento es generada por el INEGI a través de la Encuesta Anual de Servicios Privados </w:t>
      </w:r>
      <w:r w:rsidR="00057CAE">
        <w:t>N</w:t>
      </w:r>
      <w:r w:rsidRPr="00FE55DB">
        <w:t>o Financieros (EASPNF),</w:t>
      </w:r>
      <w:r w:rsidRPr="00FE55DB">
        <w:rPr>
          <w:b/>
          <w:lang w:val="es-MX"/>
        </w:rPr>
        <w:t xml:space="preserve"> </w:t>
      </w:r>
      <w:r w:rsidRPr="00FE55DB">
        <w:t>y se da a conocer en la fecha establecida en el Calendario de difusión de información estadística y geográfica</w:t>
      </w:r>
      <w:r w:rsidRPr="00FE55DB">
        <w:rPr>
          <w:rStyle w:val="Refdenotaalpie"/>
        </w:rPr>
        <w:footnoteReference w:id="4"/>
      </w:r>
      <w:r w:rsidRPr="00FE55DB">
        <w:t>.</w:t>
      </w:r>
      <w:r w:rsidR="00057CAE">
        <w:t xml:space="preserve"> </w:t>
      </w:r>
      <w:r w:rsidRPr="00FE55DB">
        <w:rPr>
          <w:snapToGrid w:val="0"/>
          <w:lang w:val="es-MX"/>
        </w:rPr>
        <w:t xml:space="preserve">Las cifras aquí mencionadas podrán ser consultadas en la página del INEGI en </w:t>
      </w:r>
      <w:r w:rsidR="00057CAE">
        <w:rPr>
          <w:snapToGrid w:val="0"/>
          <w:lang w:val="es-MX"/>
        </w:rPr>
        <w:t>i</w:t>
      </w:r>
      <w:r w:rsidRPr="00FE55DB">
        <w:rPr>
          <w:snapToGrid w:val="0"/>
          <w:lang w:val="es-MX"/>
        </w:rPr>
        <w:t xml:space="preserve">nternet: </w:t>
      </w:r>
      <w:hyperlink r:id="rId39" w:history="1">
        <w:r w:rsidR="003055D2" w:rsidRPr="00FE55DB">
          <w:rPr>
            <w:rStyle w:val="Hipervnculo"/>
          </w:rPr>
          <w:t>https://www.inegi.org.mx/programas/easpnf/2013/</w:t>
        </w:r>
      </w:hyperlink>
    </w:p>
    <w:sectPr w:rsidR="00CF63E0" w:rsidRPr="00FE55DB" w:rsidSect="00FE55DB">
      <w:headerReference w:type="default" r:id="rId40"/>
      <w:type w:val="continuous"/>
      <w:pgSz w:w="12242" w:h="15842" w:code="1"/>
      <w:pgMar w:top="1024" w:right="1134" w:bottom="851" w:left="1134" w:header="426"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0F38" w14:textId="77777777" w:rsidR="003C100A" w:rsidRDefault="003C100A">
      <w:r>
        <w:separator/>
      </w:r>
    </w:p>
  </w:endnote>
  <w:endnote w:type="continuationSeparator" w:id="0">
    <w:p w14:paraId="053215EC" w14:textId="77777777" w:rsidR="003C100A" w:rsidRDefault="003C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002060"/>
        <w:sz w:val="20"/>
        <w:szCs w:val="20"/>
      </w:rPr>
      <w:id w:val="-647125465"/>
      <w:docPartObj>
        <w:docPartGallery w:val="Page Numbers (Bottom of Page)"/>
        <w:docPartUnique/>
      </w:docPartObj>
    </w:sdtPr>
    <w:sdtEndPr/>
    <w:sdtContent>
      <w:p w14:paraId="2F4F105D" w14:textId="582A27BC" w:rsidR="00BB7F12" w:rsidRPr="00C659F1" w:rsidRDefault="00C659F1" w:rsidP="00C659F1">
        <w:pPr>
          <w:pStyle w:val="Piedepgina"/>
          <w:jc w:val="center"/>
          <w:rPr>
            <w:b/>
            <w:color w:val="002060"/>
            <w:sz w:val="20"/>
            <w:szCs w:val="20"/>
          </w:rPr>
        </w:pPr>
        <w:r w:rsidRPr="00C659F1">
          <w:rPr>
            <w:b/>
            <w:color w:val="002060"/>
            <w:sz w:val="20"/>
            <w:szCs w:val="20"/>
          </w:rPr>
          <w:t>COMUNICACIÓN SOCIAL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AB9B" w14:textId="77777777" w:rsidR="003C100A" w:rsidRDefault="003C100A">
      <w:r>
        <w:separator/>
      </w:r>
    </w:p>
  </w:footnote>
  <w:footnote w:type="continuationSeparator" w:id="0">
    <w:p w14:paraId="4FC4E925" w14:textId="77777777" w:rsidR="003C100A" w:rsidRDefault="003C100A">
      <w:r>
        <w:continuationSeparator/>
      </w:r>
    </w:p>
  </w:footnote>
  <w:footnote w:id="1">
    <w:p w14:paraId="79F1E87F" w14:textId="6AAA32DA" w:rsidR="000A278D" w:rsidRPr="00FF2323" w:rsidRDefault="000A278D" w:rsidP="000A278D">
      <w:pPr>
        <w:pStyle w:val="Textodebloque"/>
        <w:spacing w:before="0"/>
        <w:ind w:left="0" w:right="1134"/>
        <w:jc w:val="both"/>
        <w:rPr>
          <w:b w:val="0"/>
          <w:caps w:val="0"/>
          <w:sz w:val="16"/>
          <w:szCs w:val="16"/>
          <w:lang w:val="es-ES_tradnl"/>
        </w:rPr>
      </w:pPr>
      <w:r w:rsidRPr="00FF2323">
        <w:rPr>
          <w:rStyle w:val="Refdenotaalpie"/>
          <w:sz w:val="16"/>
          <w:szCs w:val="16"/>
        </w:rPr>
        <w:footnoteRef/>
      </w:r>
      <w:r w:rsidRPr="00FF2323">
        <w:rPr>
          <w:sz w:val="16"/>
          <w:szCs w:val="16"/>
        </w:rPr>
        <w:t xml:space="preserve"> </w:t>
      </w:r>
      <w:r w:rsidRPr="00FF2323">
        <w:rPr>
          <w:b w:val="0"/>
          <w:caps w:val="0"/>
          <w:sz w:val="16"/>
          <w:szCs w:val="16"/>
          <w:lang w:val="es-ES_tradnl"/>
        </w:rPr>
        <w:t>Cifras preliminares</w:t>
      </w:r>
    </w:p>
    <w:p w14:paraId="507150B7" w14:textId="77777777" w:rsidR="000A278D" w:rsidRPr="00FF2323" w:rsidRDefault="000A278D" w:rsidP="000A278D">
      <w:pPr>
        <w:pStyle w:val="Textodebloque"/>
        <w:spacing w:before="0"/>
        <w:ind w:left="0" w:right="1134"/>
        <w:jc w:val="both"/>
        <w:rPr>
          <w:b w:val="0"/>
          <w:caps w:val="0"/>
          <w:sz w:val="16"/>
          <w:szCs w:val="16"/>
        </w:rPr>
      </w:pPr>
      <w:r w:rsidRPr="00FF2323">
        <w:rPr>
          <w:b w:val="0"/>
          <w:caps w:val="0"/>
          <w:sz w:val="16"/>
          <w:szCs w:val="16"/>
        </w:rPr>
        <w:t>Fuente: INEGI, Encuesta Anual de Servicios Privados no Financieros 2020, Serie 2013</w:t>
      </w:r>
    </w:p>
    <w:p w14:paraId="26324AA2" w14:textId="77777777" w:rsidR="000A278D" w:rsidRPr="00DF7249" w:rsidRDefault="000A278D" w:rsidP="000A278D">
      <w:pPr>
        <w:pStyle w:val="Textonotapie"/>
        <w:rPr>
          <w:lang w:val="es-MX"/>
        </w:rPr>
      </w:pPr>
    </w:p>
  </w:footnote>
  <w:footnote w:id="2">
    <w:p w14:paraId="65E1C125" w14:textId="5D95D51B" w:rsidR="00A70080" w:rsidRDefault="003B1002">
      <w:pPr>
        <w:pStyle w:val="Textonotapie"/>
        <w:rPr>
          <w:sz w:val="16"/>
          <w:szCs w:val="16"/>
        </w:rPr>
      </w:pPr>
      <w:r w:rsidRPr="00E3545A">
        <w:rPr>
          <w:rStyle w:val="Refdenotaalpie"/>
        </w:rPr>
        <w:footnoteRef/>
      </w:r>
      <w:r w:rsidRPr="00E3545A">
        <w:t xml:space="preserve"> </w:t>
      </w:r>
      <w:r w:rsidRPr="00E3545A">
        <w:rPr>
          <w:sz w:val="16"/>
          <w:szCs w:val="16"/>
        </w:rPr>
        <w:t>Sistema de Cuentas Nacionales de México. Producto Interno Bruto Trimestral. Año Base 2013. Serie del primer trimestre de 1993 al tercer trimestre de 2021. Valores constantes a precios de 2013/ Millones de pesos a precios de 2013</w:t>
      </w:r>
      <w:r w:rsidR="00A70080" w:rsidRPr="00E3545A">
        <w:rPr>
          <w:sz w:val="16"/>
          <w:szCs w:val="16"/>
        </w:rPr>
        <w:t>. Cifras preliminares.</w:t>
      </w:r>
      <w:r w:rsidR="00A70080" w:rsidRPr="00E3545A">
        <w:t xml:space="preserve"> </w:t>
      </w:r>
      <w:hyperlink r:id="rId1" w:anchor="Tabulados" w:history="1">
        <w:r w:rsidR="00A70080" w:rsidRPr="00E3545A">
          <w:rPr>
            <w:rStyle w:val="Hipervnculo"/>
            <w:sz w:val="16"/>
            <w:szCs w:val="16"/>
          </w:rPr>
          <w:t>https://www.inegi.org.mx/temas/pib/#Tabulados</w:t>
        </w:r>
      </w:hyperlink>
    </w:p>
    <w:p w14:paraId="1577F993" w14:textId="77777777" w:rsidR="00A70080" w:rsidRPr="00A70080" w:rsidRDefault="00A70080">
      <w:pPr>
        <w:pStyle w:val="Textonotapie"/>
        <w:rPr>
          <w:sz w:val="16"/>
          <w:szCs w:val="16"/>
        </w:rPr>
      </w:pPr>
    </w:p>
  </w:footnote>
  <w:footnote w:id="3">
    <w:p w14:paraId="703FB9F7" w14:textId="77777777" w:rsidR="00C86D89" w:rsidRDefault="00C86D89" w:rsidP="00C86D89">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57CE32F0" w14:textId="77777777" w:rsidR="00C86D89" w:rsidRPr="008A2E99" w:rsidRDefault="003C100A" w:rsidP="00C86D89">
      <w:pPr>
        <w:pStyle w:val="Textonotapie"/>
        <w:jc w:val="left"/>
        <w:rPr>
          <w:lang w:val="es-MX"/>
        </w:rPr>
      </w:pPr>
      <w:hyperlink r:id="rId2" w:history="1">
        <w:r w:rsidR="00C86D89" w:rsidRPr="003A5B83">
          <w:rPr>
            <w:rStyle w:val="Hipervnculo"/>
            <w:sz w:val="16"/>
          </w:rPr>
          <w:t>https://www.inegi.org.mx/app/biblioteca/ficha.html?upc=702825051693</w:t>
        </w:r>
      </w:hyperlink>
    </w:p>
  </w:footnote>
  <w:footnote w:id="4">
    <w:p w14:paraId="1C8504EB" w14:textId="77777777" w:rsidR="00C86D89" w:rsidRPr="00647C77" w:rsidRDefault="00C86D89" w:rsidP="00C86D89">
      <w:pPr>
        <w:pStyle w:val="Textonotapie"/>
        <w:rPr>
          <w:sz w:val="16"/>
          <w:lang w:val="es-MX"/>
        </w:rPr>
      </w:pPr>
      <w:r>
        <w:rPr>
          <w:rStyle w:val="Refdenotaalpie"/>
        </w:rPr>
        <w:footnoteRef/>
      </w:r>
      <w:r>
        <w:t xml:space="preserve"> </w:t>
      </w:r>
      <w:r w:rsidRPr="00647C77">
        <w:rPr>
          <w:sz w:val="16"/>
          <w:lang w:val="es-MX"/>
        </w:rPr>
        <w:t>El Calendario puede consultarse en:</w:t>
      </w:r>
    </w:p>
    <w:p w14:paraId="361A7C25" w14:textId="77777777" w:rsidR="00C86D89" w:rsidRPr="00647C77" w:rsidRDefault="003C100A" w:rsidP="00C86D89">
      <w:pPr>
        <w:pStyle w:val="Textonotapie"/>
        <w:jc w:val="left"/>
        <w:rPr>
          <w:rStyle w:val="Hipervnculo"/>
          <w:sz w:val="16"/>
        </w:rPr>
      </w:pPr>
      <w:hyperlink r:id="rId3" w:history="1">
        <w:r w:rsidR="00C86D89" w:rsidRPr="00647C77">
          <w:rPr>
            <w:rStyle w:val="Hipervnculo"/>
            <w:sz w:val="16"/>
          </w:rPr>
          <w:t>https://www.inegi.org.mx/app/saladeprensa/calendario/default.html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76BF" w14:textId="4CEE10E3" w:rsidR="00AB7C80" w:rsidRPr="003105E6" w:rsidRDefault="00AB7C80" w:rsidP="00AB7C80">
    <w:pPr>
      <w:pStyle w:val="Encabezado"/>
      <w:framePr w:w="5398" w:hSpace="141" w:wrap="auto" w:vAnchor="text" w:hAnchor="page" w:x="5695" w:y="31"/>
      <w:ind w:left="567" w:hanging="11"/>
      <w:jc w:val="right"/>
      <w:rPr>
        <w:b/>
        <w:color w:val="002060"/>
      </w:rPr>
    </w:pPr>
    <w:r w:rsidRPr="00987CEE">
      <w:rPr>
        <w:b/>
        <w:color w:val="002060"/>
      </w:rPr>
      <w:t xml:space="preserve">COMUNICADO DE PRENSA NÚM. </w:t>
    </w:r>
    <w:r>
      <w:rPr>
        <w:b/>
        <w:color w:val="002060"/>
      </w:rPr>
      <w:t>76</w:t>
    </w:r>
    <w:r w:rsidR="007F2878">
      <w:rPr>
        <w:b/>
        <w:color w:val="002060"/>
      </w:rPr>
      <w:t>7</w:t>
    </w:r>
    <w:r w:rsidRPr="00987CEE">
      <w:rPr>
        <w:b/>
        <w:color w:val="002060"/>
      </w:rPr>
      <w:t>/</w:t>
    </w:r>
    <w:r>
      <w:rPr>
        <w:b/>
        <w:color w:val="002060"/>
      </w:rPr>
      <w:t>21</w:t>
    </w:r>
  </w:p>
  <w:p w14:paraId="40F32A92" w14:textId="77777777" w:rsidR="00AB7C80" w:rsidRPr="00987CEE" w:rsidRDefault="00AB7C80" w:rsidP="00AB7C80">
    <w:pPr>
      <w:pStyle w:val="Encabezado"/>
      <w:framePr w:w="5398" w:hSpace="141" w:wrap="auto" w:vAnchor="text" w:hAnchor="page" w:x="5695" w:y="31"/>
      <w:ind w:left="567" w:hanging="11"/>
      <w:jc w:val="right"/>
      <w:rPr>
        <w:b/>
        <w:color w:val="002060"/>
        <w:lang w:val="pt-BR"/>
      </w:rPr>
    </w:pPr>
    <w:r>
      <w:rPr>
        <w:b/>
        <w:color w:val="002060"/>
        <w:lang w:val="pt-BR"/>
      </w:rPr>
      <w:t xml:space="preserve">13 </w:t>
    </w:r>
    <w:r w:rsidRPr="00987CEE">
      <w:rPr>
        <w:b/>
        <w:color w:val="002060"/>
        <w:lang w:val="pt-BR"/>
      </w:rPr>
      <w:t xml:space="preserve">DE </w:t>
    </w:r>
    <w:r>
      <w:rPr>
        <w:b/>
        <w:color w:val="002060"/>
        <w:lang w:val="pt-BR"/>
      </w:rPr>
      <w:t xml:space="preserve">DICIEMBRE DE </w:t>
    </w:r>
    <w:r w:rsidRPr="00987CEE">
      <w:rPr>
        <w:b/>
        <w:color w:val="002060"/>
        <w:lang w:val="pt-BR"/>
      </w:rPr>
      <w:t>20</w:t>
    </w:r>
    <w:r>
      <w:rPr>
        <w:b/>
        <w:color w:val="002060"/>
        <w:lang w:val="pt-BR"/>
      </w:rPr>
      <w:t>21</w:t>
    </w:r>
  </w:p>
  <w:p w14:paraId="4BB4EAD2" w14:textId="77777777" w:rsidR="00AB7C80" w:rsidRPr="00987CEE" w:rsidRDefault="00AB7C80" w:rsidP="00AB7C80">
    <w:pPr>
      <w:pStyle w:val="Encabezado"/>
      <w:framePr w:w="5398" w:hSpace="141" w:wrap="auto" w:vAnchor="text" w:hAnchor="page" w:x="5695" w:y="31"/>
      <w:ind w:left="567" w:hanging="11"/>
      <w:jc w:val="right"/>
      <w:rPr>
        <w:b/>
        <w:color w:val="002060"/>
        <w:lang w:val="pt-BR"/>
      </w:rPr>
    </w:pPr>
    <w:r w:rsidRPr="00987CEE">
      <w:rPr>
        <w:b/>
        <w:color w:val="002060"/>
        <w:lang w:val="pt-BR"/>
      </w:rPr>
      <w:t xml:space="preserve">PÁGINA </w:t>
    </w:r>
    <w:r w:rsidRPr="00987CEE">
      <w:rPr>
        <w:b/>
        <w:color w:val="002060"/>
      </w:rPr>
      <w:fldChar w:fldCharType="begin"/>
    </w:r>
    <w:r w:rsidRPr="00987CEE">
      <w:rPr>
        <w:b/>
        <w:color w:val="002060"/>
        <w:lang w:val="pt-BR"/>
      </w:rPr>
      <w:instrText xml:space="preserve">\PAGE </w:instrText>
    </w:r>
    <w:r w:rsidRPr="00987CEE">
      <w:rPr>
        <w:color w:val="002060"/>
      </w:rPr>
      <w:fldChar w:fldCharType="separate"/>
    </w:r>
    <w:r>
      <w:rPr>
        <w:color w:val="002060"/>
      </w:rPr>
      <w:t>1</w:t>
    </w:r>
    <w:r w:rsidRPr="00987CEE">
      <w:rPr>
        <w:color w:val="002060"/>
      </w:rPr>
      <w:fldChar w:fldCharType="end"/>
    </w:r>
    <w:r w:rsidRPr="00987CEE">
      <w:rPr>
        <w:b/>
        <w:color w:val="002060"/>
        <w:lang w:val="pt-BR"/>
      </w:rPr>
      <w:t>/</w:t>
    </w:r>
    <w:r>
      <w:rPr>
        <w:b/>
        <w:color w:val="002060"/>
        <w:lang w:val="pt-BR"/>
      </w:rPr>
      <w:t>2</w:t>
    </w:r>
  </w:p>
  <w:p w14:paraId="76A15493" w14:textId="4F287934" w:rsidR="00AB7C80" w:rsidRDefault="00AB7C80" w:rsidP="00AB7C80">
    <w:pPr>
      <w:pStyle w:val="Encabezado"/>
      <w:tabs>
        <w:tab w:val="center" w:pos="1713"/>
      </w:tabs>
    </w:pPr>
    <w:r w:rsidRPr="008309F1">
      <w:rPr>
        <w:noProof/>
      </w:rPr>
      <w:drawing>
        <wp:inline distT="0" distB="0" distL="0" distR="0" wp14:anchorId="263686E3" wp14:editId="14E17322">
          <wp:extent cx="742950" cy="769466"/>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p w14:paraId="66DBAB52" w14:textId="77777777" w:rsidR="00DF7249" w:rsidRDefault="00DF7249" w:rsidP="00C659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A3B9" w14:textId="7654EBB5" w:rsidR="004F019B" w:rsidRDefault="004F019B" w:rsidP="00FE55DB">
    <w:pPr>
      <w:pStyle w:val="Encabezado"/>
      <w:tabs>
        <w:tab w:val="center" w:pos="1713"/>
      </w:tabs>
      <w:jc w:val="center"/>
    </w:pPr>
    <w:r w:rsidRPr="008309F1">
      <w:rPr>
        <w:noProof/>
      </w:rPr>
      <w:drawing>
        <wp:inline distT="0" distB="0" distL="0" distR="0" wp14:anchorId="4405DF07" wp14:editId="3049DBE5">
          <wp:extent cx="742950" cy="769466"/>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1127"/>
    <w:multiLevelType w:val="hybridMultilevel"/>
    <w:tmpl w:val="4F76FB32"/>
    <w:lvl w:ilvl="0" w:tplc="9BA0BA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B47C07"/>
    <w:multiLevelType w:val="hybridMultilevel"/>
    <w:tmpl w:val="E8D60D64"/>
    <w:lvl w:ilvl="0" w:tplc="080A0005">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 w15:restartNumberingAfterBreak="0">
    <w:nsid w:val="1188512F"/>
    <w:multiLevelType w:val="hybridMultilevel"/>
    <w:tmpl w:val="3A3A4FFA"/>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62485F"/>
    <w:multiLevelType w:val="hybridMultilevel"/>
    <w:tmpl w:val="5908D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780045D"/>
    <w:multiLevelType w:val="hybridMultilevel"/>
    <w:tmpl w:val="478AD55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8B502D"/>
    <w:multiLevelType w:val="hybridMultilevel"/>
    <w:tmpl w:val="42041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E467E4"/>
    <w:multiLevelType w:val="hybridMultilevel"/>
    <w:tmpl w:val="2EBC45E0"/>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77F74"/>
    <w:multiLevelType w:val="hybridMultilevel"/>
    <w:tmpl w:val="5C4C418C"/>
    <w:lvl w:ilvl="0" w:tplc="DC986B8C">
      <w:start w:val="16"/>
      <w:numFmt w:val="bullet"/>
      <w:lvlText w:val=""/>
      <w:lvlJc w:val="left"/>
      <w:pPr>
        <w:ind w:left="854" w:hanging="570"/>
      </w:pPr>
      <w:rPr>
        <w:rFonts w:ascii="Symbol" w:eastAsiaTheme="minorHAnsi" w:hAnsi="Symbol" w:cs="Courier New" w:hint="default"/>
        <w:sz w:val="2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F59481B"/>
    <w:multiLevelType w:val="hybridMultilevel"/>
    <w:tmpl w:val="D9F8B42C"/>
    <w:lvl w:ilvl="0" w:tplc="080A0003">
      <w:start w:val="1"/>
      <w:numFmt w:val="bullet"/>
      <w:lvlText w:val="o"/>
      <w:lvlJc w:val="left"/>
      <w:pPr>
        <w:ind w:left="-3852" w:hanging="360"/>
      </w:pPr>
      <w:rPr>
        <w:rFonts w:ascii="Courier New" w:hAnsi="Courier New" w:cs="Courier New" w:hint="default"/>
      </w:rPr>
    </w:lvl>
    <w:lvl w:ilvl="1" w:tplc="080A0003" w:tentative="1">
      <w:start w:val="1"/>
      <w:numFmt w:val="bullet"/>
      <w:lvlText w:val="o"/>
      <w:lvlJc w:val="left"/>
      <w:pPr>
        <w:ind w:left="-313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1692" w:hanging="360"/>
      </w:pPr>
      <w:rPr>
        <w:rFonts w:ascii="Symbol" w:hAnsi="Symbol" w:hint="default"/>
      </w:rPr>
    </w:lvl>
    <w:lvl w:ilvl="4" w:tplc="080A0003" w:tentative="1">
      <w:start w:val="1"/>
      <w:numFmt w:val="bullet"/>
      <w:lvlText w:val="o"/>
      <w:lvlJc w:val="left"/>
      <w:pPr>
        <w:ind w:left="-972" w:hanging="360"/>
      </w:pPr>
      <w:rPr>
        <w:rFonts w:ascii="Courier New" w:hAnsi="Courier New" w:cs="Courier New" w:hint="default"/>
      </w:rPr>
    </w:lvl>
    <w:lvl w:ilvl="5" w:tplc="080A0005" w:tentative="1">
      <w:start w:val="1"/>
      <w:numFmt w:val="bullet"/>
      <w:lvlText w:val=""/>
      <w:lvlJc w:val="left"/>
      <w:pPr>
        <w:ind w:left="-252" w:hanging="360"/>
      </w:pPr>
      <w:rPr>
        <w:rFonts w:ascii="Wingdings" w:hAnsi="Wingdings" w:hint="default"/>
      </w:rPr>
    </w:lvl>
    <w:lvl w:ilvl="6" w:tplc="080A0001" w:tentative="1">
      <w:start w:val="1"/>
      <w:numFmt w:val="bullet"/>
      <w:lvlText w:val=""/>
      <w:lvlJc w:val="left"/>
      <w:pPr>
        <w:ind w:left="468" w:hanging="360"/>
      </w:pPr>
      <w:rPr>
        <w:rFonts w:ascii="Symbol" w:hAnsi="Symbol" w:hint="default"/>
      </w:rPr>
    </w:lvl>
    <w:lvl w:ilvl="7" w:tplc="080A0003" w:tentative="1">
      <w:start w:val="1"/>
      <w:numFmt w:val="bullet"/>
      <w:lvlText w:val="o"/>
      <w:lvlJc w:val="left"/>
      <w:pPr>
        <w:ind w:left="1188" w:hanging="360"/>
      </w:pPr>
      <w:rPr>
        <w:rFonts w:ascii="Courier New" w:hAnsi="Courier New" w:cs="Courier New" w:hint="default"/>
      </w:rPr>
    </w:lvl>
    <w:lvl w:ilvl="8" w:tplc="080A0005" w:tentative="1">
      <w:start w:val="1"/>
      <w:numFmt w:val="bullet"/>
      <w:lvlText w:val=""/>
      <w:lvlJc w:val="left"/>
      <w:pPr>
        <w:ind w:left="1908" w:hanging="360"/>
      </w:pPr>
      <w:rPr>
        <w:rFonts w:ascii="Wingdings" w:hAnsi="Wingdings" w:hint="default"/>
      </w:r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9F6F03"/>
    <w:multiLevelType w:val="hybridMultilevel"/>
    <w:tmpl w:val="380CAB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490F8D"/>
    <w:multiLevelType w:val="hybridMultilevel"/>
    <w:tmpl w:val="6986A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013F67"/>
    <w:multiLevelType w:val="hybridMultilevel"/>
    <w:tmpl w:val="40E2827E"/>
    <w:lvl w:ilvl="0" w:tplc="9BA0BAB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7" w15:restartNumberingAfterBreak="0">
    <w:nsid w:val="6E2E3CE1"/>
    <w:multiLevelType w:val="hybridMultilevel"/>
    <w:tmpl w:val="7C4A9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A81574"/>
    <w:multiLevelType w:val="hybridMultilevel"/>
    <w:tmpl w:val="74320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5B71D0"/>
    <w:multiLevelType w:val="hybridMultilevel"/>
    <w:tmpl w:val="0D68A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A004E"/>
    <w:multiLevelType w:val="hybridMultilevel"/>
    <w:tmpl w:val="DEB0A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1C6739"/>
    <w:multiLevelType w:val="hybridMultilevel"/>
    <w:tmpl w:val="4D0C2088"/>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4"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2"/>
  </w:num>
  <w:num w:numId="6">
    <w:abstractNumId w:val="4"/>
  </w:num>
  <w:num w:numId="7">
    <w:abstractNumId w:val="7"/>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6"/>
  </w:num>
  <w:num w:numId="12">
    <w:abstractNumId w:val="33"/>
  </w:num>
  <w:num w:numId="13">
    <w:abstractNumId w:val="35"/>
  </w:num>
  <w:num w:numId="14">
    <w:abstractNumId w:val="16"/>
  </w:num>
  <w:num w:numId="15">
    <w:abstractNumId w:val="13"/>
  </w:num>
  <w:num w:numId="16">
    <w:abstractNumId w:val="21"/>
  </w:num>
  <w:num w:numId="17">
    <w:abstractNumId w:val="15"/>
  </w:num>
  <w:num w:numId="18">
    <w:abstractNumId w:val="19"/>
  </w:num>
  <w:num w:numId="19">
    <w:abstractNumId w:val="8"/>
  </w:num>
  <w:num w:numId="20">
    <w:abstractNumId w:val="34"/>
  </w:num>
  <w:num w:numId="21">
    <w:abstractNumId w:val="25"/>
  </w:num>
  <w:num w:numId="22">
    <w:abstractNumId w:val="11"/>
  </w:num>
  <w:num w:numId="23">
    <w:abstractNumId w:val="29"/>
  </w:num>
  <w:num w:numId="24">
    <w:abstractNumId w:val="22"/>
  </w:num>
  <w:num w:numId="25">
    <w:abstractNumId w:val="10"/>
  </w:num>
  <w:num w:numId="26">
    <w:abstractNumId w:val="20"/>
  </w:num>
  <w:num w:numId="27">
    <w:abstractNumId w:val="3"/>
  </w:num>
  <w:num w:numId="28">
    <w:abstractNumId w:val="17"/>
  </w:num>
  <w:num w:numId="29">
    <w:abstractNumId w:val="32"/>
  </w:num>
  <w:num w:numId="30">
    <w:abstractNumId w:val="18"/>
  </w:num>
  <w:num w:numId="31">
    <w:abstractNumId w:val="2"/>
  </w:num>
  <w:num w:numId="32">
    <w:abstractNumId w:val="14"/>
  </w:num>
  <w:num w:numId="33">
    <w:abstractNumId w:val="30"/>
  </w:num>
  <w:num w:numId="34">
    <w:abstractNumId w:val="31"/>
  </w:num>
  <w:num w:numId="35">
    <w:abstractNumId w:val="5"/>
  </w:num>
  <w:num w:numId="36">
    <w:abstractNumId w:val="23"/>
  </w:num>
  <w:num w:numId="37">
    <w:abstractNumId w:val="28"/>
  </w:num>
  <w:num w:numId="38">
    <w:abstractNumId w:val="1"/>
  </w:num>
  <w:num w:numId="39">
    <w:abstractNumId w:val="2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1C91"/>
    <w:rsid w:val="000022A6"/>
    <w:rsid w:val="00002466"/>
    <w:rsid w:val="00002561"/>
    <w:rsid w:val="00002665"/>
    <w:rsid w:val="000027BD"/>
    <w:rsid w:val="00002AFF"/>
    <w:rsid w:val="00002B26"/>
    <w:rsid w:val="00003497"/>
    <w:rsid w:val="0000361C"/>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1BF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0A1"/>
    <w:rsid w:val="00015302"/>
    <w:rsid w:val="00016590"/>
    <w:rsid w:val="0001671B"/>
    <w:rsid w:val="00016B4E"/>
    <w:rsid w:val="00016D3A"/>
    <w:rsid w:val="0001718D"/>
    <w:rsid w:val="0001743D"/>
    <w:rsid w:val="000176AC"/>
    <w:rsid w:val="00017C10"/>
    <w:rsid w:val="00020890"/>
    <w:rsid w:val="000213A3"/>
    <w:rsid w:val="00021432"/>
    <w:rsid w:val="00021492"/>
    <w:rsid w:val="000216A3"/>
    <w:rsid w:val="000228C4"/>
    <w:rsid w:val="00022CA3"/>
    <w:rsid w:val="000238E1"/>
    <w:rsid w:val="00023B4F"/>
    <w:rsid w:val="0002439B"/>
    <w:rsid w:val="000248E6"/>
    <w:rsid w:val="00025201"/>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411"/>
    <w:rsid w:val="0004066E"/>
    <w:rsid w:val="00040B73"/>
    <w:rsid w:val="00040CFD"/>
    <w:rsid w:val="00040F75"/>
    <w:rsid w:val="00041FF7"/>
    <w:rsid w:val="0004225C"/>
    <w:rsid w:val="000430BE"/>
    <w:rsid w:val="00043535"/>
    <w:rsid w:val="00043B32"/>
    <w:rsid w:val="00043E2B"/>
    <w:rsid w:val="00044296"/>
    <w:rsid w:val="00044699"/>
    <w:rsid w:val="00044700"/>
    <w:rsid w:val="000447CE"/>
    <w:rsid w:val="00044C5E"/>
    <w:rsid w:val="0004596A"/>
    <w:rsid w:val="00045AF1"/>
    <w:rsid w:val="00045E9B"/>
    <w:rsid w:val="0004612E"/>
    <w:rsid w:val="00046139"/>
    <w:rsid w:val="000465BA"/>
    <w:rsid w:val="000465BF"/>
    <w:rsid w:val="00046822"/>
    <w:rsid w:val="00046AB6"/>
    <w:rsid w:val="00046D06"/>
    <w:rsid w:val="000471CD"/>
    <w:rsid w:val="0004735D"/>
    <w:rsid w:val="0004777C"/>
    <w:rsid w:val="000501E0"/>
    <w:rsid w:val="000502DE"/>
    <w:rsid w:val="0005081F"/>
    <w:rsid w:val="00050934"/>
    <w:rsid w:val="00050FB5"/>
    <w:rsid w:val="0005141B"/>
    <w:rsid w:val="00051C72"/>
    <w:rsid w:val="00051D1C"/>
    <w:rsid w:val="00051D9E"/>
    <w:rsid w:val="00052F04"/>
    <w:rsid w:val="00052F1E"/>
    <w:rsid w:val="000536D2"/>
    <w:rsid w:val="00053B2C"/>
    <w:rsid w:val="00053EB7"/>
    <w:rsid w:val="00053EFC"/>
    <w:rsid w:val="00053F2A"/>
    <w:rsid w:val="00054A4F"/>
    <w:rsid w:val="00055047"/>
    <w:rsid w:val="000557E2"/>
    <w:rsid w:val="00055B54"/>
    <w:rsid w:val="00055CD3"/>
    <w:rsid w:val="00056553"/>
    <w:rsid w:val="000567F8"/>
    <w:rsid w:val="000569EC"/>
    <w:rsid w:val="00056F51"/>
    <w:rsid w:val="000573F5"/>
    <w:rsid w:val="00057A63"/>
    <w:rsid w:val="00057CAE"/>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211"/>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151"/>
    <w:rsid w:val="00087287"/>
    <w:rsid w:val="0008756B"/>
    <w:rsid w:val="00087DB7"/>
    <w:rsid w:val="0009025D"/>
    <w:rsid w:val="00090426"/>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78D"/>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6F71"/>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3E2"/>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833"/>
    <w:rsid w:val="000D49D2"/>
    <w:rsid w:val="000D4A88"/>
    <w:rsid w:val="000D4BBC"/>
    <w:rsid w:val="000D4CD2"/>
    <w:rsid w:val="000D4D90"/>
    <w:rsid w:val="000D4E26"/>
    <w:rsid w:val="000D5176"/>
    <w:rsid w:val="000D5EDB"/>
    <w:rsid w:val="000D6C0F"/>
    <w:rsid w:val="000D6F1E"/>
    <w:rsid w:val="000D706E"/>
    <w:rsid w:val="000D7265"/>
    <w:rsid w:val="000D7A95"/>
    <w:rsid w:val="000D7BBD"/>
    <w:rsid w:val="000E03C0"/>
    <w:rsid w:val="000E0648"/>
    <w:rsid w:val="000E0654"/>
    <w:rsid w:val="000E19B3"/>
    <w:rsid w:val="000E1EB3"/>
    <w:rsid w:val="000E1F9B"/>
    <w:rsid w:val="000E2970"/>
    <w:rsid w:val="000E34E1"/>
    <w:rsid w:val="000E3892"/>
    <w:rsid w:val="000E3CC1"/>
    <w:rsid w:val="000E3CE2"/>
    <w:rsid w:val="000E4A53"/>
    <w:rsid w:val="000E5331"/>
    <w:rsid w:val="000E5526"/>
    <w:rsid w:val="000E5D6B"/>
    <w:rsid w:val="000E5FE0"/>
    <w:rsid w:val="000E6D5D"/>
    <w:rsid w:val="000F05D5"/>
    <w:rsid w:val="000F08A2"/>
    <w:rsid w:val="000F1DEB"/>
    <w:rsid w:val="000F3413"/>
    <w:rsid w:val="000F3491"/>
    <w:rsid w:val="000F3C15"/>
    <w:rsid w:val="000F3DE6"/>
    <w:rsid w:val="000F4136"/>
    <w:rsid w:val="000F44E7"/>
    <w:rsid w:val="000F44EA"/>
    <w:rsid w:val="000F4523"/>
    <w:rsid w:val="000F49F1"/>
    <w:rsid w:val="000F4C41"/>
    <w:rsid w:val="000F4FA7"/>
    <w:rsid w:val="000F536A"/>
    <w:rsid w:val="000F541D"/>
    <w:rsid w:val="000F5AD1"/>
    <w:rsid w:val="000F69FA"/>
    <w:rsid w:val="000F741C"/>
    <w:rsid w:val="000F7577"/>
    <w:rsid w:val="000F763F"/>
    <w:rsid w:val="000F7974"/>
    <w:rsid w:val="000F7C20"/>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132"/>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0D5"/>
    <w:rsid w:val="00133239"/>
    <w:rsid w:val="00133603"/>
    <w:rsid w:val="00134904"/>
    <w:rsid w:val="001349AB"/>
    <w:rsid w:val="00134F4E"/>
    <w:rsid w:val="00134FB0"/>
    <w:rsid w:val="001350AC"/>
    <w:rsid w:val="001352EC"/>
    <w:rsid w:val="00135E0B"/>
    <w:rsid w:val="001361A8"/>
    <w:rsid w:val="001365A5"/>
    <w:rsid w:val="00136690"/>
    <w:rsid w:val="001368CC"/>
    <w:rsid w:val="0013711A"/>
    <w:rsid w:val="001372CA"/>
    <w:rsid w:val="00137AFD"/>
    <w:rsid w:val="0014012A"/>
    <w:rsid w:val="00140AD8"/>
    <w:rsid w:val="00140BE4"/>
    <w:rsid w:val="00140E33"/>
    <w:rsid w:val="001411DE"/>
    <w:rsid w:val="00141399"/>
    <w:rsid w:val="00141A0B"/>
    <w:rsid w:val="00141AF4"/>
    <w:rsid w:val="001421C2"/>
    <w:rsid w:val="00142E09"/>
    <w:rsid w:val="0014377B"/>
    <w:rsid w:val="00143D3A"/>
    <w:rsid w:val="0014507B"/>
    <w:rsid w:val="00145842"/>
    <w:rsid w:val="00145D32"/>
    <w:rsid w:val="00145F65"/>
    <w:rsid w:val="00145FDA"/>
    <w:rsid w:val="001460E0"/>
    <w:rsid w:val="00146902"/>
    <w:rsid w:val="00146DFA"/>
    <w:rsid w:val="0014794D"/>
    <w:rsid w:val="001479A6"/>
    <w:rsid w:val="00147E53"/>
    <w:rsid w:val="0015018D"/>
    <w:rsid w:val="00150228"/>
    <w:rsid w:val="001502C3"/>
    <w:rsid w:val="001504E8"/>
    <w:rsid w:val="00150536"/>
    <w:rsid w:val="0015105E"/>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69A"/>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4CFE"/>
    <w:rsid w:val="001655BD"/>
    <w:rsid w:val="00165634"/>
    <w:rsid w:val="001657C9"/>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77DA2"/>
    <w:rsid w:val="00177F64"/>
    <w:rsid w:val="00180887"/>
    <w:rsid w:val="00180A83"/>
    <w:rsid w:val="001813AB"/>
    <w:rsid w:val="001819C6"/>
    <w:rsid w:val="00181B78"/>
    <w:rsid w:val="0018211C"/>
    <w:rsid w:val="001821F8"/>
    <w:rsid w:val="0018235F"/>
    <w:rsid w:val="00182CBE"/>
    <w:rsid w:val="0018302A"/>
    <w:rsid w:val="001831B3"/>
    <w:rsid w:val="001845FA"/>
    <w:rsid w:val="00185115"/>
    <w:rsid w:val="0018522B"/>
    <w:rsid w:val="001854A8"/>
    <w:rsid w:val="00185D40"/>
    <w:rsid w:val="00186C17"/>
    <w:rsid w:val="00187C9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6B4"/>
    <w:rsid w:val="001B1E85"/>
    <w:rsid w:val="001B1EBF"/>
    <w:rsid w:val="001B253D"/>
    <w:rsid w:val="001B277C"/>
    <w:rsid w:val="001B2C6A"/>
    <w:rsid w:val="001B2F19"/>
    <w:rsid w:val="001B2F69"/>
    <w:rsid w:val="001B35E9"/>
    <w:rsid w:val="001B35ED"/>
    <w:rsid w:val="001B369D"/>
    <w:rsid w:val="001B3F5C"/>
    <w:rsid w:val="001B4262"/>
    <w:rsid w:val="001B450E"/>
    <w:rsid w:val="001B46DB"/>
    <w:rsid w:val="001B4F75"/>
    <w:rsid w:val="001B51AE"/>
    <w:rsid w:val="001B5942"/>
    <w:rsid w:val="001B5D0E"/>
    <w:rsid w:val="001B5DDB"/>
    <w:rsid w:val="001B5EDA"/>
    <w:rsid w:val="001B5FB9"/>
    <w:rsid w:val="001B623E"/>
    <w:rsid w:val="001B62D3"/>
    <w:rsid w:val="001B6FAA"/>
    <w:rsid w:val="001B74F4"/>
    <w:rsid w:val="001B75DC"/>
    <w:rsid w:val="001B78CE"/>
    <w:rsid w:val="001C0136"/>
    <w:rsid w:val="001C0A6E"/>
    <w:rsid w:val="001C0AD1"/>
    <w:rsid w:val="001C0BCC"/>
    <w:rsid w:val="001C0D9B"/>
    <w:rsid w:val="001C117D"/>
    <w:rsid w:val="001C1D7F"/>
    <w:rsid w:val="001C1F9C"/>
    <w:rsid w:val="001C226A"/>
    <w:rsid w:val="001C236E"/>
    <w:rsid w:val="001C29E7"/>
    <w:rsid w:val="001C32C6"/>
    <w:rsid w:val="001C3C93"/>
    <w:rsid w:val="001C3E2D"/>
    <w:rsid w:val="001C48C7"/>
    <w:rsid w:val="001C49D0"/>
    <w:rsid w:val="001C4A9E"/>
    <w:rsid w:val="001C5D49"/>
    <w:rsid w:val="001C5D7D"/>
    <w:rsid w:val="001C6664"/>
    <w:rsid w:val="001C69A9"/>
    <w:rsid w:val="001C6CAB"/>
    <w:rsid w:val="001C6CC1"/>
    <w:rsid w:val="001C6F99"/>
    <w:rsid w:val="001C6FAA"/>
    <w:rsid w:val="001C7130"/>
    <w:rsid w:val="001C7E70"/>
    <w:rsid w:val="001D0068"/>
    <w:rsid w:val="001D0107"/>
    <w:rsid w:val="001D01C6"/>
    <w:rsid w:val="001D092F"/>
    <w:rsid w:val="001D190C"/>
    <w:rsid w:val="001D1AEF"/>
    <w:rsid w:val="001D1F00"/>
    <w:rsid w:val="001D244E"/>
    <w:rsid w:val="001D24F1"/>
    <w:rsid w:val="001D2A3E"/>
    <w:rsid w:val="001D2F42"/>
    <w:rsid w:val="001D2F4B"/>
    <w:rsid w:val="001D319E"/>
    <w:rsid w:val="001D3AD1"/>
    <w:rsid w:val="001D478B"/>
    <w:rsid w:val="001D4970"/>
    <w:rsid w:val="001D55CC"/>
    <w:rsid w:val="001D5F02"/>
    <w:rsid w:val="001D6186"/>
    <w:rsid w:val="001D61BE"/>
    <w:rsid w:val="001D62AF"/>
    <w:rsid w:val="001D637E"/>
    <w:rsid w:val="001D6652"/>
    <w:rsid w:val="001D688F"/>
    <w:rsid w:val="001D6997"/>
    <w:rsid w:val="001D69E5"/>
    <w:rsid w:val="001D6B3D"/>
    <w:rsid w:val="001D7104"/>
    <w:rsid w:val="001D7B5D"/>
    <w:rsid w:val="001E075F"/>
    <w:rsid w:val="001E0933"/>
    <w:rsid w:val="001E0EF0"/>
    <w:rsid w:val="001E13D8"/>
    <w:rsid w:val="001E14E8"/>
    <w:rsid w:val="001E1627"/>
    <w:rsid w:val="001E18BD"/>
    <w:rsid w:val="001E1C7A"/>
    <w:rsid w:val="001E1DBA"/>
    <w:rsid w:val="001E1EF2"/>
    <w:rsid w:val="001E24F8"/>
    <w:rsid w:val="001E290B"/>
    <w:rsid w:val="001E2B17"/>
    <w:rsid w:val="001E2E78"/>
    <w:rsid w:val="001E385F"/>
    <w:rsid w:val="001E39E4"/>
    <w:rsid w:val="001E41DD"/>
    <w:rsid w:val="001E490C"/>
    <w:rsid w:val="001E4942"/>
    <w:rsid w:val="001E4C68"/>
    <w:rsid w:val="001E4D21"/>
    <w:rsid w:val="001E50FD"/>
    <w:rsid w:val="001E5310"/>
    <w:rsid w:val="001E557F"/>
    <w:rsid w:val="001E59DC"/>
    <w:rsid w:val="001E5CAA"/>
    <w:rsid w:val="001E5DD7"/>
    <w:rsid w:val="001E5EEE"/>
    <w:rsid w:val="001E6469"/>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37B1"/>
    <w:rsid w:val="001F42FF"/>
    <w:rsid w:val="001F44B4"/>
    <w:rsid w:val="001F44D3"/>
    <w:rsid w:val="001F4510"/>
    <w:rsid w:val="001F58D3"/>
    <w:rsid w:val="001F5BEC"/>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711"/>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4FB"/>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A16"/>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0AD"/>
    <w:rsid w:val="00230263"/>
    <w:rsid w:val="00230A44"/>
    <w:rsid w:val="00230A52"/>
    <w:rsid w:val="00230FA5"/>
    <w:rsid w:val="00231131"/>
    <w:rsid w:val="0023170E"/>
    <w:rsid w:val="00231839"/>
    <w:rsid w:val="0023262B"/>
    <w:rsid w:val="00232933"/>
    <w:rsid w:val="00232A4E"/>
    <w:rsid w:val="0023346F"/>
    <w:rsid w:val="00233666"/>
    <w:rsid w:val="002336FE"/>
    <w:rsid w:val="00233A7D"/>
    <w:rsid w:val="00234778"/>
    <w:rsid w:val="0023482B"/>
    <w:rsid w:val="0023482C"/>
    <w:rsid w:val="00234A54"/>
    <w:rsid w:val="00234AA4"/>
    <w:rsid w:val="00234C7F"/>
    <w:rsid w:val="00234CFF"/>
    <w:rsid w:val="00234E62"/>
    <w:rsid w:val="00234F8F"/>
    <w:rsid w:val="00235EF3"/>
    <w:rsid w:val="0023613B"/>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8E"/>
    <w:rsid w:val="00243AC5"/>
    <w:rsid w:val="0024405D"/>
    <w:rsid w:val="00244327"/>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3CEC"/>
    <w:rsid w:val="002544CB"/>
    <w:rsid w:val="00254724"/>
    <w:rsid w:val="0025564E"/>
    <w:rsid w:val="00255D8E"/>
    <w:rsid w:val="00256021"/>
    <w:rsid w:val="00256584"/>
    <w:rsid w:val="002565DE"/>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E7D"/>
    <w:rsid w:val="00266F00"/>
    <w:rsid w:val="00266F78"/>
    <w:rsid w:val="002670EF"/>
    <w:rsid w:val="002671A2"/>
    <w:rsid w:val="00267A38"/>
    <w:rsid w:val="00267F5F"/>
    <w:rsid w:val="00270965"/>
    <w:rsid w:val="00271E5D"/>
    <w:rsid w:val="00271F60"/>
    <w:rsid w:val="00272082"/>
    <w:rsid w:val="002728D2"/>
    <w:rsid w:val="00272CCF"/>
    <w:rsid w:val="0027349D"/>
    <w:rsid w:val="00273516"/>
    <w:rsid w:val="00273985"/>
    <w:rsid w:val="00273B82"/>
    <w:rsid w:val="00273E7A"/>
    <w:rsid w:val="00273F09"/>
    <w:rsid w:val="00274372"/>
    <w:rsid w:val="0027475A"/>
    <w:rsid w:val="00274BF0"/>
    <w:rsid w:val="002752B8"/>
    <w:rsid w:val="002755FE"/>
    <w:rsid w:val="00275F56"/>
    <w:rsid w:val="00275F6F"/>
    <w:rsid w:val="002765B7"/>
    <w:rsid w:val="00276877"/>
    <w:rsid w:val="00276B85"/>
    <w:rsid w:val="00276EAA"/>
    <w:rsid w:val="0027769C"/>
    <w:rsid w:val="00277713"/>
    <w:rsid w:val="00277DBC"/>
    <w:rsid w:val="00277F64"/>
    <w:rsid w:val="00280550"/>
    <w:rsid w:val="002806EC"/>
    <w:rsid w:val="00281063"/>
    <w:rsid w:val="00281676"/>
    <w:rsid w:val="002818CB"/>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6FF4"/>
    <w:rsid w:val="00287514"/>
    <w:rsid w:val="0028791B"/>
    <w:rsid w:val="00287C1D"/>
    <w:rsid w:val="00287E44"/>
    <w:rsid w:val="00287F79"/>
    <w:rsid w:val="002900A9"/>
    <w:rsid w:val="0029022A"/>
    <w:rsid w:val="002906E8"/>
    <w:rsid w:val="00290A6D"/>
    <w:rsid w:val="00290C43"/>
    <w:rsid w:val="00290C90"/>
    <w:rsid w:val="00290E5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864"/>
    <w:rsid w:val="00297D6A"/>
    <w:rsid w:val="002A0190"/>
    <w:rsid w:val="002A0702"/>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10C"/>
    <w:rsid w:val="002D155B"/>
    <w:rsid w:val="002D163B"/>
    <w:rsid w:val="002D1760"/>
    <w:rsid w:val="002D1AD3"/>
    <w:rsid w:val="002D2145"/>
    <w:rsid w:val="002D24F3"/>
    <w:rsid w:val="002D289D"/>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247"/>
    <w:rsid w:val="002F3C64"/>
    <w:rsid w:val="002F3ED1"/>
    <w:rsid w:val="002F4431"/>
    <w:rsid w:val="002F47E7"/>
    <w:rsid w:val="002F510D"/>
    <w:rsid w:val="002F5F61"/>
    <w:rsid w:val="002F72D0"/>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5D2"/>
    <w:rsid w:val="00305B61"/>
    <w:rsid w:val="00305F53"/>
    <w:rsid w:val="003060F3"/>
    <w:rsid w:val="0030612A"/>
    <w:rsid w:val="00306639"/>
    <w:rsid w:val="003068EC"/>
    <w:rsid w:val="00306C01"/>
    <w:rsid w:val="0030759B"/>
    <w:rsid w:val="003076C4"/>
    <w:rsid w:val="003079A6"/>
    <w:rsid w:val="0031024D"/>
    <w:rsid w:val="003106C8"/>
    <w:rsid w:val="003107CE"/>
    <w:rsid w:val="00310E3F"/>
    <w:rsid w:val="00311270"/>
    <w:rsid w:val="0031165B"/>
    <w:rsid w:val="0031175D"/>
    <w:rsid w:val="003119DD"/>
    <w:rsid w:val="00312297"/>
    <w:rsid w:val="0031300C"/>
    <w:rsid w:val="0031309E"/>
    <w:rsid w:val="00313367"/>
    <w:rsid w:val="0031354F"/>
    <w:rsid w:val="003136C5"/>
    <w:rsid w:val="00314614"/>
    <w:rsid w:val="00314739"/>
    <w:rsid w:val="00314773"/>
    <w:rsid w:val="00314BD5"/>
    <w:rsid w:val="00314F8A"/>
    <w:rsid w:val="003151F3"/>
    <w:rsid w:val="003152B9"/>
    <w:rsid w:val="003152FA"/>
    <w:rsid w:val="003154DB"/>
    <w:rsid w:val="00315E80"/>
    <w:rsid w:val="00316779"/>
    <w:rsid w:val="0031702D"/>
    <w:rsid w:val="0031703A"/>
    <w:rsid w:val="00317DA5"/>
    <w:rsid w:val="003201D0"/>
    <w:rsid w:val="003205E0"/>
    <w:rsid w:val="00321010"/>
    <w:rsid w:val="00321179"/>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58CA"/>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93A"/>
    <w:rsid w:val="00334A38"/>
    <w:rsid w:val="00334AF1"/>
    <w:rsid w:val="003353D5"/>
    <w:rsid w:val="003353FD"/>
    <w:rsid w:val="003359FB"/>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574"/>
    <w:rsid w:val="0034360C"/>
    <w:rsid w:val="00343860"/>
    <w:rsid w:val="003438BC"/>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1B41"/>
    <w:rsid w:val="00351D80"/>
    <w:rsid w:val="00352775"/>
    <w:rsid w:val="00352F14"/>
    <w:rsid w:val="003530B3"/>
    <w:rsid w:val="00355090"/>
    <w:rsid w:val="0035546F"/>
    <w:rsid w:val="003554BD"/>
    <w:rsid w:val="003554CE"/>
    <w:rsid w:val="00355A18"/>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093"/>
    <w:rsid w:val="0036533F"/>
    <w:rsid w:val="00365370"/>
    <w:rsid w:val="003654B7"/>
    <w:rsid w:val="00365607"/>
    <w:rsid w:val="00365CAF"/>
    <w:rsid w:val="003661C9"/>
    <w:rsid w:val="0036693A"/>
    <w:rsid w:val="00366AFA"/>
    <w:rsid w:val="00366B66"/>
    <w:rsid w:val="00366C31"/>
    <w:rsid w:val="00366E4E"/>
    <w:rsid w:val="00367207"/>
    <w:rsid w:val="0036730C"/>
    <w:rsid w:val="00367571"/>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2AB8"/>
    <w:rsid w:val="0037334A"/>
    <w:rsid w:val="003734B3"/>
    <w:rsid w:val="0037423B"/>
    <w:rsid w:val="0037443B"/>
    <w:rsid w:val="0037465C"/>
    <w:rsid w:val="00374D3E"/>
    <w:rsid w:val="0037543D"/>
    <w:rsid w:val="003757FB"/>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94C"/>
    <w:rsid w:val="00393E76"/>
    <w:rsid w:val="00393FA8"/>
    <w:rsid w:val="00394FE8"/>
    <w:rsid w:val="00395069"/>
    <w:rsid w:val="00395344"/>
    <w:rsid w:val="003955AD"/>
    <w:rsid w:val="00395A0A"/>
    <w:rsid w:val="003961CC"/>
    <w:rsid w:val="00396674"/>
    <w:rsid w:val="00396C46"/>
    <w:rsid w:val="00397520"/>
    <w:rsid w:val="00397BF1"/>
    <w:rsid w:val="00397FCB"/>
    <w:rsid w:val="003A0A67"/>
    <w:rsid w:val="003A0D34"/>
    <w:rsid w:val="003A1273"/>
    <w:rsid w:val="003A1596"/>
    <w:rsid w:val="003A164E"/>
    <w:rsid w:val="003A1FEA"/>
    <w:rsid w:val="003A21D8"/>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A7FD9"/>
    <w:rsid w:val="003B00E9"/>
    <w:rsid w:val="003B02DF"/>
    <w:rsid w:val="003B099A"/>
    <w:rsid w:val="003B0A8B"/>
    <w:rsid w:val="003B1002"/>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6A8D"/>
    <w:rsid w:val="003B7B4D"/>
    <w:rsid w:val="003C0125"/>
    <w:rsid w:val="003C02E0"/>
    <w:rsid w:val="003C03F7"/>
    <w:rsid w:val="003C05CD"/>
    <w:rsid w:val="003C0DCD"/>
    <w:rsid w:val="003C0FE5"/>
    <w:rsid w:val="003C100A"/>
    <w:rsid w:val="003C1A9A"/>
    <w:rsid w:val="003C1CAF"/>
    <w:rsid w:val="003C22D4"/>
    <w:rsid w:val="003C23EF"/>
    <w:rsid w:val="003C29AF"/>
    <w:rsid w:val="003C2BDB"/>
    <w:rsid w:val="003C3481"/>
    <w:rsid w:val="003C3B78"/>
    <w:rsid w:val="003C3F73"/>
    <w:rsid w:val="003C40A2"/>
    <w:rsid w:val="003C4BB8"/>
    <w:rsid w:val="003C5027"/>
    <w:rsid w:val="003C5519"/>
    <w:rsid w:val="003C5A97"/>
    <w:rsid w:val="003C616B"/>
    <w:rsid w:val="003C681D"/>
    <w:rsid w:val="003C6A7B"/>
    <w:rsid w:val="003C6BED"/>
    <w:rsid w:val="003C7560"/>
    <w:rsid w:val="003C7965"/>
    <w:rsid w:val="003C7D06"/>
    <w:rsid w:val="003C7EF7"/>
    <w:rsid w:val="003D03D1"/>
    <w:rsid w:val="003D0D6C"/>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5107"/>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90D"/>
    <w:rsid w:val="003E5C72"/>
    <w:rsid w:val="003E5F16"/>
    <w:rsid w:val="003E634D"/>
    <w:rsid w:val="003E64BB"/>
    <w:rsid w:val="003E685D"/>
    <w:rsid w:val="003E693C"/>
    <w:rsid w:val="003E6AC1"/>
    <w:rsid w:val="003E7EEA"/>
    <w:rsid w:val="003F01E7"/>
    <w:rsid w:val="003F0A73"/>
    <w:rsid w:val="003F18CF"/>
    <w:rsid w:val="003F1E48"/>
    <w:rsid w:val="003F2BFE"/>
    <w:rsid w:val="003F3A44"/>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2D71"/>
    <w:rsid w:val="00403226"/>
    <w:rsid w:val="00403827"/>
    <w:rsid w:val="004040E3"/>
    <w:rsid w:val="0040440B"/>
    <w:rsid w:val="00404B07"/>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4C99"/>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6F1D"/>
    <w:rsid w:val="004373A1"/>
    <w:rsid w:val="00440392"/>
    <w:rsid w:val="00440502"/>
    <w:rsid w:val="00440516"/>
    <w:rsid w:val="00440891"/>
    <w:rsid w:val="004412E5"/>
    <w:rsid w:val="004415FC"/>
    <w:rsid w:val="00441989"/>
    <w:rsid w:val="00441DBA"/>
    <w:rsid w:val="00442112"/>
    <w:rsid w:val="00442314"/>
    <w:rsid w:val="00442822"/>
    <w:rsid w:val="00442A1E"/>
    <w:rsid w:val="00442E6F"/>
    <w:rsid w:val="00442FFB"/>
    <w:rsid w:val="004437F3"/>
    <w:rsid w:val="00443A3A"/>
    <w:rsid w:val="00443A81"/>
    <w:rsid w:val="00443AE0"/>
    <w:rsid w:val="00443D1A"/>
    <w:rsid w:val="004442B1"/>
    <w:rsid w:val="004443FB"/>
    <w:rsid w:val="0044475F"/>
    <w:rsid w:val="0044476D"/>
    <w:rsid w:val="00445064"/>
    <w:rsid w:val="00445172"/>
    <w:rsid w:val="00446D2D"/>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67F8B"/>
    <w:rsid w:val="00470535"/>
    <w:rsid w:val="004708F6"/>
    <w:rsid w:val="00470CFF"/>
    <w:rsid w:val="00471018"/>
    <w:rsid w:val="00471183"/>
    <w:rsid w:val="0047123C"/>
    <w:rsid w:val="004714F6"/>
    <w:rsid w:val="0047289C"/>
    <w:rsid w:val="00472E22"/>
    <w:rsid w:val="00472E9D"/>
    <w:rsid w:val="00472F67"/>
    <w:rsid w:val="004734FC"/>
    <w:rsid w:val="004739A1"/>
    <w:rsid w:val="0047430D"/>
    <w:rsid w:val="00474925"/>
    <w:rsid w:val="00474FDF"/>
    <w:rsid w:val="00475688"/>
    <w:rsid w:val="004758F6"/>
    <w:rsid w:val="004759E3"/>
    <w:rsid w:val="00475B89"/>
    <w:rsid w:val="00475C51"/>
    <w:rsid w:val="00476161"/>
    <w:rsid w:val="00476503"/>
    <w:rsid w:val="00476658"/>
    <w:rsid w:val="00476E34"/>
    <w:rsid w:val="00476EE1"/>
    <w:rsid w:val="00477163"/>
    <w:rsid w:val="00477B0E"/>
    <w:rsid w:val="00477BE2"/>
    <w:rsid w:val="00480336"/>
    <w:rsid w:val="0048035E"/>
    <w:rsid w:val="0048063D"/>
    <w:rsid w:val="00481688"/>
    <w:rsid w:val="004820E0"/>
    <w:rsid w:val="004822CA"/>
    <w:rsid w:val="00483F95"/>
    <w:rsid w:val="0048435D"/>
    <w:rsid w:val="00484BAC"/>
    <w:rsid w:val="00484D20"/>
    <w:rsid w:val="004850C1"/>
    <w:rsid w:val="004850E9"/>
    <w:rsid w:val="00485C46"/>
    <w:rsid w:val="00486B30"/>
    <w:rsid w:val="00486D14"/>
    <w:rsid w:val="00486F54"/>
    <w:rsid w:val="004871B4"/>
    <w:rsid w:val="004876B9"/>
    <w:rsid w:val="004876DD"/>
    <w:rsid w:val="00487D65"/>
    <w:rsid w:val="004912F4"/>
    <w:rsid w:val="0049178A"/>
    <w:rsid w:val="00491C1D"/>
    <w:rsid w:val="00491DF1"/>
    <w:rsid w:val="0049227A"/>
    <w:rsid w:val="00492535"/>
    <w:rsid w:val="00493435"/>
    <w:rsid w:val="00493C1E"/>
    <w:rsid w:val="00494B28"/>
    <w:rsid w:val="00495411"/>
    <w:rsid w:val="00495FFF"/>
    <w:rsid w:val="00496A9F"/>
    <w:rsid w:val="00496D10"/>
    <w:rsid w:val="00497352"/>
    <w:rsid w:val="00497358"/>
    <w:rsid w:val="00497FA5"/>
    <w:rsid w:val="004A03B3"/>
    <w:rsid w:val="004A04D5"/>
    <w:rsid w:val="004A0986"/>
    <w:rsid w:val="004A12D1"/>
    <w:rsid w:val="004A1B07"/>
    <w:rsid w:val="004A2E04"/>
    <w:rsid w:val="004A31AE"/>
    <w:rsid w:val="004A3226"/>
    <w:rsid w:val="004A399F"/>
    <w:rsid w:val="004A3B8F"/>
    <w:rsid w:val="004A3FDD"/>
    <w:rsid w:val="004A4096"/>
    <w:rsid w:val="004A466A"/>
    <w:rsid w:val="004A4692"/>
    <w:rsid w:val="004A4B25"/>
    <w:rsid w:val="004A4F2E"/>
    <w:rsid w:val="004A669F"/>
    <w:rsid w:val="004A6842"/>
    <w:rsid w:val="004A718C"/>
    <w:rsid w:val="004A77F5"/>
    <w:rsid w:val="004A7DBE"/>
    <w:rsid w:val="004A7F94"/>
    <w:rsid w:val="004B08AC"/>
    <w:rsid w:val="004B09D4"/>
    <w:rsid w:val="004B0A66"/>
    <w:rsid w:val="004B0D88"/>
    <w:rsid w:val="004B0DE7"/>
    <w:rsid w:val="004B1616"/>
    <w:rsid w:val="004B1CB6"/>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3B"/>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19B"/>
    <w:rsid w:val="004F071F"/>
    <w:rsid w:val="004F078C"/>
    <w:rsid w:val="004F1324"/>
    <w:rsid w:val="004F1729"/>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BA0"/>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2EB"/>
    <w:rsid w:val="00503551"/>
    <w:rsid w:val="005035A2"/>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845"/>
    <w:rsid w:val="00510A22"/>
    <w:rsid w:val="00510D8A"/>
    <w:rsid w:val="00510DCA"/>
    <w:rsid w:val="00510F8F"/>
    <w:rsid w:val="00511EBC"/>
    <w:rsid w:val="0051217B"/>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5E20"/>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1D1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0B20"/>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6A62"/>
    <w:rsid w:val="00546D72"/>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5A2"/>
    <w:rsid w:val="005558C4"/>
    <w:rsid w:val="00555FC3"/>
    <w:rsid w:val="00556027"/>
    <w:rsid w:val="005562F2"/>
    <w:rsid w:val="00556506"/>
    <w:rsid w:val="0055659A"/>
    <w:rsid w:val="00556731"/>
    <w:rsid w:val="00556A54"/>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9A3"/>
    <w:rsid w:val="00566C28"/>
    <w:rsid w:val="00566CA0"/>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4C"/>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ACB"/>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6B59"/>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59A"/>
    <w:rsid w:val="005A4624"/>
    <w:rsid w:val="005A4726"/>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0898"/>
    <w:rsid w:val="005C0F1C"/>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381"/>
    <w:rsid w:val="005E2A79"/>
    <w:rsid w:val="005E2D15"/>
    <w:rsid w:val="005E2EDB"/>
    <w:rsid w:val="005E2FB1"/>
    <w:rsid w:val="005E30D5"/>
    <w:rsid w:val="005E3850"/>
    <w:rsid w:val="005E3EB4"/>
    <w:rsid w:val="005E40C8"/>
    <w:rsid w:val="005E41B6"/>
    <w:rsid w:val="005E43DF"/>
    <w:rsid w:val="005E48DE"/>
    <w:rsid w:val="005E4D97"/>
    <w:rsid w:val="005E566F"/>
    <w:rsid w:val="005E631D"/>
    <w:rsid w:val="005E633A"/>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963"/>
    <w:rsid w:val="00600AC6"/>
    <w:rsid w:val="006011A0"/>
    <w:rsid w:val="006012AC"/>
    <w:rsid w:val="00601300"/>
    <w:rsid w:val="00601EF1"/>
    <w:rsid w:val="00602829"/>
    <w:rsid w:val="00602A78"/>
    <w:rsid w:val="00602B8C"/>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536"/>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17E"/>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424"/>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2B"/>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1EC"/>
    <w:rsid w:val="00644277"/>
    <w:rsid w:val="006443B2"/>
    <w:rsid w:val="0064457D"/>
    <w:rsid w:val="006447A9"/>
    <w:rsid w:val="00645210"/>
    <w:rsid w:val="00645933"/>
    <w:rsid w:val="006459B3"/>
    <w:rsid w:val="00645D57"/>
    <w:rsid w:val="00646970"/>
    <w:rsid w:val="00646ED1"/>
    <w:rsid w:val="00646FDD"/>
    <w:rsid w:val="00647C38"/>
    <w:rsid w:val="00647C77"/>
    <w:rsid w:val="00647D39"/>
    <w:rsid w:val="00647DCE"/>
    <w:rsid w:val="006500A2"/>
    <w:rsid w:val="00650149"/>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19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57F38"/>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4A42"/>
    <w:rsid w:val="0066527F"/>
    <w:rsid w:val="0066611A"/>
    <w:rsid w:val="006663EF"/>
    <w:rsid w:val="00666754"/>
    <w:rsid w:val="00666859"/>
    <w:rsid w:val="00666AEA"/>
    <w:rsid w:val="00667ADE"/>
    <w:rsid w:val="00667F38"/>
    <w:rsid w:val="00667FB2"/>
    <w:rsid w:val="00670100"/>
    <w:rsid w:val="0067072F"/>
    <w:rsid w:val="00670D2E"/>
    <w:rsid w:val="00671D3B"/>
    <w:rsid w:val="0067269F"/>
    <w:rsid w:val="006726CB"/>
    <w:rsid w:val="0067272F"/>
    <w:rsid w:val="0067317F"/>
    <w:rsid w:val="00673BA4"/>
    <w:rsid w:val="00674A4D"/>
    <w:rsid w:val="00674A98"/>
    <w:rsid w:val="00674C5D"/>
    <w:rsid w:val="00674ED8"/>
    <w:rsid w:val="006752CD"/>
    <w:rsid w:val="00675793"/>
    <w:rsid w:val="00675C5E"/>
    <w:rsid w:val="00676F0B"/>
    <w:rsid w:val="00677137"/>
    <w:rsid w:val="006773D1"/>
    <w:rsid w:val="00677A5F"/>
    <w:rsid w:val="00677E08"/>
    <w:rsid w:val="006801BB"/>
    <w:rsid w:val="006802E3"/>
    <w:rsid w:val="00680CC6"/>
    <w:rsid w:val="0068241B"/>
    <w:rsid w:val="00682DA7"/>
    <w:rsid w:val="006834C7"/>
    <w:rsid w:val="00683889"/>
    <w:rsid w:val="006842A2"/>
    <w:rsid w:val="0068432E"/>
    <w:rsid w:val="006848BB"/>
    <w:rsid w:val="006849A8"/>
    <w:rsid w:val="00685075"/>
    <w:rsid w:val="00685339"/>
    <w:rsid w:val="00685597"/>
    <w:rsid w:val="00686338"/>
    <w:rsid w:val="0068675E"/>
    <w:rsid w:val="00687039"/>
    <w:rsid w:val="0068731C"/>
    <w:rsid w:val="00687633"/>
    <w:rsid w:val="006904AD"/>
    <w:rsid w:val="006905F1"/>
    <w:rsid w:val="00691201"/>
    <w:rsid w:val="006912E6"/>
    <w:rsid w:val="006914E9"/>
    <w:rsid w:val="006915C2"/>
    <w:rsid w:val="00691815"/>
    <w:rsid w:val="00691E51"/>
    <w:rsid w:val="006920CA"/>
    <w:rsid w:val="006927F0"/>
    <w:rsid w:val="00692C4E"/>
    <w:rsid w:val="006936DB"/>
    <w:rsid w:val="00693801"/>
    <w:rsid w:val="00693E6A"/>
    <w:rsid w:val="006944B8"/>
    <w:rsid w:val="00694706"/>
    <w:rsid w:val="00694DF8"/>
    <w:rsid w:val="00695335"/>
    <w:rsid w:val="006956E0"/>
    <w:rsid w:val="00695D3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0AD"/>
    <w:rsid w:val="006A7444"/>
    <w:rsid w:val="006A777A"/>
    <w:rsid w:val="006A7AE9"/>
    <w:rsid w:val="006A7C9D"/>
    <w:rsid w:val="006B0264"/>
    <w:rsid w:val="006B02F4"/>
    <w:rsid w:val="006B05F6"/>
    <w:rsid w:val="006B0627"/>
    <w:rsid w:val="006B10C7"/>
    <w:rsid w:val="006B15C1"/>
    <w:rsid w:val="006B1942"/>
    <w:rsid w:val="006B19FD"/>
    <w:rsid w:val="006B1E59"/>
    <w:rsid w:val="006B2229"/>
    <w:rsid w:val="006B2995"/>
    <w:rsid w:val="006B2E08"/>
    <w:rsid w:val="006B2F13"/>
    <w:rsid w:val="006B3029"/>
    <w:rsid w:val="006B32B9"/>
    <w:rsid w:val="006B3843"/>
    <w:rsid w:val="006B394F"/>
    <w:rsid w:val="006B3EAE"/>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60D"/>
    <w:rsid w:val="006C57FE"/>
    <w:rsid w:val="006C5AB5"/>
    <w:rsid w:val="006C5B2C"/>
    <w:rsid w:val="006C6E36"/>
    <w:rsid w:val="006C6FD2"/>
    <w:rsid w:val="006C705E"/>
    <w:rsid w:val="006C7216"/>
    <w:rsid w:val="006C7266"/>
    <w:rsid w:val="006C7AF0"/>
    <w:rsid w:val="006C7E5E"/>
    <w:rsid w:val="006D045E"/>
    <w:rsid w:val="006D0B6D"/>
    <w:rsid w:val="006D1549"/>
    <w:rsid w:val="006D1A5F"/>
    <w:rsid w:val="006D29A8"/>
    <w:rsid w:val="006D381C"/>
    <w:rsid w:val="006D39EA"/>
    <w:rsid w:val="006D3CE0"/>
    <w:rsid w:val="006D4720"/>
    <w:rsid w:val="006D4801"/>
    <w:rsid w:val="006D487E"/>
    <w:rsid w:val="006D4A33"/>
    <w:rsid w:val="006D53DF"/>
    <w:rsid w:val="006D54F7"/>
    <w:rsid w:val="006D5604"/>
    <w:rsid w:val="006D599A"/>
    <w:rsid w:val="006D5CDA"/>
    <w:rsid w:val="006D6436"/>
    <w:rsid w:val="006D7902"/>
    <w:rsid w:val="006D79C4"/>
    <w:rsid w:val="006D7C9D"/>
    <w:rsid w:val="006D7D85"/>
    <w:rsid w:val="006E045E"/>
    <w:rsid w:val="006E09E9"/>
    <w:rsid w:val="006E0B21"/>
    <w:rsid w:val="006E171B"/>
    <w:rsid w:val="006E2AD6"/>
    <w:rsid w:val="006E2C6D"/>
    <w:rsid w:val="006E33D2"/>
    <w:rsid w:val="006E374B"/>
    <w:rsid w:val="006E3B50"/>
    <w:rsid w:val="006E44D3"/>
    <w:rsid w:val="006E4705"/>
    <w:rsid w:val="006E470D"/>
    <w:rsid w:val="006E49DF"/>
    <w:rsid w:val="006E4E81"/>
    <w:rsid w:val="006E58CF"/>
    <w:rsid w:val="006E5DCB"/>
    <w:rsid w:val="006E6241"/>
    <w:rsid w:val="006E645F"/>
    <w:rsid w:val="006E6F3D"/>
    <w:rsid w:val="006E71C4"/>
    <w:rsid w:val="006E7473"/>
    <w:rsid w:val="006F06C2"/>
    <w:rsid w:val="006F106E"/>
    <w:rsid w:val="006F10B6"/>
    <w:rsid w:val="006F117D"/>
    <w:rsid w:val="006F1195"/>
    <w:rsid w:val="006F13F3"/>
    <w:rsid w:val="006F186F"/>
    <w:rsid w:val="006F1962"/>
    <w:rsid w:val="006F1DBD"/>
    <w:rsid w:val="006F1E00"/>
    <w:rsid w:val="006F23E4"/>
    <w:rsid w:val="006F2509"/>
    <w:rsid w:val="006F29C6"/>
    <w:rsid w:val="006F301F"/>
    <w:rsid w:val="006F43E8"/>
    <w:rsid w:val="006F5402"/>
    <w:rsid w:val="006F5847"/>
    <w:rsid w:val="006F5B1A"/>
    <w:rsid w:val="006F5F76"/>
    <w:rsid w:val="006F62A6"/>
    <w:rsid w:val="006F6790"/>
    <w:rsid w:val="006F6800"/>
    <w:rsid w:val="006F6A1E"/>
    <w:rsid w:val="006F72A8"/>
    <w:rsid w:val="006F7AFB"/>
    <w:rsid w:val="00700568"/>
    <w:rsid w:val="00700821"/>
    <w:rsid w:val="007010A7"/>
    <w:rsid w:val="007010E0"/>
    <w:rsid w:val="007010E4"/>
    <w:rsid w:val="007011D1"/>
    <w:rsid w:val="007011D8"/>
    <w:rsid w:val="00701E6C"/>
    <w:rsid w:val="00702723"/>
    <w:rsid w:val="00702C8A"/>
    <w:rsid w:val="0070303A"/>
    <w:rsid w:val="0070328F"/>
    <w:rsid w:val="00703558"/>
    <w:rsid w:val="00703E20"/>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07E92"/>
    <w:rsid w:val="00710164"/>
    <w:rsid w:val="00710167"/>
    <w:rsid w:val="00710595"/>
    <w:rsid w:val="00710870"/>
    <w:rsid w:val="007109AB"/>
    <w:rsid w:val="007109B1"/>
    <w:rsid w:val="00710A0B"/>
    <w:rsid w:val="00710A1A"/>
    <w:rsid w:val="00710E5E"/>
    <w:rsid w:val="007110B3"/>
    <w:rsid w:val="00712020"/>
    <w:rsid w:val="00712026"/>
    <w:rsid w:val="007121C0"/>
    <w:rsid w:val="00712219"/>
    <w:rsid w:val="00712638"/>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004"/>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4D7"/>
    <w:rsid w:val="00731607"/>
    <w:rsid w:val="00732006"/>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A72"/>
    <w:rsid w:val="00742C3D"/>
    <w:rsid w:val="00742DAD"/>
    <w:rsid w:val="00743338"/>
    <w:rsid w:val="00743455"/>
    <w:rsid w:val="007435B8"/>
    <w:rsid w:val="00743FEF"/>
    <w:rsid w:val="007444AE"/>
    <w:rsid w:val="007447C6"/>
    <w:rsid w:val="007449FE"/>
    <w:rsid w:val="00744CEC"/>
    <w:rsid w:val="00745A05"/>
    <w:rsid w:val="00745E5B"/>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2D"/>
    <w:rsid w:val="00766541"/>
    <w:rsid w:val="007667C4"/>
    <w:rsid w:val="007667FE"/>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7FB"/>
    <w:rsid w:val="00777AAB"/>
    <w:rsid w:val="00777F54"/>
    <w:rsid w:val="0078004B"/>
    <w:rsid w:val="0078042F"/>
    <w:rsid w:val="00780FF9"/>
    <w:rsid w:val="00781071"/>
    <w:rsid w:val="00781937"/>
    <w:rsid w:val="0078285C"/>
    <w:rsid w:val="00782B30"/>
    <w:rsid w:val="00783A36"/>
    <w:rsid w:val="0078404B"/>
    <w:rsid w:val="007845D4"/>
    <w:rsid w:val="00784DF0"/>
    <w:rsid w:val="007855B7"/>
    <w:rsid w:val="00785A38"/>
    <w:rsid w:val="00785C2A"/>
    <w:rsid w:val="0078621D"/>
    <w:rsid w:val="007863C5"/>
    <w:rsid w:val="0078668F"/>
    <w:rsid w:val="00786C45"/>
    <w:rsid w:val="00786F6A"/>
    <w:rsid w:val="0078700E"/>
    <w:rsid w:val="00787339"/>
    <w:rsid w:val="00787B59"/>
    <w:rsid w:val="00787C9C"/>
    <w:rsid w:val="007900A9"/>
    <w:rsid w:val="00790B76"/>
    <w:rsid w:val="00790F78"/>
    <w:rsid w:val="007910C3"/>
    <w:rsid w:val="00791110"/>
    <w:rsid w:val="00791250"/>
    <w:rsid w:val="0079150D"/>
    <w:rsid w:val="00791DE1"/>
    <w:rsid w:val="0079219F"/>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007F"/>
    <w:rsid w:val="007B0344"/>
    <w:rsid w:val="007B0D0F"/>
    <w:rsid w:val="007B12B0"/>
    <w:rsid w:val="007B1392"/>
    <w:rsid w:val="007B13AC"/>
    <w:rsid w:val="007B1785"/>
    <w:rsid w:val="007B2044"/>
    <w:rsid w:val="007B215A"/>
    <w:rsid w:val="007B22DC"/>
    <w:rsid w:val="007B24F0"/>
    <w:rsid w:val="007B34DC"/>
    <w:rsid w:val="007B369C"/>
    <w:rsid w:val="007B3A98"/>
    <w:rsid w:val="007B3D7A"/>
    <w:rsid w:val="007B4008"/>
    <w:rsid w:val="007B49C4"/>
    <w:rsid w:val="007B4D74"/>
    <w:rsid w:val="007B4DC6"/>
    <w:rsid w:val="007B5132"/>
    <w:rsid w:val="007B5C77"/>
    <w:rsid w:val="007B6463"/>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097"/>
    <w:rsid w:val="007C25F8"/>
    <w:rsid w:val="007C2C3E"/>
    <w:rsid w:val="007C3A55"/>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6DAA"/>
    <w:rsid w:val="007D7635"/>
    <w:rsid w:val="007D76BB"/>
    <w:rsid w:val="007D7C78"/>
    <w:rsid w:val="007D7CDE"/>
    <w:rsid w:val="007D7DC7"/>
    <w:rsid w:val="007E01AF"/>
    <w:rsid w:val="007E0772"/>
    <w:rsid w:val="007E0D31"/>
    <w:rsid w:val="007E0E04"/>
    <w:rsid w:val="007E0EF9"/>
    <w:rsid w:val="007E18BC"/>
    <w:rsid w:val="007E1B5F"/>
    <w:rsid w:val="007E21D9"/>
    <w:rsid w:val="007E23E5"/>
    <w:rsid w:val="007E2BDD"/>
    <w:rsid w:val="007E3569"/>
    <w:rsid w:val="007E45CA"/>
    <w:rsid w:val="007E48C0"/>
    <w:rsid w:val="007E4AC2"/>
    <w:rsid w:val="007E4FBE"/>
    <w:rsid w:val="007E5885"/>
    <w:rsid w:val="007E61B7"/>
    <w:rsid w:val="007E6481"/>
    <w:rsid w:val="007E64FF"/>
    <w:rsid w:val="007E697F"/>
    <w:rsid w:val="007E6BD5"/>
    <w:rsid w:val="007E6F62"/>
    <w:rsid w:val="007E6FEA"/>
    <w:rsid w:val="007E7C7B"/>
    <w:rsid w:val="007E7E0F"/>
    <w:rsid w:val="007E7F8F"/>
    <w:rsid w:val="007F015E"/>
    <w:rsid w:val="007F1063"/>
    <w:rsid w:val="007F1160"/>
    <w:rsid w:val="007F1910"/>
    <w:rsid w:val="007F1B05"/>
    <w:rsid w:val="007F21B0"/>
    <w:rsid w:val="007F2717"/>
    <w:rsid w:val="007F2878"/>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16C"/>
    <w:rsid w:val="00801255"/>
    <w:rsid w:val="008012A2"/>
    <w:rsid w:val="0080197B"/>
    <w:rsid w:val="00801C1F"/>
    <w:rsid w:val="008021D3"/>
    <w:rsid w:val="00802849"/>
    <w:rsid w:val="00802971"/>
    <w:rsid w:val="0080347B"/>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02B"/>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7B"/>
    <w:rsid w:val="008504C5"/>
    <w:rsid w:val="0085063B"/>
    <w:rsid w:val="0085089F"/>
    <w:rsid w:val="008508B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DB"/>
    <w:rsid w:val="008558ED"/>
    <w:rsid w:val="00855CFC"/>
    <w:rsid w:val="00855FD5"/>
    <w:rsid w:val="00856049"/>
    <w:rsid w:val="0085632A"/>
    <w:rsid w:val="008568BB"/>
    <w:rsid w:val="00856D84"/>
    <w:rsid w:val="00856E96"/>
    <w:rsid w:val="00857822"/>
    <w:rsid w:val="008579C9"/>
    <w:rsid w:val="00857B68"/>
    <w:rsid w:val="00857C93"/>
    <w:rsid w:val="00860D51"/>
    <w:rsid w:val="008611C1"/>
    <w:rsid w:val="0086132E"/>
    <w:rsid w:val="0086151A"/>
    <w:rsid w:val="0086173C"/>
    <w:rsid w:val="00861DA4"/>
    <w:rsid w:val="00862330"/>
    <w:rsid w:val="0086264B"/>
    <w:rsid w:val="0086266B"/>
    <w:rsid w:val="008626E9"/>
    <w:rsid w:val="008626EB"/>
    <w:rsid w:val="00862EFD"/>
    <w:rsid w:val="008638FB"/>
    <w:rsid w:val="00863AF4"/>
    <w:rsid w:val="008643F1"/>
    <w:rsid w:val="0086444C"/>
    <w:rsid w:val="008644B1"/>
    <w:rsid w:val="00864768"/>
    <w:rsid w:val="008658AB"/>
    <w:rsid w:val="00865B18"/>
    <w:rsid w:val="0086672E"/>
    <w:rsid w:val="00866792"/>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249"/>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345"/>
    <w:rsid w:val="00877456"/>
    <w:rsid w:val="00877B29"/>
    <w:rsid w:val="00877C69"/>
    <w:rsid w:val="00880298"/>
    <w:rsid w:val="008808B9"/>
    <w:rsid w:val="00880994"/>
    <w:rsid w:val="00880B30"/>
    <w:rsid w:val="00880F1D"/>
    <w:rsid w:val="0088172A"/>
    <w:rsid w:val="00881D7C"/>
    <w:rsid w:val="00881F90"/>
    <w:rsid w:val="00883600"/>
    <w:rsid w:val="00883624"/>
    <w:rsid w:val="008851C4"/>
    <w:rsid w:val="00885696"/>
    <w:rsid w:val="0088570A"/>
    <w:rsid w:val="00885DB7"/>
    <w:rsid w:val="00885E9D"/>
    <w:rsid w:val="00885F23"/>
    <w:rsid w:val="0088636E"/>
    <w:rsid w:val="008864A7"/>
    <w:rsid w:val="0088666A"/>
    <w:rsid w:val="0088688A"/>
    <w:rsid w:val="00886890"/>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5C2B"/>
    <w:rsid w:val="00896474"/>
    <w:rsid w:val="00896B97"/>
    <w:rsid w:val="00896DBC"/>
    <w:rsid w:val="00897474"/>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BB2"/>
    <w:rsid w:val="008A4C9C"/>
    <w:rsid w:val="008A6041"/>
    <w:rsid w:val="008A60F8"/>
    <w:rsid w:val="008A66C8"/>
    <w:rsid w:val="008A69FE"/>
    <w:rsid w:val="008A6E1D"/>
    <w:rsid w:val="008A6EC7"/>
    <w:rsid w:val="008A6F36"/>
    <w:rsid w:val="008A7286"/>
    <w:rsid w:val="008A737A"/>
    <w:rsid w:val="008A7B50"/>
    <w:rsid w:val="008B0028"/>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AAE"/>
    <w:rsid w:val="008B7BC6"/>
    <w:rsid w:val="008C04BE"/>
    <w:rsid w:val="008C0B1E"/>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6F2"/>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4FFE"/>
    <w:rsid w:val="008D53E2"/>
    <w:rsid w:val="008D5908"/>
    <w:rsid w:val="008D5AF1"/>
    <w:rsid w:val="008D6291"/>
    <w:rsid w:val="008D67A5"/>
    <w:rsid w:val="008D6833"/>
    <w:rsid w:val="008D6A6E"/>
    <w:rsid w:val="008D72B3"/>
    <w:rsid w:val="008D781F"/>
    <w:rsid w:val="008D7DBE"/>
    <w:rsid w:val="008E02B7"/>
    <w:rsid w:val="008E0950"/>
    <w:rsid w:val="008E105E"/>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2C4"/>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536"/>
    <w:rsid w:val="00903B1E"/>
    <w:rsid w:val="009041E1"/>
    <w:rsid w:val="009046C9"/>
    <w:rsid w:val="009046F1"/>
    <w:rsid w:val="00904883"/>
    <w:rsid w:val="00904B0A"/>
    <w:rsid w:val="00904F84"/>
    <w:rsid w:val="009052CE"/>
    <w:rsid w:val="009055DD"/>
    <w:rsid w:val="0090616A"/>
    <w:rsid w:val="0090640F"/>
    <w:rsid w:val="00906527"/>
    <w:rsid w:val="00906943"/>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B55"/>
    <w:rsid w:val="00914D9B"/>
    <w:rsid w:val="00914DC4"/>
    <w:rsid w:val="00915329"/>
    <w:rsid w:val="0091588C"/>
    <w:rsid w:val="00915DB5"/>
    <w:rsid w:val="00915DF4"/>
    <w:rsid w:val="00916012"/>
    <w:rsid w:val="00916068"/>
    <w:rsid w:val="009167D2"/>
    <w:rsid w:val="00916BF5"/>
    <w:rsid w:val="00916CCB"/>
    <w:rsid w:val="00917DB8"/>
    <w:rsid w:val="00917EEB"/>
    <w:rsid w:val="00920EC8"/>
    <w:rsid w:val="00920EE1"/>
    <w:rsid w:val="00921102"/>
    <w:rsid w:val="00921305"/>
    <w:rsid w:val="00921783"/>
    <w:rsid w:val="009217D9"/>
    <w:rsid w:val="00921AC8"/>
    <w:rsid w:val="0092206F"/>
    <w:rsid w:val="00922482"/>
    <w:rsid w:val="0092287A"/>
    <w:rsid w:val="00922A2B"/>
    <w:rsid w:val="009239B9"/>
    <w:rsid w:val="00923ADF"/>
    <w:rsid w:val="00924A6C"/>
    <w:rsid w:val="00924ED4"/>
    <w:rsid w:val="00924F63"/>
    <w:rsid w:val="00925DB9"/>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5F"/>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8A"/>
    <w:rsid w:val="00955AA9"/>
    <w:rsid w:val="00955AB2"/>
    <w:rsid w:val="00955E60"/>
    <w:rsid w:val="00955EC8"/>
    <w:rsid w:val="0095699A"/>
    <w:rsid w:val="00956B34"/>
    <w:rsid w:val="00956CCE"/>
    <w:rsid w:val="0095702D"/>
    <w:rsid w:val="00957174"/>
    <w:rsid w:val="009571A6"/>
    <w:rsid w:val="00957252"/>
    <w:rsid w:val="009572FF"/>
    <w:rsid w:val="0095752A"/>
    <w:rsid w:val="009577C1"/>
    <w:rsid w:val="00957CF7"/>
    <w:rsid w:val="0096017C"/>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2C2"/>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B00"/>
    <w:rsid w:val="00975D48"/>
    <w:rsid w:val="00976546"/>
    <w:rsid w:val="0097657D"/>
    <w:rsid w:val="00976FCF"/>
    <w:rsid w:val="009775D5"/>
    <w:rsid w:val="009778AC"/>
    <w:rsid w:val="00977FE1"/>
    <w:rsid w:val="00980BAC"/>
    <w:rsid w:val="00980DF0"/>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87F62"/>
    <w:rsid w:val="00990343"/>
    <w:rsid w:val="009905E1"/>
    <w:rsid w:val="0099064C"/>
    <w:rsid w:val="0099078A"/>
    <w:rsid w:val="0099097F"/>
    <w:rsid w:val="00992097"/>
    <w:rsid w:val="009920A3"/>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4FF4"/>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EB2"/>
    <w:rsid w:val="009C2675"/>
    <w:rsid w:val="009C2839"/>
    <w:rsid w:val="009C2DC4"/>
    <w:rsid w:val="009C2F03"/>
    <w:rsid w:val="009C3042"/>
    <w:rsid w:val="009C386A"/>
    <w:rsid w:val="009C3E9C"/>
    <w:rsid w:val="009C47F5"/>
    <w:rsid w:val="009C4A32"/>
    <w:rsid w:val="009C5FDA"/>
    <w:rsid w:val="009C63AB"/>
    <w:rsid w:val="009C67EF"/>
    <w:rsid w:val="009C69D0"/>
    <w:rsid w:val="009C69F4"/>
    <w:rsid w:val="009C6F83"/>
    <w:rsid w:val="009C7041"/>
    <w:rsid w:val="009C7163"/>
    <w:rsid w:val="009C77A3"/>
    <w:rsid w:val="009C7A73"/>
    <w:rsid w:val="009C7FAF"/>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7B1"/>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E0B"/>
    <w:rsid w:val="009F231C"/>
    <w:rsid w:val="009F2512"/>
    <w:rsid w:val="009F2800"/>
    <w:rsid w:val="009F2C7D"/>
    <w:rsid w:val="009F389E"/>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5DDC"/>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1D"/>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037"/>
    <w:rsid w:val="00A33CCF"/>
    <w:rsid w:val="00A35316"/>
    <w:rsid w:val="00A35CCF"/>
    <w:rsid w:val="00A35D65"/>
    <w:rsid w:val="00A36CF6"/>
    <w:rsid w:val="00A36EC5"/>
    <w:rsid w:val="00A371D7"/>
    <w:rsid w:val="00A37EDA"/>
    <w:rsid w:val="00A4035D"/>
    <w:rsid w:val="00A413A3"/>
    <w:rsid w:val="00A41619"/>
    <w:rsid w:val="00A41D88"/>
    <w:rsid w:val="00A41F7F"/>
    <w:rsid w:val="00A4317F"/>
    <w:rsid w:val="00A43270"/>
    <w:rsid w:val="00A433D9"/>
    <w:rsid w:val="00A4539E"/>
    <w:rsid w:val="00A459C0"/>
    <w:rsid w:val="00A45F7E"/>
    <w:rsid w:val="00A46080"/>
    <w:rsid w:val="00A461CB"/>
    <w:rsid w:val="00A4666A"/>
    <w:rsid w:val="00A46AC1"/>
    <w:rsid w:val="00A46C6C"/>
    <w:rsid w:val="00A46EB1"/>
    <w:rsid w:val="00A47A54"/>
    <w:rsid w:val="00A47C2F"/>
    <w:rsid w:val="00A47C59"/>
    <w:rsid w:val="00A5052A"/>
    <w:rsid w:val="00A50FEC"/>
    <w:rsid w:val="00A512C7"/>
    <w:rsid w:val="00A51AE4"/>
    <w:rsid w:val="00A51FC3"/>
    <w:rsid w:val="00A53152"/>
    <w:rsid w:val="00A532FC"/>
    <w:rsid w:val="00A53624"/>
    <w:rsid w:val="00A53792"/>
    <w:rsid w:val="00A537F8"/>
    <w:rsid w:val="00A53908"/>
    <w:rsid w:val="00A539AA"/>
    <w:rsid w:val="00A54F72"/>
    <w:rsid w:val="00A56245"/>
    <w:rsid w:val="00A565B6"/>
    <w:rsid w:val="00A567E2"/>
    <w:rsid w:val="00A56806"/>
    <w:rsid w:val="00A57F15"/>
    <w:rsid w:val="00A57F41"/>
    <w:rsid w:val="00A60066"/>
    <w:rsid w:val="00A60179"/>
    <w:rsid w:val="00A601D9"/>
    <w:rsid w:val="00A6027E"/>
    <w:rsid w:val="00A61399"/>
    <w:rsid w:val="00A61782"/>
    <w:rsid w:val="00A61FDA"/>
    <w:rsid w:val="00A6279F"/>
    <w:rsid w:val="00A63850"/>
    <w:rsid w:val="00A64787"/>
    <w:rsid w:val="00A648E9"/>
    <w:rsid w:val="00A65177"/>
    <w:rsid w:val="00A65DDA"/>
    <w:rsid w:val="00A6654A"/>
    <w:rsid w:val="00A667EF"/>
    <w:rsid w:val="00A66B03"/>
    <w:rsid w:val="00A66C0D"/>
    <w:rsid w:val="00A6764D"/>
    <w:rsid w:val="00A67934"/>
    <w:rsid w:val="00A67D4A"/>
    <w:rsid w:val="00A70080"/>
    <w:rsid w:val="00A7022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E13"/>
    <w:rsid w:val="00A72FE2"/>
    <w:rsid w:val="00A73341"/>
    <w:rsid w:val="00A748ED"/>
    <w:rsid w:val="00A74BC3"/>
    <w:rsid w:val="00A74E4C"/>
    <w:rsid w:val="00A7504B"/>
    <w:rsid w:val="00A75386"/>
    <w:rsid w:val="00A7593A"/>
    <w:rsid w:val="00A7597F"/>
    <w:rsid w:val="00A75D3F"/>
    <w:rsid w:val="00A75E69"/>
    <w:rsid w:val="00A7678C"/>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1DE"/>
    <w:rsid w:val="00A904F2"/>
    <w:rsid w:val="00A90A9D"/>
    <w:rsid w:val="00A911A0"/>
    <w:rsid w:val="00A91363"/>
    <w:rsid w:val="00A9136A"/>
    <w:rsid w:val="00A91450"/>
    <w:rsid w:val="00A91B63"/>
    <w:rsid w:val="00A91DB4"/>
    <w:rsid w:val="00A920B1"/>
    <w:rsid w:val="00A92564"/>
    <w:rsid w:val="00A92DB9"/>
    <w:rsid w:val="00A9338B"/>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25C"/>
    <w:rsid w:val="00AA1A7C"/>
    <w:rsid w:val="00AA1ADA"/>
    <w:rsid w:val="00AA20B3"/>
    <w:rsid w:val="00AA2854"/>
    <w:rsid w:val="00AA2A7D"/>
    <w:rsid w:val="00AA2A95"/>
    <w:rsid w:val="00AA2ECC"/>
    <w:rsid w:val="00AA379B"/>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E69"/>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B7C80"/>
    <w:rsid w:val="00AC0843"/>
    <w:rsid w:val="00AC0F49"/>
    <w:rsid w:val="00AC13AC"/>
    <w:rsid w:val="00AC19D1"/>
    <w:rsid w:val="00AC1C78"/>
    <w:rsid w:val="00AC1D3B"/>
    <w:rsid w:val="00AC226A"/>
    <w:rsid w:val="00AC246C"/>
    <w:rsid w:val="00AC2526"/>
    <w:rsid w:val="00AC2FB2"/>
    <w:rsid w:val="00AC32FB"/>
    <w:rsid w:val="00AC3728"/>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7E4"/>
    <w:rsid w:val="00AD08CB"/>
    <w:rsid w:val="00AD099F"/>
    <w:rsid w:val="00AD1C10"/>
    <w:rsid w:val="00AD1DEC"/>
    <w:rsid w:val="00AD2109"/>
    <w:rsid w:val="00AD22C9"/>
    <w:rsid w:val="00AD2835"/>
    <w:rsid w:val="00AD2E7B"/>
    <w:rsid w:val="00AD2F52"/>
    <w:rsid w:val="00AD2F8F"/>
    <w:rsid w:val="00AD3685"/>
    <w:rsid w:val="00AD3F4F"/>
    <w:rsid w:val="00AD403C"/>
    <w:rsid w:val="00AD4143"/>
    <w:rsid w:val="00AD4153"/>
    <w:rsid w:val="00AD46A7"/>
    <w:rsid w:val="00AD4734"/>
    <w:rsid w:val="00AD4838"/>
    <w:rsid w:val="00AD4C1B"/>
    <w:rsid w:val="00AD5420"/>
    <w:rsid w:val="00AD56CF"/>
    <w:rsid w:val="00AD5B47"/>
    <w:rsid w:val="00AD5DDB"/>
    <w:rsid w:val="00AD5E3E"/>
    <w:rsid w:val="00AD60B8"/>
    <w:rsid w:val="00AD60EF"/>
    <w:rsid w:val="00AD612C"/>
    <w:rsid w:val="00AD62C2"/>
    <w:rsid w:val="00AD719E"/>
    <w:rsid w:val="00AD7235"/>
    <w:rsid w:val="00AD734C"/>
    <w:rsid w:val="00AD7922"/>
    <w:rsid w:val="00AE0289"/>
    <w:rsid w:val="00AE0413"/>
    <w:rsid w:val="00AE05BF"/>
    <w:rsid w:val="00AE099B"/>
    <w:rsid w:val="00AE09E9"/>
    <w:rsid w:val="00AE0D8D"/>
    <w:rsid w:val="00AE19E7"/>
    <w:rsid w:val="00AE2354"/>
    <w:rsid w:val="00AE23C8"/>
    <w:rsid w:val="00AE265A"/>
    <w:rsid w:val="00AE308D"/>
    <w:rsid w:val="00AE36D1"/>
    <w:rsid w:val="00AE3DDB"/>
    <w:rsid w:val="00AE44DB"/>
    <w:rsid w:val="00AE46C8"/>
    <w:rsid w:val="00AE48EE"/>
    <w:rsid w:val="00AE4A64"/>
    <w:rsid w:val="00AE53DE"/>
    <w:rsid w:val="00AE5771"/>
    <w:rsid w:val="00AE59FC"/>
    <w:rsid w:val="00AE5EBB"/>
    <w:rsid w:val="00AE6362"/>
    <w:rsid w:val="00AE6749"/>
    <w:rsid w:val="00AE6AAF"/>
    <w:rsid w:val="00AE6E97"/>
    <w:rsid w:val="00AE710B"/>
    <w:rsid w:val="00AE758E"/>
    <w:rsid w:val="00AE7646"/>
    <w:rsid w:val="00AF00A4"/>
    <w:rsid w:val="00AF059D"/>
    <w:rsid w:val="00AF077D"/>
    <w:rsid w:val="00AF089F"/>
    <w:rsid w:val="00AF0992"/>
    <w:rsid w:val="00AF0C7C"/>
    <w:rsid w:val="00AF0D62"/>
    <w:rsid w:val="00AF0EB3"/>
    <w:rsid w:val="00AF1281"/>
    <w:rsid w:val="00AF14C8"/>
    <w:rsid w:val="00AF1B67"/>
    <w:rsid w:val="00AF1FFD"/>
    <w:rsid w:val="00AF23D9"/>
    <w:rsid w:val="00AF23F0"/>
    <w:rsid w:val="00AF290E"/>
    <w:rsid w:val="00AF29FA"/>
    <w:rsid w:val="00AF2A09"/>
    <w:rsid w:val="00AF2A5F"/>
    <w:rsid w:val="00AF2FA9"/>
    <w:rsid w:val="00AF37D5"/>
    <w:rsid w:val="00AF381B"/>
    <w:rsid w:val="00AF391B"/>
    <w:rsid w:val="00AF3D92"/>
    <w:rsid w:val="00AF3F63"/>
    <w:rsid w:val="00AF40FC"/>
    <w:rsid w:val="00AF4345"/>
    <w:rsid w:val="00AF463B"/>
    <w:rsid w:val="00AF4BEE"/>
    <w:rsid w:val="00AF4C88"/>
    <w:rsid w:val="00AF4CC5"/>
    <w:rsid w:val="00AF5319"/>
    <w:rsid w:val="00AF5B60"/>
    <w:rsid w:val="00AF608B"/>
    <w:rsid w:val="00AF6414"/>
    <w:rsid w:val="00AF6A59"/>
    <w:rsid w:val="00AF7BDD"/>
    <w:rsid w:val="00B00F8C"/>
    <w:rsid w:val="00B00FEC"/>
    <w:rsid w:val="00B01927"/>
    <w:rsid w:val="00B02145"/>
    <w:rsid w:val="00B02C56"/>
    <w:rsid w:val="00B02F0C"/>
    <w:rsid w:val="00B0330B"/>
    <w:rsid w:val="00B035F9"/>
    <w:rsid w:val="00B03776"/>
    <w:rsid w:val="00B03A32"/>
    <w:rsid w:val="00B03ED8"/>
    <w:rsid w:val="00B0401D"/>
    <w:rsid w:val="00B042D2"/>
    <w:rsid w:val="00B04E8D"/>
    <w:rsid w:val="00B04F50"/>
    <w:rsid w:val="00B0542F"/>
    <w:rsid w:val="00B05443"/>
    <w:rsid w:val="00B05A05"/>
    <w:rsid w:val="00B05C9C"/>
    <w:rsid w:val="00B06495"/>
    <w:rsid w:val="00B064F1"/>
    <w:rsid w:val="00B0681C"/>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6245"/>
    <w:rsid w:val="00B17694"/>
    <w:rsid w:val="00B1780E"/>
    <w:rsid w:val="00B17EE1"/>
    <w:rsid w:val="00B200D3"/>
    <w:rsid w:val="00B204CA"/>
    <w:rsid w:val="00B2060E"/>
    <w:rsid w:val="00B2086A"/>
    <w:rsid w:val="00B20DCF"/>
    <w:rsid w:val="00B20F8A"/>
    <w:rsid w:val="00B215EB"/>
    <w:rsid w:val="00B22522"/>
    <w:rsid w:val="00B2288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072"/>
    <w:rsid w:val="00B3232C"/>
    <w:rsid w:val="00B32565"/>
    <w:rsid w:val="00B331B8"/>
    <w:rsid w:val="00B33786"/>
    <w:rsid w:val="00B337A4"/>
    <w:rsid w:val="00B3388C"/>
    <w:rsid w:val="00B33AAC"/>
    <w:rsid w:val="00B3454A"/>
    <w:rsid w:val="00B34725"/>
    <w:rsid w:val="00B3558D"/>
    <w:rsid w:val="00B355F0"/>
    <w:rsid w:val="00B3578C"/>
    <w:rsid w:val="00B36730"/>
    <w:rsid w:val="00B36762"/>
    <w:rsid w:val="00B36D9E"/>
    <w:rsid w:val="00B37311"/>
    <w:rsid w:val="00B373FB"/>
    <w:rsid w:val="00B37975"/>
    <w:rsid w:val="00B37CD1"/>
    <w:rsid w:val="00B37E18"/>
    <w:rsid w:val="00B4106F"/>
    <w:rsid w:val="00B41A1B"/>
    <w:rsid w:val="00B41BE7"/>
    <w:rsid w:val="00B424F7"/>
    <w:rsid w:val="00B42568"/>
    <w:rsid w:val="00B4316E"/>
    <w:rsid w:val="00B4339F"/>
    <w:rsid w:val="00B433C1"/>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57BD2"/>
    <w:rsid w:val="00B6002D"/>
    <w:rsid w:val="00B60035"/>
    <w:rsid w:val="00B6010B"/>
    <w:rsid w:val="00B61262"/>
    <w:rsid w:val="00B61C96"/>
    <w:rsid w:val="00B6210A"/>
    <w:rsid w:val="00B6220A"/>
    <w:rsid w:val="00B629F3"/>
    <w:rsid w:val="00B62BBA"/>
    <w:rsid w:val="00B635C2"/>
    <w:rsid w:val="00B640CF"/>
    <w:rsid w:val="00B655BB"/>
    <w:rsid w:val="00B65828"/>
    <w:rsid w:val="00B65DE3"/>
    <w:rsid w:val="00B65E01"/>
    <w:rsid w:val="00B66011"/>
    <w:rsid w:val="00B665BB"/>
    <w:rsid w:val="00B66800"/>
    <w:rsid w:val="00B6680A"/>
    <w:rsid w:val="00B668CA"/>
    <w:rsid w:val="00B66AB0"/>
    <w:rsid w:val="00B67177"/>
    <w:rsid w:val="00B677D7"/>
    <w:rsid w:val="00B7093C"/>
    <w:rsid w:val="00B7095E"/>
    <w:rsid w:val="00B70C27"/>
    <w:rsid w:val="00B70ED8"/>
    <w:rsid w:val="00B71089"/>
    <w:rsid w:val="00B710E0"/>
    <w:rsid w:val="00B7140E"/>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88B"/>
    <w:rsid w:val="00B84AB9"/>
    <w:rsid w:val="00B84C9F"/>
    <w:rsid w:val="00B84E83"/>
    <w:rsid w:val="00B8525F"/>
    <w:rsid w:val="00B852F9"/>
    <w:rsid w:val="00B85552"/>
    <w:rsid w:val="00B856E9"/>
    <w:rsid w:val="00B85774"/>
    <w:rsid w:val="00B86429"/>
    <w:rsid w:val="00B8648F"/>
    <w:rsid w:val="00B86589"/>
    <w:rsid w:val="00B866C7"/>
    <w:rsid w:val="00B86EFB"/>
    <w:rsid w:val="00B872F1"/>
    <w:rsid w:val="00B87563"/>
    <w:rsid w:val="00B87726"/>
    <w:rsid w:val="00B87EBC"/>
    <w:rsid w:val="00B87F68"/>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E9"/>
    <w:rsid w:val="00BA139F"/>
    <w:rsid w:val="00BA1839"/>
    <w:rsid w:val="00BA1A0B"/>
    <w:rsid w:val="00BA1E85"/>
    <w:rsid w:val="00BA24BB"/>
    <w:rsid w:val="00BA2A0D"/>
    <w:rsid w:val="00BA359B"/>
    <w:rsid w:val="00BA3A93"/>
    <w:rsid w:val="00BA44BC"/>
    <w:rsid w:val="00BA4B21"/>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5F78"/>
    <w:rsid w:val="00BC6308"/>
    <w:rsid w:val="00BC634B"/>
    <w:rsid w:val="00BC63FE"/>
    <w:rsid w:val="00BC666D"/>
    <w:rsid w:val="00BC67A4"/>
    <w:rsid w:val="00BC6B4D"/>
    <w:rsid w:val="00BC6C4F"/>
    <w:rsid w:val="00BC6DF0"/>
    <w:rsid w:val="00BC76AA"/>
    <w:rsid w:val="00BC7FBC"/>
    <w:rsid w:val="00BD1290"/>
    <w:rsid w:val="00BD1CFB"/>
    <w:rsid w:val="00BD2B8F"/>
    <w:rsid w:val="00BD3201"/>
    <w:rsid w:val="00BD33CC"/>
    <w:rsid w:val="00BD35B9"/>
    <w:rsid w:val="00BD36EC"/>
    <w:rsid w:val="00BD419E"/>
    <w:rsid w:val="00BD4A52"/>
    <w:rsid w:val="00BD4D8D"/>
    <w:rsid w:val="00BD51CA"/>
    <w:rsid w:val="00BD5CD2"/>
    <w:rsid w:val="00BD6352"/>
    <w:rsid w:val="00BD64E7"/>
    <w:rsid w:val="00BD6BFF"/>
    <w:rsid w:val="00BD77DE"/>
    <w:rsid w:val="00BD79C2"/>
    <w:rsid w:val="00BE1F2E"/>
    <w:rsid w:val="00BE1FA7"/>
    <w:rsid w:val="00BE2891"/>
    <w:rsid w:val="00BE2AD7"/>
    <w:rsid w:val="00BE2BAA"/>
    <w:rsid w:val="00BE2DEA"/>
    <w:rsid w:val="00BE2FE0"/>
    <w:rsid w:val="00BE39D5"/>
    <w:rsid w:val="00BE4F8D"/>
    <w:rsid w:val="00BE590A"/>
    <w:rsid w:val="00BE5B76"/>
    <w:rsid w:val="00BE7348"/>
    <w:rsid w:val="00BE751A"/>
    <w:rsid w:val="00BE770F"/>
    <w:rsid w:val="00BE778C"/>
    <w:rsid w:val="00BE7E4D"/>
    <w:rsid w:val="00BE7F15"/>
    <w:rsid w:val="00BF0028"/>
    <w:rsid w:val="00BF01D4"/>
    <w:rsid w:val="00BF03B4"/>
    <w:rsid w:val="00BF0409"/>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8F4"/>
    <w:rsid w:val="00C00BE6"/>
    <w:rsid w:val="00C00F80"/>
    <w:rsid w:val="00C01250"/>
    <w:rsid w:val="00C01619"/>
    <w:rsid w:val="00C025FC"/>
    <w:rsid w:val="00C02B84"/>
    <w:rsid w:val="00C03041"/>
    <w:rsid w:val="00C03815"/>
    <w:rsid w:val="00C03F13"/>
    <w:rsid w:val="00C041F4"/>
    <w:rsid w:val="00C04926"/>
    <w:rsid w:val="00C04C59"/>
    <w:rsid w:val="00C0503D"/>
    <w:rsid w:val="00C0524E"/>
    <w:rsid w:val="00C05428"/>
    <w:rsid w:val="00C0552E"/>
    <w:rsid w:val="00C058A3"/>
    <w:rsid w:val="00C05E05"/>
    <w:rsid w:val="00C064AF"/>
    <w:rsid w:val="00C06CBE"/>
    <w:rsid w:val="00C06FEC"/>
    <w:rsid w:val="00C0711F"/>
    <w:rsid w:val="00C073D8"/>
    <w:rsid w:val="00C077E1"/>
    <w:rsid w:val="00C101B5"/>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A78"/>
    <w:rsid w:val="00C17B74"/>
    <w:rsid w:val="00C17BCC"/>
    <w:rsid w:val="00C20358"/>
    <w:rsid w:val="00C20A09"/>
    <w:rsid w:val="00C20AEB"/>
    <w:rsid w:val="00C20F22"/>
    <w:rsid w:val="00C21FF8"/>
    <w:rsid w:val="00C220F2"/>
    <w:rsid w:val="00C22286"/>
    <w:rsid w:val="00C223A0"/>
    <w:rsid w:val="00C23398"/>
    <w:rsid w:val="00C2398F"/>
    <w:rsid w:val="00C23BBD"/>
    <w:rsid w:val="00C2414B"/>
    <w:rsid w:val="00C2455C"/>
    <w:rsid w:val="00C24638"/>
    <w:rsid w:val="00C26495"/>
    <w:rsid w:val="00C26A62"/>
    <w:rsid w:val="00C27194"/>
    <w:rsid w:val="00C2725D"/>
    <w:rsid w:val="00C273ED"/>
    <w:rsid w:val="00C27447"/>
    <w:rsid w:val="00C27645"/>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1CD"/>
    <w:rsid w:val="00C412E1"/>
    <w:rsid w:val="00C416FD"/>
    <w:rsid w:val="00C41E73"/>
    <w:rsid w:val="00C41FA0"/>
    <w:rsid w:val="00C4202A"/>
    <w:rsid w:val="00C4271F"/>
    <w:rsid w:val="00C42A6C"/>
    <w:rsid w:val="00C42B60"/>
    <w:rsid w:val="00C43E4A"/>
    <w:rsid w:val="00C43FD4"/>
    <w:rsid w:val="00C4445E"/>
    <w:rsid w:val="00C44846"/>
    <w:rsid w:val="00C451E7"/>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9F1"/>
    <w:rsid w:val="00C65FFB"/>
    <w:rsid w:val="00C6621C"/>
    <w:rsid w:val="00C66663"/>
    <w:rsid w:val="00C668D8"/>
    <w:rsid w:val="00C66BCD"/>
    <w:rsid w:val="00C66D68"/>
    <w:rsid w:val="00C66E74"/>
    <w:rsid w:val="00C67029"/>
    <w:rsid w:val="00C67592"/>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9A2"/>
    <w:rsid w:val="00C85A79"/>
    <w:rsid w:val="00C85B02"/>
    <w:rsid w:val="00C86242"/>
    <w:rsid w:val="00C86550"/>
    <w:rsid w:val="00C86B76"/>
    <w:rsid w:val="00C86D64"/>
    <w:rsid w:val="00C86D89"/>
    <w:rsid w:val="00C87827"/>
    <w:rsid w:val="00C87A20"/>
    <w:rsid w:val="00C87CDD"/>
    <w:rsid w:val="00C909EE"/>
    <w:rsid w:val="00C90E27"/>
    <w:rsid w:val="00C910ED"/>
    <w:rsid w:val="00C914C9"/>
    <w:rsid w:val="00C9156F"/>
    <w:rsid w:val="00C91E57"/>
    <w:rsid w:val="00C922E8"/>
    <w:rsid w:val="00C93188"/>
    <w:rsid w:val="00C93C96"/>
    <w:rsid w:val="00C94540"/>
    <w:rsid w:val="00C945D9"/>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1B00"/>
    <w:rsid w:val="00CA1D0C"/>
    <w:rsid w:val="00CA1DFC"/>
    <w:rsid w:val="00CA25F5"/>
    <w:rsid w:val="00CA2A57"/>
    <w:rsid w:val="00CA2C4B"/>
    <w:rsid w:val="00CA30A9"/>
    <w:rsid w:val="00CA35EC"/>
    <w:rsid w:val="00CA3D36"/>
    <w:rsid w:val="00CA3EC4"/>
    <w:rsid w:val="00CA4249"/>
    <w:rsid w:val="00CA47B4"/>
    <w:rsid w:val="00CA4D37"/>
    <w:rsid w:val="00CA4EF3"/>
    <w:rsid w:val="00CA575F"/>
    <w:rsid w:val="00CA5FC2"/>
    <w:rsid w:val="00CA6F7C"/>
    <w:rsid w:val="00CA702A"/>
    <w:rsid w:val="00CA703D"/>
    <w:rsid w:val="00CA7AA1"/>
    <w:rsid w:val="00CA7C3E"/>
    <w:rsid w:val="00CB0652"/>
    <w:rsid w:val="00CB0A8A"/>
    <w:rsid w:val="00CB138C"/>
    <w:rsid w:val="00CB1BD3"/>
    <w:rsid w:val="00CB21EF"/>
    <w:rsid w:val="00CB222B"/>
    <w:rsid w:val="00CB26B1"/>
    <w:rsid w:val="00CB2714"/>
    <w:rsid w:val="00CB2824"/>
    <w:rsid w:val="00CB2C75"/>
    <w:rsid w:val="00CB2F95"/>
    <w:rsid w:val="00CB30E7"/>
    <w:rsid w:val="00CB3270"/>
    <w:rsid w:val="00CB332C"/>
    <w:rsid w:val="00CB441D"/>
    <w:rsid w:val="00CB44FC"/>
    <w:rsid w:val="00CB492B"/>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964"/>
    <w:rsid w:val="00CC2B9C"/>
    <w:rsid w:val="00CC326E"/>
    <w:rsid w:val="00CC346D"/>
    <w:rsid w:val="00CC38EE"/>
    <w:rsid w:val="00CC46B8"/>
    <w:rsid w:val="00CC500C"/>
    <w:rsid w:val="00CC566D"/>
    <w:rsid w:val="00CC6071"/>
    <w:rsid w:val="00CC6AA6"/>
    <w:rsid w:val="00CC6ACF"/>
    <w:rsid w:val="00CC722F"/>
    <w:rsid w:val="00CC726E"/>
    <w:rsid w:val="00CC7476"/>
    <w:rsid w:val="00CC75EE"/>
    <w:rsid w:val="00CC78B5"/>
    <w:rsid w:val="00CD0BAE"/>
    <w:rsid w:val="00CD1017"/>
    <w:rsid w:val="00CD1264"/>
    <w:rsid w:val="00CD129C"/>
    <w:rsid w:val="00CD12BA"/>
    <w:rsid w:val="00CD181E"/>
    <w:rsid w:val="00CD1ABF"/>
    <w:rsid w:val="00CD2C45"/>
    <w:rsid w:val="00CD387C"/>
    <w:rsid w:val="00CD45E4"/>
    <w:rsid w:val="00CD474C"/>
    <w:rsid w:val="00CD5589"/>
    <w:rsid w:val="00CD55E5"/>
    <w:rsid w:val="00CD5CCC"/>
    <w:rsid w:val="00CD6B16"/>
    <w:rsid w:val="00CD6B5E"/>
    <w:rsid w:val="00CD7092"/>
    <w:rsid w:val="00CD7422"/>
    <w:rsid w:val="00CD764C"/>
    <w:rsid w:val="00CD7CC1"/>
    <w:rsid w:val="00CE078F"/>
    <w:rsid w:val="00CE0950"/>
    <w:rsid w:val="00CE0E43"/>
    <w:rsid w:val="00CE0FC5"/>
    <w:rsid w:val="00CE11D8"/>
    <w:rsid w:val="00CE1251"/>
    <w:rsid w:val="00CE1648"/>
    <w:rsid w:val="00CE1A90"/>
    <w:rsid w:val="00CE1C5C"/>
    <w:rsid w:val="00CE1CA9"/>
    <w:rsid w:val="00CE1E07"/>
    <w:rsid w:val="00CE2567"/>
    <w:rsid w:val="00CE2A65"/>
    <w:rsid w:val="00CE2AFC"/>
    <w:rsid w:val="00CE3037"/>
    <w:rsid w:val="00CE32AD"/>
    <w:rsid w:val="00CE3361"/>
    <w:rsid w:val="00CE3958"/>
    <w:rsid w:val="00CE3A6B"/>
    <w:rsid w:val="00CE3F49"/>
    <w:rsid w:val="00CE49B0"/>
    <w:rsid w:val="00CE4EA8"/>
    <w:rsid w:val="00CE5261"/>
    <w:rsid w:val="00CE52F6"/>
    <w:rsid w:val="00CE584B"/>
    <w:rsid w:val="00CE5A0A"/>
    <w:rsid w:val="00CE5C82"/>
    <w:rsid w:val="00CE64F3"/>
    <w:rsid w:val="00CE6C5C"/>
    <w:rsid w:val="00CE72F6"/>
    <w:rsid w:val="00CE7FF2"/>
    <w:rsid w:val="00CF0A5E"/>
    <w:rsid w:val="00CF0E8B"/>
    <w:rsid w:val="00CF0EE3"/>
    <w:rsid w:val="00CF1090"/>
    <w:rsid w:val="00CF12DA"/>
    <w:rsid w:val="00CF140F"/>
    <w:rsid w:val="00CF1AB9"/>
    <w:rsid w:val="00CF1B03"/>
    <w:rsid w:val="00CF1B1E"/>
    <w:rsid w:val="00CF1E58"/>
    <w:rsid w:val="00CF1F79"/>
    <w:rsid w:val="00CF26C9"/>
    <w:rsid w:val="00CF2728"/>
    <w:rsid w:val="00CF2B1C"/>
    <w:rsid w:val="00CF2B81"/>
    <w:rsid w:val="00CF2B8E"/>
    <w:rsid w:val="00CF30C5"/>
    <w:rsid w:val="00CF3739"/>
    <w:rsid w:val="00CF39B2"/>
    <w:rsid w:val="00CF3E3D"/>
    <w:rsid w:val="00CF4060"/>
    <w:rsid w:val="00CF52EB"/>
    <w:rsid w:val="00CF585D"/>
    <w:rsid w:val="00CF587D"/>
    <w:rsid w:val="00CF59FF"/>
    <w:rsid w:val="00CF5CA8"/>
    <w:rsid w:val="00CF63E0"/>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4742"/>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5B8E"/>
    <w:rsid w:val="00D161CF"/>
    <w:rsid w:val="00D16747"/>
    <w:rsid w:val="00D17088"/>
    <w:rsid w:val="00D175C7"/>
    <w:rsid w:val="00D17E09"/>
    <w:rsid w:val="00D200D2"/>
    <w:rsid w:val="00D20886"/>
    <w:rsid w:val="00D20AD4"/>
    <w:rsid w:val="00D22106"/>
    <w:rsid w:val="00D22E00"/>
    <w:rsid w:val="00D2366E"/>
    <w:rsid w:val="00D24218"/>
    <w:rsid w:val="00D24286"/>
    <w:rsid w:val="00D25126"/>
    <w:rsid w:val="00D251E6"/>
    <w:rsid w:val="00D2558D"/>
    <w:rsid w:val="00D25830"/>
    <w:rsid w:val="00D259B0"/>
    <w:rsid w:val="00D26097"/>
    <w:rsid w:val="00D261C5"/>
    <w:rsid w:val="00D26391"/>
    <w:rsid w:val="00D2699D"/>
    <w:rsid w:val="00D27255"/>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6DC1"/>
    <w:rsid w:val="00D3719F"/>
    <w:rsid w:val="00D371C8"/>
    <w:rsid w:val="00D37FC8"/>
    <w:rsid w:val="00D4061B"/>
    <w:rsid w:val="00D4091E"/>
    <w:rsid w:val="00D40BD8"/>
    <w:rsid w:val="00D417E2"/>
    <w:rsid w:val="00D422BF"/>
    <w:rsid w:val="00D43198"/>
    <w:rsid w:val="00D431DA"/>
    <w:rsid w:val="00D43450"/>
    <w:rsid w:val="00D43463"/>
    <w:rsid w:val="00D43D75"/>
    <w:rsid w:val="00D43F48"/>
    <w:rsid w:val="00D43F90"/>
    <w:rsid w:val="00D44156"/>
    <w:rsid w:val="00D44198"/>
    <w:rsid w:val="00D441FB"/>
    <w:rsid w:val="00D445B3"/>
    <w:rsid w:val="00D453B5"/>
    <w:rsid w:val="00D45529"/>
    <w:rsid w:val="00D4581D"/>
    <w:rsid w:val="00D45977"/>
    <w:rsid w:val="00D45B74"/>
    <w:rsid w:val="00D46DBF"/>
    <w:rsid w:val="00D46F26"/>
    <w:rsid w:val="00D47186"/>
    <w:rsid w:val="00D47568"/>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6FB"/>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3857"/>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07F"/>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C99"/>
    <w:rsid w:val="00D93DAF"/>
    <w:rsid w:val="00D941AE"/>
    <w:rsid w:val="00D94370"/>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343"/>
    <w:rsid w:val="00DA24B0"/>
    <w:rsid w:val="00DA2582"/>
    <w:rsid w:val="00DA2694"/>
    <w:rsid w:val="00DA3CDB"/>
    <w:rsid w:val="00DA3CF1"/>
    <w:rsid w:val="00DA4B0E"/>
    <w:rsid w:val="00DA50E4"/>
    <w:rsid w:val="00DA5BEB"/>
    <w:rsid w:val="00DA5F20"/>
    <w:rsid w:val="00DA6199"/>
    <w:rsid w:val="00DA6758"/>
    <w:rsid w:val="00DA6BFD"/>
    <w:rsid w:val="00DA7645"/>
    <w:rsid w:val="00DA7E15"/>
    <w:rsid w:val="00DA7FC8"/>
    <w:rsid w:val="00DB02FF"/>
    <w:rsid w:val="00DB0B44"/>
    <w:rsid w:val="00DB10BD"/>
    <w:rsid w:val="00DB1433"/>
    <w:rsid w:val="00DB147B"/>
    <w:rsid w:val="00DB197C"/>
    <w:rsid w:val="00DB198D"/>
    <w:rsid w:val="00DB1AAF"/>
    <w:rsid w:val="00DB26B5"/>
    <w:rsid w:val="00DB289D"/>
    <w:rsid w:val="00DB30B9"/>
    <w:rsid w:val="00DB3AA0"/>
    <w:rsid w:val="00DB3C49"/>
    <w:rsid w:val="00DB41B9"/>
    <w:rsid w:val="00DB42C2"/>
    <w:rsid w:val="00DB444B"/>
    <w:rsid w:val="00DB4628"/>
    <w:rsid w:val="00DB4714"/>
    <w:rsid w:val="00DB4788"/>
    <w:rsid w:val="00DB4D04"/>
    <w:rsid w:val="00DB510A"/>
    <w:rsid w:val="00DB5178"/>
    <w:rsid w:val="00DB52E9"/>
    <w:rsid w:val="00DB5386"/>
    <w:rsid w:val="00DB53D5"/>
    <w:rsid w:val="00DB5ABE"/>
    <w:rsid w:val="00DB5B8E"/>
    <w:rsid w:val="00DB6292"/>
    <w:rsid w:val="00DB67E7"/>
    <w:rsid w:val="00DB68BB"/>
    <w:rsid w:val="00DB68E2"/>
    <w:rsid w:val="00DB6A53"/>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2AC"/>
    <w:rsid w:val="00DC6E13"/>
    <w:rsid w:val="00DC6E1B"/>
    <w:rsid w:val="00DC6E7B"/>
    <w:rsid w:val="00DC724A"/>
    <w:rsid w:val="00DC728F"/>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94A"/>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0F0"/>
    <w:rsid w:val="00DF2170"/>
    <w:rsid w:val="00DF2F00"/>
    <w:rsid w:val="00DF2FC2"/>
    <w:rsid w:val="00DF3193"/>
    <w:rsid w:val="00DF3252"/>
    <w:rsid w:val="00DF3D62"/>
    <w:rsid w:val="00DF50ED"/>
    <w:rsid w:val="00DF572E"/>
    <w:rsid w:val="00DF596A"/>
    <w:rsid w:val="00DF66C5"/>
    <w:rsid w:val="00DF6DA6"/>
    <w:rsid w:val="00DF708D"/>
    <w:rsid w:val="00DF7249"/>
    <w:rsid w:val="00DF7E48"/>
    <w:rsid w:val="00DF7EB8"/>
    <w:rsid w:val="00E0031E"/>
    <w:rsid w:val="00E00B10"/>
    <w:rsid w:val="00E00FD5"/>
    <w:rsid w:val="00E01956"/>
    <w:rsid w:val="00E01B27"/>
    <w:rsid w:val="00E01D7A"/>
    <w:rsid w:val="00E01F0A"/>
    <w:rsid w:val="00E02047"/>
    <w:rsid w:val="00E0216E"/>
    <w:rsid w:val="00E023E5"/>
    <w:rsid w:val="00E0280B"/>
    <w:rsid w:val="00E02837"/>
    <w:rsid w:val="00E0287C"/>
    <w:rsid w:val="00E02FC0"/>
    <w:rsid w:val="00E03532"/>
    <w:rsid w:val="00E03CB3"/>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6A0"/>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F2D"/>
    <w:rsid w:val="00E22A26"/>
    <w:rsid w:val="00E22DD9"/>
    <w:rsid w:val="00E22F54"/>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710"/>
    <w:rsid w:val="00E31966"/>
    <w:rsid w:val="00E3203D"/>
    <w:rsid w:val="00E32AE4"/>
    <w:rsid w:val="00E32D6A"/>
    <w:rsid w:val="00E33396"/>
    <w:rsid w:val="00E335C5"/>
    <w:rsid w:val="00E33D24"/>
    <w:rsid w:val="00E33E8E"/>
    <w:rsid w:val="00E33EFC"/>
    <w:rsid w:val="00E34706"/>
    <w:rsid w:val="00E34ED4"/>
    <w:rsid w:val="00E3545A"/>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057"/>
    <w:rsid w:val="00E535D1"/>
    <w:rsid w:val="00E536FC"/>
    <w:rsid w:val="00E53AA6"/>
    <w:rsid w:val="00E53C1D"/>
    <w:rsid w:val="00E53C6C"/>
    <w:rsid w:val="00E53CB2"/>
    <w:rsid w:val="00E53D6A"/>
    <w:rsid w:val="00E53FC1"/>
    <w:rsid w:val="00E540EA"/>
    <w:rsid w:val="00E54898"/>
    <w:rsid w:val="00E54BB0"/>
    <w:rsid w:val="00E5540A"/>
    <w:rsid w:val="00E55558"/>
    <w:rsid w:val="00E55BB8"/>
    <w:rsid w:val="00E56344"/>
    <w:rsid w:val="00E57E87"/>
    <w:rsid w:val="00E60DE1"/>
    <w:rsid w:val="00E6106B"/>
    <w:rsid w:val="00E61076"/>
    <w:rsid w:val="00E61812"/>
    <w:rsid w:val="00E6230F"/>
    <w:rsid w:val="00E62446"/>
    <w:rsid w:val="00E62CF0"/>
    <w:rsid w:val="00E62E5D"/>
    <w:rsid w:val="00E62EB8"/>
    <w:rsid w:val="00E635BC"/>
    <w:rsid w:val="00E63A9F"/>
    <w:rsid w:val="00E6441B"/>
    <w:rsid w:val="00E65073"/>
    <w:rsid w:val="00E65E8C"/>
    <w:rsid w:val="00E66766"/>
    <w:rsid w:val="00E66800"/>
    <w:rsid w:val="00E668F9"/>
    <w:rsid w:val="00E66C08"/>
    <w:rsid w:val="00E66D78"/>
    <w:rsid w:val="00E66D94"/>
    <w:rsid w:val="00E66FCA"/>
    <w:rsid w:val="00E67132"/>
    <w:rsid w:val="00E673C1"/>
    <w:rsid w:val="00E67ACF"/>
    <w:rsid w:val="00E67C5C"/>
    <w:rsid w:val="00E67E55"/>
    <w:rsid w:val="00E70504"/>
    <w:rsid w:val="00E709F4"/>
    <w:rsid w:val="00E71198"/>
    <w:rsid w:val="00E7146F"/>
    <w:rsid w:val="00E71591"/>
    <w:rsid w:val="00E717B9"/>
    <w:rsid w:val="00E71967"/>
    <w:rsid w:val="00E71E4F"/>
    <w:rsid w:val="00E720C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5B2"/>
    <w:rsid w:val="00E81735"/>
    <w:rsid w:val="00E82135"/>
    <w:rsid w:val="00E823C3"/>
    <w:rsid w:val="00E82862"/>
    <w:rsid w:val="00E82CA0"/>
    <w:rsid w:val="00E82E17"/>
    <w:rsid w:val="00E849FF"/>
    <w:rsid w:val="00E84AD4"/>
    <w:rsid w:val="00E8534F"/>
    <w:rsid w:val="00E854EA"/>
    <w:rsid w:val="00E858C5"/>
    <w:rsid w:val="00E85EC9"/>
    <w:rsid w:val="00E85EE8"/>
    <w:rsid w:val="00E86213"/>
    <w:rsid w:val="00E86BAE"/>
    <w:rsid w:val="00E87452"/>
    <w:rsid w:val="00E876A3"/>
    <w:rsid w:val="00E87DC5"/>
    <w:rsid w:val="00E87E99"/>
    <w:rsid w:val="00E87F24"/>
    <w:rsid w:val="00E903A5"/>
    <w:rsid w:val="00E90A19"/>
    <w:rsid w:val="00E913FF"/>
    <w:rsid w:val="00E91460"/>
    <w:rsid w:val="00E915F1"/>
    <w:rsid w:val="00E918EB"/>
    <w:rsid w:val="00E91C42"/>
    <w:rsid w:val="00E92341"/>
    <w:rsid w:val="00E93635"/>
    <w:rsid w:val="00E93D3C"/>
    <w:rsid w:val="00E94F06"/>
    <w:rsid w:val="00E95243"/>
    <w:rsid w:val="00E9568A"/>
    <w:rsid w:val="00E956CB"/>
    <w:rsid w:val="00E95E51"/>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49F"/>
    <w:rsid w:val="00EA35F1"/>
    <w:rsid w:val="00EA3BA1"/>
    <w:rsid w:val="00EA449C"/>
    <w:rsid w:val="00EA4953"/>
    <w:rsid w:val="00EA4F1E"/>
    <w:rsid w:val="00EA4F7D"/>
    <w:rsid w:val="00EA5931"/>
    <w:rsid w:val="00EA5F9C"/>
    <w:rsid w:val="00EA633B"/>
    <w:rsid w:val="00EA659C"/>
    <w:rsid w:val="00EA7206"/>
    <w:rsid w:val="00EA7B31"/>
    <w:rsid w:val="00EB01C6"/>
    <w:rsid w:val="00EB02C9"/>
    <w:rsid w:val="00EB079F"/>
    <w:rsid w:val="00EB0A68"/>
    <w:rsid w:val="00EB0E6A"/>
    <w:rsid w:val="00EB0FE6"/>
    <w:rsid w:val="00EB10CA"/>
    <w:rsid w:val="00EB16EB"/>
    <w:rsid w:val="00EB182C"/>
    <w:rsid w:val="00EB19D9"/>
    <w:rsid w:val="00EB2287"/>
    <w:rsid w:val="00EB269D"/>
    <w:rsid w:val="00EB30E8"/>
    <w:rsid w:val="00EB344E"/>
    <w:rsid w:val="00EB374D"/>
    <w:rsid w:val="00EB425C"/>
    <w:rsid w:val="00EB434B"/>
    <w:rsid w:val="00EB45D7"/>
    <w:rsid w:val="00EB47B3"/>
    <w:rsid w:val="00EB4926"/>
    <w:rsid w:val="00EB4B58"/>
    <w:rsid w:val="00EB4E5F"/>
    <w:rsid w:val="00EB5197"/>
    <w:rsid w:val="00EB52B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410"/>
    <w:rsid w:val="00EC6F7C"/>
    <w:rsid w:val="00EC7275"/>
    <w:rsid w:val="00EC774B"/>
    <w:rsid w:val="00EC782F"/>
    <w:rsid w:val="00EC79F3"/>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455E"/>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3F5E"/>
    <w:rsid w:val="00EF4186"/>
    <w:rsid w:val="00EF463E"/>
    <w:rsid w:val="00EF4BD9"/>
    <w:rsid w:val="00EF541D"/>
    <w:rsid w:val="00EF5712"/>
    <w:rsid w:val="00EF571F"/>
    <w:rsid w:val="00EF579C"/>
    <w:rsid w:val="00EF57BB"/>
    <w:rsid w:val="00EF585C"/>
    <w:rsid w:val="00EF5B95"/>
    <w:rsid w:val="00EF5D00"/>
    <w:rsid w:val="00EF5E2E"/>
    <w:rsid w:val="00EF60B7"/>
    <w:rsid w:val="00EF613D"/>
    <w:rsid w:val="00EF76F3"/>
    <w:rsid w:val="00F00809"/>
    <w:rsid w:val="00F00922"/>
    <w:rsid w:val="00F009EE"/>
    <w:rsid w:val="00F00BEE"/>
    <w:rsid w:val="00F0102C"/>
    <w:rsid w:val="00F0106B"/>
    <w:rsid w:val="00F01260"/>
    <w:rsid w:val="00F0137B"/>
    <w:rsid w:val="00F0139C"/>
    <w:rsid w:val="00F020E1"/>
    <w:rsid w:val="00F0221D"/>
    <w:rsid w:val="00F02A43"/>
    <w:rsid w:val="00F02DE5"/>
    <w:rsid w:val="00F02E9F"/>
    <w:rsid w:val="00F0324F"/>
    <w:rsid w:val="00F03408"/>
    <w:rsid w:val="00F03584"/>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0D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C85"/>
    <w:rsid w:val="00F14D95"/>
    <w:rsid w:val="00F150C2"/>
    <w:rsid w:val="00F15B8F"/>
    <w:rsid w:val="00F15D2C"/>
    <w:rsid w:val="00F15EBF"/>
    <w:rsid w:val="00F16582"/>
    <w:rsid w:val="00F16B9D"/>
    <w:rsid w:val="00F16CE1"/>
    <w:rsid w:val="00F16F1D"/>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7FD"/>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3628"/>
    <w:rsid w:val="00F436F0"/>
    <w:rsid w:val="00F443B0"/>
    <w:rsid w:val="00F444E7"/>
    <w:rsid w:val="00F447EA"/>
    <w:rsid w:val="00F44943"/>
    <w:rsid w:val="00F44D2D"/>
    <w:rsid w:val="00F44E5A"/>
    <w:rsid w:val="00F453DF"/>
    <w:rsid w:val="00F45632"/>
    <w:rsid w:val="00F46D66"/>
    <w:rsid w:val="00F4737E"/>
    <w:rsid w:val="00F47A3C"/>
    <w:rsid w:val="00F47D5F"/>
    <w:rsid w:val="00F47E5F"/>
    <w:rsid w:val="00F502B3"/>
    <w:rsid w:val="00F50623"/>
    <w:rsid w:val="00F5087C"/>
    <w:rsid w:val="00F50BAD"/>
    <w:rsid w:val="00F50E4E"/>
    <w:rsid w:val="00F511EE"/>
    <w:rsid w:val="00F51D28"/>
    <w:rsid w:val="00F51E10"/>
    <w:rsid w:val="00F51E4D"/>
    <w:rsid w:val="00F520F4"/>
    <w:rsid w:val="00F53312"/>
    <w:rsid w:val="00F53398"/>
    <w:rsid w:val="00F533F9"/>
    <w:rsid w:val="00F539AC"/>
    <w:rsid w:val="00F53B8D"/>
    <w:rsid w:val="00F53D94"/>
    <w:rsid w:val="00F5420D"/>
    <w:rsid w:val="00F54768"/>
    <w:rsid w:val="00F54ADC"/>
    <w:rsid w:val="00F54AE2"/>
    <w:rsid w:val="00F553E8"/>
    <w:rsid w:val="00F55455"/>
    <w:rsid w:val="00F55AA3"/>
    <w:rsid w:val="00F55C08"/>
    <w:rsid w:val="00F55DFC"/>
    <w:rsid w:val="00F567D1"/>
    <w:rsid w:val="00F56C88"/>
    <w:rsid w:val="00F57256"/>
    <w:rsid w:val="00F57330"/>
    <w:rsid w:val="00F5738E"/>
    <w:rsid w:val="00F577B3"/>
    <w:rsid w:val="00F57BDA"/>
    <w:rsid w:val="00F57F43"/>
    <w:rsid w:val="00F60058"/>
    <w:rsid w:val="00F6066A"/>
    <w:rsid w:val="00F60688"/>
    <w:rsid w:val="00F6088F"/>
    <w:rsid w:val="00F60D88"/>
    <w:rsid w:val="00F60DC0"/>
    <w:rsid w:val="00F61248"/>
    <w:rsid w:val="00F61281"/>
    <w:rsid w:val="00F613C3"/>
    <w:rsid w:val="00F6145D"/>
    <w:rsid w:val="00F617DF"/>
    <w:rsid w:val="00F61FE2"/>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5A7"/>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5FC9"/>
    <w:rsid w:val="00F7609A"/>
    <w:rsid w:val="00F7643C"/>
    <w:rsid w:val="00F764B7"/>
    <w:rsid w:val="00F76924"/>
    <w:rsid w:val="00F76E4E"/>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823"/>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3D46"/>
    <w:rsid w:val="00F94A71"/>
    <w:rsid w:val="00F94CCA"/>
    <w:rsid w:val="00F9535C"/>
    <w:rsid w:val="00F95780"/>
    <w:rsid w:val="00F957C0"/>
    <w:rsid w:val="00F95EFB"/>
    <w:rsid w:val="00F9624E"/>
    <w:rsid w:val="00F96923"/>
    <w:rsid w:val="00F96B96"/>
    <w:rsid w:val="00F96E26"/>
    <w:rsid w:val="00F96ECB"/>
    <w:rsid w:val="00F970DB"/>
    <w:rsid w:val="00F97441"/>
    <w:rsid w:val="00F9766C"/>
    <w:rsid w:val="00F9794A"/>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A7C70"/>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14E"/>
    <w:rsid w:val="00FB6501"/>
    <w:rsid w:val="00FB6F0E"/>
    <w:rsid w:val="00FB7C8D"/>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2F74"/>
    <w:rsid w:val="00FD3162"/>
    <w:rsid w:val="00FD3487"/>
    <w:rsid w:val="00FD3520"/>
    <w:rsid w:val="00FD3D58"/>
    <w:rsid w:val="00FD3D61"/>
    <w:rsid w:val="00FD3EC6"/>
    <w:rsid w:val="00FD40CD"/>
    <w:rsid w:val="00FD41C7"/>
    <w:rsid w:val="00FD436D"/>
    <w:rsid w:val="00FD491D"/>
    <w:rsid w:val="00FD49DB"/>
    <w:rsid w:val="00FD5062"/>
    <w:rsid w:val="00FD595E"/>
    <w:rsid w:val="00FD5982"/>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406"/>
    <w:rsid w:val="00FE393B"/>
    <w:rsid w:val="00FE3F71"/>
    <w:rsid w:val="00FE4608"/>
    <w:rsid w:val="00FE4826"/>
    <w:rsid w:val="00FE5268"/>
    <w:rsid w:val="00FE55DB"/>
    <w:rsid w:val="00FE5DD2"/>
    <w:rsid w:val="00FE61C4"/>
    <w:rsid w:val="00FE66DF"/>
    <w:rsid w:val="00FE6845"/>
    <w:rsid w:val="00FE6856"/>
    <w:rsid w:val="00FE69F1"/>
    <w:rsid w:val="00FE6AD1"/>
    <w:rsid w:val="00FE78FD"/>
    <w:rsid w:val="00FE7BA2"/>
    <w:rsid w:val="00FF0586"/>
    <w:rsid w:val="00FF09BD"/>
    <w:rsid w:val="00FF0EF2"/>
    <w:rsid w:val="00FF1744"/>
    <w:rsid w:val="00FF1A0D"/>
    <w:rsid w:val="00FF1AB4"/>
    <w:rsid w:val="00FF1BFD"/>
    <w:rsid w:val="00FF1E2A"/>
    <w:rsid w:val="00FF2265"/>
    <w:rsid w:val="00FF2323"/>
    <w:rsid w:val="00FF2A52"/>
    <w:rsid w:val="00FF2D52"/>
    <w:rsid w:val="00FF2F34"/>
    <w:rsid w:val="00FF3496"/>
    <w:rsid w:val="00FF3CA1"/>
    <w:rsid w:val="00FF4177"/>
    <w:rsid w:val="00FF4675"/>
    <w:rsid w:val="00FF48C8"/>
    <w:rsid w:val="00FF4E8E"/>
    <w:rsid w:val="00FF4FB4"/>
    <w:rsid w:val="00FF56A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D08FC"/>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 w:type="paragraph" w:styleId="Revisin">
    <w:name w:val="Revision"/>
    <w:hidden/>
    <w:uiPriority w:val="99"/>
    <w:semiHidden/>
    <w:rsid w:val="00D17088"/>
    <w:rPr>
      <w:rFonts w:ascii="Arial" w:hAnsi="Arial" w:cs="Arial"/>
      <w:sz w:val="24"/>
      <w:szCs w:val="24"/>
      <w:lang w:val="es-ES_tradnl" w:eastAsia="es-ES"/>
    </w:rPr>
  </w:style>
  <w:style w:type="paragraph" w:customStyle="1" w:styleId="Pa27">
    <w:name w:val="Pa27"/>
    <w:basedOn w:val="Default"/>
    <w:next w:val="Default"/>
    <w:uiPriority w:val="99"/>
    <w:rsid w:val="00185115"/>
    <w:pPr>
      <w:spacing w:line="221" w:lineRule="atLeast"/>
    </w:pPr>
    <w:rPr>
      <w:rFonts w:eastAsiaTheme="minorHAnsi"/>
      <w:color w:val="auto"/>
      <w:lang w:val="en-US" w:eastAsia="en-US"/>
    </w:rPr>
  </w:style>
  <w:style w:type="character" w:customStyle="1" w:styleId="A1">
    <w:name w:val="A1"/>
    <w:uiPriority w:val="99"/>
    <w:rsid w:val="0078042F"/>
    <w:rPr>
      <w:color w:val="000000"/>
      <w:sz w:val="20"/>
      <w:szCs w:val="20"/>
    </w:rPr>
  </w:style>
  <w:style w:type="character" w:styleId="Mencinsinresolver">
    <w:name w:val="Unresolved Mention"/>
    <w:basedOn w:val="Fuentedeprrafopredeter"/>
    <w:uiPriority w:val="99"/>
    <w:semiHidden/>
    <w:unhideWhenUsed/>
    <w:rsid w:val="0030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7479">
      <w:bodyDiv w:val="1"/>
      <w:marLeft w:val="0"/>
      <w:marRight w:val="0"/>
      <w:marTop w:val="0"/>
      <w:marBottom w:val="0"/>
      <w:divBdr>
        <w:top w:val="none" w:sz="0" w:space="0" w:color="auto"/>
        <w:left w:val="none" w:sz="0" w:space="0" w:color="auto"/>
        <w:bottom w:val="none" w:sz="0" w:space="0" w:color="auto"/>
        <w:right w:val="none" w:sz="0" w:space="0" w:color="auto"/>
      </w:divBdr>
    </w:div>
    <w:div w:id="85420654">
      <w:bodyDiv w:val="1"/>
      <w:marLeft w:val="0"/>
      <w:marRight w:val="0"/>
      <w:marTop w:val="0"/>
      <w:marBottom w:val="0"/>
      <w:divBdr>
        <w:top w:val="none" w:sz="0" w:space="0" w:color="auto"/>
        <w:left w:val="none" w:sz="0" w:space="0" w:color="auto"/>
        <w:bottom w:val="none" w:sz="0" w:space="0" w:color="auto"/>
        <w:right w:val="none" w:sz="0" w:space="0" w:color="auto"/>
      </w:divBdr>
    </w:div>
    <w:div w:id="140510825">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05215243">
      <w:bodyDiv w:val="1"/>
      <w:marLeft w:val="0"/>
      <w:marRight w:val="0"/>
      <w:marTop w:val="0"/>
      <w:marBottom w:val="0"/>
      <w:divBdr>
        <w:top w:val="none" w:sz="0" w:space="0" w:color="auto"/>
        <w:left w:val="none" w:sz="0" w:space="0" w:color="auto"/>
        <w:bottom w:val="none" w:sz="0" w:space="0" w:color="auto"/>
        <w:right w:val="none" w:sz="0" w:space="0" w:color="auto"/>
      </w:divBdr>
    </w:div>
    <w:div w:id="252131231">
      <w:bodyDiv w:val="1"/>
      <w:marLeft w:val="0"/>
      <w:marRight w:val="0"/>
      <w:marTop w:val="0"/>
      <w:marBottom w:val="0"/>
      <w:divBdr>
        <w:top w:val="none" w:sz="0" w:space="0" w:color="auto"/>
        <w:left w:val="none" w:sz="0" w:space="0" w:color="auto"/>
        <w:bottom w:val="none" w:sz="0" w:space="0" w:color="auto"/>
        <w:right w:val="none" w:sz="0" w:space="0" w:color="auto"/>
      </w:divBdr>
    </w:div>
    <w:div w:id="369378576">
      <w:bodyDiv w:val="1"/>
      <w:marLeft w:val="0"/>
      <w:marRight w:val="0"/>
      <w:marTop w:val="0"/>
      <w:marBottom w:val="0"/>
      <w:divBdr>
        <w:top w:val="none" w:sz="0" w:space="0" w:color="auto"/>
        <w:left w:val="none" w:sz="0" w:space="0" w:color="auto"/>
        <w:bottom w:val="none" w:sz="0" w:space="0" w:color="auto"/>
        <w:right w:val="none" w:sz="0" w:space="0" w:color="auto"/>
      </w:divBdr>
    </w:div>
    <w:div w:id="42415771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4516830">
      <w:bodyDiv w:val="1"/>
      <w:marLeft w:val="0"/>
      <w:marRight w:val="0"/>
      <w:marTop w:val="0"/>
      <w:marBottom w:val="0"/>
      <w:divBdr>
        <w:top w:val="none" w:sz="0" w:space="0" w:color="auto"/>
        <w:left w:val="none" w:sz="0" w:space="0" w:color="auto"/>
        <w:bottom w:val="none" w:sz="0" w:space="0" w:color="auto"/>
        <w:right w:val="none" w:sz="0" w:space="0" w:color="auto"/>
      </w:divBdr>
    </w:div>
    <w:div w:id="507527364">
      <w:bodyDiv w:val="1"/>
      <w:marLeft w:val="0"/>
      <w:marRight w:val="0"/>
      <w:marTop w:val="0"/>
      <w:marBottom w:val="0"/>
      <w:divBdr>
        <w:top w:val="none" w:sz="0" w:space="0" w:color="auto"/>
        <w:left w:val="none" w:sz="0" w:space="0" w:color="auto"/>
        <w:bottom w:val="none" w:sz="0" w:space="0" w:color="auto"/>
        <w:right w:val="none" w:sz="0" w:space="0" w:color="auto"/>
      </w:divBdr>
    </w:div>
    <w:div w:id="535047730">
      <w:bodyDiv w:val="1"/>
      <w:marLeft w:val="0"/>
      <w:marRight w:val="0"/>
      <w:marTop w:val="0"/>
      <w:marBottom w:val="0"/>
      <w:divBdr>
        <w:top w:val="none" w:sz="0" w:space="0" w:color="auto"/>
        <w:left w:val="none" w:sz="0" w:space="0" w:color="auto"/>
        <w:bottom w:val="none" w:sz="0" w:space="0" w:color="auto"/>
        <w:right w:val="none" w:sz="0" w:space="0" w:color="auto"/>
      </w:divBdr>
    </w:div>
    <w:div w:id="554859047">
      <w:bodyDiv w:val="1"/>
      <w:marLeft w:val="0"/>
      <w:marRight w:val="0"/>
      <w:marTop w:val="0"/>
      <w:marBottom w:val="0"/>
      <w:divBdr>
        <w:top w:val="none" w:sz="0" w:space="0" w:color="auto"/>
        <w:left w:val="none" w:sz="0" w:space="0" w:color="auto"/>
        <w:bottom w:val="none" w:sz="0" w:space="0" w:color="auto"/>
        <w:right w:val="none" w:sz="0" w:space="0" w:color="auto"/>
      </w:divBdr>
    </w:div>
    <w:div w:id="595334580">
      <w:bodyDiv w:val="1"/>
      <w:marLeft w:val="0"/>
      <w:marRight w:val="0"/>
      <w:marTop w:val="0"/>
      <w:marBottom w:val="0"/>
      <w:divBdr>
        <w:top w:val="none" w:sz="0" w:space="0" w:color="auto"/>
        <w:left w:val="none" w:sz="0" w:space="0" w:color="auto"/>
        <w:bottom w:val="none" w:sz="0" w:space="0" w:color="auto"/>
        <w:right w:val="none" w:sz="0" w:space="0" w:color="auto"/>
      </w:divBdr>
    </w:div>
    <w:div w:id="59945967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373301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093975">
      <w:bodyDiv w:val="1"/>
      <w:marLeft w:val="0"/>
      <w:marRight w:val="0"/>
      <w:marTop w:val="0"/>
      <w:marBottom w:val="0"/>
      <w:divBdr>
        <w:top w:val="none" w:sz="0" w:space="0" w:color="auto"/>
        <w:left w:val="none" w:sz="0" w:space="0" w:color="auto"/>
        <w:bottom w:val="none" w:sz="0" w:space="0" w:color="auto"/>
        <w:right w:val="none" w:sz="0" w:space="0" w:color="auto"/>
      </w:divBdr>
    </w:div>
    <w:div w:id="684285874">
      <w:bodyDiv w:val="1"/>
      <w:marLeft w:val="0"/>
      <w:marRight w:val="0"/>
      <w:marTop w:val="0"/>
      <w:marBottom w:val="0"/>
      <w:divBdr>
        <w:top w:val="none" w:sz="0" w:space="0" w:color="auto"/>
        <w:left w:val="none" w:sz="0" w:space="0" w:color="auto"/>
        <w:bottom w:val="none" w:sz="0" w:space="0" w:color="auto"/>
        <w:right w:val="none" w:sz="0" w:space="0" w:color="auto"/>
      </w:divBdr>
    </w:div>
    <w:div w:id="68478926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7078077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5546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2945644">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965937">
      <w:bodyDiv w:val="1"/>
      <w:marLeft w:val="0"/>
      <w:marRight w:val="0"/>
      <w:marTop w:val="0"/>
      <w:marBottom w:val="0"/>
      <w:divBdr>
        <w:top w:val="none" w:sz="0" w:space="0" w:color="auto"/>
        <w:left w:val="none" w:sz="0" w:space="0" w:color="auto"/>
        <w:bottom w:val="none" w:sz="0" w:space="0" w:color="auto"/>
        <w:right w:val="none" w:sz="0" w:space="0" w:color="auto"/>
      </w:divBdr>
    </w:div>
    <w:div w:id="1202128470">
      <w:bodyDiv w:val="1"/>
      <w:marLeft w:val="0"/>
      <w:marRight w:val="0"/>
      <w:marTop w:val="0"/>
      <w:marBottom w:val="0"/>
      <w:divBdr>
        <w:top w:val="none" w:sz="0" w:space="0" w:color="auto"/>
        <w:left w:val="none" w:sz="0" w:space="0" w:color="auto"/>
        <w:bottom w:val="none" w:sz="0" w:space="0" w:color="auto"/>
        <w:right w:val="none" w:sz="0" w:space="0" w:color="auto"/>
      </w:divBdr>
    </w:div>
    <w:div w:id="1232693601">
      <w:bodyDiv w:val="1"/>
      <w:marLeft w:val="0"/>
      <w:marRight w:val="0"/>
      <w:marTop w:val="0"/>
      <w:marBottom w:val="0"/>
      <w:divBdr>
        <w:top w:val="none" w:sz="0" w:space="0" w:color="auto"/>
        <w:left w:val="none" w:sz="0" w:space="0" w:color="auto"/>
        <w:bottom w:val="none" w:sz="0" w:space="0" w:color="auto"/>
        <w:right w:val="none" w:sz="0" w:space="0" w:color="auto"/>
      </w:divBdr>
    </w:div>
    <w:div w:id="1233080250">
      <w:bodyDiv w:val="1"/>
      <w:marLeft w:val="0"/>
      <w:marRight w:val="0"/>
      <w:marTop w:val="0"/>
      <w:marBottom w:val="0"/>
      <w:divBdr>
        <w:top w:val="none" w:sz="0" w:space="0" w:color="auto"/>
        <w:left w:val="none" w:sz="0" w:space="0" w:color="auto"/>
        <w:bottom w:val="none" w:sz="0" w:space="0" w:color="auto"/>
        <w:right w:val="none" w:sz="0" w:space="0" w:color="auto"/>
      </w:divBdr>
    </w:div>
    <w:div w:id="1247110263">
      <w:bodyDiv w:val="1"/>
      <w:marLeft w:val="0"/>
      <w:marRight w:val="0"/>
      <w:marTop w:val="0"/>
      <w:marBottom w:val="0"/>
      <w:divBdr>
        <w:top w:val="none" w:sz="0" w:space="0" w:color="auto"/>
        <w:left w:val="none" w:sz="0" w:space="0" w:color="auto"/>
        <w:bottom w:val="none" w:sz="0" w:space="0" w:color="auto"/>
        <w:right w:val="none" w:sz="0" w:space="0" w:color="auto"/>
      </w:divBdr>
    </w:div>
    <w:div w:id="1250578050">
      <w:bodyDiv w:val="1"/>
      <w:marLeft w:val="0"/>
      <w:marRight w:val="0"/>
      <w:marTop w:val="0"/>
      <w:marBottom w:val="0"/>
      <w:divBdr>
        <w:top w:val="none" w:sz="0" w:space="0" w:color="auto"/>
        <w:left w:val="none" w:sz="0" w:space="0" w:color="auto"/>
        <w:bottom w:val="none" w:sz="0" w:space="0" w:color="auto"/>
        <w:right w:val="none" w:sz="0" w:space="0" w:color="auto"/>
      </w:divBdr>
    </w:div>
    <w:div w:id="1305818199">
      <w:bodyDiv w:val="1"/>
      <w:marLeft w:val="0"/>
      <w:marRight w:val="0"/>
      <w:marTop w:val="0"/>
      <w:marBottom w:val="0"/>
      <w:divBdr>
        <w:top w:val="none" w:sz="0" w:space="0" w:color="auto"/>
        <w:left w:val="none" w:sz="0" w:space="0" w:color="auto"/>
        <w:bottom w:val="none" w:sz="0" w:space="0" w:color="auto"/>
        <w:right w:val="none" w:sz="0" w:space="0" w:color="auto"/>
      </w:divBdr>
    </w:div>
    <w:div w:id="1337807846">
      <w:bodyDiv w:val="1"/>
      <w:marLeft w:val="0"/>
      <w:marRight w:val="0"/>
      <w:marTop w:val="0"/>
      <w:marBottom w:val="0"/>
      <w:divBdr>
        <w:top w:val="none" w:sz="0" w:space="0" w:color="auto"/>
        <w:left w:val="none" w:sz="0" w:space="0" w:color="auto"/>
        <w:bottom w:val="none" w:sz="0" w:space="0" w:color="auto"/>
        <w:right w:val="none" w:sz="0" w:space="0" w:color="auto"/>
      </w:divBdr>
    </w:div>
    <w:div w:id="1367178870">
      <w:bodyDiv w:val="1"/>
      <w:marLeft w:val="0"/>
      <w:marRight w:val="0"/>
      <w:marTop w:val="0"/>
      <w:marBottom w:val="0"/>
      <w:divBdr>
        <w:top w:val="none" w:sz="0" w:space="0" w:color="auto"/>
        <w:left w:val="none" w:sz="0" w:space="0" w:color="auto"/>
        <w:bottom w:val="none" w:sz="0" w:space="0" w:color="auto"/>
        <w:right w:val="none" w:sz="0" w:space="0" w:color="auto"/>
      </w:divBdr>
    </w:div>
    <w:div w:id="141134733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1363799">
      <w:bodyDiv w:val="1"/>
      <w:marLeft w:val="0"/>
      <w:marRight w:val="0"/>
      <w:marTop w:val="0"/>
      <w:marBottom w:val="0"/>
      <w:divBdr>
        <w:top w:val="none" w:sz="0" w:space="0" w:color="auto"/>
        <w:left w:val="none" w:sz="0" w:space="0" w:color="auto"/>
        <w:bottom w:val="none" w:sz="0" w:space="0" w:color="auto"/>
        <w:right w:val="none" w:sz="0" w:space="0" w:color="auto"/>
      </w:divBdr>
    </w:div>
    <w:div w:id="1457796126">
      <w:bodyDiv w:val="1"/>
      <w:marLeft w:val="0"/>
      <w:marRight w:val="0"/>
      <w:marTop w:val="0"/>
      <w:marBottom w:val="0"/>
      <w:divBdr>
        <w:top w:val="none" w:sz="0" w:space="0" w:color="auto"/>
        <w:left w:val="none" w:sz="0" w:space="0" w:color="auto"/>
        <w:bottom w:val="none" w:sz="0" w:space="0" w:color="auto"/>
        <w:right w:val="none" w:sz="0" w:space="0" w:color="auto"/>
      </w:divBdr>
    </w:div>
    <w:div w:id="14777245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7989333">
      <w:bodyDiv w:val="1"/>
      <w:marLeft w:val="0"/>
      <w:marRight w:val="0"/>
      <w:marTop w:val="0"/>
      <w:marBottom w:val="0"/>
      <w:divBdr>
        <w:top w:val="none" w:sz="0" w:space="0" w:color="auto"/>
        <w:left w:val="none" w:sz="0" w:space="0" w:color="auto"/>
        <w:bottom w:val="none" w:sz="0" w:space="0" w:color="auto"/>
        <w:right w:val="none" w:sz="0" w:space="0" w:color="auto"/>
      </w:divBdr>
    </w:div>
    <w:div w:id="1558779362">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06419458">
      <w:bodyDiv w:val="1"/>
      <w:marLeft w:val="0"/>
      <w:marRight w:val="0"/>
      <w:marTop w:val="0"/>
      <w:marBottom w:val="0"/>
      <w:divBdr>
        <w:top w:val="none" w:sz="0" w:space="0" w:color="auto"/>
        <w:left w:val="none" w:sz="0" w:space="0" w:color="auto"/>
        <w:bottom w:val="none" w:sz="0" w:space="0" w:color="auto"/>
        <w:right w:val="none" w:sz="0" w:space="0" w:color="auto"/>
      </w:divBdr>
    </w:div>
    <w:div w:id="160742605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6396331">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2221557">
      <w:bodyDiv w:val="1"/>
      <w:marLeft w:val="0"/>
      <w:marRight w:val="0"/>
      <w:marTop w:val="0"/>
      <w:marBottom w:val="0"/>
      <w:divBdr>
        <w:top w:val="none" w:sz="0" w:space="0" w:color="auto"/>
        <w:left w:val="none" w:sz="0" w:space="0" w:color="auto"/>
        <w:bottom w:val="none" w:sz="0" w:space="0" w:color="auto"/>
        <w:right w:val="none" w:sz="0" w:space="0" w:color="auto"/>
      </w:divBdr>
    </w:div>
    <w:div w:id="186597373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399320">
      <w:bodyDiv w:val="1"/>
      <w:marLeft w:val="0"/>
      <w:marRight w:val="0"/>
      <w:marTop w:val="0"/>
      <w:marBottom w:val="0"/>
      <w:divBdr>
        <w:top w:val="none" w:sz="0" w:space="0" w:color="auto"/>
        <w:left w:val="none" w:sz="0" w:space="0" w:color="auto"/>
        <w:bottom w:val="none" w:sz="0" w:space="0" w:color="auto"/>
        <w:right w:val="none" w:sz="0" w:space="0" w:color="auto"/>
      </w:divBdr>
    </w:div>
    <w:div w:id="1945963093">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6674946">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1971200657">
      <w:bodyDiv w:val="1"/>
      <w:marLeft w:val="0"/>
      <w:marRight w:val="0"/>
      <w:marTop w:val="0"/>
      <w:marBottom w:val="0"/>
      <w:divBdr>
        <w:top w:val="none" w:sz="0" w:space="0" w:color="auto"/>
        <w:left w:val="none" w:sz="0" w:space="0" w:color="auto"/>
        <w:bottom w:val="none" w:sz="0" w:space="0" w:color="auto"/>
        <w:right w:val="none" w:sz="0" w:space="0" w:color="auto"/>
      </w:divBdr>
    </w:div>
    <w:div w:id="200824725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2433413">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3.xml"/><Relationship Id="rId39" Type="http://schemas.openxmlformats.org/officeDocument/2006/relationships/hyperlink" Target="https://www.inegi.org.mx/programas/easpnf/2013/" TargetMode="External"/><Relationship Id="rId21" Type="http://schemas.openxmlformats.org/officeDocument/2006/relationships/image" Target="media/image6.png"/><Relationship Id="rId34" Type="http://schemas.openxmlformats.org/officeDocument/2006/relationships/image" Target="media/image11.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chart" Target="charts/chart7.xml"/><Relationship Id="rId37" Type="http://schemas.openxmlformats.org/officeDocument/2006/relationships/chart" Target="charts/chart1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1.xml"/><Relationship Id="rId28" Type="http://schemas.openxmlformats.org/officeDocument/2006/relationships/image" Target="media/image9.emf"/><Relationship Id="rId36" Type="http://schemas.openxmlformats.org/officeDocument/2006/relationships/chart" Target="charts/chart10.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image" Target="media/image7.emf"/><Relationship Id="rId27" Type="http://schemas.openxmlformats.org/officeDocument/2006/relationships/chart" Target="charts/chart4.xml"/><Relationship Id="rId30" Type="http://schemas.openxmlformats.org/officeDocument/2006/relationships/chart" Target="charts/chart6.xml"/><Relationship Id="rId35" Type="http://schemas.openxmlformats.org/officeDocument/2006/relationships/chart" Target="charts/chart9.xml"/><Relationship Id="rId8" Type="http://schemas.openxmlformats.org/officeDocument/2006/relationships/hyperlink" Target="https://www.inegi.org.mx/programas/easpnf/2013/" TargetMode="Externa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2.xml"/><Relationship Id="rId33" Type="http://schemas.openxmlformats.org/officeDocument/2006/relationships/chart" Target="charts/chart8.xml"/><Relationship Id="rId38" Type="http://schemas.openxmlformats.org/officeDocument/2006/relationships/chart" Target="charts/chart12.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app/saladeprensa/calendario/default.html" TargetMode="External"/><Relationship Id="rId2" Type="http://schemas.openxmlformats.org/officeDocument/2006/relationships/hyperlink" Target="https://www.inegi.org.mx/app/biblioteca/ficha.html?upc=702825051693" TargetMode="External"/><Relationship Id="rId1" Type="http://schemas.openxmlformats.org/officeDocument/2006/relationships/hyperlink" Target="https://www.inegi.org.mx/temas/pi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SERVICIOS\DISE&#209;O%20CONCEPTUAL\Nota%20T&#233;cnica%20EASPNF_Serie%202013%20(2021)\Tabs%20y%20graficos_EASPNF2021%20(version%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SERVICIOS\DISE&#209;O%20CONCEPTUAL\Nota%20T&#233;cnica%20EASPNF_Serie%202013%20(2021)\Tabs%20y%20graficos_EASPNF2021%20(version%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20(versio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20(versio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20(version%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suarios\ramon.bravo\Mis%20documentos\Encuesta%20Mensual%20de%20Servicios\Encuestas%20Econ&#243;micas%20Nacionales\Encuestas%20de%20Servicios%202021\Resultados%20difusi&#243;n\Tabs%20y%20graficos_EASPNF2021%20(version%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sz="1050" b="1"/>
              <a:t>Personal ocupado dependiente de la razón social</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stacked"/>
        <c:varyColors val="0"/>
        <c:ser>
          <c:idx val="0"/>
          <c:order val="0"/>
          <c:tx>
            <c:strRef>
              <c:f>EASPNF2021_PO!$M$4</c:f>
              <c:strCache>
                <c:ptCount val="1"/>
                <c:pt idx="0">
                  <c:v>Hombres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EASPNF2021_PO!$J$5:$J$12</c:f>
              <c:strCache>
                <c:ptCount val="8"/>
                <c:pt idx="0">
                  <c:v>51</c:v>
                </c:pt>
                <c:pt idx="1">
                  <c:v>53</c:v>
                </c:pt>
                <c:pt idx="2">
                  <c:v>54</c:v>
                </c:pt>
                <c:pt idx="3">
                  <c:v>56</c:v>
                </c:pt>
                <c:pt idx="4">
                  <c:v>61</c:v>
                </c:pt>
                <c:pt idx="5">
                  <c:v>62</c:v>
                </c:pt>
                <c:pt idx="6">
                  <c:v>71</c:v>
                </c:pt>
                <c:pt idx="7">
                  <c:v>72</c:v>
                </c:pt>
              </c:strCache>
            </c:strRef>
          </c:cat>
          <c:val>
            <c:numRef>
              <c:f>EASPNF2021_PO!$M$5:$M$12</c:f>
              <c:numCache>
                <c:formatCode>0%</c:formatCode>
                <c:ptCount val="8"/>
                <c:pt idx="0">
                  <c:v>0.60247731153622786</c:v>
                </c:pt>
                <c:pt idx="1">
                  <c:v>0.64523610724557012</c:v>
                </c:pt>
                <c:pt idx="2">
                  <c:v>0.53126215684044842</c:v>
                </c:pt>
                <c:pt idx="3">
                  <c:v>0.57647340967683913</c:v>
                </c:pt>
                <c:pt idx="4">
                  <c:v>0.3582487999378845</c:v>
                </c:pt>
                <c:pt idx="5">
                  <c:v>0.41568865405238165</c:v>
                </c:pt>
                <c:pt idx="6">
                  <c:v>0.67816382662577845</c:v>
                </c:pt>
                <c:pt idx="7">
                  <c:v>0.4416509503079461</c:v>
                </c:pt>
              </c:numCache>
            </c:numRef>
          </c:val>
          <c:extLst>
            <c:ext xmlns:c16="http://schemas.microsoft.com/office/drawing/2014/chart" uri="{C3380CC4-5D6E-409C-BE32-E72D297353CC}">
              <c16:uniqueId val="{00000000-DD24-4BCC-8FE2-15DE94FE8B94}"/>
            </c:ext>
          </c:extLst>
        </c:ser>
        <c:ser>
          <c:idx val="1"/>
          <c:order val="1"/>
          <c:tx>
            <c:strRef>
              <c:f>EASPNF2021_PO!$N$4</c:f>
              <c:strCache>
                <c:ptCount val="1"/>
                <c:pt idx="0">
                  <c:v>Mujeres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EASPNF2021_PO!$J$5:$J$12</c:f>
              <c:strCache>
                <c:ptCount val="8"/>
                <c:pt idx="0">
                  <c:v>51</c:v>
                </c:pt>
                <c:pt idx="1">
                  <c:v>53</c:v>
                </c:pt>
                <c:pt idx="2">
                  <c:v>54</c:v>
                </c:pt>
                <c:pt idx="3">
                  <c:v>56</c:v>
                </c:pt>
                <c:pt idx="4">
                  <c:v>61</c:v>
                </c:pt>
                <c:pt idx="5">
                  <c:v>62</c:v>
                </c:pt>
                <c:pt idx="6">
                  <c:v>71</c:v>
                </c:pt>
                <c:pt idx="7">
                  <c:v>72</c:v>
                </c:pt>
              </c:strCache>
            </c:strRef>
          </c:cat>
          <c:val>
            <c:numRef>
              <c:f>EASPNF2021_PO!$N$5:$N$12</c:f>
              <c:numCache>
                <c:formatCode>0%</c:formatCode>
                <c:ptCount val="8"/>
                <c:pt idx="0">
                  <c:v>0.39752268846377214</c:v>
                </c:pt>
                <c:pt idx="1">
                  <c:v>0.35476389275442993</c:v>
                </c:pt>
                <c:pt idx="2">
                  <c:v>0.46873784315955164</c:v>
                </c:pt>
                <c:pt idx="3">
                  <c:v>0.42352659032316087</c:v>
                </c:pt>
                <c:pt idx="4">
                  <c:v>0.6417512000621155</c:v>
                </c:pt>
                <c:pt idx="5">
                  <c:v>0.58431134594761835</c:v>
                </c:pt>
                <c:pt idx="6">
                  <c:v>0.32183617337422149</c:v>
                </c:pt>
                <c:pt idx="7">
                  <c:v>0.5583490496920539</c:v>
                </c:pt>
              </c:numCache>
            </c:numRef>
          </c:val>
          <c:extLst>
            <c:ext xmlns:c16="http://schemas.microsoft.com/office/drawing/2014/chart" uri="{C3380CC4-5D6E-409C-BE32-E72D297353CC}">
              <c16:uniqueId val="{00000001-DD24-4BCC-8FE2-15DE94FE8B94}"/>
            </c:ext>
          </c:extLst>
        </c:ser>
        <c:dLbls>
          <c:showLegendKey val="0"/>
          <c:showVal val="1"/>
          <c:showCatName val="0"/>
          <c:showSerName val="0"/>
          <c:showPercent val="0"/>
          <c:showBubbleSize val="0"/>
        </c:dLbls>
        <c:gapWidth val="150"/>
        <c:overlap val="100"/>
        <c:axId val="198644287"/>
        <c:axId val="198643455"/>
      </c:barChart>
      <c:catAx>
        <c:axId val="19864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98643455"/>
        <c:crosses val="autoZero"/>
        <c:auto val="1"/>
        <c:lblAlgn val="ctr"/>
        <c:lblOffset val="100"/>
        <c:noMultiLvlLbl val="0"/>
      </c:catAx>
      <c:valAx>
        <c:axId val="19864345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986442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7417396259302488"/>
          <c:y val="3.1684024583692925E-2"/>
          <c:w val="0.59707128297352641"/>
          <c:h val="0.81457907696196141"/>
        </c:manualLayout>
      </c:layout>
      <c:barChart>
        <c:barDir val="bar"/>
        <c:grouping val="stacked"/>
        <c:varyColors val="0"/>
        <c:ser>
          <c:idx val="0"/>
          <c:order val="0"/>
          <c:tx>
            <c:strRef>
              <c:f>EASPNF2021_PERS!$J$2:$J$3</c:f>
              <c:strCache>
                <c:ptCount val="2"/>
                <c:pt idx="0">
                  <c:v>Mujeres</c:v>
                </c:pt>
                <c:pt idx="1">
                  <c:v>Sin instrucción</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EASPNF2021_PERS!$I$4:$I$11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EASPNF2021_PERS!$J$4:$J$11</c:f>
              <c:numCache>
                <c:formatCode>General</c:formatCode>
                <c:ptCount val="8"/>
                <c:pt idx="0">
                  <c:v>0.18</c:v>
                </c:pt>
                <c:pt idx="1">
                  <c:v>0.34</c:v>
                </c:pt>
                <c:pt idx="2">
                  <c:v>0.98</c:v>
                </c:pt>
                <c:pt idx="3">
                  <c:v>4.24</c:v>
                </c:pt>
                <c:pt idx="4">
                  <c:v>0.55000000000000004</c:v>
                </c:pt>
                <c:pt idx="5">
                  <c:v>0.82</c:v>
                </c:pt>
                <c:pt idx="6">
                  <c:v>2.9</c:v>
                </c:pt>
                <c:pt idx="7">
                  <c:v>0.51</c:v>
                </c:pt>
              </c:numCache>
            </c:numRef>
          </c:val>
          <c:extLst>
            <c:ext xmlns:c16="http://schemas.microsoft.com/office/drawing/2014/chart" uri="{C3380CC4-5D6E-409C-BE32-E72D297353CC}">
              <c16:uniqueId val="{00000000-4CC4-4FF2-BAE4-A6D60EC83C9D}"/>
            </c:ext>
          </c:extLst>
        </c:ser>
        <c:ser>
          <c:idx val="1"/>
          <c:order val="1"/>
          <c:tx>
            <c:strRef>
              <c:f>EASPNF2021_PERS!$K$2:$K$3</c:f>
              <c:strCache>
                <c:ptCount val="2"/>
                <c:pt idx="0">
                  <c:v>Mujeres</c:v>
                </c:pt>
                <c:pt idx="1">
                  <c:v>Educación básica
</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EASPNF2021_PERS!$I$4:$I$11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EASPNF2021_PERS!$K$4:$K$11</c:f>
              <c:numCache>
                <c:formatCode>General</c:formatCode>
                <c:ptCount val="8"/>
                <c:pt idx="0">
                  <c:v>10.58</c:v>
                </c:pt>
                <c:pt idx="1">
                  <c:v>30.22</c:v>
                </c:pt>
                <c:pt idx="2">
                  <c:v>19.41</c:v>
                </c:pt>
                <c:pt idx="3">
                  <c:v>49.03</c:v>
                </c:pt>
                <c:pt idx="4">
                  <c:v>16.149999999999999</c:v>
                </c:pt>
                <c:pt idx="5">
                  <c:v>18.68</c:v>
                </c:pt>
                <c:pt idx="6">
                  <c:v>50.87</c:v>
                </c:pt>
                <c:pt idx="7">
                  <c:v>80.13</c:v>
                </c:pt>
              </c:numCache>
            </c:numRef>
          </c:val>
          <c:extLst>
            <c:ext xmlns:c16="http://schemas.microsoft.com/office/drawing/2014/chart" uri="{C3380CC4-5D6E-409C-BE32-E72D297353CC}">
              <c16:uniqueId val="{00000001-4CC4-4FF2-BAE4-A6D60EC83C9D}"/>
            </c:ext>
          </c:extLst>
        </c:ser>
        <c:ser>
          <c:idx val="2"/>
          <c:order val="2"/>
          <c:tx>
            <c:strRef>
              <c:f>EASPNF2021_PERS!$L$2:$L$3</c:f>
              <c:strCache>
                <c:ptCount val="2"/>
                <c:pt idx="0">
                  <c:v>Mujeres</c:v>
                </c:pt>
                <c:pt idx="1">
                  <c:v>Educación media
superior
</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EASPNF2021_PERS!$I$4:$I$11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EASPNF2021_PERS!$L$4:$L$11</c:f>
              <c:numCache>
                <c:formatCode>General</c:formatCode>
                <c:ptCount val="8"/>
                <c:pt idx="0">
                  <c:v>32.31</c:v>
                </c:pt>
                <c:pt idx="1">
                  <c:v>44.33</c:v>
                </c:pt>
                <c:pt idx="2">
                  <c:v>27.15</c:v>
                </c:pt>
                <c:pt idx="3">
                  <c:v>30.8</c:v>
                </c:pt>
                <c:pt idx="4">
                  <c:v>16.489999999999998</c:v>
                </c:pt>
                <c:pt idx="5">
                  <c:v>35.700000000000003</c:v>
                </c:pt>
                <c:pt idx="6">
                  <c:v>36.840000000000003</c:v>
                </c:pt>
                <c:pt idx="7">
                  <c:v>16.850000000000001</c:v>
                </c:pt>
              </c:numCache>
            </c:numRef>
          </c:val>
          <c:extLst>
            <c:ext xmlns:c16="http://schemas.microsoft.com/office/drawing/2014/chart" uri="{C3380CC4-5D6E-409C-BE32-E72D297353CC}">
              <c16:uniqueId val="{00000002-4CC4-4FF2-BAE4-A6D60EC83C9D}"/>
            </c:ext>
          </c:extLst>
        </c:ser>
        <c:ser>
          <c:idx val="3"/>
          <c:order val="3"/>
          <c:tx>
            <c:strRef>
              <c:f>EASPNF2021_PERS!$M$2:$M$3</c:f>
              <c:strCache>
                <c:ptCount val="2"/>
                <c:pt idx="0">
                  <c:v>Mujeres</c:v>
                </c:pt>
                <c:pt idx="1">
                  <c:v>Educación
superior
</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EASPNF2021_PERS!$I$4:$I$11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EASPNF2021_PERS!$M$4:$M$11</c:f>
              <c:numCache>
                <c:formatCode>General</c:formatCode>
                <c:ptCount val="8"/>
                <c:pt idx="0">
                  <c:v>56.93</c:v>
                </c:pt>
                <c:pt idx="1">
                  <c:v>25.12</c:v>
                </c:pt>
                <c:pt idx="2">
                  <c:v>52.46</c:v>
                </c:pt>
                <c:pt idx="3">
                  <c:v>15.93</c:v>
                </c:pt>
                <c:pt idx="4">
                  <c:v>66.81</c:v>
                </c:pt>
                <c:pt idx="5">
                  <c:v>44.8</c:v>
                </c:pt>
                <c:pt idx="6">
                  <c:v>9.39</c:v>
                </c:pt>
                <c:pt idx="7">
                  <c:v>2.5099999999999998</c:v>
                </c:pt>
              </c:numCache>
            </c:numRef>
          </c:val>
          <c:extLst>
            <c:ext xmlns:c16="http://schemas.microsoft.com/office/drawing/2014/chart" uri="{C3380CC4-5D6E-409C-BE32-E72D297353CC}">
              <c16:uniqueId val="{00000003-4CC4-4FF2-BAE4-A6D60EC83C9D}"/>
            </c:ext>
          </c:extLst>
        </c:ser>
        <c:dLbls>
          <c:showLegendKey val="0"/>
          <c:showVal val="0"/>
          <c:showCatName val="0"/>
          <c:showSerName val="0"/>
          <c:showPercent val="0"/>
          <c:showBubbleSize val="0"/>
        </c:dLbls>
        <c:gapWidth val="150"/>
        <c:overlap val="100"/>
        <c:axId val="1129863008"/>
        <c:axId val="1129873824"/>
      </c:barChart>
      <c:catAx>
        <c:axId val="11298630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129873824"/>
        <c:crosses val="autoZero"/>
        <c:auto val="1"/>
        <c:lblAlgn val="ctr"/>
        <c:lblOffset val="100"/>
        <c:noMultiLvlLbl val="0"/>
      </c:catAx>
      <c:valAx>
        <c:axId val="1129873824"/>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129863008"/>
        <c:crosses val="autoZero"/>
        <c:crossBetween val="between"/>
        <c:majorUnit val="20"/>
      </c:valAx>
      <c:spPr>
        <a:noFill/>
        <a:ln>
          <a:noFill/>
        </a:ln>
        <a:effectLst/>
      </c:spPr>
    </c:plotArea>
    <c:legend>
      <c:legendPos val="b"/>
      <c:layout>
        <c:manualLayout>
          <c:xMode val="edge"/>
          <c:yMode val="edge"/>
          <c:x val="3.1481475743388061E-2"/>
          <c:y val="0.91005519124837175"/>
          <c:w val="0.94398149169191237"/>
          <c:h val="6.647793352435034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1"/>
          <c:order val="0"/>
          <c:tx>
            <c:strRef>
              <c:f>EASPNF2021_PERS!$C$2:$C$3</c:f>
              <c:strCache>
                <c:ptCount val="2"/>
                <c:pt idx="0">
                  <c:v>Hombres</c:v>
                </c:pt>
                <c:pt idx="1">
                  <c:v>Sin instrucción</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EASPNF2021_PERS!$B$4:$B$11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EASPNF2021_PERS!$C$4:$C$11</c:f>
              <c:numCache>
                <c:formatCode>General</c:formatCode>
                <c:ptCount val="8"/>
                <c:pt idx="0">
                  <c:v>0.24</c:v>
                </c:pt>
                <c:pt idx="1">
                  <c:v>0.09</c:v>
                </c:pt>
                <c:pt idx="2">
                  <c:v>0.88</c:v>
                </c:pt>
                <c:pt idx="3">
                  <c:v>5.41</c:v>
                </c:pt>
                <c:pt idx="4">
                  <c:v>0.82</c:v>
                </c:pt>
                <c:pt idx="5">
                  <c:v>1.26</c:v>
                </c:pt>
                <c:pt idx="6">
                  <c:v>3.18</c:v>
                </c:pt>
                <c:pt idx="7">
                  <c:v>0.39</c:v>
                </c:pt>
              </c:numCache>
            </c:numRef>
          </c:val>
          <c:extLst>
            <c:ext xmlns:c16="http://schemas.microsoft.com/office/drawing/2014/chart" uri="{C3380CC4-5D6E-409C-BE32-E72D297353CC}">
              <c16:uniqueId val="{00000000-9A8F-4C27-9F67-0E8F6E8B1346}"/>
            </c:ext>
          </c:extLst>
        </c:ser>
        <c:ser>
          <c:idx val="0"/>
          <c:order val="1"/>
          <c:tx>
            <c:strRef>
              <c:f>EASPNF2021_PERS!$D$2:$D$3</c:f>
              <c:strCache>
                <c:ptCount val="2"/>
                <c:pt idx="0">
                  <c:v>Hombres</c:v>
                </c:pt>
                <c:pt idx="1">
                  <c:v>Educación básica
</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EASPNF2021_PERS!$B$4:$B$11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EASPNF2021_PERS!$D$4:$D$11</c:f>
              <c:numCache>
                <c:formatCode>General</c:formatCode>
                <c:ptCount val="8"/>
                <c:pt idx="0">
                  <c:v>9.39</c:v>
                </c:pt>
                <c:pt idx="1">
                  <c:v>49.16</c:v>
                </c:pt>
                <c:pt idx="2">
                  <c:v>19.41</c:v>
                </c:pt>
                <c:pt idx="3">
                  <c:v>43.86</c:v>
                </c:pt>
                <c:pt idx="4">
                  <c:v>26.28</c:v>
                </c:pt>
                <c:pt idx="5">
                  <c:v>20</c:v>
                </c:pt>
                <c:pt idx="6">
                  <c:v>55.91</c:v>
                </c:pt>
                <c:pt idx="7">
                  <c:v>47.52</c:v>
                </c:pt>
              </c:numCache>
            </c:numRef>
          </c:val>
          <c:extLst>
            <c:ext xmlns:c16="http://schemas.microsoft.com/office/drawing/2014/chart" uri="{C3380CC4-5D6E-409C-BE32-E72D297353CC}">
              <c16:uniqueId val="{00000001-9A8F-4C27-9F67-0E8F6E8B1346}"/>
            </c:ext>
          </c:extLst>
        </c:ser>
        <c:ser>
          <c:idx val="2"/>
          <c:order val="2"/>
          <c:tx>
            <c:strRef>
              <c:f>EASPNF2021_PERS!$E$2:$E$3</c:f>
              <c:strCache>
                <c:ptCount val="2"/>
                <c:pt idx="0">
                  <c:v>Hombres</c:v>
                </c:pt>
                <c:pt idx="1">
                  <c:v>Educación media
superior
</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EASPNF2021_PERS!$B$4:$B$11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EASPNF2021_PERS!$E$4:$E$11</c:f>
              <c:numCache>
                <c:formatCode>General</c:formatCode>
                <c:ptCount val="8"/>
                <c:pt idx="0">
                  <c:v>31.75</c:v>
                </c:pt>
                <c:pt idx="1">
                  <c:v>25.18</c:v>
                </c:pt>
                <c:pt idx="2">
                  <c:v>20.56</c:v>
                </c:pt>
                <c:pt idx="3">
                  <c:v>32.6</c:v>
                </c:pt>
                <c:pt idx="4">
                  <c:v>14.16</c:v>
                </c:pt>
                <c:pt idx="5">
                  <c:v>17.059999999999999</c:v>
                </c:pt>
                <c:pt idx="6">
                  <c:v>30.24</c:v>
                </c:pt>
                <c:pt idx="7">
                  <c:v>42.68</c:v>
                </c:pt>
              </c:numCache>
            </c:numRef>
          </c:val>
          <c:extLst>
            <c:ext xmlns:c16="http://schemas.microsoft.com/office/drawing/2014/chart" uri="{C3380CC4-5D6E-409C-BE32-E72D297353CC}">
              <c16:uniqueId val="{00000002-9A8F-4C27-9F67-0E8F6E8B1346}"/>
            </c:ext>
          </c:extLst>
        </c:ser>
        <c:ser>
          <c:idx val="3"/>
          <c:order val="3"/>
          <c:tx>
            <c:strRef>
              <c:f>EASPNF2021_PERS!$F$2:$F$3</c:f>
              <c:strCache>
                <c:ptCount val="2"/>
                <c:pt idx="0">
                  <c:v>Hombres</c:v>
                </c:pt>
                <c:pt idx="1">
                  <c:v>Educación
superior
</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EASPNF2021_PERS!$B$4:$B$11</c:f>
              <c:strCache>
                <c:ptCount val="8"/>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 de esparcimiento culturales y deportivos, y otro servicios recreativos</c:v>
                </c:pt>
                <c:pt idx="7">
                  <c:v>Servicios de alojamiento temporal y de preparación de alimentos y bebidas</c:v>
                </c:pt>
              </c:strCache>
            </c:strRef>
          </c:cat>
          <c:val>
            <c:numRef>
              <c:f>EASPNF2021_PERS!$F$4:$F$11</c:f>
              <c:numCache>
                <c:formatCode>General</c:formatCode>
                <c:ptCount val="8"/>
                <c:pt idx="0">
                  <c:v>58.62</c:v>
                </c:pt>
                <c:pt idx="1">
                  <c:v>25.58</c:v>
                </c:pt>
                <c:pt idx="2">
                  <c:v>59.16</c:v>
                </c:pt>
                <c:pt idx="3">
                  <c:v>18.14</c:v>
                </c:pt>
                <c:pt idx="4">
                  <c:v>58.74</c:v>
                </c:pt>
                <c:pt idx="5">
                  <c:v>61.68</c:v>
                </c:pt>
                <c:pt idx="6">
                  <c:v>10.66</c:v>
                </c:pt>
                <c:pt idx="7">
                  <c:v>9.41</c:v>
                </c:pt>
              </c:numCache>
            </c:numRef>
          </c:val>
          <c:extLst>
            <c:ext xmlns:c16="http://schemas.microsoft.com/office/drawing/2014/chart" uri="{C3380CC4-5D6E-409C-BE32-E72D297353CC}">
              <c16:uniqueId val="{00000003-9A8F-4C27-9F67-0E8F6E8B1346}"/>
            </c:ext>
          </c:extLst>
        </c:ser>
        <c:dLbls>
          <c:showLegendKey val="0"/>
          <c:showVal val="0"/>
          <c:showCatName val="0"/>
          <c:showSerName val="0"/>
          <c:showPercent val="0"/>
          <c:showBubbleSize val="0"/>
        </c:dLbls>
        <c:gapWidth val="75"/>
        <c:overlap val="100"/>
        <c:axId val="1045146160"/>
        <c:axId val="1045140752"/>
      </c:barChart>
      <c:catAx>
        <c:axId val="104514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45140752"/>
        <c:crosses val="autoZero"/>
        <c:auto val="1"/>
        <c:lblAlgn val="ctr"/>
        <c:lblOffset val="100"/>
        <c:noMultiLvlLbl val="0"/>
      </c:catAx>
      <c:valAx>
        <c:axId val="1045140752"/>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45146160"/>
        <c:crosses val="autoZero"/>
        <c:crossBetween val="between"/>
        <c:majorUnit val="20"/>
        <c:min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Vinculación!$C$7</c:f>
              <c:strCache>
                <c:ptCount val="1"/>
                <c:pt idx="0">
                  <c:v>2020</c:v>
                </c:pt>
              </c:strCache>
            </c:strRef>
          </c:tx>
          <c:spPr>
            <a:solidFill>
              <a:srgbClr val="8FA2D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Vinculación!$A$8:$A$15</c:f>
              <c:numCache>
                <c:formatCode>General</c:formatCode>
                <c:ptCount val="8"/>
                <c:pt idx="0">
                  <c:v>515210</c:v>
                </c:pt>
                <c:pt idx="1">
                  <c:v>532110</c:v>
                </c:pt>
                <c:pt idx="2">
                  <c:v>541711</c:v>
                </c:pt>
                <c:pt idx="3">
                  <c:v>561520</c:v>
                </c:pt>
                <c:pt idx="4">
                  <c:v>6113</c:v>
                </c:pt>
                <c:pt idx="5">
                  <c:v>623991</c:v>
                </c:pt>
                <c:pt idx="6">
                  <c:v>711410</c:v>
                </c:pt>
                <c:pt idx="7">
                  <c:v>721111</c:v>
                </c:pt>
              </c:numCache>
            </c:numRef>
          </c:cat>
          <c:val>
            <c:numRef>
              <c:f>Vinculación!$C$8:$C$15</c:f>
              <c:numCache>
                <c:formatCode>0.0</c:formatCode>
                <c:ptCount val="8"/>
                <c:pt idx="0">
                  <c:v>76.150000000000006</c:v>
                </c:pt>
                <c:pt idx="1">
                  <c:v>0.44</c:v>
                </c:pt>
                <c:pt idx="2">
                  <c:v>67.959999999999994</c:v>
                </c:pt>
                <c:pt idx="3">
                  <c:v>7.82</c:v>
                </c:pt>
                <c:pt idx="4">
                  <c:v>0.15</c:v>
                </c:pt>
                <c:pt idx="5">
                  <c:v>0.08</c:v>
                </c:pt>
                <c:pt idx="6">
                  <c:v>5.5</c:v>
                </c:pt>
                <c:pt idx="7">
                  <c:v>2.27</c:v>
                </c:pt>
              </c:numCache>
            </c:numRef>
          </c:val>
          <c:extLst>
            <c:ext xmlns:c16="http://schemas.microsoft.com/office/drawing/2014/chart" uri="{C3380CC4-5D6E-409C-BE32-E72D297353CC}">
              <c16:uniqueId val="{00000000-7E15-4BEC-9647-D85BA98E0825}"/>
            </c:ext>
          </c:extLst>
        </c:ser>
        <c:dLbls>
          <c:showLegendKey val="0"/>
          <c:showVal val="0"/>
          <c:showCatName val="0"/>
          <c:showSerName val="0"/>
          <c:showPercent val="0"/>
          <c:showBubbleSize val="0"/>
        </c:dLbls>
        <c:gapWidth val="75"/>
        <c:overlap val="-25"/>
        <c:axId val="1604377215"/>
        <c:axId val="1604380959"/>
      </c:barChart>
      <c:catAx>
        <c:axId val="1604377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604380959"/>
        <c:crosses val="autoZero"/>
        <c:auto val="1"/>
        <c:lblAlgn val="ctr"/>
        <c:lblOffset val="100"/>
        <c:noMultiLvlLbl val="0"/>
      </c:catAx>
      <c:valAx>
        <c:axId val="1604380959"/>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604377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latin typeface="Arial" panose="020B0604020202020204" pitchFamily="34" charset="0"/>
                <a:cs typeface="Arial" panose="020B0604020202020204" pitchFamily="34" charset="0"/>
              </a:rPr>
              <a:t>Distribución porcentual del consumo de bienes y servicios</a:t>
            </a:r>
          </a:p>
          <a:p>
            <a:pPr>
              <a:defRPr sz="1050" b="1">
                <a:latin typeface="Arial" panose="020B0604020202020204" pitchFamily="34" charset="0"/>
                <a:cs typeface="Arial" panose="020B0604020202020204" pitchFamily="34" charset="0"/>
              </a:defRPr>
            </a:pPr>
            <a:r>
              <a:rPr lang="en-US" sz="1050" b="1">
                <a:latin typeface="Arial" panose="020B0604020202020204" pitchFamily="34" charset="0"/>
                <a:cs typeface="Arial" panose="020B0604020202020204" pitchFamily="34" charset="0"/>
              </a:rPr>
              <a:t>Información en medios masivos</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EASPNF2021_GTOS!$A$3:$B$3</c:f>
              <c:strCache>
                <c:ptCount val="2"/>
                <c:pt idx="0">
                  <c:v>51</c:v>
                </c:pt>
                <c:pt idx="1">
                  <c:v>Información en medios masivos</c:v>
                </c:pt>
              </c:strCache>
            </c:strRef>
          </c:tx>
          <c:dPt>
            <c:idx val="0"/>
            <c:bubble3D val="0"/>
            <c:spPr>
              <a:solidFill>
                <a:schemeClr val="accent5">
                  <a:shade val="4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E7CF-424C-ADE1-9A748CF9C48C}"/>
              </c:ext>
            </c:extLst>
          </c:dPt>
          <c:dPt>
            <c:idx val="1"/>
            <c:bubble3D val="0"/>
            <c:spPr>
              <a:solidFill>
                <a:schemeClr val="accent5">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E7CF-424C-ADE1-9A748CF9C48C}"/>
              </c:ext>
            </c:extLst>
          </c:dPt>
          <c:dPt>
            <c:idx val="2"/>
            <c:bubble3D val="0"/>
            <c:spPr>
              <a:solidFill>
                <a:schemeClr val="accent5">
                  <a:shade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E7CF-424C-ADE1-9A748CF9C48C}"/>
              </c:ext>
            </c:extLst>
          </c:dPt>
          <c:dPt>
            <c:idx val="3"/>
            <c:bubble3D val="0"/>
            <c:spPr>
              <a:solidFill>
                <a:schemeClr val="accent5">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7CF-424C-ADE1-9A748CF9C48C}"/>
              </c:ext>
            </c:extLst>
          </c:dPt>
          <c:dPt>
            <c:idx val="4"/>
            <c:bubble3D val="0"/>
            <c:spPr>
              <a:solidFill>
                <a:schemeClr val="accent5">
                  <a:shade val="8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E7CF-424C-ADE1-9A748CF9C48C}"/>
              </c:ext>
            </c:extLst>
          </c:dPt>
          <c:dPt>
            <c:idx val="5"/>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B-E7CF-424C-ADE1-9A748CF9C48C}"/>
              </c:ext>
            </c:extLst>
          </c:dPt>
          <c:dPt>
            <c:idx val="6"/>
            <c:bubble3D val="0"/>
            <c:spPr>
              <a:solidFill>
                <a:schemeClr val="accent5">
                  <a:tint val="89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7CF-424C-ADE1-9A748CF9C48C}"/>
              </c:ext>
            </c:extLst>
          </c:dPt>
          <c:dPt>
            <c:idx val="7"/>
            <c:bubble3D val="0"/>
            <c:spPr>
              <a:solidFill>
                <a:schemeClr val="accent5">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7CF-424C-ADE1-9A748CF9C48C}"/>
              </c:ext>
            </c:extLst>
          </c:dPt>
          <c:dPt>
            <c:idx val="8"/>
            <c:bubble3D val="0"/>
            <c:spPr>
              <a:solidFill>
                <a:schemeClr val="accent5">
                  <a:tint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7CF-424C-ADE1-9A748CF9C48C}"/>
              </c:ext>
            </c:extLst>
          </c:dPt>
          <c:dPt>
            <c:idx val="9"/>
            <c:bubble3D val="0"/>
            <c:spPr>
              <a:solidFill>
                <a:schemeClr val="accent5">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E7CF-424C-ADE1-9A748CF9C48C}"/>
              </c:ext>
            </c:extLst>
          </c:dPt>
          <c:dPt>
            <c:idx val="10"/>
            <c:bubble3D val="0"/>
            <c:spPr>
              <a:solidFill>
                <a:schemeClr val="accent5">
                  <a:tint val="4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E7CF-424C-ADE1-9A748CF9C48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EASPNF2021_GTOS!$C$2:$M$2</c:f>
              <c:strCache>
                <c:ptCount val="11"/>
                <c:pt idx="0">
                  <c:v>Materiales consumidos para la prestación de servicios</c:v>
                </c:pt>
                <c:pt idx="1">
                  <c:v>Mercancias compradas para su reventa</c:v>
                </c:pt>
                <c:pt idx="2">
                  <c:v>Combustibles y lubricantes</c:v>
                </c:pt>
                <c:pt idx="3">
                  <c:v>Energía eléctrica</c:v>
                </c:pt>
                <c:pt idx="4">
                  <c:v>Alquiler de bienes muebles e inmuebles</c:v>
                </c:pt>
                <c:pt idx="5">
                  <c:v>Suministro de personal</c:v>
                </c:pt>
                <c:pt idx="6">
                  <c:v>Honorarios o comisiones</c:v>
                </c:pt>
                <c:pt idx="7">
                  <c:v>Publicidad</c:v>
                </c:pt>
                <c:pt idx="8">
                  <c:v>Servicios de comunicación</c:v>
                </c:pt>
                <c:pt idx="9">
                  <c:v>Regalías</c:v>
                </c:pt>
                <c:pt idx="10">
                  <c:v>Otros gastos por consumo de bienes y servicios</c:v>
                </c:pt>
              </c:strCache>
            </c:strRef>
          </c:cat>
          <c:val>
            <c:numRef>
              <c:f>EASPNF2021_GTOS!$C$3:$M$3</c:f>
              <c:numCache>
                <c:formatCode>General</c:formatCode>
                <c:ptCount val="11"/>
                <c:pt idx="0">
                  <c:v>30.7</c:v>
                </c:pt>
                <c:pt idx="1">
                  <c:v>6.5</c:v>
                </c:pt>
                <c:pt idx="2">
                  <c:v>0.2</c:v>
                </c:pt>
                <c:pt idx="3">
                  <c:v>1.4</c:v>
                </c:pt>
                <c:pt idx="4">
                  <c:v>5.7</c:v>
                </c:pt>
                <c:pt idx="5">
                  <c:v>3.9</c:v>
                </c:pt>
                <c:pt idx="6">
                  <c:v>0.3</c:v>
                </c:pt>
                <c:pt idx="7">
                  <c:v>1.7</c:v>
                </c:pt>
                <c:pt idx="8">
                  <c:v>0.4</c:v>
                </c:pt>
                <c:pt idx="9">
                  <c:v>4.0999999999999996</c:v>
                </c:pt>
                <c:pt idx="10">
                  <c:v>45.2</c:v>
                </c:pt>
              </c:numCache>
            </c:numRef>
          </c:val>
          <c:extLst>
            <c:ext xmlns:c16="http://schemas.microsoft.com/office/drawing/2014/chart" uri="{C3380CC4-5D6E-409C-BE32-E72D297353CC}">
              <c16:uniqueId val="{00000016-E7CF-424C-ADE1-9A748CF9C48C}"/>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t>Distribución porcentual del consumo de bienes y servicios</a:t>
            </a:r>
            <a:endParaRPr lang="es-MX" sz="1000" b="1"/>
          </a:p>
          <a:p>
            <a:pPr algn="ctr" rtl="0">
              <a:defRPr sz="1000" b="1"/>
            </a:pPr>
            <a:r>
              <a:rPr lang="en-US" sz="1000" b="1"/>
              <a:t>Servicios educativos</a:t>
            </a:r>
          </a:p>
        </c:rich>
      </c:tx>
      <c:overlay val="0"/>
      <c:spPr>
        <a:noFill/>
        <a:ln>
          <a:noFill/>
        </a:ln>
        <a:effectLst/>
      </c:spPr>
      <c:txPr>
        <a:bodyPr rot="0" spcFirstLastPara="1" vertOverflow="ellipsis" vert="horz" wrap="square" anchor="ctr" anchorCtr="1"/>
        <a:lstStyle/>
        <a:p>
          <a:pPr algn="ctr" rtl="0">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pieChart>
        <c:varyColors val="1"/>
        <c:ser>
          <c:idx val="0"/>
          <c:order val="0"/>
          <c:tx>
            <c:strRef>
              <c:f>EASPNF2021_GTOS!$B$7</c:f>
              <c:strCache>
                <c:ptCount val="1"/>
                <c:pt idx="0">
                  <c:v>Servicios educativos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37-43DB-BF2D-66E3DF5504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37-43DB-BF2D-66E3DF5504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37-43DB-BF2D-66E3DF5504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737-43DB-BF2D-66E3DF5504C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737-43DB-BF2D-66E3DF5504C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737-43DB-BF2D-66E3DF5504C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737-43DB-BF2D-66E3DF5504C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737-43DB-BF2D-66E3DF5504C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737-43DB-BF2D-66E3DF5504C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737-43DB-BF2D-66E3DF5504C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737-43DB-BF2D-66E3DF5504C5}"/>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EASPNF2021_GTOS!$C$2:$M$2</c:f>
              <c:strCache>
                <c:ptCount val="11"/>
                <c:pt idx="0">
                  <c:v>Materiales consumidos para la prestación de servicios</c:v>
                </c:pt>
                <c:pt idx="1">
                  <c:v>Mercancias compradas para su reventa</c:v>
                </c:pt>
                <c:pt idx="2">
                  <c:v>Combustibles y lubricantes</c:v>
                </c:pt>
                <c:pt idx="3">
                  <c:v>Energía eléctrica</c:v>
                </c:pt>
                <c:pt idx="4">
                  <c:v>Alquiler de bienes muebles e inmuebles</c:v>
                </c:pt>
                <c:pt idx="5">
                  <c:v>Suministro de personal</c:v>
                </c:pt>
                <c:pt idx="6">
                  <c:v>Honorarios o comisiones</c:v>
                </c:pt>
                <c:pt idx="7">
                  <c:v>Publicidad</c:v>
                </c:pt>
                <c:pt idx="8">
                  <c:v>Servicios de comunicación</c:v>
                </c:pt>
                <c:pt idx="9">
                  <c:v>Regalías</c:v>
                </c:pt>
                <c:pt idx="10">
                  <c:v>Otros gastos por consumo de bienes y servicios</c:v>
                </c:pt>
              </c:strCache>
            </c:strRef>
          </c:cat>
          <c:val>
            <c:numRef>
              <c:f>EASPNF2021_GTOS!$C$7:$M$7</c:f>
              <c:numCache>
                <c:formatCode>General</c:formatCode>
                <c:ptCount val="11"/>
                <c:pt idx="0">
                  <c:v>29.2</c:v>
                </c:pt>
                <c:pt idx="1">
                  <c:v>0.8</c:v>
                </c:pt>
                <c:pt idx="2">
                  <c:v>1</c:v>
                </c:pt>
                <c:pt idx="3">
                  <c:v>3.4</c:v>
                </c:pt>
                <c:pt idx="4">
                  <c:v>13.1</c:v>
                </c:pt>
                <c:pt idx="5">
                  <c:v>2.2000000000000002</c:v>
                </c:pt>
                <c:pt idx="6">
                  <c:v>10.4</c:v>
                </c:pt>
                <c:pt idx="7">
                  <c:v>4.9000000000000004</c:v>
                </c:pt>
                <c:pt idx="8">
                  <c:v>2.7</c:v>
                </c:pt>
                <c:pt idx="9">
                  <c:v>2.1</c:v>
                </c:pt>
                <c:pt idx="10">
                  <c:v>30.1</c:v>
                </c:pt>
              </c:numCache>
            </c:numRef>
          </c:val>
          <c:extLst>
            <c:ext xmlns:c16="http://schemas.microsoft.com/office/drawing/2014/chart" uri="{C3380CC4-5D6E-409C-BE32-E72D297353CC}">
              <c16:uniqueId val="{00000016-7737-43DB-BF2D-66E3DF5504C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1" i="0" baseline="0">
                <a:effectLst/>
              </a:rPr>
              <a:t>Distribución porcentual del consumo de bienes y servicios</a:t>
            </a:r>
            <a:endParaRPr lang="es-MX"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Servicios de alojamiento temporal y de preparación de alimentos y bebidas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EASPNF2021_GTOS!$B$10</c:f>
              <c:strCache>
                <c:ptCount val="1"/>
                <c:pt idx="0">
                  <c:v>Servicios de alojamiento temporal y de preparación de alimentos y bebidas</c:v>
                </c:pt>
              </c:strCache>
            </c:strRef>
          </c:tx>
          <c:dPt>
            <c:idx val="0"/>
            <c:bubble3D val="0"/>
            <c:spPr>
              <a:solidFill>
                <a:schemeClr val="accent3">
                  <a:shade val="4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9778-4498-8432-F14A7EBAF618}"/>
              </c:ext>
            </c:extLst>
          </c:dPt>
          <c:dPt>
            <c:idx val="1"/>
            <c:bubble3D val="0"/>
            <c:spPr>
              <a:solidFill>
                <a:schemeClr val="accent3">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9778-4498-8432-F14A7EBAF618}"/>
              </c:ext>
            </c:extLst>
          </c:dPt>
          <c:dPt>
            <c:idx val="2"/>
            <c:bubble3D val="0"/>
            <c:spPr>
              <a:solidFill>
                <a:schemeClr val="accent3">
                  <a:shade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9778-4498-8432-F14A7EBAF618}"/>
              </c:ext>
            </c:extLst>
          </c:dPt>
          <c:dPt>
            <c:idx val="3"/>
            <c:bubble3D val="0"/>
            <c:spPr>
              <a:solidFill>
                <a:schemeClr val="accent3">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9778-4498-8432-F14A7EBAF618}"/>
              </c:ext>
            </c:extLst>
          </c:dPt>
          <c:dPt>
            <c:idx val="4"/>
            <c:bubble3D val="0"/>
            <c:spPr>
              <a:solidFill>
                <a:schemeClr val="accent3">
                  <a:shade val="8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9778-4498-8432-F14A7EBAF618}"/>
              </c:ext>
            </c:extLst>
          </c:dPt>
          <c:dPt>
            <c:idx val="5"/>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B-9778-4498-8432-F14A7EBAF618}"/>
              </c:ext>
            </c:extLst>
          </c:dPt>
          <c:dPt>
            <c:idx val="6"/>
            <c:bubble3D val="0"/>
            <c:spPr>
              <a:solidFill>
                <a:schemeClr val="accent3">
                  <a:tint val="89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778-4498-8432-F14A7EBAF618}"/>
              </c:ext>
            </c:extLst>
          </c:dPt>
          <c:dPt>
            <c:idx val="7"/>
            <c:bubble3D val="0"/>
            <c:spPr>
              <a:solidFill>
                <a:schemeClr val="accent3">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778-4498-8432-F14A7EBAF618}"/>
              </c:ext>
            </c:extLst>
          </c:dPt>
          <c:dPt>
            <c:idx val="8"/>
            <c:bubble3D val="0"/>
            <c:spPr>
              <a:solidFill>
                <a:schemeClr val="accent3">
                  <a:tint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778-4498-8432-F14A7EBAF618}"/>
              </c:ext>
            </c:extLst>
          </c:dPt>
          <c:dPt>
            <c:idx val="9"/>
            <c:bubble3D val="0"/>
            <c:spPr>
              <a:solidFill>
                <a:schemeClr val="accent3">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778-4498-8432-F14A7EBAF618}"/>
              </c:ext>
            </c:extLst>
          </c:dPt>
          <c:dPt>
            <c:idx val="10"/>
            <c:bubble3D val="0"/>
            <c:spPr>
              <a:solidFill>
                <a:schemeClr val="accent3">
                  <a:tint val="4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778-4498-8432-F14A7EBAF618}"/>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EASPNF2021_GTOS!$C$2:$M$2</c:f>
              <c:strCache>
                <c:ptCount val="11"/>
                <c:pt idx="0">
                  <c:v>Materiales consumidos para la prestación de servicios</c:v>
                </c:pt>
                <c:pt idx="1">
                  <c:v>Mercancias compradas para su reventa</c:v>
                </c:pt>
                <c:pt idx="2">
                  <c:v>Combustibles y lubricantes</c:v>
                </c:pt>
                <c:pt idx="3">
                  <c:v>Energía eléctrica</c:v>
                </c:pt>
                <c:pt idx="4">
                  <c:v>Alquiler de bienes muebles e inmuebles</c:v>
                </c:pt>
                <c:pt idx="5">
                  <c:v>Suministro de personal</c:v>
                </c:pt>
                <c:pt idx="6">
                  <c:v>Honorarios o comisiones</c:v>
                </c:pt>
                <c:pt idx="7">
                  <c:v>Publicidad</c:v>
                </c:pt>
                <c:pt idx="8">
                  <c:v>Servicios de comunicación</c:v>
                </c:pt>
                <c:pt idx="9">
                  <c:v>Regalías</c:v>
                </c:pt>
                <c:pt idx="10">
                  <c:v>Otros gastos por consumo de bienes y servicios</c:v>
                </c:pt>
              </c:strCache>
            </c:strRef>
          </c:cat>
          <c:val>
            <c:numRef>
              <c:f>EASPNF2021_GTOS!$C$10:$M$10</c:f>
              <c:numCache>
                <c:formatCode>General</c:formatCode>
                <c:ptCount val="11"/>
                <c:pt idx="0">
                  <c:v>51</c:v>
                </c:pt>
                <c:pt idx="1">
                  <c:v>2.7</c:v>
                </c:pt>
                <c:pt idx="2">
                  <c:v>1.7</c:v>
                </c:pt>
                <c:pt idx="3">
                  <c:v>3.9</c:v>
                </c:pt>
                <c:pt idx="4">
                  <c:v>5.6</c:v>
                </c:pt>
                <c:pt idx="5">
                  <c:v>11.8</c:v>
                </c:pt>
                <c:pt idx="6">
                  <c:v>0.1</c:v>
                </c:pt>
                <c:pt idx="7">
                  <c:v>1.4</c:v>
                </c:pt>
                <c:pt idx="8">
                  <c:v>1.2</c:v>
                </c:pt>
                <c:pt idx="9">
                  <c:v>1.2</c:v>
                </c:pt>
                <c:pt idx="10">
                  <c:v>19.399999999999999</c:v>
                </c:pt>
              </c:numCache>
            </c:numRef>
          </c:val>
          <c:extLst>
            <c:ext xmlns:c16="http://schemas.microsoft.com/office/drawing/2014/chart" uri="{C3380CC4-5D6E-409C-BE32-E72D297353CC}">
              <c16:uniqueId val="{00000016-9778-4498-8432-F14A7EBAF618}"/>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t>Distribución porcentual de ingresos por suministro de bienes y servicios</a:t>
            </a:r>
          </a:p>
          <a:p>
            <a:pPr>
              <a:defRPr sz="1000" b="1"/>
            </a:pPr>
            <a:r>
              <a:rPr lang="en-US" sz="1000" b="1"/>
              <a:t>Servicios de esparcimiento culturales y deportivos, y otros servicios recreativos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pieChart>
        <c:varyColors val="1"/>
        <c:ser>
          <c:idx val="0"/>
          <c:order val="0"/>
          <c:tx>
            <c:strRef>
              <c:f>EASPNF2021_ING!$B$9</c:f>
              <c:strCache>
                <c:ptCount val="1"/>
                <c:pt idx="0">
                  <c:v>Servicios de esparcimiento culturales y deportivos, y otros servicios recreativos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7D-4058-9CC1-ED3B31BD28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7D-4058-9CC1-ED3B31BD28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7D-4058-9CC1-ED3B31BD28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7D-4058-9CC1-ED3B31BD28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7D-4058-9CC1-ED3B31BD287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EASPNF2021_ING!$C$2:$H$2</c:f>
              <c:strCache>
                <c:ptCount val="6"/>
                <c:pt idx="0">
                  <c:v>Prestación de servicios</c:v>
                </c:pt>
                <c:pt idx="1">
                  <c:v>Compra-venta sin transformación de mercancías</c:v>
                </c:pt>
                <c:pt idx="2">
                  <c:v>Alquiler de bienes muebles e inmuebles</c:v>
                </c:pt>
                <c:pt idx="3">
                  <c:v>Regalias</c:v>
                </c:pt>
                <c:pt idx="4">
                  <c:v>Otros ingresos por suministro de bienes y servicios</c:v>
                </c:pt>
                <c:pt idx="5">
                  <c:v>Total</c:v>
                </c:pt>
              </c:strCache>
            </c:strRef>
          </c:cat>
          <c:val>
            <c:numRef>
              <c:f>EASPNF2021_ING!$C$9:$G$9</c:f>
              <c:numCache>
                <c:formatCode>General</c:formatCode>
                <c:ptCount val="5"/>
                <c:pt idx="0">
                  <c:v>84.3</c:v>
                </c:pt>
                <c:pt idx="1">
                  <c:v>2.2000000000000002</c:v>
                </c:pt>
                <c:pt idx="2">
                  <c:v>1</c:v>
                </c:pt>
                <c:pt idx="3">
                  <c:v>2.1</c:v>
                </c:pt>
                <c:pt idx="4">
                  <c:v>10.4</c:v>
                </c:pt>
              </c:numCache>
            </c:numRef>
          </c:val>
          <c:extLst>
            <c:ext xmlns:c16="http://schemas.microsoft.com/office/drawing/2014/chart" uri="{C3380CC4-5D6E-409C-BE32-E72D297353CC}">
              <c16:uniqueId val="{0000000A-B87D-4058-9CC1-ED3B31BD287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1" i="0" baseline="0">
                <a:effectLst/>
              </a:rPr>
              <a:t>Distribución porcentual de ingresos por suministro de bienes y servicios</a:t>
            </a:r>
            <a:endParaRPr lang="es-MX" sz="10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Servicios profesionales, científicos y técnicos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stacked"/>
        <c:varyColors val="0"/>
        <c:ser>
          <c:idx val="0"/>
          <c:order val="0"/>
          <c:tx>
            <c:strRef>
              <c:f>EASPNF2021_ING!$C$2</c:f>
              <c:strCache>
                <c:ptCount val="1"/>
                <c:pt idx="0">
                  <c:v>Prestación de servicios</c:v>
                </c:pt>
              </c:strCache>
            </c:strRef>
          </c:tx>
          <c:spPr>
            <a:solidFill>
              <a:schemeClr val="accent3">
                <a:shade val="53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EASPNF2021_ING!$B$5</c:f>
              <c:strCache>
                <c:ptCount val="1"/>
                <c:pt idx="0">
                  <c:v>Servicios profesionales, científicos y técnicos</c:v>
                </c:pt>
              </c:strCache>
            </c:strRef>
          </c:cat>
          <c:val>
            <c:numRef>
              <c:f>EASPNF2021_ING!$C$5</c:f>
              <c:numCache>
                <c:formatCode>General</c:formatCode>
                <c:ptCount val="1"/>
                <c:pt idx="0">
                  <c:v>97.9</c:v>
                </c:pt>
              </c:numCache>
            </c:numRef>
          </c:val>
          <c:extLst>
            <c:ext xmlns:c16="http://schemas.microsoft.com/office/drawing/2014/chart" uri="{C3380CC4-5D6E-409C-BE32-E72D297353CC}">
              <c16:uniqueId val="{00000000-334C-4B85-9FFD-67E7EF26FD83}"/>
            </c:ext>
          </c:extLst>
        </c:ser>
        <c:ser>
          <c:idx val="1"/>
          <c:order val="1"/>
          <c:tx>
            <c:strRef>
              <c:f>EASPNF2021_ING!$D$2</c:f>
              <c:strCache>
                <c:ptCount val="1"/>
                <c:pt idx="0">
                  <c:v>Compra-venta sin transformación de mercancías</c:v>
                </c:pt>
              </c:strCache>
            </c:strRef>
          </c:tx>
          <c:spPr>
            <a:solidFill>
              <a:schemeClr val="accent3">
                <a:shade val="76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EASPNF2021_ING!$B$5</c:f>
              <c:strCache>
                <c:ptCount val="1"/>
                <c:pt idx="0">
                  <c:v>Servicios profesionales, científicos y técnicos</c:v>
                </c:pt>
              </c:strCache>
            </c:strRef>
          </c:cat>
          <c:val>
            <c:numRef>
              <c:f>EASPNF2021_ING!$D$5</c:f>
              <c:numCache>
                <c:formatCode>General</c:formatCode>
                <c:ptCount val="1"/>
                <c:pt idx="0">
                  <c:v>0.7</c:v>
                </c:pt>
              </c:numCache>
            </c:numRef>
          </c:val>
          <c:extLst>
            <c:ext xmlns:c16="http://schemas.microsoft.com/office/drawing/2014/chart" uri="{C3380CC4-5D6E-409C-BE32-E72D297353CC}">
              <c16:uniqueId val="{00000001-334C-4B85-9FFD-67E7EF26FD83}"/>
            </c:ext>
          </c:extLst>
        </c:ser>
        <c:ser>
          <c:idx val="2"/>
          <c:order val="2"/>
          <c:tx>
            <c:strRef>
              <c:f>EASPNF2021_ING!$E$2</c:f>
              <c:strCache>
                <c:ptCount val="1"/>
                <c:pt idx="0">
                  <c:v>Alquiler de bienes muebles e inmuebles</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EASPNF2021_ING!$B$5</c:f>
              <c:strCache>
                <c:ptCount val="1"/>
                <c:pt idx="0">
                  <c:v>Servicios profesionales, científicos y técnicos</c:v>
                </c:pt>
              </c:strCache>
            </c:strRef>
          </c:cat>
          <c:val>
            <c:numRef>
              <c:f>EASPNF2021_ING!$E$5</c:f>
              <c:numCache>
                <c:formatCode>General</c:formatCode>
                <c:ptCount val="1"/>
                <c:pt idx="0">
                  <c:v>0.2</c:v>
                </c:pt>
              </c:numCache>
            </c:numRef>
          </c:val>
          <c:extLst>
            <c:ext xmlns:c16="http://schemas.microsoft.com/office/drawing/2014/chart" uri="{C3380CC4-5D6E-409C-BE32-E72D297353CC}">
              <c16:uniqueId val="{00000002-334C-4B85-9FFD-67E7EF26FD83}"/>
            </c:ext>
          </c:extLst>
        </c:ser>
        <c:ser>
          <c:idx val="3"/>
          <c:order val="3"/>
          <c:tx>
            <c:strRef>
              <c:f>EASPNF2021_ING!$F$2</c:f>
              <c:strCache>
                <c:ptCount val="1"/>
                <c:pt idx="0">
                  <c:v>Regalias</c:v>
                </c:pt>
              </c:strCache>
            </c:strRef>
          </c:tx>
          <c:spPr>
            <a:solidFill>
              <a:schemeClr val="accent3">
                <a:tint val="77000"/>
              </a:schemeClr>
            </a:solidFill>
            <a:ln w="19050">
              <a:solidFill>
                <a:schemeClr val="lt1"/>
              </a:solidFill>
            </a:ln>
            <a:effectLst/>
          </c:spPr>
          <c:invertIfNegative val="0"/>
          <c:cat>
            <c:strRef>
              <c:f>EASPNF2021_ING!$B$5</c:f>
              <c:strCache>
                <c:ptCount val="1"/>
                <c:pt idx="0">
                  <c:v>Servicios profesionales, científicos y técnicos</c:v>
                </c:pt>
              </c:strCache>
            </c:strRef>
          </c:cat>
          <c:val>
            <c:numRef>
              <c:f>EASPNF2021_ING!$F$5</c:f>
              <c:numCache>
                <c:formatCode>General</c:formatCode>
                <c:ptCount val="1"/>
                <c:pt idx="0">
                  <c:v>0</c:v>
                </c:pt>
              </c:numCache>
            </c:numRef>
          </c:val>
          <c:extLst>
            <c:ext xmlns:c16="http://schemas.microsoft.com/office/drawing/2014/chart" uri="{C3380CC4-5D6E-409C-BE32-E72D297353CC}">
              <c16:uniqueId val="{00000003-334C-4B85-9FFD-67E7EF26FD83}"/>
            </c:ext>
          </c:extLst>
        </c:ser>
        <c:ser>
          <c:idx val="4"/>
          <c:order val="4"/>
          <c:tx>
            <c:strRef>
              <c:f>EASPNF2021_ING!$G$2</c:f>
              <c:strCache>
                <c:ptCount val="1"/>
                <c:pt idx="0">
                  <c:v>Otros ingresos por suministro de bienes y servicios</c:v>
                </c:pt>
              </c:strCache>
            </c:strRef>
          </c:tx>
          <c:spPr>
            <a:solidFill>
              <a:schemeClr val="accent3">
                <a:tint val="54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EASPNF2021_ING!$B$5</c:f>
              <c:strCache>
                <c:ptCount val="1"/>
                <c:pt idx="0">
                  <c:v>Servicios profesionales, científicos y técnicos</c:v>
                </c:pt>
              </c:strCache>
            </c:strRef>
          </c:cat>
          <c:val>
            <c:numRef>
              <c:f>EASPNF2021_ING!$G$5</c:f>
              <c:numCache>
                <c:formatCode>General</c:formatCode>
                <c:ptCount val="1"/>
                <c:pt idx="0">
                  <c:v>1.1000000000000001</c:v>
                </c:pt>
              </c:numCache>
            </c:numRef>
          </c:val>
          <c:extLst>
            <c:ext xmlns:c16="http://schemas.microsoft.com/office/drawing/2014/chart" uri="{C3380CC4-5D6E-409C-BE32-E72D297353CC}">
              <c16:uniqueId val="{00000004-334C-4B85-9FFD-67E7EF26FD83}"/>
            </c:ext>
          </c:extLst>
        </c:ser>
        <c:dLbls>
          <c:showLegendKey val="0"/>
          <c:showVal val="0"/>
          <c:showCatName val="0"/>
          <c:showSerName val="0"/>
          <c:showPercent val="0"/>
          <c:showBubbleSize val="0"/>
        </c:dLbls>
        <c:gapWidth val="150"/>
        <c:overlap val="100"/>
        <c:axId val="1714799567"/>
        <c:axId val="1714792911"/>
      </c:barChart>
      <c:catAx>
        <c:axId val="1714799567"/>
        <c:scaling>
          <c:orientation val="minMax"/>
        </c:scaling>
        <c:delete val="1"/>
        <c:axPos val="b"/>
        <c:numFmt formatCode="General" sourceLinked="1"/>
        <c:majorTickMark val="out"/>
        <c:minorTickMark val="none"/>
        <c:tickLblPos val="nextTo"/>
        <c:crossAx val="1714792911"/>
        <c:crosses val="autoZero"/>
        <c:auto val="1"/>
        <c:lblAlgn val="ctr"/>
        <c:lblOffset val="100"/>
        <c:noMultiLvlLbl val="0"/>
      </c:catAx>
      <c:valAx>
        <c:axId val="1714792911"/>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71479956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t>Distribución porcentual de activos fijos</a:t>
            </a:r>
          </a:p>
          <a:p>
            <a:pPr>
              <a:defRPr sz="1000" b="1"/>
            </a:pPr>
            <a:r>
              <a:rPr lang="en-US" sz="1000" b="1"/>
              <a:t>Información en medios masivos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pieChart>
        <c:varyColors val="1"/>
        <c:ser>
          <c:idx val="0"/>
          <c:order val="0"/>
          <c:tx>
            <c:strRef>
              <c:f>EASPNF2021_ACT!$B$3</c:f>
              <c:strCache>
                <c:ptCount val="1"/>
                <c:pt idx="0">
                  <c:v>Información en medios masivos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7C-4BAF-9E46-57854AF389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7C-4BAF-9E46-57854AF389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7C-4BAF-9E46-57854AF389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7C-4BAF-9E46-57854AF389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7C-4BAF-9E46-57854AF3899D}"/>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EASPNF2021_ACT!$C$2:$G$2</c:f>
              <c:strCache>
                <c:ptCount val="5"/>
                <c:pt idx="0">
                  <c:v>Maquinaria y equipo de producción</c:v>
                </c:pt>
                <c:pt idx="1">
                  <c:v>Bienes inmuebles</c:v>
                </c:pt>
                <c:pt idx="2">
                  <c:v>Unidades y equipo de transporte</c:v>
                </c:pt>
                <c:pt idx="3">
                  <c:v>Equipo de cómputo y periféricos</c:v>
                </c:pt>
                <c:pt idx="4">
                  <c:v>Mobiliario, equipo de oficina y otros activos fijos</c:v>
                </c:pt>
              </c:strCache>
            </c:strRef>
          </c:cat>
          <c:val>
            <c:numRef>
              <c:f>EASPNF2021_ACT!$C$3:$G$3</c:f>
              <c:numCache>
                <c:formatCode>General</c:formatCode>
                <c:ptCount val="5"/>
                <c:pt idx="0">
                  <c:v>76.2</c:v>
                </c:pt>
                <c:pt idx="1">
                  <c:v>9.3000000000000007</c:v>
                </c:pt>
                <c:pt idx="2">
                  <c:v>0.8</c:v>
                </c:pt>
                <c:pt idx="3">
                  <c:v>11</c:v>
                </c:pt>
                <c:pt idx="4">
                  <c:v>2.7</c:v>
                </c:pt>
              </c:numCache>
            </c:numRef>
          </c:val>
          <c:extLst>
            <c:ext xmlns:c16="http://schemas.microsoft.com/office/drawing/2014/chart" uri="{C3380CC4-5D6E-409C-BE32-E72D297353CC}">
              <c16:uniqueId val="{0000000A-867C-4BAF-9E46-57854AF3899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1" i="0" baseline="0">
                <a:effectLst/>
              </a:rPr>
              <a:t>Distribución porcentual de activos fijos</a:t>
            </a:r>
            <a:endParaRPr lang="es-MX"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defRPr>
            </a:pPr>
            <a:r>
              <a:rPr lang="en-US" sz="1000" b="1"/>
              <a:t>Servicios de salud y de asistencia social</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EASPNF2021_ACT!$B$8</c:f>
              <c:strCache>
                <c:ptCount val="1"/>
                <c:pt idx="0">
                  <c:v>Servicios de salud y de asistencia social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65-4F7A-A419-A5376E02E81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65-4F7A-A419-A5376E02E81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65-4F7A-A419-A5376E02E81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65-4F7A-A419-A5376E02E81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065-4F7A-A419-A5376E02E81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EASPNF2021_ACT!$C$2:$G$2</c:f>
              <c:strCache>
                <c:ptCount val="5"/>
                <c:pt idx="0">
                  <c:v>Maquinaria y equipo de producción</c:v>
                </c:pt>
                <c:pt idx="1">
                  <c:v>Bienes inmuebles</c:v>
                </c:pt>
                <c:pt idx="2">
                  <c:v>Unidades y equipo de transporte</c:v>
                </c:pt>
                <c:pt idx="3">
                  <c:v>Equipo de cómputo y periféricos</c:v>
                </c:pt>
                <c:pt idx="4">
                  <c:v>Mobiliario, equipo de oficina y otros activos fijos</c:v>
                </c:pt>
              </c:strCache>
            </c:strRef>
          </c:cat>
          <c:val>
            <c:numRef>
              <c:f>EASPNF2021_ACT!$C$8:$G$8</c:f>
              <c:numCache>
                <c:formatCode>General</c:formatCode>
                <c:ptCount val="5"/>
                <c:pt idx="0">
                  <c:v>38.700000000000003</c:v>
                </c:pt>
                <c:pt idx="1">
                  <c:v>39.9</c:v>
                </c:pt>
                <c:pt idx="2">
                  <c:v>5</c:v>
                </c:pt>
                <c:pt idx="3">
                  <c:v>4.0999999999999996</c:v>
                </c:pt>
                <c:pt idx="4">
                  <c:v>12.4</c:v>
                </c:pt>
              </c:numCache>
            </c:numRef>
          </c:val>
          <c:extLst>
            <c:ext xmlns:c16="http://schemas.microsoft.com/office/drawing/2014/chart" uri="{C3380CC4-5D6E-409C-BE32-E72D297353CC}">
              <c16:uniqueId val="{0000000A-6065-4F7A-A419-A5376E02E812}"/>
            </c:ext>
          </c:extLst>
        </c:ser>
        <c:dLbls>
          <c:dLblPos val="out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stacked"/>
        <c:varyColors val="0"/>
        <c:ser>
          <c:idx val="1"/>
          <c:order val="0"/>
          <c:tx>
            <c:strRef>
              <c:f>'Capacitación - Pestaña 13'!$D$5:$D$6</c:f>
              <c:strCache>
                <c:ptCount val="2"/>
                <c:pt idx="1">
                  <c:v>Si</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'Capacitación - Pestaña 13'!$B$7:$B$13</c:f>
              <c:strCache>
                <c:ptCount val="7"/>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Servicios de alojamiento temporal y de preparación de alimentos y bebidas</c:v>
                </c:pt>
              </c:strCache>
            </c:strRef>
          </c:cat>
          <c:val>
            <c:numRef>
              <c:f>'Capacitación - Pestaña 13'!$D$7:$D$13</c:f>
              <c:numCache>
                <c:formatCode>0.0</c:formatCode>
                <c:ptCount val="7"/>
                <c:pt idx="0">
                  <c:v>62.3</c:v>
                </c:pt>
                <c:pt idx="1">
                  <c:v>74.900000000000006</c:v>
                </c:pt>
                <c:pt idx="2">
                  <c:v>38.31</c:v>
                </c:pt>
                <c:pt idx="3">
                  <c:v>40.47</c:v>
                </c:pt>
                <c:pt idx="4">
                  <c:v>44.78</c:v>
                </c:pt>
                <c:pt idx="5">
                  <c:v>28.09</c:v>
                </c:pt>
                <c:pt idx="6">
                  <c:v>35.33</c:v>
                </c:pt>
              </c:numCache>
            </c:numRef>
          </c:val>
          <c:extLst>
            <c:ext xmlns:c16="http://schemas.microsoft.com/office/drawing/2014/chart" uri="{C3380CC4-5D6E-409C-BE32-E72D297353CC}">
              <c16:uniqueId val="{00000000-AFC7-4850-87BB-B6F449086190}"/>
            </c:ext>
          </c:extLst>
        </c:ser>
        <c:ser>
          <c:idx val="0"/>
          <c:order val="1"/>
          <c:tx>
            <c:strRef>
              <c:f>'Capacitación - Pestaña 13'!$C$5:$C$6</c:f>
              <c:strCache>
                <c:ptCount val="2"/>
                <c:pt idx="1">
                  <c:v>No</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'Capacitación - Pestaña 13'!$B$7:$B$13</c:f>
              <c:strCache>
                <c:ptCount val="7"/>
                <c:pt idx="0">
                  <c:v>Información en medios masivos</c:v>
                </c:pt>
                <c:pt idx="1">
                  <c:v>Servicios inmobiliarios y de alquiler de bienes muebles e intangibles </c:v>
                </c:pt>
                <c:pt idx="2">
                  <c:v>Servicios profesionales, científicos y técnicos</c:v>
                </c:pt>
                <c:pt idx="3">
                  <c:v>Servicios de apoyo a los negocios y manejo de desechos y servicios de remediación</c:v>
                </c:pt>
                <c:pt idx="4">
                  <c:v>Servicios educativos</c:v>
                </c:pt>
                <c:pt idx="5">
                  <c:v>Servicios de salud y de asistencia social</c:v>
                </c:pt>
                <c:pt idx="6">
                  <c:v>Servicios de alojamiento temporal y de preparación de alimentos y bebidas</c:v>
                </c:pt>
              </c:strCache>
            </c:strRef>
          </c:cat>
          <c:val>
            <c:numRef>
              <c:f>'Capacitación - Pestaña 13'!$C$7:$C$13</c:f>
              <c:numCache>
                <c:formatCode>0.0</c:formatCode>
                <c:ptCount val="7"/>
                <c:pt idx="0">
                  <c:v>37.700000000000003</c:v>
                </c:pt>
                <c:pt idx="1">
                  <c:v>25.1</c:v>
                </c:pt>
                <c:pt idx="2">
                  <c:v>61.69</c:v>
                </c:pt>
                <c:pt idx="3">
                  <c:v>59.53</c:v>
                </c:pt>
                <c:pt idx="4">
                  <c:v>55.22</c:v>
                </c:pt>
                <c:pt idx="5">
                  <c:v>71.91</c:v>
                </c:pt>
                <c:pt idx="6">
                  <c:v>64.67</c:v>
                </c:pt>
              </c:numCache>
            </c:numRef>
          </c:val>
          <c:extLst>
            <c:ext xmlns:c16="http://schemas.microsoft.com/office/drawing/2014/chart" uri="{C3380CC4-5D6E-409C-BE32-E72D297353CC}">
              <c16:uniqueId val="{00000001-AFC7-4850-87BB-B6F449086190}"/>
            </c:ext>
          </c:extLst>
        </c:ser>
        <c:dLbls>
          <c:showLegendKey val="0"/>
          <c:showVal val="0"/>
          <c:showCatName val="0"/>
          <c:showSerName val="0"/>
          <c:showPercent val="0"/>
          <c:showBubbleSize val="0"/>
        </c:dLbls>
        <c:gapWidth val="150"/>
        <c:overlap val="100"/>
        <c:axId val="1045146160"/>
        <c:axId val="1045140752"/>
      </c:barChart>
      <c:catAx>
        <c:axId val="104514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45140752"/>
        <c:crosses val="autoZero"/>
        <c:auto val="1"/>
        <c:lblAlgn val="ctr"/>
        <c:lblOffset val="100"/>
        <c:noMultiLvlLbl val="0"/>
      </c:catAx>
      <c:valAx>
        <c:axId val="1045140752"/>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045146160"/>
        <c:crosses val="autoZero"/>
        <c:crossBetween val="between"/>
        <c:majorUnit val="20"/>
        <c:min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3572-5111-47E2-B74C-9AACEA5E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2657</Words>
  <Characters>14616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Comunicado de Prensa. Encuesta Anual de Servicios Privados No Financieros (EASPNF) 2020</vt:lpstr>
    </vt:vector>
  </TitlesOfParts>
  <Company>INEGI</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Anual de Servicios Privados No Financieros (EASPNF) 2020</dc:title>
  <dc:creator>INEGI</dc:creator>
  <cp:keywords>PEA Ocupación Desocupación Subocupación</cp:keywords>
  <cp:lastModifiedBy>GUILLEN MEDINA MOISES</cp:lastModifiedBy>
  <cp:revision>3</cp:revision>
  <cp:lastPrinted>2021-12-09T04:23:00Z</cp:lastPrinted>
  <dcterms:created xsi:type="dcterms:W3CDTF">2021-12-12T23:47:00Z</dcterms:created>
  <dcterms:modified xsi:type="dcterms:W3CDTF">2021-12-13T00:11:00Z</dcterms:modified>
  <cp:category>Encuesta Nacional de Ocupación y Empleo</cp:category>
  <cp:version>1</cp:version>
</cp:coreProperties>
</file>