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68E5" w14:textId="128939E7" w:rsidR="002B1158" w:rsidRPr="003F4DF9" w:rsidRDefault="003F4DF9" w:rsidP="002B1158">
      <w:pPr>
        <w:pStyle w:val="Ttulo10"/>
      </w:pPr>
      <w:r w:rsidRPr="003F4DF9">
        <w:t>ENCUESTA ANUAL DE TRANSPORTES (EAT) 2020</w:t>
      </w:r>
      <w:r w:rsidR="007A6327">
        <w:t xml:space="preserve">, </w:t>
      </w:r>
      <w:r w:rsidRPr="003F4DF9">
        <w:t>CIFRAS PRELIMINARES</w:t>
      </w:r>
    </w:p>
    <w:p w14:paraId="090A3C5E" w14:textId="77777777" w:rsidR="002B1158" w:rsidRDefault="002B1158" w:rsidP="009813FF">
      <w:pPr>
        <w:tabs>
          <w:tab w:val="left" w:pos="8789"/>
        </w:tabs>
        <w:ind w:right="51"/>
        <w:jc w:val="center"/>
        <w:rPr>
          <w:b/>
          <w:sz w:val="28"/>
          <w:szCs w:val="28"/>
        </w:rPr>
      </w:pPr>
    </w:p>
    <w:p w14:paraId="451A79C7" w14:textId="4C01C47E" w:rsidR="003F4DF9" w:rsidRDefault="002B1158" w:rsidP="003F4DF9">
      <w:pPr>
        <w:ind w:left="-426" w:right="51"/>
        <w:contextualSpacing/>
        <w:rPr>
          <w:noProof/>
          <w:lang w:eastAsia="es-MX"/>
        </w:rPr>
      </w:pPr>
      <w:r w:rsidRPr="003F4DF9">
        <w:rPr>
          <w:lang w:val="es-MX"/>
        </w:rPr>
        <w:t>El Instituto Nacional de Estadística y Geografía (INEGI)</w:t>
      </w:r>
      <w:r w:rsidR="003F4DF9">
        <w:rPr>
          <w:lang w:val="es-MX"/>
        </w:rPr>
        <w:t xml:space="preserve"> </w:t>
      </w:r>
      <w:r w:rsidRPr="003F4DF9">
        <w:rPr>
          <w:lang w:val="es-MX"/>
        </w:rPr>
        <w:t xml:space="preserve">da a conocer los resultados </w:t>
      </w:r>
      <w:r w:rsidR="003F4DF9">
        <w:rPr>
          <w:lang w:val="es-MX"/>
        </w:rPr>
        <w:t xml:space="preserve">preliminares </w:t>
      </w:r>
      <w:r w:rsidRPr="003F4DF9">
        <w:rPr>
          <w:lang w:val="es-MX"/>
        </w:rPr>
        <w:t xml:space="preserve">de la </w:t>
      </w:r>
      <w:bookmarkStart w:id="0" w:name="_GoBack"/>
      <w:r w:rsidRPr="003F4DF9">
        <w:rPr>
          <w:lang w:val="es-MX"/>
        </w:rPr>
        <w:t>Encuesta Anual de Transportes (EAT)</w:t>
      </w:r>
      <w:r w:rsidR="003F4DF9">
        <w:rPr>
          <w:lang w:val="es-MX"/>
        </w:rPr>
        <w:t xml:space="preserve"> 2020</w:t>
      </w:r>
      <w:bookmarkEnd w:id="0"/>
      <w:r w:rsidR="003F4DF9">
        <w:rPr>
          <w:lang w:val="es-MX"/>
        </w:rPr>
        <w:t xml:space="preserve"> con los que se proporciona al usuario un panorama </w:t>
      </w:r>
      <w:r w:rsidR="00651ADB">
        <w:rPr>
          <w:noProof/>
          <w:lang w:eastAsia="es-MX"/>
        </w:rPr>
        <w:t xml:space="preserve">a nivel nacional de </w:t>
      </w:r>
      <w:r w:rsidR="003F4DF9" w:rsidRPr="003F4DF9">
        <w:rPr>
          <w:noProof/>
          <w:lang w:eastAsia="es-MX"/>
        </w:rPr>
        <w:t>las actividades de transportes y los servicios relacionados</w:t>
      </w:r>
      <w:r w:rsidR="003F4DF9">
        <w:rPr>
          <w:noProof/>
          <w:lang w:eastAsia="es-MX"/>
        </w:rPr>
        <w:t xml:space="preserve"> a esta actividad</w:t>
      </w:r>
      <w:r w:rsidR="00651ADB">
        <w:rPr>
          <w:noProof/>
          <w:lang w:eastAsia="es-MX"/>
        </w:rPr>
        <w:t xml:space="preserve">. </w:t>
      </w:r>
    </w:p>
    <w:p w14:paraId="6166BBF9" w14:textId="77777777" w:rsidR="003F4DF9" w:rsidRDefault="003F4DF9" w:rsidP="003F4DF9">
      <w:pPr>
        <w:ind w:left="-426" w:right="51"/>
        <w:contextualSpacing/>
        <w:rPr>
          <w:noProof/>
          <w:lang w:eastAsia="es-MX"/>
        </w:rPr>
      </w:pPr>
    </w:p>
    <w:p w14:paraId="25BACD30" w14:textId="57020D73" w:rsidR="003F4DF9" w:rsidRDefault="003F4DF9" w:rsidP="003F4DF9">
      <w:pPr>
        <w:ind w:left="-426" w:right="51"/>
        <w:contextualSpacing/>
        <w:rPr>
          <w:noProof/>
          <w:lang w:eastAsia="es-MX"/>
        </w:rPr>
      </w:pPr>
      <w:r>
        <w:rPr>
          <w:noProof/>
          <w:lang w:eastAsia="es-MX"/>
        </w:rPr>
        <w:t>La EAT sirve</w:t>
      </w:r>
      <w:r w:rsidRPr="003F4DF9">
        <w:rPr>
          <w:noProof/>
          <w:lang w:eastAsia="es-MX"/>
        </w:rPr>
        <w:t xml:space="preserve"> como insumo o componente para la generación de algunos indicadores del Sistema de Cuentas Nacionales de México, tales como</w:t>
      </w:r>
      <w:r>
        <w:rPr>
          <w:noProof/>
          <w:lang w:eastAsia="es-MX"/>
        </w:rPr>
        <w:t xml:space="preserve"> el</w:t>
      </w:r>
      <w:r w:rsidRPr="003F4DF9">
        <w:rPr>
          <w:noProof/>
          <w:lang w:eastAsia="es-MX"/>
        </w:rPr>
        <w:t xml:space="preserve"> Producto Interno Bruto (PIB), </w:t>
      </w:r>
      <w:r>
        <w:rPr>
          <w:noProof/>
          <w:lang w:eastAsia="es-MX"/>
        </w:rPr>
        <w:t xml:space="preserve">la </w:t>
      </w:r>
      <w:r w:rsidRPr="003F4DF9">
        <w:rPr>
          <w:noProof/>
          <w:lang w:eastAsia="es-MX"/>
        </w:rPr>
        <w:t xml:space="preserve">Cuenta de Bienes y Servicios, </w:t>
      </w:r>
      <w:r>
        <w:rPr>
          <w:noProof/>
          <w:lang w:eastAsia="es-MX"/>
        </w:rPr>
        <w:t xml:space="preserve">el </w:t>
      </w:r>
      <w:r w:rsidRPr="003F4DF9">
        <w:rPr>
          <w:noProof/>
          <w:lang w:eastAsia="es-MX"/>
        </w:rPr>
        <w:t>Indicador Global de la Actividad Económica (IGAE)</w:t>
      </w:r>
      <w:r>
        <w:rPr>
          <w:noProof/>
          <w:lang w:eastAsia="es-MX"/>
        </w:rPr>
        <w:t xml:space="preserve"> y la </w:t>
      </w:r>
      <w:r w:rsidRPr="003F4DF9">
        <w:rPr>
          <w:noProof/>
          <w:lang w:eastAsia="es-MX"/>
        </w:rPr>
        <w:t>Oferta y Utilización total de Bienes y Servicios, entre otros.</w:t>
      </w:r>
    </w:p>
    <w:p w14:paraId="7DAABD18" w14:textId="05A605C8" w:rsidR="003F4DF9" w:rsidRPr="003F4DF9" w:rsidRDefault="003F4DF9" w:rsidP="003F4DF9">
      <w:pPr>
        <w:pStyle w:val="Pa8"/>
        <w:spacing w:before="240" w:line="240" w:lineRule="auto"/>
        <w:ind w:left="-426" w:right="51"/>
        <w:jc w:val="both"/>
        <w:rPr>
          <w:lang w:val="es-ES_tradnl" w:eastAsia="es-MX"/>
        </w:rPr>
      </w:pPr>
      <w:r w:rsidRPr="003F4DF9">
        <w:rPr>
          <w:lang w:val="es-ES_tradnl" w:eastAsia="es-MX"/>
        </w:rPr>
        <w:t xml:space="preserve">La unidad de observación en la EAT es la empresa y la cobertura sectorial corresponde a 13 dominios de estudio (dos probabilísticos, el subsector 484 Autotransporte de carga y la clase de actividad 485111 Transporte colectivo urbano y suburbano de pasajeros en autobuses de ruta fija; y 11 dominios de estudio no probabilísticos) a nivel de clase, rama o subsector, de acuerdo con el Sistema de Clasificación Industrial de América del Norte </w:t>
      </w:r>
      <w:r>
        <w:rPr>
          <w:lang w:val="es-ES_tradnl" w:eastAsia="es-MX"/>
        </w:rPr>
        <w:t>(</w:t>
      </w:r>
      <w:r w:rsidRPr="003F4DF9">
        <w:rPr>
          <w:lang w:val="es-ES_tradnl" w:eastAsia="es-MX"/>
        </w:rPr>
        <w:t>SCIAN</w:t>
      </w:r>
      <w:r>
        <w:rPr>
          <w:lang w:val="es-ES_tradnl" w:eastAsia="es-MX"/>
        </w:rPr>
        <w:t xml:space="preserve">) </w:t>
      </w:r>
      <w:r w:rsidRPr="003F4DF9">
        <w:rPr>
          <w:lang w:val="es-ES_tradnl" w:eastAsia="es-MX"/>
        </w:rPr>
        <w:t xml:space="preserve">2013. </w:t>
      </w:r>
    </w:p>
    <w:p w14:paraId="20F782EA" w14:textId="77777777" w:rsidR="002B1158" w:rsidRPr="003F4DF9" w:rsidRDefault="002B1158" w:rsidP="003F4DF9">
      <w:pPr>
        <w:rPr>
          <w:lang w:val="es-MX"/>
        </w:rPr>
      </w:pPr>
    </w:p>
    <w:p w14:paraId="526601DB" w14:textId="018E3666" w:rsidR="002B1158" w:rsidRPr="003F4DF9" w:rsidRDefault="00056872" w:rsidP="003F4DF9">
      <w:pPr>
        <w:ind w:left="-426" w:right="-516"/>
        <w:contextualSpacing/>
        <w:rPr>
          <w:b/>
          <w:bCs/>
          <w:noProof/>
          <w:lang w:eastAsia="es-MX"/>
        </w:rPr>
      </w:pPr>
      <w:r w:rsidRPr="003F4DF9">
        <w:rPr>
          <w:b/>
          <w:bCs/>
          <w:noProof/>
          <w:lang w:eastAsia="es-MX"/>
        </w:rPr>
        <w:t>PRINCIPALES RESULTADOS</w:t>
      </w:r>
    </w:p>
    <w:p w14:paraId="46C2D18A" w14:textId="320F4287" w:rsidR="002B1158" w:rsidRPr="003F4DF9" w:rsidRDefault="002B1158" w:rsidP="00725827">
      <w:pPr>
        <w:spacing w:before="120" w:after="240"/>
        <w:ind w:left="-426" w:right="51"/>
        <w:rPr>
          <w:lang w:val="es-MX"/>
        </w:rPr>
      </w:pPr>
      <w:r w:rsidRPr="003F4DF9">
        <w:rPr>
          <w:lang w:val="es-MX"/>
        </w:rPr>
        <w:t>E</w:t>
      </w:r>
      <w:r w:rsidR="003F4DF9">
        <w:rPr>
          <w:lang w:val="es-MX"/>
        </w:rPr>
        <w:t>n 2020, e</w:t>
      </w:r>
      <w:r w:rsidRPr="003F4DF9">
        <w:rPr>
          <w:lang w:val="es-MX"/>
        </w:rPr>
        <w:t xml:space="preserve">l personal ocupado </w:t>
      </w:r>
      <w:r w:rsidR="003F4DF9">
        <w:rPr>
          <w:lang w:val="es-MX"/>
        </w:rPr>
        <w:t>registró retroceso</w:t>
      </w:r>
      <w:r w:rsidR="00725827">
        <w:rPr>
          <w:lang w:val="es-MX"/>
        </w:rPr>
        <w:t xml:space="preserve">s en seis de los siete tipos de transporte registrados. El </w:t>
      </w:r>
      <w:r w:rsidR="003F4DF9">
        <w:rPr>
          <w:lang w:val="es-MX"/>
        </w:rPr>
        <w:t xml:space="preserve">más pronunciado </w:t>
      </w:r>
      <w:r w:rsidR="00725827">
        <w:rPr>
          <w:lang w:val="es-MX"/>
        </w:rPr>
        <w:t>fue en</w:t>
      </w:r>
      <w:r w:rsidR="003F4DF9">
        <w:rPr>
          <w:lang w:val="es-MX"/>
        </w:rPr>
        <w:t xml:space="preserve"> </w:t>
      </w:r>
      <w:r w:rsidRPr="003F4DF9">
        <w:rPr>
          <w:lang w:val="es-MX"/>
        </w:rPr>
        <w:t>el transporte marítimo de cabotaje</w:t>
      </w:r>
      <w:r w:rsidR="00725827">
        <w:rPr>
          <w:lang w:val="es-MX"/>
        </w:rPr>
        <w:t xml:space="preserve"> con una tasa </w:t>
      </w:r>
      <w:r w:rsidRPr="003F4DF9">
        <w:rPr>
          <w:lang w:val="es-MX"/>
        </w:rPr>
        <w:t>d</w:t>
      </w:r>
      <w:r w:rsidR="00725827">
        <w:rPr>
          <w:lang w:val="es-MX"/>
        </w:rPr>
        <w:t xml:space="preserve">e    </w:t>
      </w:r>
      <w:r w:rsidRPr="003F4DF9">
        <w:rPr>
          <w:lang w:val="es-MX"/>
        </w:rPr>
        <w:t>(-)27.3%; la excepción a este comportamiento se observ</w:t>
      </w:r>
      <w:r w:rsidR="00725827">
        <w:rPr>
          <w:lang w:val="es-MX"/>
        </w:rPr>
        <w:t>ó</w:t>
      </w:r>
      <w:r w:rsidRPr="003F4DF9">
        <w:rPr>
          <w:lang w:val="es-MX"/>
        </w:rPr>
        <w:t xml:space="preserve"> en el transporte por ferrocarril con un crecimiento de 1.2</w:t>
      </w:r>
      <w:r w:rsidR="00DD17EE">
        <w:rPr>
          <w:lang w:val="es-MX"/>
        </w:rPr>
        <w:t xml:space="preserve"> por ciento.</w:t>
      </w:r>
    </w:p>
    <w:p w14:paraId="3CEDCB41" w14:textId="37D22C62" w:rsidR="002B1158" w:rsidRPr="003F4DF9" w:rsidRDefault="00725827" w:rsidP="00725827">
      <w:pPr>
        <w:spacing w:before="120" w:after="240"/>
        <w:ind w:left="-426" w:right="193"/>
      </w:pPr>
      <w:r>
        <w:t>Las</w:t>
      </w:r>
      <w:r w:rsidR="002B1158" w:rsidRPr="003F4DF9">
        <w:t xml:space="preserve"> mujeres ha</w:t>
      </w:r>
      <w:r>
        <w:t>n</w:t>
      </w:r>
      <w:r w:rsidR="002B1158" w:rsidRPr="003F4DF9">
        <w:t xml:space="preserve"> venido ganando terreno en diversas actividades económicas, incluyendo las de transportes, que en 2020 c</w:t>
      </w:r>
      <w:r>
        <w:t>ubren</w:t>
      </w:r>
      <w:r w:rsidR="002B1158" w:rsidRPr="003F4DF9">
        <w:t xml:space="preserve"> 13.9% del total de la ocupación.</w:t>
      </w:r>
    </w:p>
    <w:p w14:paraId="2AAA32AB" w14:textId="441A7B6B" w:rsidR="002B1158" w:rsidRPr="003F4DF9" w:rsidRDefault="002B1158" w:rsidP="003F4DF9">
      <w:pPr>
        <w:spacing w:before="120" w:after="240"/>
        <w:ind w:left="-426" w:right="193"/>
      </w:pPr>
      <w:r w:rsidRPr="003F4DF9">
        <w:t xml:space="preserve">Las actividades económicas que ocupan personal con mayor nivel de estudios, en términos relativos, son el transporte por ferrocarril y el transporte aéreo, con 59.1 y 10.2% de sexo masculino </w:t>
      </w:r>
      <w:r w:rsidR="00725827">
        <w:t xml:space="preserve">así como </w:t>
      </w:r>
      <w:r w:rsidRPr="003F4DF9">
        <w:t>21.6 y 6.8% de personal femenino, respectivamente.</w:t>
      </w:r>
    </w:p>
    <w:p w14:paraId="25B7B1D0" w14:textId="1744CC2C" w:rsidR="002B1158" w:rsidRPr="003F4DF9" w:rsidRDefault="00725827" w:rsidP="003F4DF9">
      <w:pPr>
        <w:ind w:left="-426" w:right="51"/>
        <w:contextualSpacing/>
      </w:pPr>
      <w:r>
        <w:t xml:space="preserve">El </w:t>
      </w:r>
      <w:r w:rsidRPr="003F4DF9">
        <w:t xml:space="preserve">90.9% del personal </w:t>
      </w:r>
      <w:r>
        <w:t>e</w:t>
      </w:r>
      <w:r w:rsidR="002B1158" w:rsidRPr="003F4DF9">
        <w:t>n las empresas dedicadas al transporte marítimo de altura, excepto de petróleo y gas natural recibió capacitación</w:t>
      </w:r>
      <w:r>
        <w:t>. E</w:t>
      </w:r>
      <w:r w:rsidR="002B1158" w:rsidRPr="003F4DF9">
        <w:t xml:space="preserve">n el transporte por ferrocarril solamente </w:t>
      </w:r>
      <w:r>
        <w:t>se capacitó a</w:t>
      </w:r>
      <w:r w:rsidR="002B1158" w:rsidRPr="003F4DF9">
        <w:t xml:space="preserve"> 16.7% de</w:t>
      </w:r>
      <w:r>
        <w:t>l</w:t>
      </w:r>
      <w:r w:rsidR="002B1158" w:rsidRPr="003F4DF9">
        <w:t xml:space="preserve"> personal.</w:t>
      </w:r>
    </w:p>
    <w:p w14:paraId="767DB021" w14:textId="4EDAE4AA" w:rsidR="002B1158" w:rsidRPr="003F4DF9" w:rsidRDefault="002B1158" w:rsidP="003F4DF9">
      <w:pPr>
        <w:ind w:left="-426" w:right="51"/>
        <w:contextualSpacing/>
      </w:pPr>
    </w:p>
    <w:p w14:paraId="1F97F848" w14:textId="20251DD1" w:rsidR="002B1158" w:rsidRPr="003F4DF9" w:rsidRDefault="002B1158" w:rsidP="003F4DF9">
      <w:pPr>
        <w:ind w:left="-426" w:right="51"/>
        <w:contextualSpacing/>
      </w:pPr>
      <w:r w:rsidRPr="003F4DF9">
        <w:t>Las empresas transportistas poseen el mayor porcentaje de sus activos fijos en el equipo de transporte</w:t>
      </w:r>
      <w:r w:rsidR="00DD17EE">
        <w:t xml:space="preserve"> (entre 82.8 y 98.8%), mientras que el </w:t>
      </w:r>
      <w:r w:rsidRPr="003F4DF9">
        <w:t>transporte por ferrocarril invierte más en su infraestructura.</w:t>
      </w:r>
    </w:p>
    <w:p w14:paraId="3E831F35" w14:textId="77777777" w:rsidR="002B1158" w:rsidRPr="003F4DF9" w:rsidRDefault="002B1158" w:rsidP="003F4DF9">
      <w:pPr>
        <w:ind w:left="-426" w:right="51"/>
        <w:contextualSpacing/>
      </w:pPr>
    </w:p>
    <w:p w14:paraId="6A8EFC91" w14:textId="6660A082" w:rsidR="002B1158" w:rsidRPr="003F4DF9" w:rsidRDefault="002B1158" w:rsidP="003F4DF9">
      <w:pPr>
        <w:ind w:left="-426" w:right="51"/>
        <w:contextualSpacing/>
      </w:pPr>
      <w:r w:rsidRPr="003F4DF9">
        <w:t xml:space="preserve">La Encuesta Anual de Transportes </w:t>
      </w:r>
      <w:r w:rsidR="00DD17EE">
        <w:t xml:space="preserve">arroja que </w:t>
      </w:r>
      <w:r w:rsidRPr="003F4DF9">
        <w:t xml:space="preserve">el diésel </w:t>
      </w:r>
      <w:r w:rsidR="00DD17EE">
        <w:t xml:space="preserve">es </w:t>
      </w:r>
      <w:r w:rsidRPr="003F4DF9">
        <w:t>el tipo de combustible que se utiliza con mayor frecuencia</w:t>
      </w:r>
      <w:r w:rsidR="00DD17EE">
        <w:t xml:space="preserve"> en </w:t>
      </w:r>
      <w:r w:rsidR="00DD17EE">
        <w:rPr>
          <w:lang w:val="es-MX"/>
        </w:rPr>
        <w:t>seis de los siete tipos de transporte registrados.</w:t>
      </w:r>
    </w:p>
    <w:p w14:paraId="132D4332" w14:textId="77777777" w:rsidR="002B1158" w:rsidRPr="003F4DF9" w:rsidRDefault="002B1158" w:rsidP="003F4DF9">
      <w:pPr>
        <w:ind w:left="-426" w:right="51"/>
        <w:contextualSpacing/>
      </w:pPr>
    </w:p>
    <w:p w14:paraId="5E668816" w14:textId="1452AF7A" w:rsidR="002B1158" w:rsidRDefault="002B1158" w:rsidP="00733E30">
      <w:pPr>
        <w:ind w:left="-426"/>
        <w:contextualSpacing/>
        <w:rPr>
          <w:noProof/>
          <w:lang w:eastAsia="es-MX"/>
        </w:rPr>
      </w:pPr>
      <w:r w:rsidRPr="003F4DF9">
        <w:rPr>
          <w:noProof/>
          <w:lang w:eastAsia="es-MX"/>
        </w:rPr>
        <w:t>A pesar de la importante disminución de las actividades económicas en el país, el sector transportes mantuvo actividades en un volumen significativo aunque por debajo de lo registrado en 2019.</w:t>
      </w:r>
    </w:p>
    <w:p w14:paraId="4322A8CC" w14:textId="77777777" w:rsidR="00725827" w:rsidRPr="00725827" w:rsidRDefault="00725827" w:rsidP="00725827">
      <w:pPr>
        <w:ind w:left="-426" w:right="-516"/>
        <w:contextualSpacing/>
        <w:rPr>
          <w:noProof/>
          <w:lang w:eastAsia="es-MX"/>
        </w:rPr>
      </w:pPr>
    </w:p>
    <w:p w14:paraId="04D68A25" w14:textId="15773C32" w:rsidR="002B1158" w:rsidRPr="003F4DF9" w:rsidRDefault="002B1158" w:rsidP="002E4FF2">
      <w:pPr>
        <w:ind w:left="-426"/>
        <w:rPr>
          <w:noProof/>
          <w:lang w:eastAsia="es-MX"/>
        </w:rPr>
      </w:pPr>
      <w:r w:rsidRPr="003F4DF9">
        <w:rPr>
          <w:noProof/>
          <w:lang w:eastAsia="es-MX"/>
        </w:rPr>
        <w:t xml:space="preserve">Durante 2020, solamente el transporte por ferrocarril y el transporte marítimo de cabotaje registran incremento en el número de kilómetros recorridos </w:t>
      </w:r>
      <w:r w:rsidR="00DD17EE">
        <w:rPr>
          <w:noProof/>
          <w:lang w:eastAsia="es-MX"/>
        </w:rPr>
        <w:t>(</w:t>
      </w:r>
      <w:r w:rsidRPr="003F4DF9">
        <w:rPr>
          <w:noProof/>
          <w:lang w:eastAsia="es-MX"/>
        </w:rPr>
        <w:t>1.2 y 23.9%, respectivamente</w:t>
      </w:r>
      <w:r w:rsidR="00DD17EE">
        <w:rPr>
          <w:noProof/>
          <w:lang w:eastAsia="es-MX"/>
        </w:rPr>
        <w:t>).</w:t>
      </w:r>
    </w:p>
    <w:p w14:paraId="62B0300A" w14:textId="77777777" w:rsidR="002B1158" w:rsidRPr="003F4DF9" w:rsidRDefault="002B1158" w:rsidP="003F4DF9">
      <w:pPr>
        <w:ind w:left="-426" w:right="-374"/>
        <w:contextualSpacing/>
        <w:rPr>
          <w:bCs/>
          <w:lang w:val="es-MX" w:eastAsia="es-MX"/>
        </w:rPr>
      </w:pPr>
    </w:p>
    <w:p w14:paraId="1C2FCA00" w14:textId="1A4D0C07" w:rsidR="002B1158" w:rsidRDefault="002B1158" w:rsidP="00733E30">
      <w:pPr>
        <w:ind w:left="-426"/>
        <w:contextualSpacing/>
        <w:rPr>
          <w:bCs/>
          <w:lang w:val="es-MX" w:eastAsia="es-MX"/>
        </w:rPr>
      </w:pPr>
      <w:r w:rsidRPr="003F4DF9">
        <w:rPr>
          <w:bCs/>
          <w:lang w:val="es-MX" w:eastAsia="es-MX"/>
        </w:rPr>
        <w:t>Entre el 9.1% (transporte marítimo de altura, excepto de petróleo y gas natural) y el 31.9% (transporte colectivo foráneo de pasajeros en ruta fija) de las empresas encuestadas, obtuvieron crédito, préstamo o financiamiento para el desarrollo de sus actividades, siendo los bancos la principal fuente.</w:t>
      </w:r>
    </w:p>
    <w:p w14:paraId="18D3356C" w14:textId="79B531A5" w:rsidR="00DD17EE" w:rsidRDefault="00DD17EE" w:rsidP="003F4DF9">
      <w:pPr>
        <w:ind w:left="-426" w:right="-374"/>
        <w:contextualSpacing/>
        <w:rPr>
          <w:bCs/>
          <w:lang w:val="es-MX" w:eastAsia="es-MX"/>
        </w:rPr>
      </w:pPr>
    </w:p>
    <w:p w14:paraId="373E76BC" w14:textId="77777777" w:rsidR="00DD17EE" w:rsidRPr="003F4DF9" w:rsidRDefault="00DD17EE" w:rsidP="003F4DF9">
      <w:pPr>
        <w:ind w:left="-426" w:right="-374"/>
        <w:contextualSpacing/>
        <w:rPr>
          <w:bCs/>
          <w:lang w:val="es-MX" w:eastAsia="es-MX"/>
        </w:rPr>
      </w:pPr>
    </w:p>
    <w:p w14:paraId="24382D6C" w14:textId="77777777" w:rsidR="002B1158" w:rsidRPr="003F4DF9" w:rsidRDefault="002B1158" w:rsidP="003F4DF9">
      <w:pPr>
        <w:ind w:left="-426"/>
        <w:rPr>
          <w:b/>
          <w:bCs/>
        </w:rPr>
      </w:pPr>
      <w:r w:rsidRPr="003F4DF9">
        <w:rPr>
          <w:b/>
          <w:bCs/>
        </w:rPr>
        <w:t>Nota al usuario:</w:t>
      </w:r>
    </w:p>
    <w:p w14:paraId="1A33429B" w14:textId="77777777" w:rsidR="002B1158" w:rsidRPr="003F4DF9" w:rsidRDefault="002B1158" w:rsidP="003F4DF9">
      <w:pPr>
        <w:ind w:left="-426"/>
        <w:rPr>
          <w:b/>
          <w:bCs/>
        </w:rPr>
      </w:pPr>
    </w:p>
    <w:p w14:paraId="3B8EFAE4" w14:textId="35E3FB07" w:rsidR="002B1158" w:rsidRPr="003F4DF9" w:rsidRDefault="002B1158" w:rsidP="003F4DF9">
      <w:pPr>
        <w:ind w:left="-426" w:right="51"/>
      </w:pPr>
      <w:r w:rsidRPr="003F4DF9">
        <w:t>Es importante precisar que 2020 fue un año atípico, ya que el 11 de marzo de 2020 la Organización Mundial de la Salud declaró oficialmente una pandemia</w:t>
      </w:r>
      <w:r w:rsidR="00DD17EE">
        <w:t xml:space="preserve"> y</w:t>
      </w:r>
      <w:r w:rsidRPr="003F4DF9">
        <w:t xml:space="preserve"> con motivo de la propagación del Coronavirus COVID-19 se adoptaron medidas emergentes. Esta situación se ha prolongado hasta este añ</w:t>
      </w:r>
      <w:r w:rsidR="00DD17EE">
        <w:t>o</w:t>
      </w:r>
      <w:r w:rsidRPr="003F4DF9">
        <w:t>, lo cual se refleja en los resultados generados.</w:t>
      </w:r>
    </w:p>
    <w:p w14:paraId="773BDAB6" w14:textId="77777777" w:rsidR="002B1158" w:rsidRPr="003F4DF9" w:rsidRDefault="002B1158" w:rsidP="003F4DF9">
      <w:pPr>
        <w:ind w:left="-426" w:right="-233"/>
        <w:rPr>
          <w:lang w:val="es-MX"/>
        </w:rPr>
      </w:pPr>
    </w:p>
    <w:p w14:paraId="5A330991" w14:textId="77777777" w:rsidR="00DD17EE" w:rsidRDefault="002B1158" w:rsidP="00DD17EE">
      <w:pPr>
        <w:ind w:left="-426" w:right="51"/>
        <w:rPr>
          <w:lang w:val="es-MX"/>
        </w:rPr>
      </w:pPr>
      <w:r w:rsidRPr="003F4DF9">
        <w:rPr>
          <w:lang w:val="es-MX"/>
        </w:rPr>
        <w:t xml:space="preserve">La Tasa de No Respuesta de la Encuesta Anual de Transportes correspondiente </w:t>
      </w:r>
      <w:r w:rsidR="00DD17EE">
        <w:rPr>
          <w:lang w:val="es-MX"/>
        </w:rPr>
        <w:t>a</w:t>
      </w:r>
      <w:r w:rsidRPr="003F4DF9">
        <w:rPr>
          <w:lang w:val="es-MX"/>
        </w:rPr>
        <w:t xml:space="preserve"> 2021, registró porcentajes apropiados conforme al diseño estadístico de la encuesta, lo que permitió la generación de estadísticas con niveles adecuados de precisión en todos los dominios de estudio, con excepción de los dominios de estudio 4852, Transporte colectivo foráneo de pasajeros de ruta fija y 4922, Servicios de mensajería y paquetería local, que deben tomarse con reserva y en conjunto aportan 3.0% de los ingresos totales del sector transportes.</w:t>
      </w:r>
    </w:p>
    <w:p w14:paraId="5133F98B" w14:textId="77777777" w:rsidR="00DD17EE" w:rsidRDefault="00DD17EE" w:rsidP="00DD17EE">
      <w:pPr>
        <w:ind w:left="-426" w:right="51"/>
      </w:pPr>
    </w:p>
    <w:p w14:paraId="0C0A4784" w14:textId="0315DCBD" w:rsidR="002B1158" w:rsidRDefault="002B1158" w:rsidP="00DD17EE">
      <w:pPr>
        <w:ind w:left="-426" w:right="51"/>
      </w:pPr>
      <w:r w:rsidRPr="003F4DF9">
        <w:t>La información de la Encuesta Anual de Transportes (EAT),</w:t>
      </w:r>
      <w:r w:rsidRPr="003F4DF9">
        <w:rPr>
          <w:b/>
          <w:lang w:val="es-MX"/>
        </w:rPr>
        <w:t xml:space="preserve"> </w:t>
      </w:r>
      <w:r w:rsidRPr="003F4DF9">
        <w:rPr>
          <w:snapToGrid w:val="0"/>
          <w:lang w:val="es-MX"/>
        </w:rPr>
        <w:t>p</w:t>
      </w:r>
      <w:r w:rsidR="00DD17EE">
        <w:rPr>
          <w:snapToGrid w:val="0"/>
          <w:lang w:val="es-MX"/>
        </w:rPr>
        <w:t>ueden</w:t>
      </w:r>
      <w:r w:rsidRPr="003F4DF9">
        <w:rPr>
          <w:snapToGrid w:val="0"/>
          <w:lang w:val="es-MX"/>
        </w:rPr>
        <w:t xml:space="preserve"> ser consultadas en el sitio del INEGI en </w:t>
      </w:r>
      <w:r w:rsidR="00DD17EE">
        <w:rPr>
          <w:snapToGrid w:val="0"/>
          <w:lang w:val="es-MX"/>
        </w:rPr>
        <w:t>i</w:t>
      </w:r>
      <w:r w:rsidRPr="003F4DF9">
        <w:rPr>
          <w:snapToGrid w:val="0"/>
          <w:lang w:val="es-MX"/>
        </w:rPr>
        <w:t xml:space="preserve">nternet: </w:t>
      </w:r>
      <w:hyperlink r:id="rId8" w:history="1">
        <w:r w:rsidRPr="003F4DF9">
          <w:rPr>
            <w:rStyle w:val="Hipervnculo"/>
          </w:rPr>
          <w:t>https://www.inegi.org.mx/programas/eat/2013/</w:t>
        </w:r>
      </w:hyperlink>
      <w:r w:rsidRPr="003F4DF9">
        <w:t xml:space="preserve"> </w:t>
      </w:r>
    </w:p>
    <w:p w14:paraId="78C1F1D5" w14:textId="43677AE8" w:rsidR="00DD17EE" w:rsidRDefault="00DD17EE" w:rsidP="00DD17EE">
      <w:pPr>
        <w:ind w:left="-426" w:right="51"/>
      </w:pPr>
    </w:p>
    <w:p w14:paraId="73E2F0DE" w14:textId="67E00E89" w:rsidR="00DD17EE" w:rsidRDefault="00DD17EE" w:rsidP="00DD17EE">
      <w:pPr>
        <w:ind w:left="-426" w:right="51"/>
        <w:jc w:val="center"/>
        <w:rPr>
          <w:b/>
        </w:rPr>
      </w:pPr>
      <w:r w:rsidRPr="00DD17EE">
        <w:rPr>
          <w:b/>
        </w:rPr>
        <w:t>Se anexa nota técnica</w:t>
      </w:r>
    </w:p>
    <w:p w14:paraId="199A84B9" w14:textId="57E276B6" w:rsidR="00DD17EE" w:rsidRDefault="00DD17EE" w:rsidP="00DD17EE">
      <w:pPr>
        <w:ind w:left="-426" w:right="51"/>
        <w:jc w:val="center"/>
        <w:rPr>
          <w:b/>
        </w:rPr>
      </w:pPr>
    </w:p>
    <w:p w14:paraId="25F1053A" w14:textId="2A624522" w:rsidR="00DD17EE" w:rsidRDefault="00DD17EE" w:rsidP="00DD17EE">
      <w:pPr>
        <w:ind w:left="-426" w:right="51"/>
        <w:jc w:val="center"/>
        <w:rPr>
          <w:b/>
        </w:rPr>
      </w:pPr>
    </w:p>
    <w:p w14:paraId="7DD8B426" w14:textId="7D84230B" w:rsidR="00DD17EE" w:rsidRDefault="00DD17EE" w:rsidP="00733E30">
      <w:pPr>
        <w:ind w:right="51"/>
        <w:rPr>
          <w:b/>
        </w:rPr>
      </w:pPr>
    </w:p>
    <w:p w14:paraId="514145F8" w14:textId="5026275D" w:rsidR="00DD17EE" w:rsidRDefault="00DD17EE" w:rsidP="00DD17EE">
      <w:pPr>
        <w:ind w:left="-426" w:right="51"/>
        <w:jc w:val="center"/>
        <w:rPr>
          <w:b/>
        </w:rPr>
      </w:pPr>
    </w:p>
    <w:p w14:paraId="62C106AE" w14:textId="77777777" w:rsidR="00DD17EE" w:rsidRPr="00DD17EE" w:rsidRDefault="00DD17EE" w:rsidP="00DD17EE">
      <w:pPr>
        <w:ind w:left="-426" w:right="51"/>
        <w:jc w:val="center"/>
        <w:rPr>
          <w:b/>
        </w:rPr>
      </w:pPr>
    </w:p>
    <w:p w14:paraId="654D24E2" w14:textId="77777777" w:rsidR="00DD17EE" w:rsidRPr="003F4DF9" w:rsidRDefault="00DD17EE" w:rsidP="00DD17EE">
      <w:pPr>
        <w:ind w:left="-426" w:right="51"/>
      </w:pPr>
    </w:p>
    <w:p w14:paraId="01664682" w14:textId="5B8CD5C1" w:rsidR="002B1158" w:rsidRPr="003F4DF9" w:rsidRDefault="002B1158" w:rsidP="00DD17EE">
      <w:pPr>
        <w:pStyle w:val="NormalWeb"/>
        <w:spacing w:before="0" w:beforeAutospacing="0" w:after="0" w:afterAutospacing="0"/>
        <w:ind w:left="-426"/>
        <w:contextualSpacing/>
        <w:jc w:val="center"/>
        <w:rPr>
          <w:rFonts w:ascii="Arial" w:hAnsi="Arial" w:cs="Arial"/>
        </w:rPr>
      </w:pPr>
      <w:r w:rsidRPr="003F4DF9">
        <w:rPr>
          <w:rFonts w:ascii="Arial" w:hAnsi="Arial" w:cs="Arial"/>
        </w:rPr>
        <w:t xml:space="preserve">Para consultas de medios y periodistas, contactar a: </w:t>
      </w:r>
      <w:hyperlink r:id="rId9" w:history="1">
        <w:r w:rsidRPr="003F4DF9">
          <w:rPr>
            <w:rStyle w:val="Hipervnculo"/>
            <w:rFonts w:ascii="Arial" w:hAnsi="Arial" w:cs="Arial"/>
          </w:rPr>
          <w:t>comunicacionsocial@inegi.org.mx</w:t>
        </w:r>
      </w:hyperlink>
    </w:p>
    <w:p w14:paraId="4BAB9B81" w14:textId="77777777" w:rsidR="002B1158" w:rsidRPr="003F4DF9" w:rsidRDefault="002B1158" w:rsidP="00DD17EE">
      <w:pPr>
        <w:pStyle w:val="NormalWeb"/>
        <w:spacing w:before="0" w:beforeAutospacing="0" w:after="0" w:afterAutospacing="0"/>
        <w:ind w:left="-426"/>
        <w:contextualSpacing/>
        <w:jc w:val="center"/>
        <w:rPr>
          <w:rFonts w:ascii="Arial" w:hAnsi="Arial" w:cs="Arial"/>
        </w:rPr>
      </w:pPr>
      <w:r w:rsidRPr="003F4DF9">
        <w:rPr>
          <w:rFonts w:ascii="Arial" w:hAnsi="Arial" w:cs="Arial"/>
        </w:rPr>
        <w:t xml:space="preserve">o llamar al teléfono (55) 52-78-10-00, </w:t>
      </w:r>
      <w:proofErr w:type="spellStart"/>
      <w:r w:rsidRPr="003F4DF9">
        <w:rPr>
          <w:rFonts w:ascii="Arial" w:hAnsi="Arial" w:cs="Arial"/>
        </w:rPr>
        <w:t>exts</w:t>
      </w:r>
      <w:proofErr w:type="spellEnd"/>
      <w:r w:rsidRPr="003F4DF9">
        <w:rPr>
          <w:rFonts w:ascii="Arial" w:hAnsi="Arial" w:cs="Arial"/>
        </w:rPr>
        <w:t>. 1134, 1260 y 1241.</w:t>
      </w:r>
    </w:p>
    <w:p w14:paraId="11797923" w14:textId="77777777" w:rsidR="002B1158" w:rsidRPr="003F4DF9" w:rsidRDefault="002B1158" w:rsidP="00DD17EE">
      <w:pPr>
        <w:ind w:left="-426"/>
        <w:contextualSpacing/>
        <w:jc w:val="center"/>
      </w:pPr>
    </w:p>
    <w:p w14:paraId="7C28E769" w14:textId="77777777" w:rsidR="002B1158" w:rsidRPr="003F4DF9" w:rsidRDefault="002B1158" w:rsidP="00DD17EE">
      <w:pPr>
        <w:ind w:left="-426"/>
        <w:contextualSpacing/>
        <w:jc w:val="center"/>
      </w:pPr>
      <w:r w:rsidRPr="003F4DF9">
        <w:t>Dirección de Atención a Medios / Dirección General Adjunta de Comunicación</w:t>
      </w:r>
    </w:p>
    <w:p w14:paraId="4842B416" w14:textId="77777777" w:rsidR="002B1158" w:rsidRPr="003F4DF9" w:rsidRDefault="002B1158" w:rsidP="003F4DF9">
      <w:pPr>
        <w:ind w:left="-426" w:right="-518"/>
        <w:contextualSpacing/>
        <w:jc w:val="center"/>
      </w:pPr>
    </w:p>
    <w:p w14:paraId="7B644582" w14:textId="77777777" w:rsidR="00733E30" w:rsidRDefault="002B1158" w:rsidP="002B1158">
      <w:pPr>
        <w:ind w:left="-425" w:right="-516"/>
        <w:contextualSpacing/>
        <w:jc w:val="center"/>
        <w:rPr>
          <w:noProof/>
          <w:sz w:val="22"/>
          <w:szCs w:val="22"/>
          <w:lang w:eastAsia="es-MX"/>
        </w:rPr>
        <w:sectPr w:rsidR="00733E30" w:rsidSect="003F4DF9">
          <w:headerReference w:type="default" r:id="rId10"/>
          <w:footerReference w:type="default" r:id="rId11"/>
          <w:pgSz w:w="12242" w:h="15842" w:code="1"/>
          <w:pgMar w:top="1134" w:right="1185" w:bottom="1134" w:left="1559" w:header="567" w:footer="567" w:gutter="0"/>
          <w:paperSrc w:first="7" w:other="7"/>
          <w:pgNumType w:start="1"/>
          <w:cols w:space="720"/>
          <w:docGrid w:linePitch="360"/>
        </w:sectPr>
      </w:pPr>
      <w:r w:rsidRPr="00510F8F">
        <w:rPr>
          <w:noProof/>
          <w:sz w:val="22"/>
          <w:szCs w:val="22"/>
          <w:lang w:val="es-MX" w:eastAsia="es-MX"/>
        </w:rPr>
        <w:drawing>
          <wp:inline distT="0" distB="0" distL="0" distR="0" wp14:anchorId="27FD83DD" wp14:editId="1FA4DB7F">
            <wp:extent cx="340995" cy="365760"/>
            <wp:effectExtent l="0" t="0" r="1905" b="0"/>
            <wp:docPr id="4" name="Imagen 4"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1A09F3CB" wp14:editId="0ADA61F4">
            <wp:extent cx="365760" cy="365760"/>
            <wp:effectExtent l="0" t="0" r="0" b="0"/>
            <wp:docPr id="5" name="Imagen 5"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76EC91BF" wp14:editId="6CA050DC">
            <wp:extent cx="365760" cy="365760"/>
            <wp:effectExtent l="0" t="0" r="0" b="0"/>
            <wp:docPr id="12" name="Imagen 12"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5D4AE727" wp14:editId="0572A6B8">
            <wp:extent cx="365760" cy="365760"/>
            <wp:effectExtent l="0" t="0" r="0" b="0"/>
            <wp:docPr id="14" name="Imagen 14"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10F8F">
        <w:rPr>
          <w:noProof/>
          <w:sz w:val="22"/>
          <w:szCs w:val="22"/>
          <w:lang w:eastAsia="es-MX"/>
        </w:rPr>
        <w:t xml:space="preserve">  </w:t>
      </w:r>
      <w:r w:rsidRPr="00510F8F">
        <w:rPr>
          <w:noProof/>
          <w:sz w:val="22"/>
          <w:szCs w:val="22"/>
          <w:lang w:val="es-MX" w:eastAsia="es-MX"/>
        </w:rPr>
        <w:drawing>
          <wp:inline distT="0" distB="0" distL="0" distR="0" wp14:anchorId="219A6DFB" wp14:editId="7FBAC2C3">
            <wp:extent cx="2990850" cy="358902"/>
            <wp:effectExtent l="0" t="0" r="0" b="3175"/>
            <wp:docPr id="16" name="Imagen 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185" cy="359542"/>
                    </a:xfrm>
                    <a:prstGeom prst="rect">
                      <a:avLst/>
                    </a:prstGeom>
                    <a:noFill/>
                    <a:ln>
                      <a:noFill/>
                    </a:ln>
                  </pic:spPr>
                </pic:pic>
              </a:graphicData>
            </a:graphic>
          </wp:inline>
        </w:drawing>
      </w:r>
    </w:p>
    <w:p w14:paraId="42037D18" w14:textId="55676A42" w:rsidR="002B1158" w:rsidRPr="00510F8F" w:rsidRDefault="002B1158" w:rsidP="002B1158">
      <w:pPr>
        <w:ind w:left="-425" w:right="-516"/>
        <w:contextualSpacing/>
        <w:jc w:val="center"/>
        <w:rPr>
          <w:noProof/>
          <w:sz w:val="22"/>
          <w:szCs w:val="22"/>
          <w:lang w:eastAsia="es-MX"/>
        </w:rPr>
      </w:pPr>
    </w:p>
    <w:p w14:paraId="1AE2D80A" w14:textId="77777777" w:rsidR="002B1158" w:rsidRDefault="002B1158" w:rsidP="002B1158">
      <w:pPr>
        <w:ind w:left="-425" w:right="-516"/>
        <w:contextualSpacing/>
        <w:jc w:val="center"/>
        <w:rPr>
          <w:noProof/>
          <w:sz w:val="22"/>
          <w:szCs w:val="22"/>
          <w:lang w:eastAsia="es-MX"/>
        </w:rPr>
      </w:pPr>
    </w:p>
    <w:p w14:paraId="0B86B4B4" w14:textId="77777777" w:rsidR="002B1158" w:rsidRDefault="002B1158" w:rsidP="002B1158">
      <w:pPr>
        <w:ind w:left="-425" w:right="-516"/>
        <w:contextualSpacing/>
        <w:jc w:val="center"/>
        <w:rPr>
          <w:noProof/>
          <w:sz w:val="22"/>
          <w:szCs w:val="22"/>
          <w:lang w:eastAsia="es-MX"/>
        </w:rPr>
      </w:pPr>
    </w:p>
    <w:p w14:paraId="24590AA3" w14:textId="68BA879C" w:rsidR="00343574" w:rsidRPr="00733E30" w:rsidRDefault="00C945D9" w:rsidP="00733E30">
      <w:pPr>
        <w:tabs>
          <w:tab w:val="left" w:pos="8789"/>
        </w:tabs>
        <w:ind w:left="-426" w:right="51"/>
        <w:jc w:val="center"/>
        <w:rPr>
          <w:b/>
        </w:rPr>
      </w:pPr>
      <w:r w:rsidRPr="00733E30">
        <w:rPr>
          <w:b/>
        </w:rPr>
        <w:t>NOTA TÉCNICA</w:t>
      </w:r>
    </w:p>
    <w:p w14:paraId="25B1524E" w14:textId="77777777" w:rsidR="00501F78" w:rsidRPr="00733E30" w:rsidRDefault="00501F78" w:rsidP="00733E30">
      <w:pPr>
        <w:tabs>
          <w:tab w:val="left" w:pos="8789"/>
        </w:tabs>
        <w:ind w:left="-426" w:right="51"/>
        <w:jc w:val="center"/>
        <w:rPr>
          <w:b/>
        </w:rPr>
      </w:pPr>
    </w:p>
    <w:p w14:paraId="775A1A7A" w14:textId="5CF67F1B" w:rsidR="001330D5" w:rsidRPr="00733E30" w:rsidRDefault="00733E30" w:rsidP="00733E30">
      <w:pPr>
        <w:pStyle w:val="Ttulo10"/>
        <w:ind w:left="-426"/>
      </w:pPr>
      <w:r w:rsidRPr="00733E30">
        <w:lastRenderedPageBreak/>
        <w:t>INDICADORES DEL SECTOR TRANSPORTES</w:t>
      </w:r>
    </w:p>
    <w:p w14:paraId="3A9A3E60" w14:textId="0EECD36A" w:rsidR="009813FF" w:rsidRDefault="00733E30" w:rsidP="00733E30">
      <w:pPr>
        <w:pStyle w:val="Ttulo10"/>
        <w:ind w:left="-426"/>
      </w:pPr>
      <w:r w:rsidRPr="00733E30">
        <w:t>ENCUESTA ANUAL DE TRANSPORTES CIFRAS 2020</w:t>
      </w:r>
    </w:p>
    <w:p w14:paraId="2E7736EA" w14:textId="77777777" w:rsidR="00733E30" w:rsidRPr="00733E30" w:rsidRDefault="00733E30" w:rsidP="00733E30">
      <w:pPr>
        <w:pStyle w:val="Ttulo10"/>
        <w:ind w:left="-426"/>
      </w:pPr>
    </w:p>
    <w:p w14:paraId="2D7B0806" w14:textId="5842009F" w:rsidR="00C945D9" w:rsidRPr="00733E30" w:rsidRDefault="009813FF" w:rsidP="00733E30">
      <w:pPr>
        <w:spacing w:after="240"/>
        <w:ind w:left="-426"/>
        <w:jc w:val="center"/>
        <w:rPr>
          <w:b/>
          <w:spacing w:val="25"/>
        </w:rPr>
      </w:pPr>
      <w:r w:rsidRPr="00733E30">
        <w:rPr>
          <w:b/>
          <w:spacing w:val="25"/>
        </w:rPr>
        <w:t>(</w:t>
      </w:r>
      <w:r w:rsidR="00FB7C8D" w:rsidRPr="00733E30">
        <w:rPr>
          <w:b/>
          <w:spacing w:val="25"/>
        </w:rPr>
        <w:t>Serie 2013</w:t>
      </w:r>
      <w:r w:rsidRPr="00733E30">
        <w:rPr>
          <w:b/>
          <w:spacing w:val="25"/>
        </w:rPr>
        <w:t>)</w:t>
      </w:r>
    </w:p>
    <w:p w14:paraId="7CC5FC19" w14:textId="2BF36D49" w:rsidR="00185115" w:rsidRDefault="009813FF" w:rsidP="00733E30">
      <w:pPr>
        <w:ind w:left="-426"/>
        <w:rPr>
          <w:lang w:val="es-MX"/>
        </w:rPr>
      </w:pPr>
      <w:r w:rsidRPr="00733E30">
        <w:rPr>
          <w:lang w:val="es-MX"/>
        </w:rPr>
        <w:t>El Instituto Nacional de Estadística y Geografía (INEGI)</w:t>
      </w:r>
      <w:r w:rsidR="00733E30">
        <w:rPr>
          <w:lang w:val="es-MX"/>
        </w:rPr>
        <w:t xml:space="preserve"> </w:t>
      </w:r>
      <w:r w:rsidR="00185115" w:rsidRPr="00733E30">
        <w:rPr>
          <w:lang w:val="es-MX"/>
        </w:rPr>
        <w:t xml:space="preserve">da a conocer </w:t>
      </w:r>
      <w:r w:rsidR="007C2097" w:rsidRPr="00733E30">
        <w:rPr>
          <w:lang w:val="es-MX"/>
        </w:rPr>
        <w:t xml:space="preserve">los resultados de la </w:t>
      </w:r>
      <w:r w:rsidR="0004333A" w:rsidRPr="00733E30">
        <w:rPr>
          <w:lang w:val="es-MX"/>
        </w:rPr>
        <w:t>Encuesta Anual de Transportes, (EAT</w:t>
      </w:r>
      <w:r w:rsidR="00185115" w:rsidRPr="00733E30">
        <w:rPr>
          <w:lang w:val="es-MX"/>
        </w:rPr>
        <w:t>)</w:t>
      </w:r>
      <w:r w:rsidR="00E95E51" w:rsidRPr="00733E30">
        <w:rPr>
          <w:lang w:val="es-MX"/>
        </w:rPr>
        <w:t xml:space="preserve"> Serie 2013</w:t>
      </w:r>
      <w:r w:rsidR="008A503C" w:rsidRPr="00733E30">
        <w:rPr>
          <w:lang w:val="es-MX"/>
        </w:rPr>
        <w:t>,</w:t>
      </w:r>
      <w:r w:rsidR="00185115" w:rsidRPr="00733E30">
        <w:rPr>
          <w:lang w:val="es-MX"/>
        </w:rPr>
        <w:t xml:space="preserve"> con información referida a los años </w:t>
      </w:r>
      <w:r w:rsidR="00E95E51" w:rsidRPr="00733E30">
        <w:rPr>
          <w:lang w:val="es-MX"/>
        </w:rPr>
        <w:t>201</w:t>
      </w:r>
      <w:r w:rsidR="00384563" w:rsidRPr="00733E30">
        <w:rPr>
          <w:lang w:val="es-MX"/>
        </w:rPr>
        <w:t>9</w:t>
      </w:r>
      <w:r w:rsidR="00185115" w:rsidRPr="00733E30">
        <w:rPr>
          <w:lang w:val="es-MX"/>
        </w:rPr>
        <w:t xml:space="preserve"> cifras definitivas y 20</w:t>
      </w:r>
      <w:r w:rsidR="00384563" w:rsidRPr="00733E30">
        <w:rPr>
          <w:lang w:val="es-MX"/>
        </w:rPr>
        <w:t>20</w:t>
      </w:r>
      <w:r w:rsidR="00E95E51" w:rsidRPr="00733E30">
        <w:rPr>
          <w:lang w:val="es-MX"/>
        </w:rPr>
        <w:t xml:space="preserve"> </w:t>
      </w:r>
      <w:r w:rsidR="00863AF4" w:rsidRPr="00733E30">
        <w:rPr>
          <w:lang w:val="es-MX"/>
        </w:rPr>
        <w:t xml:space="preserve">cifras </w:t>
      </w:r>
      <w:r w:rsidR="00185115" w:rsidRPr="00733E30">
        <w:rPr>
          <w:lang w:val="es-MX"/>
        </w:rPr>
        <w:t>preliminares.</w:t>
      </w:r>
    </w:p>
    <w:p w14:paraId="34B457D2" w14:textId="77777777" w:rsidR="00733E30" w:rsidRPr="00733E30" w:rsidRDefault="00733E30" w:rsidP="00733E30">
      <w:pPr>
        <w:ind w:left="-426"/>
        <w:rPr>
          <w:lang w:val="es-MX"/>
        </w:rPr>
      </w:pPr>
    </w:p>
    <w:p w14:paraId="0D5FE484" w14:textId="6519994A" w:rsidR="0078042F" w:rsidRPr="00733E30" w:rsidRDefault="00E95E51" w:rsidP="00733E30">
      <w:pPr>
        <w:ind w:left="-426"/>
      </w:pPr>
      <w:r w:rsidRPr="00733E30">
        <w:rPr>
          <w:lang w:val="es-MX"/>
        </w:rPr>
        <w:t>Cabe mencionar que la</w:t>
      </w:r>
      <w:r w:rsidR="007C2097" w:rsidRPr="00733E30">
        <w:rPr>
          <w:lang w:val="es-MX"/>
        </w:rPr>
        <w:t xml:space="preserve"> s</w:t>
      </w:r>
      <w:r w:rsidR="00F54AE2" w:rsidRPr="00733E30">
        <w:rPr>
          <w:lang w:val="es-MX"/>
        </w:rPr>
        <w:t>erie 2013</w:t>
      </w:r>
      <w:r w:rsidR="001C6FAA" w:rsidRPr="00733E30">
        <w:rPr>
          <w:lang w:val="es-MX"/>
        </w:rPr>
        <w:t>,</w:t>
      </w:r>
      <w:r w:rsidR="00F54AE2" w:rsidRPr="00733E30">
        <w:rPr>
          <w:lang w:val="es-MX"/>
        </w:rPr>
        <w:t xml:space="preserve"> adop</w:t>
      </w:r>
      <w:r w:rsidRPr="00733E30">
        <w:rPr>
          <w:lang w:val="es-MX"/>
        </w:rPr>
        <w:t>ta</w:t>
      </w:r>
      <w:r w:rsidR="00F54AE2" w:rsidRPr="00733E30">
        <w:rPr>
          <w:lang w:val="es-MX"/>
        </w:rPr>
        <w:t xml:space="preserve"> del </w:t>
      </w:r>
      <w:r w:rsidR="001C6FAA" w:rsidRPr="00733E30">
        <w:rPr>
          <w:lang w:val="es-MX"/>
        </w:rPr>
        <w:t>Sistema de Clasificación</w:t>
      </w:r>
      <w:r w:rsidR="00F54AE2" w:rsidRPr="00733E30">
        <w:rPr>
          <w:lang w:val="es-MX"/>
        </w:rPr>
        <w:t xml:space="preserve"> Industrial de América del Norte</w:t>
      </w:r>
      <w:r w:rsidR="00733E30">
        <w:rPr>
          <w:lang w:val="es-MX"/>
        </w:rPr>
        <w:t xml:space="preserve"> (</w:t>
      </w:r>
      <w:r w:rsidR="00F54AE2" w:rsidRPr="00733E30">
        <w:rPr>
          <w:lang w:val="es-MX"/>
        </w:rPr>
        <w:t>SCIAN</w:t>
      </w:r>
      <w:r w:rsidR="00733E30">
        <w:rPr>
          <w:lang w:val="es-MX"/>
        </w:rPr>
        <w:t>)</w:t>
      </w:r>
      <w:r w:rsidR="00F54AE2" w:rsidRPr="00733E30">
        <w:rPr>
          <w:lang w:val="es-MX"/>
        </w:rPr>
        <w:t xml:space="preserve"> 2013, la instrumentación de los nuevos diseños a partir de un marco estad</w:t>
      </w:r>
      <w:r w:rsidR="001C6FAA" w:rsidRPr="00733E30">
        <w:rPr>
          <w:lang w:val="es-MX"/>
        </w:rPr>
        <w:t>ístico actualizado</w:t>
      </w:r>
      <w:r w:rsidRPr="00733E30">
        <w:rPr>
          <w:lang w:val="es-MX"/>
        </w:rPr>
        <w:t xml:space="preserve"> y</w:t>
      </w:r>
      <w:r w:rsidR="0078042F" w:rsidRPr="00733E30">
        <w:t xml:space="preserve"> se aplica la Norma Técnica del Proceso de Producción de In</w:t>
      </w:r>
      <w:r w:rsidR="0078042F" w:rsidRPr="00733E30">
        <w:softHyphen/>
        <w:t xml:space="preserve">formación Estadística y Geográfica para el </w:t>
      </w:r>
      <w:r w:rsidR="00D94370" w:rsidRPr="00733E30">
        <w:t>INEGI</w:t>
      </w:r>
      <w:r w:rsidR="00835350" w:rsidRPr="00733E30">
        <w:t>,</w:t>
      </w:r>
      <w:r w:rsidR="0078042F" w:rsidRPr="00733E30">
        <w:t xml:space="preserve"> que proporciona un marco normativo regulatorio de la producción de información estadística en México.</w:t>
      </w:r>
    </w:p>
    <w:p w14:paraId="32CE5C18" w14:textId="77777777" w:rsidR="0078042F" w:rsidRPr="00733E30" w:rsidRDefault="0078042F" w:rsidP="00733E30">
      <w:pPr>
        <w:pStyle w:val="Default"/>
        <w:ind w:left="-426"/>
        <w:jc w:val="both"/>
        <w:rPr>
          <w:color w:val="auto"/>
          <w:lang w:eastAsia="es-ES"/>
        </w:rPr>
      </w:pPr>
    </w:p>
    <w:p w14:paraId="31AFCAC7" w14:textId="45C41F84" w:rsidR="0078042F" w:rsidRPr="00733E30" w:rsidRDefault="0078042F" w:rsidP="00733E30">
      <w:pPr>
        <w:pStyle w:val="Default"/>
        <w:tabs>
          <w:tab w:val="left" w:pos="3261"/>
          <w:tab w:val="left" w:pos="4253"/>
        </w:tabs>
        <w:ind w:left="-426"/>
        <w:jc w:val="both"/>
        <w:rPr>
          <w:color w:val="auto"/>
          <w:lang w:eastAsia="es-ES"/>
        </w:rPr>
      </w:pPr>
      <w:r w:rsidRPr="00733E30">
        <w:rPr>
          <w:color w:val="auto"/>
          <w:lang w:eastAsia="es-ES"/>
        </w:rPr>
        <w:t>La EA</w:t>
      </w:r>
      <w:r w:rsidR="0004333A" w:rsidRPr="00733E30">
        <w:rPr>
          <w:color w:val="auto"/>
          <w:lang w:eastAsia="es-ES"/>
        </w:rPr>
        <w:t>T</w:t>
      </w:r>
      <w:r w:rsidRPr="00733E30">
        <w:rPr>
          <w:color w:val="auto"/>
          <w:lang w:eastAsia="es-ES"/>
        </w:rPr>
        <w:t xml:space="preserve"> también retoma principios conceptuales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FA94F00" w14:textId="2989165F" w:rsidR="0079219F" w:rsidRPr="00733E30" w:rsidRDefault="0079219F" w:rsidP="00733E30">
      <w:pPr>
        <w:ind w:left="-426"/>
        <w:rPr>
          <w:lang w:val="es-MX"/>
        </w:rPr>
      </w:pPr>
    </w:p>
    <w:p w14:paraId="6135F996" w14:textId="77777777" w:rsidR="00733E30" w:rsidRDefault="00733E30" w:rsidP="00733E30">
      <w:pPr>
        <w:ind w:left="-426" w:right="-516"/>
        <w:contextualSpacing/>
        <w:rPr>
          <w:b/>
          <w:bCs/>
          <w:noProof/>
          <w:lang w:eastAsia="es-MX"/>
        </w:rPr>
      </w:pPr>
    </w:p>
    <w:p w14:paraId="50918D93" w14:textId="2E828BB2" w:rsidR="001B16B4" w:rsidRPr="00733E30" w:rsidRDefault="001B16B4" w:rsidP="00733E30">
      <w:pPr>
        <w:ind w:left="-426" w:right="-516"/>
        <w:contextualSpacing/>
        <w:rPr>
          <w:b/>
          <w:bCs/>
          <w:noProof/>
          <w:lang w:eastAsia="es-MX"/>
        </w:rPr>
      </w:pPr>
      <w:r w:rsidRPr="00733E30">
        <w:rPr>
          <w:b/>
          <w:bCs/>
          <w:noProof/>
          <w:lang w:eastAsia="es-MX"/>
        </w:rPr>
        <w:t>Principales resultados</w:t>
      </w:r>
    </w:p>
    <w:p w14:paraId="3225C7E7" w14:textId="77777777" w:rsidR="00A54BBD" w:rsidRPr="00733E30" w:rsidRDefault="00A54BBD" w:rsidP="00733E30">
      <w:pPr>
        <w:ind w:left="-426" w:right="-91"/>
        <w:contextualSpacing/>
      </w:pPr>
    </w:p>
    <w:p w14:paraId="2DD2578C" w14:textId="77777777" w:rsidR="00733E30" w:rsidRDefault="00733E30" w:rsidP="00733E30">
      <w:pPr>
        <w:ind w:left="-426" w:right="-91"/>
        <w:contextualSpacing/>
      </w:pPr>
    </w:p>
    <w:p w14:paraId="56DEAC85" w14:textId="6EB4EC18" w:rsidR="001B16B4" w:rsidRPr="00733E30" w:rsidRDefault="001B16B4" w:rsidP="00733E30">
      <w:pPr>
        <w:ind w:left="-426" w:right="-91"/>
        <w:contextualSpacing/>
      </w:pPr>
      <w:r w:rsidRPr="00733E30">
        <w:t xml:space="preserve">La </w:t>
      </w:r>
      <w:r w:rsidR="0004333A" w:rsidRPr="00733E30">
        <w:t>EAT</w:t>
      </w:r>
      <w:r w:rsidR="004F5BA0" w:rsidRPr="00733E30">
        <w:t xml:space="preserve"> </w:t>
      </w:r>
      <w:r w:rsidR="00472939" w:rsidRPr="00733E30">
        <w:t>S</w:t>
      </w:r>
      <w:r w:rsidRPr="00733E30">
        <w:t>erie 2013, proporciona valores absolutos (corr</w:t>
      </w:r>
      <w:r w:rsidR="00F93D46" w:rsidRPr="00733E30">
        <w:t>ientes), variaciones anuales y</w:t>
      </w:r>
      <w:r w:rsidRPr="00733E30">
        <w:t xml:space="preserve"> distribución porcentual</w:t>
      </w:r>
      <w:r w:rsidRPr="00733E30">
        <w:rPr>
          <w:rStyle w:val="Refdenotaalpie"/>
        </w:rPr>
        <w:footnoteReference w:id="1"/>
      </w:r>
      <w:r w:rsidRPr="00733E30">
        <w:t xml:space="preserve"> de las variables</w:t>
      </w:r>
      <w:r w:rsidR="00501F78" w:rsidRPr="00733E30">
        <w:t xml:space="preserve"> más relevantes de la actividad anual</w:t>
      </w:r>
      <w:r w:rsidR="00210629" w:rsidRPr="00733E30">
        <w:t>, y que son complementarias de la temática de las encuestas mensuales</w:t>
      </w:r>
      <w:r w:rsidR="00501F78" w:rsidRPr="00733E30">
        <w:t>.</w:t>
      </w:r>
    </w:p>
    <w:p w14:paraId="2465B016" w14:textId="77777777" w:rsidR="00733E30" w:rsidRDefault="00733E30" w:rsidP="00733E30">
      <w:pPr>
        <w:spacing w:before="120" w:after="240"/>
        <w:ind w:left="-426" w:right="-171"/>
        <w:rPr>
          <w:lang w:val="es-MX"/>
        </w:rPr>
      </w:pPr>
    </w:p>
    <w:p w14:paraId="262BDD59" w14:textId="1EBA456F" w:rsidR="00210629" w:rsidRPr="00733E30" w:rsidRDefault="00210629" w:rsidP="00733E30">
      <w:pPr>
        <w:tabs>
          <w:tab w:val="left" w:pos="5160"/>
        </w:tabs>
        <w:spacing w:before="120" w:after="240"/>
        <w:ind w:left="-426" w:right="-171"/>
        <w:rPr>
          <w:lang w:val="es-MX"/>
        </w:rPr>
      </w:pPr>
      <w:r w:rsidRPr="00733E30">
        <w:rPr>
          <w:lang w:val="es-MX"/>
        </w:rPr>
        <w:t>Personal Ocupado Total</w:t>
      </w:r>
      <w:r w:rsidR="00733E30">
        <w:rPr>
          <w:lang w:val="es-MX"/>
        </w:rPr>
        <w:tab/>
      </w:r>
    </w:p>
    <w:p w14:paraId="7BD753EE" w14:textId="2F78A5D9" w:rsidR="00210629" w:rsidRPr="00733E30" w:rsidRDefault="00210629" w:rsidP="00733E30">
      <w:pPr>
        <w:spacing w:before="120" w:after="240"/>
        <w:ind w:left="-426" w:right="51"/>
        <w:rPr>
          <w:lang w:val="es-MX"/>
        </w:rPr>
      </w:pPr>
      <w:r w:rsidRPr="00733E30">
        <w:rPr>
          <w:lang w:val="es-MX"/>
        </w:rPr>
        <w:t>El personal ocupado total decrece en los dominios de estudio materia de análisis de la EAT, siendo más pronunciado en el transporte marítimo de cabotaje</w:t>
      </w:r>
      <w:r w:rsidR="00733E30">
        <w:rPr>
          <w:lang w:val="es-MX"/>
        </w:rPr>
        <w:t>. La</w:t>
      </w:r>
      <w:r w:rsidRPr="00733E30">
        <w:rPr>
          <w:lang w:val="es-MX"/>
        </w:rPr>
        <w:t xml:space="preserve"> tasa </w:t>
      </w:r>
      <w:r w:rsidR="00733E30">
        <w:rPr>
          <w:lang w:val="es-MX"/>
        </w:rPr>
        <w:t xml:space="preserve">fue </w:t>
      </w:r>
      <w:r w:rsidRPr="00733E30">
        <w:rPr>
          <w:lang w:val="es-MX"/>
        </w:rPr>
        <w:t>de (-)27.3%; la excepción a este comportamiento se observa en el transporte por ferrocarril, con un crecimiento de 1.2</w:t>
      </w:r>
      <w:r w:rsidR="00733E30">
        <w:rPr>
          <w:lang w:val="es-MX"/>
        </w:rPr>
        <w:t xml:space="preserve"> por ciento.</w:t>
      </w:r>
    </w:p>
    <w:p w14:paraId="02E757DD" w14:textId="547074A9" w:rsidR="00D70B5B" w:rsidRDefault="00D70B5B" w:rsidP="00D70B5B">
      <w:pPr>
        <w:spacing w:before="120" w:after="240"/>
        <w:ind w:right="51"/>
        <w:rPr>
          <w:sz w:val="20"/>
          <w:szCs w:val="20"/>
          <w:lang w:val="es-MX"/>
        </w:rPr>
      </w:pPr>
    </w:p>
    <w:p w14:paraId="79386A7B" w14:textId="0459F0E4" w:rsidR="00D70B5B" w:rsidRDefault="00D70B5B" w:rsidP="00D70B5B">
      <w:pPr>
        <w:spacing w:before="120" w:after="240"/>
        <w:ind w:right="51"/>
        <w:rPr>
          <w:sz w:val="20"/>
          <w:szCs w:val="20"/>
          <w:lang w:val="es-MX"/>
        </w:rPr>
      </w:pPr>
    </w:p>
    <w:p w14:paraId="58833B1E" w14:textId="4B52696E" w:rsidR="00210629" w:rsidRPr="00733E30" w:rsidRDefault="00210629" w:rsidP="00210629">
      <w:pPr>
        <w:pStyle w:val="Default"/>
        <w:jc w:val="center"/>
        <w:rPr>
          <w:b/>
          <w:color w:val="auto"/>
          <w:sz w:val="22"/>
          <w:szCs w:val="22"/>
        </w:rPr>
      </w:pPr>
      <w:r w:rsidRPr="00733E30">
        <w:rPr>
          <w:b/>
          <w:color w:val="auto"/>
          <w:sz w:val="22"/>
          <w:szCs w:val="22"/>
        </w:rPr>
        <w:t xml:space="preserve">Gráfica 1. Personal ocupado total, variación anual 2020 </w:t>
      </w:r>
      <w:r w:rsidRPr="00733E30">
        <w:rPr>
          <w:b/>
          <w:color w:val="auto"/>
          <w:sz w:val="22"/>
          <w:szCs w:val="22"/>
          <w:vertAlign w:val="subscript"/>
        </w:rPr>
        <w:t>/p</w:t>
      </w:r>
    </w:p>
    <w:p w14:paraId="3D7FDE71" w14:textId="132AD98D" w:rsidR="00210629" w:rsidRDefault="00EC5ED3" w:rsidP="00210629">
      <w:pPr>
        <w:pStyle w:val="p0"/>
        <w:jc w:val="center"/>
        <w:rPr>
          <w:b/>
          <w:lang w:val="es-MX" w:eastAsia="es-MX"/>
        </w:rPr>
      </w:pPr>
      <w:r>
        <w:rPr>
          <w:b/>
          <w:noProof/>
          <w:lang w:val="es-MX" w:eastAsia="es-MX"/>
        </w:rPr>
        <w:lastRenderedPageBreak/>
        <w:drawing>
          <wp:inline distT="0" distB="0" distL="0" distR="0" wp14:anchorId="40D24E5C" wp14:editId="58DE3FD7">
            <wp:extent cx="5920943" cy="266738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130" cy="2672420"/>
                    </a:xfrm>
                    <a:prstGeom prst="rect">
                      <a:avLst/>
                    </a:prstGeom>
                    <a:noFill/>
                  </pic:spPr>
                </pic:pic>
              </a:graphicData>
            </a:graphic>
          </wp:inline>
        </w:drawing>
      </w:r>
    </w:p>
    <w:p w14:paraId="6D856825" w14:textId="77777777" w:rsidR="00210629" w:rsidRDefault="00210629" w:rsidP="00210629">
      <w:pPr>
        <w:pStyle w:val="p0"/>
        <w:jc w:val="center"/>
        <w:rPr>
          <w:b/>
          <w:lang w:val="es-MX" w:eastAsia="es-MX"/>
        </w:rPr>
      </w:pPr>
    </w:p>
    <w:p w14:paraId="7B96B9E8" w14:textId="1A8AA764" w:rsidR="00210629" w:rsidRPr="00733E30" w:rsidRDefault="00210629" w:rsidP="00733E30">
      <w:pPr>
        <w:spacing w:before="120" w:after="240"/>
        <w:ind w:left="-426" w:right="142"/>
      </w:pPr>
      <w:r w:rsidRPr="00733E30">
        <w:t xml:space="preserve">En la actualidad, la participación de las mujeres ha venido ganando terreno en diversas actividades económicas, </w:t>
      </w:r>
      <w:r w:rsidR="00F95A03" w:rsidRPr="00733E30">
        <w:t xml:space="preserve">incluyendo las de transportes </w:t>
      </w:r>
      <w:r w:rsidR="00491A0F" w:rsidRPr="00733E30">
        <w:t>que en 2020 cubren 13.9% del total de la ocupación</w:t>
      </w:r>
      <w:r w:rsidRPr="00733E30">
        <w:t>.</w:t>
      </w:r>
    </w:p>
    <w:p w14:paraId="3D14B3CD" w14:textId="71C0B623" w:rsidR="00B92C63" w:rsidRPr="00733E30" w:rsidRDefault="00B92C63" w:rsidP="00B92C63">
      <w:pPr>
        <w:spacing w:before="120" w:after="240"/>
        <w:ind w:right="193"/>
        <w:jc w:val="center"/>
        <w:rPr>
          <w:sz w:val="22"/>
          <w:szCs w:val="22"/>
        </w:rPr>
      </w:pPr>
      <w:r w:rsidRPr="00733E30">
        <w:rPr>
          <w:b/>
          <w:sz w:val="22"/>
          <w:szCs w:val="22"/>
          <w:lang w:val="es-MX" w:eastAsia="es-MX"/>
        </w:rPr>
        <w:t xml:space="preserve">Gráfica 2. Personal ocupado total por Sexo en el Sector Transportes </w:t>
      </w:r>
      <w:r w:rsidRPr="00733E30">
        <w:rPr>
          <w:b/>
          <w:sz w:val="22"/>
          <w:szCs w:val="22"/>
          <w:vertAlign w:val="subscript"/>
          <w:lang w:val="es-MX" w:eastAsia="es-MX"/>
        </w:rPr>
        <w:t>/p</w:t>
      </w:r>
    </w:p>
    <w:p w14:paraId="17F8ED14" w14:textId="728029F5" w:rsidR="00210629" w:rsidRDefault="00B6790E" w:rsidP="000E3892">
      <w:pPr>
        <w:spacing w:before="120" w:after="240"/>
        <w:ind w:right="193"/>
        <w:rPr>
          <w:sz w:val="20"/>
          <w:szCs w:val="20"/>
        </w:rPr>
      </w:pPr>
      <w:r>
        <w:rPr>
          <w:noProof/>
        </w:rPr>
        <w:drawing>
          <wp:inline distT="0" distB="0" distL="0" distR="0" wp14:anchorId="39D68D39" wp14:editId="72A8537E">
            <wp:extent cx="5883275" cy="2465223"/>
            <wp:effectExtent l="0" t="0" r="3175" b="11430"/>
            <wp:docPr id="8" name="Gráfico 8">
              <a:extLst xmlns:a="http://schemas.openxmlformats.org/drawingml/2006/main">
                <a:ext uri="{FF2B5EF4-FFF2-40B4-BE49-F238E27FC236}">
                  <a16:creationId xmlns:a16="http://schemas.microsoft.com/office/drawing/2014/main" id="{E9AC202D-4F8D-4A6E-ADFB-91D75969D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5F4C8D" w14:textId="0599E604" w:rsidR="00F81CF7" w:rsidRDefault="00F81CF7">
      <w:pPr>
        <w:jc w:val="left"/>
        <w:rPr>
          <w:sz w:val="20"/>
          <w:szCs w:val="20"/>
        </w:rPr>
      </w:pPr>
    </w:p>
    <w:p w14:paraId="0F2423B0" w14:textId="2C4ED89D" w:rsidR="00611536" w:rsidRPr="00733E30" w:rsidRDefault="00040CFD" w:rsidP="00733E30">
      <w:pPr>
        <w:ind w:left="-426"/>
        <w:contextualSpacing/>
      </w:pPr>
      <w:r w:rsidRPr="00733E30">
        <w:t>E</w:t>
      </w:r>
      <w:r w:rsidR="00611536" w:rsidRPr="00733E30">
        <w:t xml:space="preserve">l Cuadro </w:t>
      </w:r>
      <w:r w:rsidR="004A7993" w:rsidRPr="00733E30">
        <w:t>1</w:t>
      </w:r>
      <w:r w:rsidR="00611536" w:rsidRPr="00733E30">
        <w:t xml:space="preserve"> muestra </w:t>
      </w:r>
      <w:r w:rsidR="00CC2964" w:rsidRPr="00733E30">
        <w:t xml:space="preserve">a manera de resumen, </w:t>
      </w:r>
      <w:r w:rsidR="00611536" w:rsidRPr="00733E30">
        <w:t>los indicadores</w:t>
      </w:r>
      <w:r w:rsidR="00707E92" w:rsidRPr="00733E30">
        <w:t xml:space="preserve"> generales</w:t>
      </w:r>
      <w:r w:rsidR="00CC2964" w:rsidRPr="00733E30">
        <w:t xml:space="preserve"> para los</w:t>
      </w:r>
      <w:r w:rsidR="00611536" w:rsidRPr="00733E30">
        <w:t xml:space="preserve"> </w:t>
      </w:r>
      <w:r w:rsidR="00016220" w:rsidRPr="00733E30">
        <w:t>dominios de</w:t>
      </w:r>
      <w:r w:rsidR="005E6674" w:rsidRPr="00733E30">
        <w:t xml:space="preserve"> los servicios relacionados a </w:t>
      </w:r>
      <w:r w:rsidR="00016220" w:rsidRPr="00733E30">
        <w:t>transportes</w:t>
      </w:r>
      <w:r w:rsidR="00611536" w:rsidRPr="00733E30">
        <w:t>:</w:t>
      </w:r>
    </w:p>
    <w:p w14:paraId="265D50EF" w14:textId="27C8D124" w:rsidR="006D599A" w:rsidRDefault="006D599A" w:rsidP="00733E30">
      <w:pPr>
        <w:ind w:left="-426"/>
        <w:contextualSpacing/>
      </w:pPr>
    </w:p>
    <w:p w14:paraId="5E0C2193" w14:textId="77777777" w:rsidR="00E64A4D" w:rsidRPr="00733E30" w:rsidRDefault="00E64A4D" w:rsidP="00733E30">
      <w:pPr>
        <w:ind w:left="-426"/>
        <w:contextualSpacing/>
      </w:pPr>
    </w:p>
    <w:p w14:paraId="13F42242" w14:textId="5A6DC438" w:rsidR="00611536" w:rsidRDefault="00016220" w:rsidP="00733E30">
      <w:pPr>
        <w:ind w:left="-426"/>
        <w:contextualSpacing/>
      </w:pPr>
      <w:r w:rsidRPr="00733E30">
        <w:t>La actividad</w:t>
      </w:r>
      <w:r w:rsidR="00611536" w:rsidRPr="00733E30">
        <w:t xml:space="preserve"> con mayor retribución anual al empleo es </w:t>
      </w:r>
      <w:r w:rsidR="005E6674" w:rsidRPr="00733E30">
        <w:t xml:space="preserve">la de Otros servicios </w:t>
      </w:r>
      <w:r w:rsidR="001C3C93" w:rsidRPr="00733E30">
        <w:t>de</w:t>
      </w:r>
      <w:r w:rsidR="00611536" w:rsidRPr="00733E30">
        <w:t xml:space="preserve"> </w:t>
      </w:r>
      <w:r w:rsidR="005E6674" w:rsidRPr="00733E30">
        <w:t>i</w:t>
      </w:r>
      <w:r w:rsidR="00D174BD" w:rsidRPr="00733E30">
        <w:t>n</w:t>
      </w:r>
      <w:r w:rsidR="005E6674" w:rsidRPr="00733E30">
        <w:t xml:space="preserve">termediación para el </w:t>
      </w:r>
      <w:r w:rsidRPr="00733E30">
        <w:t xml:space="preserve">transporte </w:t>
      </w:r>
      <w:r w:rsidR="005E6674" w:rsidRPr="00733E30">
        <w:t>de carga</w:t>
      </w:r>
      <w:r w:rsidR="00C91AB2" w:rsidRPr="00733E30">
        <w:t>,</w:t>
      </w:r>
      <w:r w:rsidR="005E6674" w:rsidRPr="00733E30">
        <w:t xml:space="preserve"> con</w:t>
      </w:r>
      <w:r w:rsidR="00297864" w:rsidRPr="00733E30">
        <w:t xml:space="preserve"> </w:t>
      </w:r>
      <w:r w:rsidR="005E6674" w:rsidRPr="00733E30">
        <w:t>389</w:t>
      </w:r>
      <w:r w:rsidR="00611536" w:rsidRPr="00733E30">
        <w:t xml:space="preserve"> m</w:t>
      </w:r>
      <w:r w:rsidR="00733E30">
        <w:t>illones de pesos (</w:t>
      </w:r>
      <w:proofErr w:type="spellStart"/>
      <w:r w:rsidR="00733E30">
        <w:t>m</w:t>
      </w:r>
      <w:r w:rsidR="00611536" w:rsidRPr="00733E30">
        <w:t>dp</w:t>
      </w:r>
      <w:proofErr w:type="spellEnd"/>
      <w:r w:rsidR="00733E30">
        <w:t>)</w:t>
      </w:r>
      <w:r w:rsidR="00611536" w:rsidRPr="00733E30">
        <w:t>.</w:t>
      </w:r>
    </w:p>
    <w:p w14:paraId="400D7AF3" w14:textId="77777777" w:rsidR="00733E30" w:rsidRPr="00733E30" w:rsidRDefault="00733E30" w:rsidP="00733E30">
      <w:pPr>
        <w:ind w:left="-426"/>
        <w:contextualSpacing/>
      </w:pPr>
    </w:p>
    <w:p w14:paraId="36D5A3DF" w14:textId="0FEF4BFD" w:rsidR="00956CCE" w:rsidRPr="00733E30" w:rsidRDefault="00D174BD" w:rsidP="00733E30">
      <w:pPr>
        <w:ind w:left="-426"/>
        <w:contextualSpacing/>
      </w:pPr>
      <w:r w:rsidRPr="00733E30">
        <w:t>Los Servicios de almacenamiento son los que reportan la cifra más elevada de ingresos por persona ocupada, con 2</w:t>
      </w:r>
      <w:r w:rsidR="00733E30">
        <w:t xml:space="preserve"> </w:t>
      </w:r>
      <w:r w:rsidRPr="00733E30">
        <w:t>220</w:t>
      </w:r>
      <w:r w:rsidR="00016220" w:rsidRPr="00733E30">
        <w:t xml:space="preserve"> </w:t>
      </w:r>
      <w:proofErr w:type="spellStart"/>
      <w:r w:rsidR="00016220" w:rsidRPr="00733E30">
        <w:t>mdp</w:t>
      </w:r>
      <w:proofErr w:type="spellEnd"/>
      <w:r w:rsidR="00016220" w:rsidRPr="00733E30">
        <w:t>.</w:t>
      </w:r>
    </w:p>
    <w:p w14:paraId="3B52050E" w14:textId="77777777" w:rsidR="00D2437C" w:rsidRPr="00733E30" w:rsidRDefault="00D2437C" w:rsidP="00733E30">
      <w:pPr>
        <w:ind w:right="51"/>
        <w:contextualSpacing/>
        <w:rPr>
          <w:sz w:val="20"/>
          <w:szCs w:val="20"/>
        </w:rPr>
      </w:pPr>
    </w:p>
    <w:p w14:paraId="0DBEB1A0" w14:textId="3CFACFD4" w:rsidR="00AF5D5B" w:rsidRPr="00733E30" w:rsidRDefault="00D2437C" w:rsidP="00733E30">
      <w:pPr>
        <w:ind w:right="193"/>
        <w:jc w:val="center"/>
        <w:rPr>
          <w:sz w:val="22"/>
          <w:szCs w:val="22"/>
        </w:rPr>
      </w:pPr>
      <w:r w:rsidRPr="00733E30">
        <w:rPr>
          <w:b/>
          <w:sz w:val="22"/>
          <w:szCs w:val="22"/>
          <w:lang w:val="es-MX" w:eastAsia="es-MX"/>
        </w:rPr>
        <w:t xml:space="preserve">Cuadro 1. Encuesta Anual de Transportes, distribución de personal ocupado por situación de dependencia de la razón social </w:t>
      </w:r>
      <w:r w:rsidRPr="00733E30">
        <w:rPr>
          <w:b/>
          <w:sz w:val="22"/>
          <w:szCs w:val="22"/>
          <w:vertAlign w:val="subscript"/>
          <w:lang w:val="es-MX" w:eastAsia="es-MX"/>
        </w:rPr>
        <w:t>/p</w:t>
      </w:r>
    </w:p>
    <w:p w14:paraId="5462CEB3" w14:textId="4D3E476D" w:rsidR="00D70B5B" w:rsidRDefault="00F36869" w:rsidP="00DD0D5E">
      <w:pPr>
        <w:spacing w:before="120" w:after="240"/>
        <w:ind w:right="193" w:hanging="284"/>
        <w:jc w:val="center"/>
        <w:rPr>
          <w:sz w:val="20"/>
          <w:szCs w:val="20"/>
        </w:rPr>
      </w:pPr>
      <w:r w:rsidRPr="00F36869">
        <w:rPr>
          <w:noProof/>
        </w:rPr>
        <w:drawing>
          <wp:inline distT="0" distB="0" distL="0" distR="0" wp14:anchorId="7F37557A" wp14:editId="0C42C290">
            <wp:extent cx="5991225" cy="2532460"/>
            <wp:effectExtent l="0" t="0" r="0"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26228" cy="2547255"/>
                    </a:xfrm>
                    <a:prstGeom prst="rect">
                      <a:avLst/>
                    </a:prstGeom>
                    <a:noFill/>
                    <a:ln>
                      <a:noFill/>
                    </a:ln>
                  </pic:spPr>
                </pic:pic>
              </a:graphicData>
            </a:graphic>
          </wp:inline>
        </w:drawing>
      </w:r>
    </w:p>
    <w:p w14:paraId="132356A2" w14:textId="6946F15F" w:rsidR="001D7A25" w:rsidRPr="00733E30" w:rsidRDefault="00491A0F" w:rsidP="00733E30">
      <w:pPr>
        <w:spacing w:before="120" w:after="240"/>
        <w:ind w:left="-426"/>
      </w:pPr>
      <w:r w:rsidRPr="00733E30">
        <w:t xml:space="preserve">Las actividades económicas que ocupan personal con mayor nivel de estudios, en términos relativos, son el transporte por ferrocarril </w:t>
      </w:r>
      <w:r w:rsidR="006D6713" w:rsidRPr="00733E30">
        <w:t>y el transporte aéreo, con 59.1% y 10.2% de sexo masculino; y, 21.6%</w:t>
      </w:r>
      <w:r w:rsidRPr="00733E30">
        <w:t xml:space="preserve"> </w:t>
      </w:r>
      <w:r w:rsidR="006D6713" w:rsidRPr="00733E30">
        <w:t>y 6.8% de personal femenino, respectivamente.</w:t>
      </w:r>
    </w:p>
    <w:p w14:paraId="7B30987B" w14:textId="656DA594" w:rsidR="00E14824" w:rsidRPr="00733E30" w:rsidRDefault="00E14824" w:rsidP="00DD0D5E">
      <w:pPr>
        <w:ind w:right="193"/>
        <w:jc w:val="center"/>
        <w:rPr>
          <w:sz w:val="22"/>
          <w:szCs w:val="22"/>
        </w:rPr>
      </w:pPr>
      <w:r w:rsidRPr="00733E30">
        <w:rPr>
          <w:b/>
          <w:sz w:val="22"/>
          <w:szCs w:val="22"/>
          <w:lang w:val="es-MX" w:eastAsia="es-MX"/>
        </w:rPr>
        <w:t xml:space="preserve">Cuadro 2. Encuesta Anual de Transportes, distribución de personal ocupado por sexo y nivel educativo </w:t>
      </w:r>
      <w:r w:rsidRPr="00733E30">
        <w:rPr>
          <w:b/>
          <w:sz w:val="22"/>
          <w:szCs w:val="22"/>
          <w:vertAlign w:val="subscript"/>
          <w:lang w:val="es-MX" w:eastAsia="es-MX"/>
        </w:rPr>
        <w:t>/p</w:t>
      </w:r>
    </w:p>
    <w:p w14:paraId="4CADC6E3" w14:textId="164E693A" w:rsidR="00E14824" w:rsidRDefault="00E14824" w:rsidP="00D44AA0">
      <w:pPr>
        <w:spacing w:before="120" w:after="240"/>
        <w:ind w:left="-426"/>
        <w:jc w:val="center"/>
        <w:rPr>
          <w:sz w:val="20"/>
          <w:szCs w:val="20"/>
        </w:rPr>
      </w:pPr>
      <w:r w:rsidRPr="00E14824">
        <w:rPr>
          <w:noProof/>
        </w:rPr>
        <w:drawing>
          <wp:inline distT="0" distB="0" distL="0" distR="0" wp14:anchorId="52BA4B41" wp14:editId="780A8634">
            <wp:extent cx="6321841" cy="2813957"/>
            <wp:effectExtent l="0" t="0" r="317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21225" cy="2858194"/>
                    </a:xfrm>
                    <a:prstGeom prst="rect">
                      <a:avLst/>
                    </a:prstGeom>
                    <a:noFill/>
                    <a:ln>
                      <a:noFill/>
                    </a:ln>
                  </pic:spPr>
                </pic:pic>
              </a:graphicData>
            </a:graphic>
          </wp:inline>
        </w:drawing>
      </w:r>
    </w:p>
    <w:p w14:paraId="61829079" w14:textId="30737877" w:rsidR="006D6713" w:rsidRPr="00E64A4D" w:rsidRDefault="006D6713" w:rsidP="00E64A4D">
      <w:pPr>
        <w:spacing w:before="120" w:after="240"/>
        <w:ind w:left="-426"/>
      </w:pPr>
      <w:r w:rsidRPr="00E64A4D">
        <w:lastRenderedPageBreak/>
        <w:t>Durante 2020 el mayor margen de operación se observa en las actividades de servicios de carga y descarga para el transporte por agua</w:t>
      </w:r>
      <w:r w:rsidR="00BA6B97" w:rsidRPr="00E64A4D">
        <w:t xml:space="preserve"> con un 53.78</w:t>
      </w:r>
      <w:r w:rsidRPr="00E64A4D">
        <w:t>, seguido de los servicios de mensajería y paquetería local</w:t>
      </w:r>
      <w:r w:rsidR="00BA6B97" w:rsidRPr="00E64A4D">
        <w:t xml:space="preserve"> con 53.38</w:t>
      </w:r>
      <w:r w:rsidRPr="00E64A4D">
        <w:t>, mientras que la relación costo-beneficio es mayor en los servicios de mensajería y paquetería foránea</w:t>
      </w:r>
      <w:r w:rsidR="008C4432" w:rsidRPr="00E64A4D">
        <w:t>.</w:t>
      </w:r>
    </w:p>
    <w:p w14:paraId="07DEC8F9" w14:textId="231F1020" w:rsidR="00D2437C" w:rsidRPr="00E64A4D" w:rsidRDefault="00F36869" w:rsidP="0087455B">
      <w:pPr>
        <w:jc w:val="center"/>
        <w:rPr>
          <w:sz w:val="22"/>
          <w:szCs w:val="22"/>
        </w:rPr>
      </w:pPr>
      <w:r w:rsidRPr="00E64A4D">
        <w:rPr>
          <w:b/>
          <w:sz w:val="22"/>
          <w:szCs w:val="22"/>
          <w:lang w:val="es-MX" w:eastAsia="es-MX"/>
        </w:rPr>
        <w:t xml:space="preserve">Cuadro </w:t>
      </w:r>
      <w:r w:rsidR="00E14824" w:rsidRPr="00E64A4D">
        <w:rPr>
          <w:b/>
          <w:sz w:val="22"/>
          <w:szCs w:val="22"/>
          <w:lang w:val="es-MX" w:eastAsia="es-MX"/>
        </w:rPr>
        <w:t>3</w:t>
      </w:r>
      <w:r w:rsidRPr="00E64A4D">
        <w:rPr>
          <w:b/>
          <w:sz w:val="22"/>
          <w:szCs w:val="22"/>
          <w:lang w:val="es-MX" w:eastAsia="es-MX"/>
        </w:rPr>
        <w:t xml:space="preserve">. Encuesta Anual de Transportes, razones y proporciones </w:t>
      </w:r>
      <w:r w:rsidRPr="00E64A4D">
        <w:rPr>
          <w:b/>
          <w:sz w:val="22"/>
          <w:szCs w:val="22"/>
          <w:vertAlign w:val="subscript"/>
          <w:lang w:val="es-MX" w:eastAsia="es-MX"/>
        </w:rPr>
        <w:t>/p</w:t>
      </w:r>
    </w:p>
    <w:p w14:paraId="57EFA8E5" w14:textId="211EF2E9" w:rsidR="00D2437C" w:rsidRDefault="00F36869" w:rsidP="00D2437C">
      <w:pPr>
        <w:ind w:right="-516"/>
        <w:contextualSpacing/>
        <w:rPr>
          <w:sz w:val="20"/>
          <w:szCs w:val="20"/>
        </w:rPr>
      </w:pPr>
      <w:r w:rsidRPr="00F36869">
        <w:rPr>
          <w:noProof/>
        </w:rPr>
        <w:drawing>
          <wp:inline distT="0" distB="0" distL="0" distR="0" wp14:anchorId="151C1673" wp14:editId="26EFAB85">
            <wp:extent cx="5883275" cy="2701290"/>
            <wp:effectExtent l="0" t="0" r="3175"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83275" cy="2701290"/>
                    </a:xfrm>
                    <a:prstGeom prst="rect">
                      <a:avLst/>
                    </a:prstGeom>
                    <a:noFill/>
                    <a:ln>
                      <a:noFill/>
                    </a:ln>
                  </pic:spPr>
                </pic:pic>
              </a:graphicData>
            </a:graphic>
          </wp:inline>
        </w:drawing>
      </w:r>
    </w:p>
    <w:p w14:paraId="3B599A67" w14:textId="77853F60" w:rsidR="008C4432" w:rsidRDefault="008C4432" w:rsidP="00D2437C">
      <w:pPr>
        <w:ind w:right="-516"/>
        <w:contextualSpacing/>
        <w:rPr>
          <w:sz w:val="20"/>
          <w:szCs w:val="20"/>
        </w:rPr>
      </w:pPr>
    </w:p>
    <w:p w14:paraId="45C09994" w14:textId="7D59CD89" w:rsidR="004B60ED" w:rsidRDefault="005C1644" w:rsidP="00E64A4D">
      <w:pPr>
        <w:ind w:left="-426"/>
        <w:contextualSpacing/>
      </w:pPr>
      <w:r w:rsidRPr="00E64A4D">
        <w:t>En l</w:t>
      </w:r>
      <w:r w:rsidR="008C4432" w:rsidRPr="00E64A4D">
        <w:t>as empresas dedicadas al transporte marítimo de altura, excepto de petróleo y gas natural, 90.9% del personal recibió capacitación</w:t>
      </w:r>
      <w:r w:rsidR="00E64A4D">
        <w:t>. E</w:t>
      </w:r>
      <w:r w:rsidR="008C4432" w:rsidRPr="00E64A4D">
        <w:t xml:space="preserve">n el extremo contrario, el transporte por ferrocarril solamente realiza esta práctica </w:t>
      </w:r>
      <w:r w:rsidR="00E64A4D">
        <w:t>a</w:t>
      </w:r>
      <w:r w:rsidR="008C4432" w:rsidRPr="00E64A4D">
        <w:t xml:space="preserve"> 16.7% de su personal.</w:t>
      </w:r>
    </w:p>
    <w:p w14:paraId="5327A76B" w14:textId="77777777" w:rsidR="00D70B5B" w:rsidRDefault="00D70B5B" w:rsidP="00D70B5B">
      <w:pPr>
        <w:ind w:left="360" w:right="51"/>
        <w:contextualSpacing/>
        <w:rPr>
          <w:b/>
          <w:lang w:val="es-MX" w:eastAsia="es-MX"/>
        </w:rPr>
      </w:pPr>
    </w:p>
    <w:p w14:paraId="7A2FE35D" w14:textId="3444EC3D" w:rsidR="00F81CF7" w:rsidRPr="00E64A4D" w:rsidRDefault="00F81CF7" w:rsidP="00D70B5B">
      <w:pPr>
        <w:ind w:left="360" w:right="51"/>
        <w:contextualSpacing/>
        <w:rPr>
          <w:sz w:val="22"/>
          <w:szCs w:val="22"/>
        </w:rPr>
      </w:pPr>
      <w:r w:rsidRPr="00E64A4D">
        <w:rPr>
          <w:b/>
          <w:sz w:val="22"/>
          <w:szCs w:val="22"/>
          <w:lang w:val="es-MX" w:eastAsia="es-MX"/>
        </w:rPr>
        <w:t xml:space="preserve">Gráfica 2. Personal ocupado dependiente de la razón social que recibe capacitación </w:t>
      </w:r>
      <w:r w:rsidRPr="00E64A4D">
        <w:rPr>
          <w:b/>
          <w:sz w:val="22"/>
          <w:szCs w:val="22"/>
          <w:vertAlign w:val="subscript"/>
          <w:lang w:val="es-MX" w:eastAsia="es-MX"/>
        </w:rPr>
        <w:t>/p</w:t>
      </w:r>
    </w:p>
    <w:p w14:paraId="00984E76" w14:textId="2A17D459" w:rsidR="005324FA" w:rsidRDefault="005324FA" w:rsidP="00D2437C">
      <w:pPr>
        <w:ind w:right="-374"/>
        <w:contextualSpacing/>
        <w:rPr>
          <w:b/>
          <w:vertAlign w:val="subscript"/>
          <w:lang w:val="es-MX" w:eastAsia="es-MX"/>
        </w:rPr>
      </w:pPr>
      <w:r>
        <w:rPr>
          <w:noProof/>
        </w:rPr>
        <w:drawing>
          <wp:inline distT="0" distB="0" distL="0" distR="0" wp14:anchorId="6F3A354B" wp14:editId="2E7674B0">
            <wp:extent cx="5883275" cy="3010619"/>
            <wp:effectExtent l="0" t="0" r="3175" b="18415"/>
            <wp:docPr id="1" name="Gráfico 1">
              <a:extLst xmlns:a="http://schemas.openxmlformats.org/drawingml/2006/main">
                <a:ext uri="{FF2B5EF4-FFF2-40B4-BE49-F238E27FC236}">
                  <a16:creationId xmlns:a16="http://schemas.microsoft.com/office/drawing/2014/main" id="{7DECBEB3-F6D2-4824-9667-8C4E32DA30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5E31D8" w14:textId="77777777" w:rsidR="008C4432" w:rsidRPr="00E64A4D" w:rsidRDefault="005324FA" w:rsidP="00E64A4D">
      <w:pPr>
        <w:ind w:left="-426"/>
        <w:contextualSpacing/>
      </w:pPr>
      <w:r w:rsidRPr="00E64A4D">
        <w:lastRenderedPageBreak/>
        <w:t>Para el desarrollo de las actividades de transportes los activos fijos representan una importante inversión, por lo que el tema de los activos fijos resulta relevante</w:t>
      </w:r>
      <w:r w:rsidR="008C4432" w:rsidRPr="00E64A4D">
        <w:t>.</w:t>
      </w:r>
    </w:p>
    <w:p w14:paraId="34404B4E" w14:textId="77777777" w:rsidR="00D70B5B" w:rsidRPr="00E64A4D" w:rsidRDefault="00D70B5B" w:rsidP="00E64A4D">
      <w:pPr>
        <w:ind w:left="-426"/>
        <w:contextualSpacing/>
      </w:pPr>
    </w:p>
    <w:p w14:paraId="35C5847A" w14:textId="311ABAAC" w:rsidR="00D70B5B" w:rsidRPr="00E64A4D" w:rsidRDefault="005C1644" w:rsidP="00E64A4D">
      <w:pPr>
        <w:ind w:left="-426"/>
        <w:contextualSpacing/>
      </w:pPr>
      <w:r w:rsidRPr="00E64A4D">
        <w:t>Las empresas transportistas poseen el mayor porcentaje de sus activos fijos en el equipo de transporte, a excepción del transporte por ferrocarril que en ese renglón invierte más en su infraestructura.</w:t>
      </w:r>
    </w:p>
    <w:p w14:paraId="17A41ADA" w14:textId="77777777" w:rsidR="00D70B5B" w:rsidRDefault="00D70B5B" w:rsidP="00472EA3">
      <w:pPr>
        <w:ind w:right="-374"/>
        <w:contextualSpacing/>
        <w:jc w:val="center"/>
        <w:rPr>
          <w:b/>
          <w:lang w:val="es-MX" w:eastAsia="es-MX"/>
        </w:rPr>
      </w:pPr>
    </w:p>
    <w:p w14:paraId="3898BA2F" w14:textId="7577FFFA" w:rsidR="00472EA3" w:rsidRPr="00E64A4D" w:rsidRDefault="00472EA3" w:rsidP="00472EA3">
      <w:pPr>
        <w:ind w:right="-374"/>
        <w:contextualSpacing/>
        <w:jc w:val="center"/>
        <w:rPr>
          <w:sz w:val="22"/>
          <w:szCs w:val="22"/>
        </w:rPr>
      </w:pPr>
      <w:r w:rsidRPr="00E64A4D">
        <w:rPr>
          <w:b/>
          <w:sz w:val="22"/>
          <w:szCs w:val="22"/>
          <w:lang w:val="es-MX" w:eastAsia="es-MX"/>
        </w:rPr>
        <w:t xml:space="preserve">Cuadro </w:t>
      </w:r>
      <w:r w:rsidR="00E14824" w:rsidRPr="00E64A4D">
        <w:rPr>
          <w:b/>
          <w:sz w:val="22"/>
          <w:szCs w:val="22"/>
          <w:lang w:val="es-MX" w:eastAsia="es-MX"/>
        </w:rPr>
        <w:t>4</w:t>
      </w:r>
      <w:r w:rsidRPr="00E64A4D">
        <w:rPr>
          <w:b/>
          <w:sz w:val="22"/>
          <w:szCs w:val="22"/>
          <w:lang w:val="es-MX" w:eastAsia="es-MX"/>
        </w:rPr>
        <w:t xml:space="preserve">. Encuesta Anual de Transportes, activos fijos </w:t>
      </w:r>
      <w:r w:rsidRPr="00E64A4D">
        <w:rPr>
          <w:b/>
          <w:sz w:val="22"/>
          <w:szCs w:val="22"/>
          <w:vertAlign w:val="subscript"/>
          <w:lang w:val="es-MX" w:eastAsia="es-MX"/>
        </w:rPr>
        <w:t>/p</w:t>
      </w:r>
    </w:p>
    <w:p w14:paraId="08C11F6E" w14:textId="7F2E1A80" w:rsidR="00472EA3" w:rsidRDefault="00472EA3" w:rsidP="00D44AA0">
      <w:pPr>
        <w:ind w:hanging="426"/>
        <w:contextualSpacing/>
        <w:rPr>
          <w:sz w:val="20"/>
          <w:szCs w:val="20"/>
        </w:rPr>
      </w:pPr>
      <w:r w:rsidRPr="00472EA3">
        <w:rPr>
          <w:noProof/>
        </w:rPr>
        <w:drawing>
          <wp:inline distT="0" distB="0" distL="0" distR="0" wp14:anchorId="2038033B" wp14:editId="58AFD8CA">
            <wp:extent cx="6346372" cy="2830077"/>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71793" cy="2841413"/>
                    </a:xfrm>
                    <a:prstGeom prst="rect">
                      <a:avLst/>
                    </a:prstGeom>
                    <a:noFill/>
                    <a:ln>
                      <a:noFill/>
                    </a:ln>
                  </pic:spPr>
                </pic:pic>
              </a:graphicData>
            </a:graphic>
          </wp:inline>
        </w:drawing>
      </w:r>
    </w:p>
    <w:p w14:paraId="29FE7CD3" w14:textId="77777777" w:rsidR="00AF5D5B" w:rsidRDefault="00AF5D5B" w:rsidP="001965F0">
      <w:pPr>
        <w:ind w:right="-516"/>
        <w:contextualSpacing/>
        <w:rPr>
          <w:sz w:val="20"/>
          <w:szCs w:val="20"/>
        </w:rPr>
      </w:pPr>
    </w:p>
    <w:p w14:paraId="6FFC0833" w14:textId="77777777" w:rsidR="00E64A4D" w:rsidRDefault="00E64A4D" w:rsidP="00E64A4D">
      <w:pPr>
        <w:ind w:left="-426"/>
        <w:contextualSpacing/>
      </w:pPr>
    </w:p>
    <w:p w14:paraId="467009EC" w14:textId="418A4168" w:rsidR="001965F0" w:rsidRPr="00E64A4D" w:rsidRDefault="001965F0" w:rsidP="00E64A4D">
      <w:pPr>
        <w:ind w:left="-426"/>
        <w:contextualSpacing/>
      </w:pPr>
      <w:r w:rsidRPr="00E64A4D">
        <w:t xml:space="preserve">La Encuesta Anual de Transportes </w:t>
      </w:r>
      <w:r w:rsidR="004A7993" w:rsidRPr="00E64A4D">
        <w:t>apor</w:t>
      </w:r>
      <w:r w:rsidRPr="00E64A4D">
        <w:t xml:space="preserve">ta información </w:t>
      </w:r>
      <w:r w:rsidR="004A7993" w:rsidRPr="00E64A4D">
        <w:t>con</w:t>
      </w:r>
      <w:r w:rsidR="00AF5D5B" w:rsidRPr="00E64A4D">
        <w:t xml:space="preserve"> </w:t>
      </w:r>
      <w:r w:rsidR="004A7993" w:rsidRPr="00E64A4D">
        <w:t>detalle</w:t>
      </w:r>
      <w:r w:rsidR="00AF5D5B" w:rsidRPr="00E64A4D">
        <w:t>s específicos del transporte, c</w:t>
      </w:r>
      <w:r w:rsidR="00B43A80" w:rsidRPr="00E64A4D">
        <w:t xml:space="preserve">omo ejemplo, </w:t>
      </w:r>
      <w:r w:rsidRPr="00E64A4D">
        <w:t xml:space="preserve">se </w:t>
      </w:r>
      <w:r w:rsidR="00AF5D5B" w:rsidRPr="00E64A4D">
        <w:t>observa</w:t>
      </w:r>
      <w:r w:rsidRPr="00E64A4D">
        <w:t xml:space="preserve"> en </w:t>
      </w:r>
      <w:r w:rsidR="00EB2FCF" w:rsidRPr="00E64A4D">
        <w:t xml:space="preserve">el </w:t>
      </w:r>
      <w:r w:rsidR="00787B34" w:rsidRPr="00E64A4D">
        <w:t>C</w:t>
      </w:r>
      <w:r w:rsidR="00EB2FCF" w:rsidRPr="00E64A4D">
        <w:t xml:space="preserve">uadro </w:t>
      </w:r>
      <w:r w:rsidR="00A8244C" w:rsidRPr="00E64A4D">
        <w:t>5</w:t>
      </w:r>
      <w:r w:rsidRPr="00E64A4D">
        <w:t xml:space="preserve">, </w:t>
      </w:r>
      <w:r w:rsidR="00B43A80" w:rsidRPr="00E64A4D">
        <w:t>que es el diésel el tipo de combustible que se utiliza con mayor frecuencia.</w:t>
      </w:r>
    </w:p>
    <w:p w14:paraId="1ACFDF94" w14:textId="33C0F6AD" w:rsidR="00787B34" w:rsidRDefault="00787B34" w:rsidP="00472EA3">
      <w:pPr>
        <w:ind w:right="51"/>
        <w:contextualSpacing/>
        <w:rPr>
          <w:sz w:val="20"/>
          <w:szCs w:val="20"/>
        </w:rPr>
      </w:pPr>
    </w:p>
    <w:p w14:paraId="60F51563" w14:textId="58D2268F" w:rsidR="00787B34" w:rsidRPr="00E64A4D" w:rsidRDefault="00787B34" w:rsidP="00E64A4D">
      <w:pPr>
        <w:ind w:left="-426"/>
        <w:contextualSpacing/>
        <w:jc w:val="center"/>
        <w:rPr>
          <w:sz w:val="22"/>
          <w:szCs w:val="22"/>
        </w:rPr>
      </w:pPr>
      <w:r w:rsidRPr="00E64A4D">
        <w:rPr>
          <w:b/>
          <w:sz w:val="22"/>
          <w:szCs w:val="22"/>
          <w:lang w:val="es-MX" w:eastAsia="es-MX"/>
        </w:rPr>
        <w:t xml:space="preserve">Cuadro </w:t>
      </w:r>
      <w:r w:rsidR="00E14824" w:rsidRPr="00E64A4D">
        <w:rPr>
          <w:b/>
          <w:sz w:val="22"/>
          <w:szCs w:val="22"/>
          <w:lang w:val="es-MX" w:eastAsia="es-MX"/>
        </w:rPr>
        <w:t>5</w:t>
      </w:r>
      <w:r w:rsidRPr="00E64A4D">
        <w:rPr>
          <w:b/>
          <w:sz w:val="22"/>
          <w:szCs w:val="22"/>
          <w:lang w:val="es-MX" w:eastAsia="es-MX"/>
        </w:rPr>
        <w:t xml:space="preserve">. Encuesta Anual de Transportes, distribución porcentual del gasto en combustible </w:t>
      </w:r>
      <w:r w:rsidRPr="00E64A4D">
        <w:rPr>
          <w:b/>
          <w:sz w:val="22"/>
          <w:szCs w:val="22"/>
          <w:vertAlign w:val="subscript"/>
          <w:lang w:val="es-MX" w:eastAsia="es-MX"/>
        </w:rPr>
        <w:t>/p</w:t>
      </w:r>
    </w:p>
    <w:p w14:paraId="3B15044F" w14:textId="21357FDE" w:rsidR="003D4AE6" w:rsidRDefault="001D7A25" w:rsidP="00E64A4D">
      <w:pPr>
        <w:ind w:left="-426" w:right="142" w:firstLine="142"/>
        <w:contextualSpacing/>
        <w:jc w:val="center"/>
        <w:rPr>
          <w:sz w:val="20"/>
          <w:szCs w:val="20"/>
        </w:rPr>
      </w:pPr>
      <w:r w:rsidRPr="001D7A25">
        <w:rPr>
          <w:noProof/>
        </w:rPr>
        <w:drawing>
          <wp:inline distT="0" distB="0" distL="0" distR="0" wp14:anchorId="55CD0F17" wp14:editId="68560A67">
            <wp:extent cx="6144895" cy="2596242"/>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63136" cy="2603949"/>
                    </a:xfrm>
                    <a:prstGeom prst="rect">
                      <a:avLst/>
                    </a:prstGeom>
                    <a:noFill/>
                    <a:ln>
                      <a:noFill/>
                    </a:ln>
                  </pic:spPr>
                </pic:pic>
              </a:graphicData>
            </a:graphic>
          </wp:inline>
        </w:drawing>
      </w:r>
    </w:p>
    <w:p w14:paraId="1268B0DF" w14:textId="7AF8EB5B" w:rsidR="00A406A8" w:rsidRPr="00E64A4D" w:rsidRDefault="00A406A8" w:rsidP="00E64A4D">
      <w:pPr>
        <w:ind w:left="-426"/>
        <w:contextualSpacing/>
        <w:rPr>
          <w:noProof/>
          <w:lang w:eastAsia="es-MX"/>
        </w:rPr>
      </w:pPr>
      <w:r w:rsidRPr="00E64A4D">
        <w:rPr>
          <w:noProof/>
          <w:lang w:eastAsia="es-MX"/>
        </w:rPr>
        <w:lastRenderedPageBreak/>
        <w:t>A pesar de la importante disminución de las actividades económicas en el país, el sector transportes mantuvo actividades en un volumen significativo</w:t>
      </w:r>
      <w:r w:rsidR="00363E4E" w:rsidRPr="00E64A4D">
        <w:rPr>
          <w:noProof/>
          <w:lang w:eastAsia="es-MX"/>
        </w:rPr>
        <w:t xml:space="preserve"> aunque por debajo de lo registrado en 2019</w:t>
      </w:r>
      <w:r w:rsidR="00564265" w:rsidRPr="00E64A4D">
        <w:rPr>
          <w:noProof/>
          <w:lang w:eastAsia="es-MX"/>
        </w:rPr>
        <w:t>.</w:t>
      </w:r>
    </w:p>
    <w:p w14:paraId="4E7745CA" w14:textId="3C21DBA3" w:rsidR="00C3769B" w:rsidRDefault="00C3769B" w:rsidP="00C86D89">
      <w:pPr>
        <w:ind w:right="-516"/>
        <w:contextualSpacing/>
        <w:rPr>
          <w:noProof/>
          <w:sz w:val="20"/>
          <w:szCs w:val="20"/>
          <w:lang w:eastAsia="es-MX"/>
        </w:rPr>
      </w:pPr>
    </w:p>
    <w:p w14:paraId="18879E5C" w14:textId="4A8CF42D" w:rsidR="00030511" w:rsidRPr="00E64A4D" w:rsidRDefault="00030511" w:rsidP="00E64A4D">
      <w:pPr>
        <w:ind w:right="284"/>
        <w:contextualSpacing/>
        <w:jc w:val="center"/>
        <w:rPr>
          <w:sz w:val="22"/>
          <w:szCs w:val="22"/>
        </w:rPr>
      </w:pPr>
      <w:r w:rsidRPr="00E64A4D">
        <w:rPr>
          <w:b/>
          <w:sz w:val="22"/>
          <w:szCs w:val="22"/>
          <w:lang w:val="es-MX" w:eastAsia="es-MX"/>
        </w:rPr>
        <w:t xml:space="preserve">Cuadro </w:t>
      </w:r>
      <w:r w:rsidR="00E14824" w:rsidRPr="00E64A4D">
        <w:rPr>
          <w:b/>
          <w:sz w:val="22"/>
          <w:szCs w:val="22"/>
          <w:lang w:val="es-MX" w:eastAsia="es-MX"/>
        </w:rPr>
        <w:t>6</w:t>
      </w:r>
      <w:r w:rsidRPr="00E64A4D">
        <w:rPr>
          <w:b/>
          <w:sz w:val="22"/>
          <w:szCs w:val="22"/>
          <w:lang w:val="es-MX" w:eastAsia="es-MX"/>
        </w:rPr>
        <w:t xml:space="preserve">. Encuesta Anual de Transportes, principales características </w:t>
      </w:r>
      <w:r w:rsidRPr="00E64A4D">
        <w:rPr>
          <w:b/>
          <w:sz w:val="22"/>
          <w:szCs w:val="22"/>
          <w:vertAlign w:val="subscript"/>
          <w:lang w:val="es-MX" w:eastAsia="es-MX"/>
        </w:rPr>
        <w:t>/p</w:t>
      </w:r>
    </w:p>
    <w:p w14:paraId="63B2A958" w14:textId="10AAD2E8" w:rsidR="00A406A8" w:rsidRDefault="00A406A8" w:rsidP="00E64A4D">
      <w:pPr>
        <w:ind w:right="426"/>
        <w:contextualSpacing/>
        <w:jc w:val="center"/>
        <w:rPr>
          <w:b/>
          <w:bCs/>
          <w:noProof/>
          <w:sz w:val="20"/>
          <w:szCs w:val="20"/>
          <w:lang w:eastAsia="es-MX"/>
        </w:rPr>
      </w:pPr>
      <w:r w:rsidRPr="00A406A8">
        <w:rPr>
          <w:noProof/>
        </w:rPr>
        <w:drawing>
          <wp:inline distT="0" distB="0" distL="0" distR="0" wp14:anchorId="62740F1A" wp14:editId="32045E70">
            <wp:extent cx="5883275" cy="2461128"/>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a:extLst>
                        <a:ext uri="{28A0092B-C50C-407E-A947-70E740481C1C}">
                          <a14:useLocalDpi xmlns:a14="http://schemas.microsoft.com/office/drawing/2010/main" val="0"/>
                        </a:ext>
                      </a:extLst>
                    </a:blip>
                    <a:srcRect t="8352"/>
                    <a:stretch/>
                  </pic:blipFill>
                  <pic:spPr bwMode="auto">
                    <a:xfrm>
                      <a:off x="0" y="0"/>
                      <a:ext cx="5883275" cy="2461128"/>
                    </a:xfrm>
                    <a:prstGeom prst="rect">
                      <a:avLst/>
                    </a:prstGeom>
                    <a:noFill/>
                    <a:ln>
                      <a:noFill/>
                    </a:ln>
                    <a:extLst>
                      <a:ext uri="{53640926-AAD7-44D8-BBD7-CCE9431645EC}">
                        <a14:shadowObscured xmlns:a14="http://schemas.microsoft.com/office/drawing/2010/main"/>
                      </a:ext>
                    </a:extLst>
                  </pic:spPr>
                </pic:pic>
              </a:graphicData>
            </a:graphic>
          </wp:inline>
        </w:drawing>
      </w:r>
    </w:p>
    <w:p w14:paraId="293C9727" w14:textId="77777777" w:rsidR="00D70B5B" w:rsidRPr="00E64A4D" w:rsidRDefault="00D70B5B" w:rsidP="00E64A4D">
      <w:pPr>
        <w:jc w:val="left"/>
        <w:rPr>
          <w:noProof/>
          <w:lang w:eastAsia="es-MX"/>
        </w:rPr>
      </w:pPr>
    </w:p>
    <w:p w14:paraId="36E3DC00" w14:textId="77777777" w:rsidR="00DD0D5E" w:rsidRDefault="00DD0D5E" w:rsidP="00E64A4D">
      <w:pPr>
        <w:ind w:left="-426"/>
        <w:rPr>
          <w:noProof/>
          <w:lang w:eastAsia="es-MX"/>
        </w:rPr>
      </w:pPr>
    </w:p>
    <w:p w14:paraId="4D6D1A42" w14:textId="77777777" w:rsidR="00DD0D5E" w:rsidRDefault="00DD0D5E" w:rsidP="00E64A4D">
      <w:pPr>
        <w:ind w:left="-426"/>
        <w:rPr>
          <w:noProof/>
          <w:lang w:eastAsia="es-MX"/>
        </w:rPr>
      </w:pPr>
    </w:p>
    <w:p w14:paraId="2398E300" w14:textId="5E7BC623" w:rsidR="00750447" w:rsidRPr="00E64A4D" w:rsidRDefault="00750447" w:rsidP="00E64A4D">
      <w:pPr>
        <w:ind w:left="-426"/>
        <w:rPr>
          <w:noProof/>
          <w:lang w:eastAsia="es-MX"/>
        </w:rPr>
      </w:pPr>
      <w:r w:rsidRPr="00E64A4D">
        <w:rPr>
          <w:noProof/>
          <w:lang w:eastAsia="es-MX"/>
        </w:rPr>
        <w:t>Durante 2020, solamente el transporte por ferrocarril y el transporte marítimo de cabotaje registran incremento en el número de kilómetros recorridos</w:t>
      </w:r>
      <w:r w:rsidR="00E64A4D">
        <w:rPr>
          <w:noProof/>
          <w:lang w:eastAsia="es-MX"/>
        </w:rPr>
        <w:t xml:space="preserve"> (</w:t>
      </w:r>
      <w:r w:rsidRPr="00E64A4D">
        <w:rPr>
          <w:noProof/>
          <w:lang w:eastAsia="es-MX"/>
        </w:rPr>
        <w:t>1.2 y 23.9%,</w:t>
      </w:r>
      <w:r w:rsidR="00E64A4D">
        <w:rPr>
          <w:noProof/>
          <w:lang w:eastAsia="es-MX"/>
        </w:rPr>
        <w:t xml:space="preserve"> </w:t>
      </w:r>
      <w:r w:rsidRPr="00E64A4D">
        <w:rPr>
          <w:noProof/>
          <w:lang w:eastAsia="es-MX"/>
        </w:rPr>
        <w:t>respectivamente</w:t>
      </w:r>
      <w:r w:rsidR="00E64A4D">
        <w:rPr>
          <w:noProof/>
          <w:lang w:eastAsia="es-MX"/>
        </w:rPr>
        <w:t>),</w:t>
      </w:r>
      <w:r w:rsidRPr="00E64A4D">
        <w:rPr>
          <w:noProof/>
          <w:lang w:eastAsia="es-MX"/>
        </w:rPr>
        <w:t xml:space="preserve"> mientras que en el rubro de pasajeros transportados, las actividades enlistadas en el cuadro 5 registran importantes disminuciones.</w:t>
      </w:r>
    </w:p>
    <w:p w14:paraId="698497E5" w14:textId="1EC419AB" w:rsidR="00030511" w:rsidRDefault="00030511" w:rsidP="00C86D89">
      <w:pPr>
        <w:ind w:right="-516"/>
        <w:contextualSpacing/>
        <w:rPr>
          <w:noProof/>
          <w:sz w:val="20"/>
          <w:szCs w:val="20"/>
          <w:lang w:eastAsia="es-MX"/>
        </w:rPr>
      </w:pPr>
    </w:p>
    <w:p w14:paraId="5EEB0C27" w14:textId="7D38DEA0" w:rsidR="00030511" w:rsidRPr="00E64A4D" w:rsidRDefault="00030511" w:rsidP="00E64A4D">
      <w:pPr>
        <w:ind w:left="-426" w:right="-141"/>
        <w:contextualSpacing/>
        <w:jc w:val="center"/>
        <w:rPr>
          <w:sz w:val="22"/>
          <w:szCs w:val="22"/>
        </w:rPr>
      </w:pPr>
      <w:r w:rsidRPr="00E64A4D">
        <w:rPr>
          <w:b/>
          <w:sz w:val="22"/>
          <w:szCs w:val="22"/>
          <w:lang w:val="es-MX" w:eastAsia="es-MX"/>
        </w:rPr>
        <w:t xml:space="preserve">Cuadro </w:t>
      </w:r>
      <w:r w:rsidR="00E14824" w:rsidRPr="00E64A4D">
        <w:rPr>
          <w:b/>
          <w:sz w:val="22"/>
          <w:szCs w:val="22"/>
          <w:lang w:val="es-MX" w:eastAsia="es-MX"/>
        </w:rPr>
        <w:t>7</w:t>
      </w:r>
      <w:r w:rsidRPr="00E64A4D">
        <w:rPr>
          <w:b/>
          <w:sz w:val="22"/>
          <w:szCs w:val="22"/>
          <w:lang w:val="es-MX" w:eastAsia="es-MX"/>
        </w:rPr>
        <w:t xml:space="preserve">. Encuesta Anual de Transportes, variación anual 2020, principales características </w:t>
      </w:r>
      <w:r w:rsidRPr="00E64A4D">
        <w:rPr>
          <w:b/>
          <w:sz w:val="22"/>
          <w:szCs w:val="22"/>
          <w:vertAlign w:val="subscript"/>
          <w:lang w:val="es-MX" w:eastAsia="es-MX"/>
        </w:rPr>
        <w:t>/p</w:t>
      </w:r>
    </w:p>
    <w:p w14:paraId="0F8EF10A" w14:textId="73A039FE" w:rsidR="00363E4E" w:rsidRDefault="00D75693" w:rsidP="00E64A4D">
      <w:pPr>
        <w:ind w:right="142"/>
        <w:contextualSpacing/>
        <w:jc w:val="center"/>
        <w:rPr>
          <w:b/>
          <w:bCs/>
          <w:noProof/>
          <w:sz w:val="20"/>
          <w:szCs w:val="20"/>
          <w:lang w:eastAsia="es-MX"/>
        </w:rPr>
      </w:pPr>
      <w:r w:rsidRPr="00D75693">
        <w:rPr>
          <w:noProof/>
        </w:rPr>
        <w:drawing>
          <wp:inline distT="0" distB="0" distL="0" distR="0" wp14:anchorId="5835B3F4" wp14:editId="3F4C7E66">
            <wp:extent cx="5883275" cy="2486875"/>
            <wp:effectExtent l="0" t="0" r="317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1">
                      <a:extLst>
                        <a:ext uri="{28A0092B-C50C-407E-A947-70E740481C1C}">
                          <a14:useLocalDpi xmlns:a14="http://schemas.microsoft.com/office/drawing/2010/main" val="0"/>
                        </a:ext>
                      </a:extLst>
                    </a:blip>
                    <a:srcRect t="14527"/>
                    <a:stretch/>
                  </pic:blipFill>
                  <pic:spPr bwMode="auto">
                    <a:xfrm>
                      <a:off x="0" y="0"/>
                      <a:ext cx="5883275" cy="2486875"/>
                    </a:xfrm>
                    <a:prstGeom prst="rect">
                      <a:avLst/>
                    </a:prstGeom>
                    <a:noFill/>
                    <a:ln>
                      <a:noFill/>
                    </a:ln>
                    <a:extLst>
                      <a:ext uri="{53640926-AAD7-44D8-BBD7-CCE9431645EC}">
                        <a14:shadowObscured xmlns:a14="http://schemas.microsoft.com/office/drawing/2010/main"/>
                      </a:ext>
                    </a:extLst>
                  </pic:spPr>
                </pic:pic>
              </a:graphicData>
            </a:graphic>
          </wp:inline>
        </w:drawing>
      </w:r>
    </w:p>
    <w:p w14:paraId="1B556700" w14:textId="5C164492" w:rsidR="00DD34D5" w:rsidRDefault="00DD34D5">
      <w:pPr>
        <w:jc w:val="left"/>
        <w:rPr>
          <w:b/>
          <w:bCs/>
          <w:sz w:val="20"/>
          <w:szCs w:val="20"/>
        </w:rPr>
      </w:pPr>
    </w:p>
    <w:p w14:paraId="1B336434" w14:textId="77777777" w:rsidR="00E64A4D" w:rsidRDefault="00E64A4D" w:rsidP="00576234">
      <w:pPr>
        <w:ind w:right="-374"/>
        <w:contextualSpacing/>
        <w:jc w:val="center"/>
        <w:rPr>
          <w:b/>
          <w:lang w:val="es-MX" w:eastAsia="es-MX"/>
        </w:rPr>
      </w:pPr>
    </w:p>
    <w:p w14:paraId="64A1EF7E" w14:textId="77777777" w:rsidR="00E64A4D" w:rsidRDefault="00E64A4D" w:rsidP="00576234">
      <w:pPr>
        <w:ind w:right="-374"/>
        <w:contextualSpacing/>
        <w:jc w:val="center"/>
        <w:rPr>
          <w:b/>
          <w:lang w:val="es-MX" w:eastAsia="es-MX"/>
        </w:rPr>
      </w:pPr>
    </w:p>
    <w:p w14:paraId="0D556B17" w14:textId="77777777" w:rsidR="00E64A4D" w:rsidRDefault="00E64A4D" w:rsidP="00576234">
      <w:pPr>
        <w:ind w:right="-374"/>
        <w:contextualSpacing/>
        <w:jc w:val="center"/>
        <w:rPr>
          <w:b/>
          <w:lang w:val="es-MX" w:eastAsia="es-MX"/>
        </w:rPr>
      </w:pPr>
    </w:p>
    <w:p w14:paraId="329F0047" w14:textId="34F2F78F" w:rsidR="00576234" w:rsidRPr="00E64A4D" w:rsidRDefault="00576234" w:rsidP="00E64A4D">
      <w:pPr>
        <w:ind w:left="-426"/>
        <w:contextualSpacing/>
        <w:jc w:val="center"/>
        <w:rPr>
          <w:sz w:val="22"/>
          <w:szCs w:val="22"/>
        </w:rPr>
      </w:pPr>
      <w:r w:rsidRPr="00E64A4D">
        <w:rPr>
          <w:b/>
          <w:sz w:val="22"/>
          <w:szCs w:val="22"/>
          <w:lang w:val="es-MX" w:eastAsia="es-MX"/>
        </w:rPr>
        <w:lastRenderedPageBreak/>
        <w:t xml:space="preserve">Cuadro 8. Encuesta Anual de Transportes, </w:t>
      </w:r>
      <w:r w:rsidR="00FD11CA" w:rsidRPr="00E64A4D">
        <w:rPr>
          <w:b/>
          <w:sz w:val="22"/>
          <w:szCs w:val="22"/>
          <w:lang w:val="es-MX" w:eastAsia="es-MX"/>
        </w:rPr>
        <w:t>distribución porcentual de los ingresos</w:t>
      </w:r>
      <w:r w:rsidRPr="00E64A4D">
        <w:rPr>
          <w:b/>
          <w:sz w:val="22"/>
          <w:szCs w:val="22"/>
          <w:lang w:val="es-MX" w:eastAsia="es-MX"/>
        </w:rPr>
        <w:t xml:space="preserve"> </w:t>
      </w:r>
      <w:r w:rsidRPr="00E64A4D">
        <w:rPr>
          <w:b/>
          <w:sz w:val="22"/>
          <w:szCs w:val="22"/>
          <w:vertAlign w:val="subscript"/>
          <w:lang w:val="es-MX" w:eastAsia="es-MX"/>
        </w:rPr>
        <w:t>/p</w:t>
      </w:r>
    </w:p>
    <w:p w14:paraId="48376255" w14:textId="7FA44D93" w:rsidR="00576234" w:rsidRDefault="00FD11CA" w:rsidP="00D44AA0">
      <w:pPr>
        <w:ind w:hanging="426"/>
        <w:jc w:val="center"/>
        <w:rPr>
          <w:b/>
          <w:bCs/>
          <w:sz w:val="20"/>
          <w:szCs w:val="20"/>
        </w:rPr>
      </w:pPr>
      <w:r w:rsidRPr="00FD11CA">
        <w:rPr>
          <w:noProof/>
        </w:rPr>
        <w:drawing>
          <wp:inline distT="0" distB="0" distL="0" distR="0" wp14:anchorId="650E4B79" wp14:editId="1DD7ED54">
            <wp:extent cx="6160476" cy="303167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04044" cy="3053112"/>
                    </a:xfrm>
                    <a:prstGeom prst="rect">
                      <a:avLst/>
                    </a:prstGeom>
                    <a:noFill/>
                    <a:ln>
                      <a:noFill/>
                    </a:ln>
                  </pic:spPr>
                </pic:pic>
              </a:graphicData>
            </a:graphic>
          </wp:inline>
        </w:drawing>
      </w:r>
    </w:p>
    <w:p w14:paraId="4D952793" w14:textId="77777777" w:rsidR="00D70B5B" w:rsidRDefault="00D70B5B" w:rsidP="00D70B5B">
      <w:pPr>
        <w:ind w:left="360" w:right="-374"/>
        <w:contextualSpacing/>
        <w:rPr>
          <w:bCs/>
          <w:sz w:val="20"/>
          <w:szCs w:val="20"/>
          <w:lang w:val="es-MX" w:eastAsia="es-MX"/>
        </w:rPr>
      </w:pPr>
    </w:p>
    <w:p w14:paraId="6A2AFFC7" w14:textId="179AEA95" w:rsidR="00D70B5B" w:rsidRPr="00E64A4D" w:rsidRDefault="00D70B5B" w:rsidP="00E64A4D">
      <w:pPr>
        <w:ind w:left="-426"/>
        <w:contextualSpacing/>
        <w:rPr>
          <w:bCs/>
          <w:lang w:val="es-MX" w:eastAsia="es-MX"/>
        </w:rPr>
      </w:pPr>
      <w:r w:rsidRPr="00E64A4D">
        <w:rPr>
          <w:bCs/>
          <w:lang w:val="es-MX" w:eastAsia="es-MX"/>
        </w:rPr>
        <w:t>Entre 9.1% (transporte marítimo de altura, excepto de petróleo y gas natural) y 31.9% (transporte colectivo foráneo de pasajeros en ruta fija) de las empresas encuestadas, obtuvieron crédito, préstamo o financiamiento para el desarrollo de sus actividades, siendo los bancos la principal fuente.</w:t>
      </w:r>
    </w:p>
    <w:p w14:paraId="4C642B67" w14:textId="77777777" w:rsidR="00BA6B97" w:rsidRDefault="00BA6B97" w:rsidP="00DD0D5E">
      <w:pPr>
        <w:ind w:right="-374"/>
        <w:contextualSpacing/>
        <w:rPr>
          <w:b/>
          <w:lang w:val="es-MX" w:eastAsia="es-MX"/>
        </w:rPr>
      </w:pPr>
    </w:p>
    <w:p w14:paraId="7144BB10" w14:textId="48E8CE87" w:rsidR="00BE1CA3" w:rsidRPr="00E64A4D" w:rsidRDefault="00BA6B97" w:rsidP="00E64A4D">
      <w:pPr>
        <w:ind w:left="-426" w:right="142"/>
        <w:contextualSpacing/>
        <w:jc w:val="center"/>
        <w:rPr>
          <w:sz w:val="22"/>
          <w:szCs w:val="22"/>
        </w:rPr>
      </w:pPr>
      <w:r w:rsidRPr="00E64A4D">
        <w:rPr>
          <w:b/>
          <w:sz w:val="22"/>
          <w:szCs w:val="22"/>
          <w:lang w:val="es-MX" w:eastAsia="es-MX"/>
        </w:rPr>
        <w:t xml:space="preserve">Cuadro 9. Encuesta Anual de Transportes, distribución porcentual de los establecimientos que obtuvieron crédito, según procedencia </w:t>
      </w:r>
      <w:r w:rsidRPr="00E64A4D">
        <w:rPr>
          <w:b/>
          <w:sz w:val="22"/>
          <w:szCs w:val="22"/>
          <w:vertAlign w:val="subscript"/>
          <w:lang w:val="es-MX" w:eastAsia="es-MX"/>
        </w:rPr>
        <w:t>/p</w:t>
      </w:r>
    </w:p>
    <w:p w14:paraId="0714AB63" w14:textId="4252097C" w:rsidR="00F81CF7" w:rsidRDefault="00132910" w:rsidP="00E64A4D">
      <w:pPr>
        <w:ind w:hanging="426"/>
        <w:jc w:val="left"/>
        <w:rPr>
          <w:b/>
          <w:bCs/>
          <w:sz w:val="20"/>
          <w:szCs w:val="20"/>
        </w:rPr>
      </w:pPr>
      <w:r w:rsidRPr="00132910">
        <w:rPr>
          <w:noProof/>
        </w:rPr>
        <w:drawing>
          <wp:inline distT="0" distB="0" distL="0" distR="0" wp14:anchorId="0397AC5F" wp14:editId="42F45CBC">
            <wp:extent cx="6286299" cy="3457575"/>
            <wp:effectExtent l="0" t="0" r="63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27585" cy="3480283"/>
                    </a:xfrm>
                    <a:prstGeom prst="rect">
                      <a:avLst/>
                    </a:prstGeom>
                    <a:noFill/>
                    <a:ln>
                      <a:noFill/>
                    </a:ln>
                  </pic:spPr>
                </pic:pic>
              </a:graphicData>
            </a:graphic>
          </wp:inline>
        </w:drawing>
      </w:r>
    </w:p>
    <w:p w14:paraId="3BE8BA4D" w14:textId="2D635D5D" w:rsidR="003D06B2" w:rsidRPr="006D30D9" w:rsidRDefault="003D06B2" w:rsidP="00DD0D5E">
      <w:pPr>
        <w:ind w:hanging="426"/>
        <w:jc w:val="left"/>
        <w:rPr>
          <w:b/>
          <w:bCs/>
        </w:rPr>
      </w:pPr>
      <w:r w:rsidRPr="006D30D9">
        <w:rPr>
          <w:b/>
          <w:bCs/>
        </w:rPr>
        <w:lastRenderedPageBreak/>
        <w:t>Nota al usuario:</w:t>
      </w:r>
    </w:p>
    <w:p w14:paraId="6A3FFDC0" w14:textId="77777777" w:rsidR="003D06B2" w:rsidRPr="006D30D9" w:rsidRDefault="003D06B2" w:rsidP="006D30D9">
      <w:pPr>
        <w:ind w:left="-426"/>
        <w:rPr>
          <w:b/>
          <w:bCs/>
        </w:rPr>
      </w:pPr>
    </w:p>
    <w:p w14:paraId="13FA7DFE" w14:textId="1C80E307" w:rsidR="00DF6433" w:rsidRPr="006D30D9" w:rsidRDefault="00C77859" w:rsidP="006D30D9">
      <w:pPr>
        <w:ind w:left="-426" w:right="51"/>
      </w:pPr>
      <w:r w:rsidRPr="006D30D9">
        <w:t>Es importante precisar que 2020 fue un año atípico, ya que el 11 de marzo de 2020 la Organización Mundial de la Salud declaró oficialmente una pandemia,</w:t>
      </w:r>
      <w:r w:rsidR="006D30D9">
        <w:t xml:space="preserve"> y</w:t>
      </w:r>
      <w:r w:rsidRPr="006D30D9">
        <w:t xml:space="preserve"> con motivo de la propagación del Coronavirus COVID-19 se adoptaron medidas emergentes. Esta situación se ha prolongado hasta este año, lo cual se refleja en los resultados generados.</w:t>
      </w:r>
    </w:p>
    <w:p w14:paraId="572FC6B2" w14:textId="77777777" w:rsidR="00C77859" w:rsidRPr="006D30D9" w:rsidRDefault="00C77859" w:rsidP="006D30D9">
      <w:pPr>
        <w:ind w:left="-426" w:right="-233"/>
        <w:rPr>
          <w:lang w:val="es-MX"/>
        </w:rPr>
      </w:pPr>
    </w:p>
    <w:p w14:paraId="30E8C36A" w14:textId="21F0D188" w:rsidR="00AF4A34" w:rsidRPr="006D30D9" w:rsidRDefault="00AF4A34" w:rsidP="006D30D9">
      <w:pPr>
        <w:ind w:left="-426" w:right="51"/>
        <w:rPr>
          <w:lang w:val="es-MX"/>
        </w:rPr>
      </w:pPr>
      <w:r w:rsidRPr="006D30D9">
        <w:rPr>
          <w:lang w:val="es-MX"/>
        </w:rPr>
        <w:t>La Tasa de No Respuesta de la Encuesta Anual de Transportes correspondiente a</w:t>
      </w:r>
      <w:r w:rsidR="006D30D9">
        <w:rPr>
          <w:lang w:val="es-MX"/>
        </w:rPr>
        <w:t xml:space="preserve"> </w:t>
      </w:r>
      <w:r w:rsidRPr="006D30D9">
        <w:rPr>
          <w:lang w:val="es-MX"/>
        </w:rPr>
        <w:t>2021, registró porcentajes apropiados conforme al diseño estadístico de la encuesta, lo que permitió la generación de estadísticas con niveles adecuados de precisión en todos los dominios de estudio</w:t>
      </w:r>
      <w:r w:rsidR="0056267C" w:rsidRPr="006D30D9">
        <w:rPr>
          <w:lang w:val="es-MX"/>
        </w:rPr>
        <w:t>, con excepción de los dominios de estudio 4852, Transporte colectivo foráneo de pasajeros de ruta fija y 4922, Servicios de mensajería y paquetería loca</w:t>
      </w:r>
      <w:r w:rsidR="009E1AE3" w:rsidRPr="006D30D9">
        <w:rPr>
          <w:lang w:val="es-MX"/>
        </w:rPr>
        <w:t>l</w:t>
      </w:r>
      <w:r w:rsidR="0056267C" w:rsidRPr="006D30D9">
        <w:rPr>
          <w:lang w:val="es-MX"/>
        </w:rPr>
        <w:t>, que</w:t>
      </w:r>
      <w:r w:rsidR="009E1AE3" w:rsidRPr="006D30D9">
        <w:rPr>
          <w:lang w:val="es-MX"/>
        </w:rPr>
        <w:t xml:space="preserve"> deben tomarse con reserva y</w:t>
      </w:r>
      <w:r w:rsidR="0056267C" w:rsidRPr="006D30D9">
        <w:rPr>
          <w:lang w:val="es-MX"/>
        </w:rPr>
        <w:t xml:space="preserve"> en conjunto aportan 3.0% de los ingresos totales del sector transportes</w:t>
      </w:r>
      <w:r w:rsidRPr="006D30D9">
        <w:rPr>
          <w:lang w:val="es-MX"/>
        </w:rPr>
        <w:t>.</w:t>
      </w:r>
    </w:p>
    <w:p w14:paraId="2C3DF5E2" w14:textId="77777777" w:rsidR="00DD34D5" w:rsidRPr="006D30D9" w:rsidRDefault="00DD34D5" w:rsidP="006D30D9">
      <w:pPr>
        <w:ind w:left="-426" w:right="51"/>
        <w:contextualSpacing/>
        <w:rPr>
          <w:b/>
          <w:bCs/>
          <w:noProof/>
          <w:lang w:eastAsia="es-MX"/>
        </w:rPr>
      </w:pPr>
    </w:p>
    <w:p w14:paraId="308A05BD" w14:textId="596965D2" w:rsidR="00C86D89" w:rsidRPr="006D30D9" w:rsidRDefault="00C86D89" w:rsidP="006D30D9">
      <w:pPr>
        <w:ind w:left="-426" w:right="51"/>
        <w:contextualSpacing/>
        <w:rPr>
          <w:b/>
          <w:bCs/>
          <w:noProof/>
          <w:lang w:eastAsia="es-MX"/>
        </w:rPr>
      </w:pPr>
      <w:r w:rsidRPr="006D30D9">
        <w:rPr>
          <w:b/>
          <w:bCs/>
          <w:noProof/>
          <w:lang w:eastAsia="es-MX"/>
        </w:rPr>
        <w:t xml:space="preserve">Aspectos metodológicos </w:t>
      </w:r>
    </w:p>
    <w:p w14:paraId="3B73FF75" w14:textId="6C1C00FF" w:rsidR="005148F0" w:rsidRPr="006D30D9" w:rsidRDefault="005148F0" w:rsidP="006D30D9">
      <w:pPr>
        <w:ind w:left="-426" w:right="51"/>
        <w:contextualSpacing/>
        <w:rPr>
          <w:b/>
          <w:bCs/>
          <w:noProof/>
          <w:lang w:eastAsia="es-MX"/>
        </w:rPr>
      </w:pPr>
    </w:p>
    <w:p w14:paraId="095F1A25" w14:textId="66F9A481" w:rsidR="005148F0" w:rsidRPr="006D30D9" w:rsidRDefault="005148F0" w:rsidP="006D30D9">
      <w:pPr>
        <w:ind w:left="-426" w:right="51"/>
        <w:contextualSpacing/>
        <w:rPr>
          <w:noProof/>
          <w:lang w:eastAsia="es-MX"/>
        </w:rPr>
      </w:pPr>
      <w:r w:rsidRPr="006D30D9">
        <w:rPr>
          <w:noProof/>
          <w:lang w:eastAsia="es-MX"/>
        </w:rPr>
        <w:t xml:space="preserve">La EAT genera información estadística básica, de manera oportuna y permanente sobre las actividades de transportes y los servicios relacionados a nivel nacional, además de servir como insumo o componente para la generación de algunos indicadores del Sistema de Cuentas Nacionales de México, tales como </w:t>
      </w:r>
      <w:r w:rsidR="006D30D9">
        <w:rPr>
          <w:noProof/>
          <w:lang w:eastAsia="es-MX"/>
        </w:rPr>
        <w:t xml:space="preserve">el </w:t>
      </w:r>
      <w:r w:rsidRPr="006D30D9">
        <w:rPr>
          <w:noProof/>
          <w:lang w:eastAsia="es-MX"/>
        </w:rPr>
        <w:t xml:space="preserve">Producto Interno Bruto (PIB), </w:t>
      </w:r>
      <w:r w:rsidR="006D30D9">
        <w:rPr>
          <w:noProof/>
          <w:lang w:eastAsia="es-MX"/>
        </w:rPr>
        <w:t xml:space="preserve">la </w:t>
      </w:r>
      <w:r w:rsidRPr="006D30D9">
        <w:rPr>
          <w:noProof/>
          <w:lang w:eastAsia="es-MX"/>
        </w:rPr>
        <w:t xml:space="preserve">Cuenta de Bienes y Servicios, </w:t>
      </w:r>
      <w:r w:rsidR="006D30D9">
        <w:rPr>
          <w:noProof/>
          <w:lang w:eastAsia="es-MX"/>
        </w:rPr>
        <w:t xml:space="preserve">el </w:t>
      </w:r>
      <w:r w:rsidRPr="006D30D9">
        <w:rPr>
          <w:noProof/>
          <w:lang w:eastAsia="es-MX"/>
        </w:rPr>
        <w:t>Indicador Global de la Actividad Económica (IGAE)</w:t>
      </w:r>
      <w:r w:rsidR="006D30D9">
        <w:rPr>
          <w:noProof/>
          <w:lang w:eastAsia="es-MX"/>
        </w:rPr>
        <w:t xml:space="preserve"> y la </w:t>
      </w:r>
      <w:r w:rsidRPr="006D30D9">
        <w:rPr>
          <w:noProof/>
          <w:lang w:eastAsia="es-MX"/>
        </w:rPr>
        <w:t>Oferta y Utilización total de Bienes y Servicios, entre otros.</w:t>
      </w:r>
    </w:p>
    <w:p w14:paraId="6FA6F4A1" w14:textId="77777777" w:rsidR="005148F0" w:rsidRPr="006D30D9" w:rsidRDefault="005148F0" w:rsidP="006D30D9">
      <w:pPr>
        <w:pStyle w:val="Default"/>
        <w:ind w:left="-426" w:right="51"/>
        <w:jc w:val="both"/>
      </w:pPr>
    </w:p>
    <w:p w14:paraId="3F1F5545" w14:textId="374BBD39" w:rsidR="007604C1" w:rsidRPr="006D30D9" w:rsidRDefault="007604C1" w:rsidP="006D30D9">
      <w:pPr>
        <w:pStyle w:val="Default"/>
        <w:ind w:left="-426" w:right="51"/>
        <w:jc w:val="both"/>
        <w:rPr>
          <w:lang w:val="en-US" w:eastAsia="en-US"/>
        </w:rPr>
      </w:pPr>
      <w:r w:rsidRPr="006D30D9">
        <w:t>El transporte y los servicios relacionados a esta actividad reflejan el estado general de la economía en el sentido de que representa, por una parte, la distribución de insumos para la producción y, por otra, la distribución de la producción entre los consumidores finales; por ejemplo, en el caso del turismo es un indicador directamente relacionado, por lo que el estudio del sector 48-49 del SCIAN proporciona elementos nodales para la comprensión de la coyuntura y estructura operativa del país.</w:t>
      </w:r>
    </w:p>
    <w:p w14:paraId="1A506580" w14:textId="0F1C621F" w:rsidR="00C86D89" w:rsidRPr="006D30D9" w:rsidRDefault="00C86D89" w:rsidP="006D30D9">
      <w:pPr>
        <w:pStyle w:val="Pa8"/>
        <w:spacing w:before="240" w:line="240" w:lineRule="auto"/>
        <w:ind w:left="-426" w:right="51"/>
        <w:jc w:val="both"/>
        <w:rPr>
          <w:lang w:val="es-ES_tradnl" w:eastAsia="es-MX"/>
        </w:rPr>
      </w:pPr>
      <w:r w:rsidRPr="006D30D9">
        <w:rPr>
          <w:lang w:val="es-ES_tradnl" w:eastAsia="es-MX"/>
        </w:rPr>
        <w:t xml:space="preserve">La unidad de observación </w:t>
      </w:r>
      <w:r w:rsidR="007604C1" w:rsidRPr="006D30D9">
        <w:rPr>
          <w:lang w:val="es-ES_tradnl" w:eastAsia="es-MX"/>
        </w:rPr>
        <w:t xml:space="preserve">en la EAT </w:t>
      </w:r>
      <w:r w:rsidRPr="006D30D9">
        <w:rPr>
          <w:lang w:val="es-ES_tradnl" w:eastAsia="es-MX"/>
        </w:rPr>
        <w:t xml:space="preserve">es </w:t>
      </w:r>
      <w:r w:rsidR="00B92C6A" w:rsidRPr="006D30D9">
        <w:rPr>
          <w:lang w:val="es-ES_tradnl" w:eastAsia="es-MX"/>
        </w:rPr>
        <w:t>la empresa</w:t>
      </w:r>
      <w:r w:rsidRPr="006D30D9">
        <w:rPr>
          <w:lang w:val="es-ES_tradnl" w:eastAsia="es-MX"/>
        </w:rPr>
        <w:t xml:space="preserve"> y la cobertura sectorial corresponde a </w:t>
      </w:r>
      <w:r w:rsidR="00B92C6A" w:rsidRPr="006D30D9">
        <w:rPr>
          <w:lang w:val="es-ES_tradnl" w:eastAsia="es-MX"/>
        </w:rPr>
        <w:t>13 dominios</w:t>
      </w:r>
      <w:r w:rsidR="003D06B2" w:rsidRPr="006D30D9">
        <w:rPr>
          <w:lang w:val="es-ES_tradnl" w:eastAsia="es-MX"/>
        </w:rPr>
        <w:t xml:space="preserve"> de estudio (dos probabilísticos, el subsector 484 Autotransporte de carga y la clase de actividad 485111 Transporte colectivo urbano y suburbano de pasajeros en autobuses de ruta fija; y, </w:t>
      </w:r>
      <w:r w:rsidR="002A5495" w:rsidRPr="006D30D9">
        <w:rPr>
          <w:lang w:val="es-ES_tradnl" w:eastAsia="es-MX"/>
        </w:rPr>
        <w:t>11</w:t>
      </w:r>
      <w:r w:rsidR="003D06B2" w:rsidRPr="006D30D9">
        <w:rPr>
          <w:lang w:val="es-ES_tradnl" w:eastAsia="es-MX"/>
        </w:rPr>
        <w:t xml:space="preserve"> dominios de estudio no probabilísticos)</w:t>
      </w:r>
      <w:r w:rsidRPr="006D30D9">
        <w:rPr>
          <w:lang w:val="es-ES_tradnl" w:eastAsia="es-MX"/>
        </w:rPr>
        <w:t xml:space="preserve"> a nivel de clase</w:t>
      </w:r>
      <w:r w:rsidR="007604C1" w:rsidRPr="006D30D9">
        <w:rPr>
          <w:lang w:val="es-ES_tradnl" w:eastAsia="es-MX"/>
        </w:rPr>
        <w:t>,</w:t>
      </w:r>
      <w:r w:rsidRPr="006D30D9">
        <w:rPr>
          <w:lang w:val="es-ES_tradnl" w:eastAsia="es-MX"/>
        </w:rPr>
        <w:t xml:space="preserve"> rama</w:t>
      </w:r>
      <w:r w:rsidR="007604C1" w:rsidRPr="006D30D9">
        <w:rPr>
          <w:lang w:val="es-ES_tradnl" w:eastAsia="es-MX"/>
        </w:rPr>
        <w:t xml:space="preserve"> o subsector</w:t>
      </w:r>
      <w:r w:rsidRPr="006D30D9">
        <w:rPr>
          <w:lang w:val="es-ES_tradnl" w:eastAsia="es-MX"/>
        </w:rPr>
        <w:t>, de acuerdo con el Sistema de Clasificación Industrial de América del Norte</w:t>
      </w:r>
      <w:r w:rsidR="006D30D9">
        <w:rPr>
          <w:lang w:val="es-ES_tradnl" w:eastAsia="es-MX"/>
        </w:rPr>
        <w:t xml:space="preserve"> SCIAN) </w:t>
      </w:r>
      <w:r w:rsidRPr="006D30D9">
        <w:rPr>
          <w:lang w:val="es-ES_tradnl" w:eastAsia="es-MX"/>
        </w:rPr>
        <w:t xml:space="preserve">2013. </w:t>
      </w:r>
    </w:p>
    <w:p w14:paraId="0514B935" w14:textId="0711CDD2" w:rsidR="002A5495" w:rsidRPr="006D30D9" w:rsidRDefault="002A5495" w:rsidP="006D30D9">
      <w:pPr>
        <w:pStyle w:val="Default"/>
        <w:ind w:left="-426" w:right="51"/>
        <w:rPr>
          <w:lang w:val="es-ES_tradnl"/>
        </w:rPr>
      </w:pPr>
    </w:p>
    <w:p w14:paraId="5111A12B" w14:textId="7EAF419E" w:rsidR="002A5495" w:rsidRPr="006D30D9" w:rsidRDefault="002A5495" w:rsidP="006D30D9">
      <w:pPr>
        <w:pStyle w:val="Default"/>
        <w:ind w:left="-426" w:right="51"/>
        <w:rPr>
          <w:rFonts w:eastAsiaTheme="minorHAnsi"/>
          <w:color w:val="auto"/>
          <w:lang w:val="es-ES_tradnl"/>
        </w:rPr>
      </w:pPr>
      <w:r w:rsidRPr="006D30D9">
        <w:rPr>
          <w:rFonts w:eastAsiaTheme="minorHAnsi"/>
          <w:color w:val="auto"/>
          <w:lang w:val="es-ES_tradnl"/>
        </w:rPr>
        <w:t>Los parámetros de diseño estadístico son:</w:t>
      </w:r>
    </w:p>
    <w:p w14:paraId="3E583D26" w14:textId="5A2EB864" w:rsidR="002A5495" w:rsidRPr="006D30D9" w:rsidRDefault="002A5495" w:rsidP="006D30D9">
      <w:pPr>
        <w:pStyle w:val="Default"/>
        <w:ind w:left="-426" w:right="51"/>
        <w:rPr>
          <w:rFonts w:eastAsiaTheme="minorHAnsi"/>
          <w:color w:val="auto"/>
          <w:lang w:val="es-ES_tradnl"/>
        </w:rPr>
      </w:pPr>
    </w:p>
    <w:p w14:paraId="4D64A925" w14:textId="63D17FB5" w:rsidR="002A5495" w:rsidRPr="006D30D9" w:rsidRDefault="002A5495" w:rsidP="006D30D9">
      <w:pPr>
        <w:pStyle w:val="Default"/>
        <w:numPr>
          <w:ilvl w:val="0"/>
          <w:numId w:val="34"/>
        </w:numPr>
        <w:ind w:left="-142" w:right="193" w:hanging="284"/>
        <w:jc w:val="both"/>
        <w:rPr>
          <w:rFonts w:eastAsiaTheme="minorHAnsi"/>
          <w:color w:val="auto"/>
          <w:lang w:val="es-ES_tradnl"/>
        </w:rPr>
      </w:pPr>
      <w:r w:rsidRPr="006D30D9">
        <w:rPr>
          <w:rFonts w:eastAsiaTheme="minorHAnsi"/>
          <w:color w:val="auto"/>
          <w:lang w:val="es-ES_tradnl"/>
        </w:rPr>
        <w:t xml:space="preserve">Probabilístico: </w:t>
      </w:r>
      <w:r w:rsidR="006D0511" w:rsidRPr="006D30D9">
        <w:rPr>
          <w:rFonts w:eastAsiaTheme="minorHAnsi"/>
          <w:color w:val="auto"/>
          <w:lang w:val="es-ES_tradnl"/>
        </w:rPr>
        <w:t>nivel de confianza de 95%, una tasa de no respuesta esperada de 15% y un error relativo de 10</w:t>
      </w:r>
      <w:r w:rsidR="006D30D9">
        <w:rPr>
          <w:rFonts w:eastAsiaTheme="minorHAnsi"/>
          <w:color w:val="auto"/>
          <w:lang w:val="es-ES_tradnl"/>
        </w:rPr>
        <w:t xml:space="preserve"> por ciento</w:t>
      </w:r>
      <w:r w:rsidR="006D0511" w:rsidRPr="006D30D9">
        <w:rPr>
          <w:rFonts w:eastAsiaTheme="minorHAnsi"/>
          <w:color w:val="auto"/>
          <w:lang w:val="es-ES_tradnl"/>
        </w:rPr>
        <w:t>.</w:t>
      </w:r>
    </w:p>
    <w:p w14:paraId="4B0C2E28" w14:textId="161CEFFE" w:rsidR="006D0511" w:rsidRPr="006D30D9" w:rsidRDefault="006D0511" w:rsidP="006D30D9">
      <w:pPr>
        <w:pStyle w:val="Default"/>
        <w:numPr>
          <w:ilvl w:val="0"/>
          <w:numId w:val="34"/>
        </w:numPr>
        <w:ind w:left="-142" w:right="193" w:hanging="284"/>
        <w:jc w:val="both"/>
        <w:rPr>
          <w:rFonts w:eastAsiaTheme="minorHAnsi"/>
          <w:color w:val="auto"/>
          <w:lang w:val="es-ES_tradnl"/>
        </w:rPr>
      </w:pPr>
      <w:r w:rsidRPr="006D30D9">
        <w:rPr>
          <w:rFonts w:eastAsiaTheme="minorHAnsi"/>
          <w:color w:val="auto"/>
          <w:lang w:val="es-ES_tradnl"/>
        </w:rPr>
        <w:t>No probabilístico: Cobertura alta. Corresponde a los dominios cuya cobertura en ingresos es mayor o igual a 80</w:t>
      </w:r>
      <w:r w:rsidR="006D30D9">
        <w:rPr>
          <w:rFonts w:eastAsiaTheme="minorHAnsi"/>
          <w:color w:val="auto"/>
          <w:lang w:val="es-ES_tradnl"/>
        </w:rPr>
        <w:t xml:space="preserve"> por ciento</w:t>
      </w:r>
      <w:r w:rsidRPr="006D30D9">
        <w:rPr>
          <w:rFonts w:eastAsiaTheme="minorHAnsi"/>
          <w:color w:val="auto"/>
          <w:lang w:val="es-ES_tradnl"/>
        </w:rPr>
        <w:t>.</w:t>
      </w:r>
    </w:p>
    <w:p w14:paraId="116921E6" w14:textId="77777777" w:rsidR="006D30D9" w:rsidRDefault="006D30D9" w:rsidP="006D30D9">
      <w:pPr>
        <w:autoSpaceDE w:val="0"/>
        <w:autoSpaceDN w:val="0"/>
        <w:adjustRightInd w:val="0"/>
        <w:spacing w:before="240"/>
        <w:ind w:left="-426" w:right="51"/>
        <w:rPr>
          <w:lang w:eastAsia="es-MX"/>
        </w:rPr>
      </w:pPr>
    </w:p>
    <w:p w14:paraId="4CEB80F9" w14:textId="6F2FA210" w:rsidR="003055D2" w:rsidRPr="006D30D9" w:rsidRDefault="00C86D89" w:rsidP="006D30D9">
      <w:pPr>
        <w:autoSpaceDE w:val="0"/>
        <w:autoSpaceDN w:val="0"/>
        <w:adjustRightInd w:val="0"/>
        <w:spacing w:before="240"/>
        <w:ind w:left="-426" w:right="51"/>
        <w:rPr>
          <w:lang w:eastAsia="es-MX"/>
        </w:rPr>
      </w:pPr>
      <w:r w:rsidRPr="006D30D9">
        <w:rPr>
          <w:lang w:eastAsia="es-MX"/>
        </w:rPr>
        <w:lastRenderedPageBreak/>
        <w:t>La cobertura temática que cubre el programa estadístico está integrada por los siguientes capítulos:</w:t>
      </w:r>
      <w:r w:rsidR="003055D2" w:rsidRPr="006D30D9">
        <w:rPr>
          <w:lang w:eastAsia="es-MX"/>
        </w:rPr>
        <w:tab/>
      </w:r>
    </w:p>
    <w:p w14:paraId="14527F27" w14:textId="77777777" w:rsidR="00C86D89" w:rsidRPr="006D30D9" w:rsidRDefault="00C86D89" w:rsidP="006D30D9">
      <w:pPr>
        <w:autoSpaceDE w:val="0"/>
        <w:autoSpaceDN w:val="0"/>
        <w:adjustRightInd w:val="0"/>
        <w:ind w:left="-426" w:right="51"/>
        <w:rPr>
          <w:lang w:eastAsia="es-MX"/>
        </w:rPr>
      </w:pPr>
    </w:p>
    <w:p w14:paraId="3BE4BBC2" w14:textId="5646BCC9" w:rsidR="00C86D89" w:rsidRPr="006D30D9" w:rsidRDefault="00C86D89"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Personal dependiente de la razón social</w:t>
      </w:r>
    </w:p>
    <w:p w14:paraId="5103CAFB" w14:textId="34D17688" w:rsidR="00C86D89" w:rsidRPr="006D30D9" w:rsidRDefault="00C86D89"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Personal no dependiente de la razón social</w:t>
      </w:r>
    </w:p>
    <w:p w14:paraId="62BD1679" w14:textId="05BE49C7" w:rsidR="003055D2" w:rsidRPr="006D30D9" w:rsidRDefault="003055D2"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Capacitación</w:t>
      </w:r>
    </w:p>
    <w:p w14:paraId="198EE04B" w14:textId="7021018D" w:rsidR="00C86D89" w:rsidRPr="006D30D9" w:rsidRDefault="00C86D89"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Remuneraciones</w:t>
      </w:r>
    </w:p>
    <w:p w14:paraId="3D456925" w14:textId="3F380F2D" w:rsidR="003055D2" w:rsidRPr="006D30D9" w:rsidRDefault="003055D2"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Consumo de bienes y servicios</w:t>
      </w:r>
    </w:p>
    <w:p w14:paraId="64AAFB3A" w14:textId="56D9B222" w:rsidR="003055D2" w:rsidRPr="006D30D9" w:rsidRDefault="003055D2"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Gastos por comercio electrónico</w:t>
      </w:r>
    </w:p>
    <w:p w14:paraId="193F604F" w14:textId="77777777" w:rsidR="00C86D89" w:rsidRPr="006D30D9" w:rsidRDefault="00C86D89" w:rsidP="006D30D9">
      <w:pPr>
        <w:pStyle w:val="Prrafodelista"/>
        <w:numPr>
          <w:ilvl w:val="0"/>
          <w:numId w:val="23"/>
        </w:numPr>
        <w:autoSpaceDE w:val="0"/>
        <w:autoSpaceDN w:val="0"/>
        <w:adjustRightInd w:val="0"/>
        <w:ind w:left="-426" w:right="51" w:firstLine="0"/>
        <w:contextualSpacing/>
        <w:jc w:val="left"/>
        <w:rPr>
          <w:lang w:eastAsia="es-MX"/>
        </w:rPr>
      </w:pPr>
      <w:r w:rsidRPr="006D30D9">
        <w:rPr>
          <w:lang w:eastAsia="es-MX"/>
        </w:rPr>
        <w:t>Gastos fiscales, financieros y donaciones</w:t>
      </w:r>
    </w:p>
    <w:p w14:paraId="2F5E7FFB" w14:textId="040B5079" w:rsidR="00C86D89" w:rsidRPr="006D30D9" w:rsidRDefault="00C86D89" w:rsidP="006D30D9">
      <w:pPr>
        <w:pStyle w:val="Pa8"/>
        <w:numPr>
          <w:ilvl w:val="0"/>
          <w:numId w:val="23"/>
        </w:numPr>
        <w:spacing w:line="240" w:lineRule="auto"/>
        <w:ind w:left="-426" w:right="51" w:firstLine="0"/>
        <w:jc w:val="both"/>
        <w:rPr>
          <w:lang w:val="es-ES_tradnl" w:eastAsia="es-MX"/>
        </w:rPr>
      </w:pPr>
      <w:r w:rsidRPr="006D30D9">
        <w:rPr>
          <w:lang w:val="es-ES_tradnl" w:eastAsia="es-MX"/>
        </w:rPr>
        <w:t>Ingresos por suministro de bienes y servicios</w:t>
      </w:r>
    </w:p>
    <w:p w14:paraId="411AD83F" w14:textId="7025AC32" w:rsidR="003055D2" w:rsidRPr="006D30D9" w:rsidRDefault="003055D2" w:rsidP="006D30D9">
      <w:pPr>
        <w:pStyle w:val="Pa8"/>
        <w:numPr>
          <w:ilvl w:val="0"/>
          <w:numId w:val="23"/>
        </w:numPr>
        <w:spacing w:line="240" w:lineRule="auto"/>
        <w:ind w:left="-426" w:right="51" w:firstLine="0"/>
        <w:jc w:val="both"/>
        <w:rPr>
          <w:lang w:val="es-ES_tradnl" w:eastAsia="es-MX"/>
        </w:rPr>
      </w:pPr>
      <w:r w:rsidRPr="006D30D9">
        <w:rPr>
          <w:lang w:val="es-ES_tradnl" w:eastAsia="es-MX"/>
        </w:rPr>
        <w:t>Ingresos por comercio electrónico</w:t>
      </w:r>
    </w:p>
    <w:p w14:paraId="704BFE43" w14:textId="054E0156" w:rsidR="003055D2" w:rsidRPr="006D30D9" w:rsidRDefault="003055D2" w:rsidP="006D30D9">
      <w:pPr>
        <w:pStyle w:val="Pa8"/>
        <w:numPr>
          <w:ilvl w:val="0"/>
          <w:numId w:val="23"/>
        </w:numPr>
        <w:spacing w:line="240" w:lineRule="auto"/>
        <w:ind w:left="-426" w:right="51" w:firstLine="0"/>
        <w:jc w:val="both"/>
        <w:rPr>
          <w:lang w:val="es-ES_tradnl" w:eastAsia="es-MX"/>
        </w:rPr>
      </w:pPr>
      <w:r w:rsidRPr="006D30D9">
        <w:rPr>
          <w:lang w:val="es-ES_tradnl" w:eastAsia="es-MX"/>
        </w:rPr>
        <w:t>Ingresos financieros, subsidios y donaciones</w:t>
      </w:r>
    </w:p>
    <w:p w14:paraId="57608C62" w14:textId="77777777" w:rsidR="00C86D89" w:rsidRPr="006D30D9" w:rsidRDefault="00C86D89" w:rsidP="006D30D9">
      <w:pPr>
        <w:pStyle w:val="Default"/>
        <w:numPr>
          <w:ilvl w:val="0"/>
          <w:numId w:val="23"/>
        </w:numPr>
        <w:ind w:left="-426" w:right="51" w:firstLine="0"/>
        <w:rPr>
          <w:lang w:val="es-ES_tradnl"/>
        </w:rPr>
      </w:pPr>
      <w:r w:rsidRPr="006D30D9">
        <w:rPr>
          <w:lang w:val="es-ES_tradnl"/>
        </w:rPr>
        <w:t>Activos fijos a valor presente o costo de reposición</w:t>
      </w:r>
    </w:p>
    <w:p w14:paraId="2DF68164" w14:textId="1C95FFA2" w:rsidR="00C86D89" w:rsidRPr="006D30D9" w:rsidRDefault="00C86D89" w:rsidP="006D30D9">
      <w:pPr>
        <w:pStyle w:val="Default"/>
        <w:numPr>
          <w:ilvl w:val="0"/>
          <w:numId w:val="23"/>
        </w:numPr>
        <w:ind w:left="-426" w:right="51" w:firstLine="0"/>
        <w:rPr>
          <w:lang w:val="es-ES_tradnl"/>
        </w:rPr>
      </w:pPr>
      <w:r w:rsidRPr="006D30D9">
        <w:rPr>
          <w:lang w:val="es-ES_tradnl"/>
        </w:rPr>
        <w:t>Clasificación económica</w:t>
      </w:r>
    </w:p>
    <w:p w14:paraId="417CB6F4" w14:textId="52D2EE0E" w:rsidR="003055D2" w:rsidRPr="006D30D9" w:rsidRDefault="003055D2" w:rsidP="006D30D9">
      <w:pPr>
        <w:pStyle w:val="Default"/>
        <w:numPr>
          <w:ilvl w:val="0"/>
          <w:numId w:val="23"/>
        </w:numPr>
        <w:ind w:left="-426" w:right="51" w:firstLine="0"/>
        <w:rPr>
          <w:lang w:val="es-ES_tradnl"/>
        </w:rPr>
      </w:pPr>
      <w:r w:rsidRPr="006D30D9">
        <w:rPr>
          <w:lang w:val="es-ES_tradnl"/>
        </w:rPr>
        <w:t>Características generales</w:t>
      </w:r>
      <w:r w:rsidR="00D7409D" w:rsidRPr="006D30D9">
        <w:rPr>
          <w:lang w:val="es-ES_tradnl"/>
        </w:rPr>
        <w:t xml:space="preserve"> de la empresa</w:t>
      </w:r>
    </w:p>
    <w:p w14:paraId="01036016" w14:textId="26FCB73E" w:rsidR="00D7409D" w:rsidRPr="006D30D9" w:rsidRDefault="00D7409D" w:rsidP="006D30D9">
      <w:pPr>
        <w:pStyle w:val="Default"/>
        <w:numPr>
          <w:ilvl w:val="0"/>
          <w:numId w:val="23"/>
        </w:numPr>
        <w:ind w:left="-426" w:right="51" w:firstLine="0"/>
        <w:rPr>
          <w:lang w:val="es-ES_tradnl"/>
        </w:rPr>
      </w:pPr>
      <w:r w:rsidRPr="006D30D9">
        <w:rPr>
          <w:lang w:val="es-ES_tradnl"/>
        </w:rPr>
        <w:t>Características generales del servicio de transporte</w:t>
      </w:r>
    </w:p>
    <w:p w14:paraId="6DFB37C6" w14:textId="0CF9A83E" w:rsidR="00D7409D" w:rsidRPr="006D30D9" w:rsidRDefault="00D7409D" w:rsidP="006D30D9">
      <w:pPr>
        <w:pStyle w:val="Default"/>
        <w:numPr>
          <w:ilvl w:val="0"/>
          <w:numId w:val="23"/>
        </w:numPr>
        <w:ind w:left="-426" w:right="51" w:firstLine="0"/>
        <w:rPr>
          <w:lang w:val="es-ES_tradnl"/>
        </w:rPr>
      </w:pPr>
      <w:r w:rsidRPr="006D30D9">
        <w:rPr>
          <w:lang w:val="es-ES_tradnl"/>
        </w:rPr>
        <w:t>Parque vehicular para la prestación del servicio</w:t>
      </w:r>
    </w:p>
    <w:p w14:paraId="15DECDA7" w14:textId="10912B3E" w:rsidR="00D7409D" w:rsidRPr="006D30D9" w:rsidRDefault="00D7409D" w:rsidP="006D30D9">
      <w:pPr>
        <w:pStyle w:val="Default"/>
        <w:numPr>
          <w:ilvl w:val="0"/>
          <w:numId w:val="23"/>
        </w:numPr>
        <w:ind w:left="-426" w:right="51" w:firstLine="0"/>
        <w:rPr>
          <w:lang w:val="es-ES_tradnl"/>
        </w:rPr>
      </w:pPr>
      <w:r w:rsidRPr="006D30D9">
        <w:rPr>
          <w:lang w:val="es-ES_tradnl"/>
        </w:rPr>
        <w:t>Origen y destino</w:t>
      </w:r>
    </w:p>
    <w:p w14:paraId="0D7AC56C" w14:textId="737E9E89" w:rsidR="00787FC0" w:rsidRPr="006D30D9" w:rsidRDefault="00787FC0" w:rsidP="006D30D9">
      <w:pPr>
        <w:autoSpaceDE w:val="0"/>
        <w:autoSpaceDN w:val="0"/>
        <w:adjustRightInd w:val="0"/>
        <w:spacing w:before="360"/>
        <w:ind w:left="-426" w:right="51"/>
      </w:pPr>
      <w:r w:rsidRPr="006D30D9">
        <w:rPr>
          <w:shd w:val="clear" w:color="auto" w:fill="FFFFFF" w:themeFill="background1"/>
        </w:rPr>
        <w:t>Así mismo, y de acuerdo con lo establecido por el Comité de Aseguramiento de la Calidad del Instituto, la información estadística generada debe presentar sus Indicadores de Precisión Estadística, que para el caso de los dominios de estudio con diseño probabilístico son: coeficiente de variación, intervalo de confianza (límites inferior y superior), estimador y error estándar. Para los dominios no probabilísticos se presenta la cobertura porcentual sobre los ingresos.</w:t>
      </w:r>
    </w:p>
    <w:p w14:paraId="6615E8D0" w14:textId="5F77AED3" w:rsidR="00C86D89" w:rsidRPr="006D30D9" w:rsidRDefault="00C86D89" w:rsidP="006D30D9">
      <w:pPr>
        <w:autoSpaceDE w:val="0"/>
        <w:autoSpaceDN w:val="0"/>
        <w:adjustRightInd w:val="0"/>
        <w:spacing w:before="360"/>
        <w:ind w:left="-426" w:right="51"/>
        <w:rPr>
          <w:shd w:val="clear" w:color="auto" w:fill="FFFFFF" w:themeFill="background1"/>
        </w:rPr>
      </w:pPr>
      <w:r w:rsidRPr="006D30D9">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6D30D9">
        <w:rPr>
          <w:shd w:val="clear" w:color="auto" w:fill="FFFFFF" w:themeFill="background1"/>
        </w:rPr>
        <w:t>Sistema de Clasificación Industrial de América del Norte, México SCIAN 2013</w:t>
      </w:r>
      <w:r w:rsidRPr="006D30D9">
        <w:rPr>
          <w:rStyle w:val="Refdenotaalpie"/>
          <w:shd w:val="clear" w:color="auto" w:fill="FFFFFF" w:themeFill="background1"/>
        </w:rPr>
        <w:footnoteReference w:id="2"/>
      </w:r>
      <w:r w:rsidRPr="006D30D9">
        <w:rPr>
          <w:shd w:val="clear" w:color="auto" w:fill="FFFFFF" w:themeFill="background1"/>
        </w:rPr>
        <w:t xml:space="preserve"> y la Clasificación Industrial Internacional Uniforme de todas las Actividades Económicas (CIIU) en su cuarta revisión.</w:t>
      </w:r>
    </w:p>
    <w:p w14:paraId="71915A70" w14:textId="09461F31" w:rsidR="00C86D89" w:rsidRPr="006D30D9" w:rsidRDefault="00C86D89" w:rsidP="006D30D9">
      <w:pPr>
        <w:keepNext/>
        <w:keepLines/>
        <w:spacing w:before="240"/>
        <w:ind w:left="-426" w:right="51"/>
      </w:pPr>
      <w:r w:rsidRPr="006D30D9">
        <w:t xml:space="preserve">La información contenida en este documento es generada por el INEGI a través de la </w:t>
      </w:r>
      <w:r w:rsidR="00D7409D" w:rsidRPr="006D30D9">
        <w:t>Encuesta Anual de Transportes (EAT</w:t>
      </w:r>
      <w:r w:rsidRPr="006D30D9">
        <w:t>)</w:t>
      </w:r>
      <w:r w:rsidRPr="006D30D9">
        <w:rPr>
          <w:b/>
          <w:lang w:val="es-MX"/>
        </w:rPr>
        <w:t xml:space="preserve"> </w:t>
      </w:r>
      <w:r w:rsidRPr="006D30D9">
        <w:t>y se da a conocer en la fecha establecida en el Calendario de difusión de información estadística y geográfica</w:t>
      </w:r>
      <w:r w:rsidRPr="006D30D9">
        <w:rPr>
          <w:rStyle w:val="Refdenotaalpie"/>
        </w:rPr>
        <w:footnoteReference w:id="3"/>
      </w:r>
      <w:r w:rsidRPr="006D30D9">
        <w:t>.</w:t>
      </w:r>
    </w:p>
    <w:p w14:paraId="4D7329A9" w14:textId="1AFB140F" w:rsidR="00C86D89" w:rsidRPr="006D30D9" w:rsidRDefault="00C86D89" w:rsidP="006D30D9">
      <w:pPr>
        <w:keepNext/>
        <w:keepLines/>
        <w:spacing w:before="160" w:after="240"/>
        <w:ind w:left="-426" w:right="51"/>
      </w:pPr>
      <w:r w:rsidRPr="006D30D9">
        <w:rPr>
          <w:rFonts w:cs="Times New Roman"/>
          <w:snapToGrid w:val="0"/>
          <w:lang w:val="es-MX"/>
        </w:rPr>
        <w:t xml:space="preserve">Las cifras aquí mencionadas podrán ser consultadas en </w:t>
      </w:r>
      <w:r w:rsidR="005062EE" w:rsidRPr="006D30D9">
        <w:rPr>
          <w:rFonts w:cs="Times New Roman"/>
          <w:snapToGrid w:val="0"/>
          <w:lang w:val="es-MX"/>
        </w:rPr>
        <w:t>el sitio</w:t>
      </w:r>
      <w:r w:rsidRPr="006D30D9">
        <w:rPr>
          <w:rFonts w:cs="Times New Roman"/>
          <w:snapToGrid w:val="0"/>
          <w:lang w:val="es-MX"/>
        </w:rPr>
        <w:t xml:space="preserve"> del INEGI en </w:t>
      </w:r>
      <w:r w:rsidR="006D30D9">
        <w:rPr>
          <w:rFonts w:cs="Times New Roman"/>
          <w:snapToGrid w:val="0"/>
          <w:lang w:val="es-MX"/>
        </w:rPr>
        <w:t>i</w:t>
      </w:r>
      <w:r w:rsidRPr="006D30D9">
        <w:rPr>
          <w:rFonts w:cs="Times New Roman"/>
          <w:snapToGrid w:val="0"/>
          <w:lang w:val="es-MX"/>
        </w:rPr>
        <w:t xml:space="preserve">nternet: </w:t>
      </w:r>
      <w:hyperlink r:id="rId34" w:history="1">
        <w:r w:rsidR="00363FF6" w:rsidRPr="006D30D9">
          <w:rPr>
            <w:rStyle w:val="Hipervnculo"/>
          </w:rPr>
          <w:t>https://www.inegi.org.mx/programas/eat/2013/</w:t>
        </w:r>
      </w:hyperlink>
      <w:r w:rsidR="00363FF6" w:rsidRPr="006D30D9">
        <w:t xml:space="preserve"> </w:t>
      </w:r>
    </w:p>
    <w:sectPr w:rsidR="00C86D89" w:rsidRPr="006D30D9" w:rsidSect="00733E30">
      <w:headerReference w:type="default" r:id="rId35"/>
      <w:type w:val="continuous"/>
      <w:pgSz w:w="12242" w:h="15842" w:code="1"/>
      <w:pgMar w:top="1134" w:right="1185"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369A" w14:textId="77777777" w:rsidR="00E87370" w:rsidRDefault="00E87370">
      <w:r>
        <w:separator/>
      </w:r>
    </w:p>
  </w:endnote>
  <w:endnote w:type="continuationSeparator" w:id="0">
    <w:p w14:paraId="2CAFADFF" w14:textId="77777777" w:rsidR="00E87370" w:rsidRDefault="00E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6624"/>
      <w:docPartObj>
        <w:docPartGallery w:val="Page Numbers (Bottom of Page)"/>
        <w:docPartUnique/>
      </w:docPartObj>
    </w:sdtPr>
    <w:sdtEndPr>
      <w:rPr>
        <w:b/>
        <w:color w:val="002060"/>
        <w:sz w:val="20"/>
        <w:szCs w:val="20"/>
      </w:rPr>
    </w:sdtEndPr>
    <w:sdtContent>
      <w:p w14:paraId="183E27EA" w14:textId="2082E963" w:rsidR="008A503C" w:rsidRPr="00DD17EE" w:rsidRDefault="00DD17EE" w:rsidP="00733E30">
        <w:pPr>
          <w:pStyle w:val="Piedepgina"/>
          <w:ind w:left="-426"/>
          <w:jc w:val="center"/>
          <w:rPr>
            <w:b/>
            <w:color w:val="002060"/>
            <w:sz w:val="20"/>
            <w:szCs w:val="20"/>
          </w:rPr>
        </w:pPr>
        <w:r w:rsidRPr="00DD17EE">
          <w:rPr>
            <w:b/>
            <w:color w:val="002060"/>
            <w:sz w:val="20"/>
            <w:szCs w:val="20"/>
          </w:rPr>
          <w:t>COMUNICACIÓN SOCIAL</w:t>
        </w:r>
      </w:p>
    </w:sdtContent>
  </w:sdt>
  <w:p w14:paraId="2F4F105D" w14:textId="610F04F5" w:rsidR="008A503C" w:rsidRDefault="008A503C" w:rsidP="003076C4">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0779B" w14:textId="77777777" w:rsidR="00E87370" w:rsidRDefault="00E87370">
      <w:r>
        <w:separator/>
      </w:r>
    </w:p>
  </w:footnote>
  <w:footnote w:type="continuationSeparator" w:id="0">
    <w:p w14:paraId="4BCF0E20" w14:textId="77777777" w:rsidR="00E87370" w:rsidRDefault="00E87370">
      <w:r>
        <w:continuationSeparator/>
      </w:r>
    </w:p>
  </w:footnote>
  <w:footnote w:id="1">
    <w:p w14:paraId="43E321C8" w14:textId="77777777" w:rsidR="008A503C" w:rsidRPr="00497352" w:rsidRDefault="008A503C" w:rsidP="00733E30">
      <w:pPr>
        <w:pStyle w:val="Textonotapie"/>
        <w:ind w:left="-426"/>
        <w:rPr>
          <w:lang w:val="es-MX"/>
        </w:rPr>
      </w:pPr>
      <w:r>
        <w:rPr>
          <w:rStyle w:val="Refdenotaalpie"/>
        </w:rPr>
        <w:footnoteRef/>
      </w:r>
      <w:r>
        <w:t xml:space="preserve"> </w:t>
      </w:r>
      <w:r w:rsidRPr="000150A1">
        <w:rPr>
          <w:sz w:val="16"/>
          <w:szCs w:val="16"/>
          <w:lang w:val="es-MX"/>
        </w:rPr>
        <w:t>Sólo para Consumo de bienes y servicios, Ingresos por la prestación de servicios y Activos fijos</w:t>
      </w:r>
      <w:r w:rsidRPr="00B86589">
        <w:rPr>
          <w:sz w:val="18"/>
          <w:szCs w:val="18"/>
          <w:lang w:val="es-MX"/>
        </w:rPr>
        <w:t>.</w:t>
      </w:r>
    </w:p>
  </w:footnote>
  <w:footnote w:id="2">
    <w:p w14:paraId="703FB9F7" w14:textId="77777777" w:rsidR="008A503C" w:rsidRDefault="008A503C" w:rsidP="00C86D89">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57CE32F0" w14:textId="77777777" w:rsidR="008A503C" w:rsidRPr="008A2E99" w:rsidRDefault="00E87370" w:rsidP="00C86D89">
      <w:pPr>
        <w:pStyle w:val="Textonotapie"/>
        <w:jc w:val="left"/>
        <w:rPr>
          <w:lang w:val="es-MX"/>
        </w:rPr>
      </w:pPr>
      <w:hyperlink r:id="rId1" w:history="1">
        <w:r w:rsidR="008A503C" w:rsidRPr="003A5B83">
          <w:rPr>
            <w:rStyle w:val="Hipervnculo"/>
            <w:sz w:val="16"/>
          </w:rPr>
          <w:t>https://www.inegi.org.mx/app/biblioteca/ficha.html?upc=702825051693</w:t>
        </w:r>
      </w:hyperlink>
    </w:p>
  </w:footnote>
  <w:footnote w:id="3">
    <w:p w14:paraId="1C8504EB" w14:textId="77777777" w:rsidR="008A503C" w:rsidRPr="00647C77" w:rsidRDefault="008A503C" w:rsidP="00C86D89">
      <w:pPr>
        <w:pStyle w:val="Textonotapie"/>
        <w:rPr>
          <w:sz w:val="16"/>
          <w:lang w:val="es-MX"/>
        </w:rPr>
      </w:pPr>
      <w:r>
        <w:rPr>
          <w:rStyle w:val="Refdenotaalpie"/>
        </w:rPr>
        <w:footnoteRef/>
      </w:r>
      <w:r>
        <w:t xml:space="preserve"> </w:t>
      </w:r>
      <w:r w:rsidRPr="00647C77">
        <w:rPr>
          <w:sz w:val="16"/>
          <w:lang w:val="es-MX"/>
        </w:rPr>
        <w:t>El Calendario puede consultarse en:</w:t>
      </w:r>
    </w:p>
    <w:p w14:paraId="361A7C25" w14:textId="77777777" w:rsidR="008A503C" w:rsidRPr="00647C77" w:rsidRDefault="00E87370" w:rsidP="00C86D89">
      <w:pPr>
        <w:pStyle w:val="Textonotapie"/>
        <w:jc w:val="left"/>
        <w:rPr>
          <w:rStyle w:val="Hipervnculo"/>
          <w:sz w:val="16"/>
        </w:rPr>
      </w:pPr>
      <w:hyperlink r:id="rId2" w:history="1">
        <w:r w:rsidR="008A503C" w:rsidRPr="00647C77">
          <w:rPr>
            <w:rStyle w:val="Hipervnculo"/>
            <w:sz w:val="16"/>
          </w:rPr>
          <w:t>https://www.inegi.org.mx/app/saladeprensa/calendario/default.html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BB4C" w14:textId="1BC9DEA9" w:rsidR="002B1158" w:rsidRPr="003105E6" w:rsidRDefault="002B1158" w:rsidP="002B1158">
    <w:pPr>
      <w:pStyle w:val="Encabezado"/>
      <w:framePr w:w="5398" w:hSpace="141" w:wrap="auto" w:vAnchor="text" w:hAnchor="page" w:x="5695" w:y="31"/>
      <w:ind w:left="567" w:hanging="11"/>
      <w:jc w:val="right"/>
      <w:rPr>
        <w:b/>
        <w:color w:val="002060"/>
      </w:rPr>
    </w:pPr>
    <w:r w:rsidRPr="00987CEE">
      <w:rPr>
        <w:b/>
        <w:color w:val="002060"/>
      </w:rPr>
      <w:t xml:space="preserve">COMUNICADO DE PRENSA NÚM. </w:t>
    </w:r>
    <w:r>
      <w:rPr>
        <w:b/>
        <w:color w:val="002060"/>
      </w:rPr>
      <w:t>766</w:t>
    </w:r>
    <w:r w:rsidRPr="00987CEE">
      <w:rPr>
        <w:b/>
        <w:color w:val="002060"/>
      </w:rPr>
      <w:t>/</w:t>
    </w:r>
    <w:r>
      <w:rPr>
        <w:b/>
        <w:color w:val="002060"/>
      </w:rPr>
      <w:t>21</w:t>
    </w:r>
  </w:p>
  <w:p w14:paraId="235E2FF9" w14:textId="7BCEF151" w:rsidR="002B1158" w:rsidRPr="00987CEE" w:rsidRDefault="002B1158" w:rsidP="002B1158">
    <w:pPr>
      <w:pStyle w:val="Encabezado"/>
      <w:framePr w:w="5398" w:hSpace="141" w:wrap="auto" w:vAnchor="text" w:hAnchor="page" w:x="5695" w:y="31"/>
      <w:ind w:left="567" w:hanging="11"/>
      <w:jc w:val="right"/>
      <w:rPr>
        <w:b/>
        <w:color w:val="002060"/>
        <w:lang w:val="pt-BR"/>
      </w:rPr>
    </w:pPr>
    <w:r>
      <w:rPr>
        <w:b/>
        <w:color w:val="002060"/>
        <w:lang w:val="pt-BR"/>
      </w:rPr>
      <w:t xml:space="preserve">13 </w:t>
    </w:r>
    <w:r w:rsidRPr="00987CEE">
      <w:rPr>
        <w:b/>
        <w:color w:val="002060"/>
        <w:lang w:val="pt-BR"/>
      </w:rPr>
      <w:t xml:space="preserve">DE </w:t>
    </w:r>
    <w:r>
      <w:rPr>
        <w:b/>
        <w:color w:val="002060"/>
        <w:lang w:val="pt-BR"/>
      </w:rPr>
      <w:t xml:space="preserve">DICIEMBRE DE </w:t>
    </w:r>
    <w:r w:rsidRPr="00987CEE">
      <w:rPr>
        <w:b/>
        <w:color w:val="002060"/>
        <w:lang w:val="pt-BR"/>
      </w:rPr>
      <w:t>20</w:t>
    </w:r>
    <w:r>
      <w:rPr>
        <w:b/>
        <w:color w:val="002060"/>
        <w:lang w:val="pt-BR"/>
      </w:rPr>
      <w:t>21</w:t>
    </w:r>
  </w:p>
  <w:p w14:paraId="6F63235E" w14:textId="77777777" w:rsidR="002B1158" w:rsidRPr="00987CEE" w:rsidRDefault="002B1158" w:rsidP="002B1158">
    <w:pPr>
      <w:pStyle w:val="Encabezado"/>
      <w:framePr w:w="5398" w:hSpace="141" w:wrap="auto" w:vAnchor="text" w:hAnchor="page" w:x="5695" w:y="31"/>
      <w:ind w:left="567" w:hanging="11"/>
      <w:jc w:val="right"/>
      <w:rPr>
        <w:b/>
        <w:color w:val="002060"/>
        <w:lang w:val="pt-BR"/>
      </w:rPr>
    </w:pPr>
    <w:r w:rsidRPr="00987CEE">
      <w:rPr>
        <w:b/>
        <w:color w:val="002060"/>
        <w:lang w:val="pt-BR"/>
      </w:rPr>
      <w:t xml:space="preserve">PÁGINA </w:t>
    </w:r>
    <w:r w:rsidRPr="00987CEE">
      <w:rPr>
        <w:b/>
        <w:color w:val="002060"/>
      </w:rPr>
      <w:fldChar w:fldCharType="begin"/>
    </w:r>
    <w:r w:rsidRPr="00987CEE">
      <w:rPr>
        <w:b/>
        <w:color w:val="002060"/>
        <w:lang w:val="pt-BR"/>
      </w:rPr>
      <w:instrText xml:space="preserve">\PAGE </w:instrText>
    </w:r>
    <w:r w:rsidRPr="00987CEE">
      <w:rPr>
        <w:color w:val="002060"/>
      </w:rPr>
      <w:fldChar w:fldCharType="separate"/>
    </w:r>
    <w:r>
      <w:rPr>
        <w:color w:val="002060"/>
      </w:rPr>
      <w:t>1</w:t>
    </w:r>
    <w:r w:rsidRPr="00987CEE">
      <w:rPr>
        <w:color w:val="002060"/>
      </w:rPr>
      <w:fldChar w:fldCharType="end"/>
    </w:r>
    <w:r w:rsidRPr="00987CEE">
      <w:rPr>
        <w:b/>
        <w:color w:val="002060"/>
        <w:lang w:val="pt-BR"/>
      </w:rPr>
      <w:t>/</w:t>
    </w:r>
    <w:r>
      <w:rPr>
        <w:b/>
        <w:color w:val="002060"/>
        <w:lang w:val="pt-BR"/>
      </w:rPr>
      <w:t>2</w:t>
    </w:r>
  </w:p>
  <w:p w14:paraId="4950CB07" w14:textId="77777777" w:rsidR="002B1158" w:rsidRDefault="002B1158" w:rsidP="003F4DF9">
    <w:pPr>
      <w:pStyle w:val="Encabezado"/>
      <w:tabs>
        <w:tab w:val="center" w:pos="1713"/>
      </w:tabs>
      <w:ind w:left="-426"/>
    </w:pPr>
    <w:r w:rsidRPr="008309F1">
      <w:rPr>
        <w:noProof/>
      </w:rPr>
      <w:drawing>
        <wp:inline distT="0" distB="0" distL="0" distR="0" wp14:anchorId="3B89AB60" wp14:editId="2B8067EE">
          <wp:extent cx="742950" cy="769466"/>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p w14:paraId="53A6E2C1" w14:textId="77777777" w:rsidR="008A503C" w:rsidRDefault="008A50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6452" w14:textId="506F7E53" w:rsidR="00733E30" w:rsidRDefault="00733E30" w:rsidP="00733E30">
    <w:pPr>
      <w:pStyle w:val="Encabezado"/>
      <w:tabs>
        <w:tab w:val="center" w:pos="1713"/>
      </w:tabs>
      <w:ind w:left="-426"/>
      <w:jc w:val="center"/>
    </w:pPr>
    <w:r w:rsidRPr="008309F1">
      <w:rPr>
        <w:noProof/>
      </w:rPr>
      <w:drawing>
        <wp:inline distT="0" distB="0" distL="0" distR="0" wp14:anchorId="5F390196" wp14:editId="28FEC244">
          <wp:extent cx="742950" cy="769466"/>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p w14:paraId="0CF99501" w14:textId="77777777" w:rsidR="00733E30" w:rsidRDefault="00733E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47C07"/>
    <w:multiLevelType w:val="hybridMultilevel"/>
    <w:tmpl w:val="E8D60D64"/>
    <w:lvl w:ilvl="0" w:tplc="080A0005">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 w15:restartNumberingAfterBreak="0">
    <w:nsid w:val="1188512F"/>
    <w:multiLevelType w:val="hybridMultilevel"/>
    <w:tmpl w:val="3A3A4FFA"/>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C445C1"/>
    <w:multiLevelType w:val="hybridMultilevel"/>
    <w:tmpl w:val="65AC03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B197F"/>
    <w:multiLevelType w:val="hybridMultilevel"/>
    <w:tmpl w:val="A25C2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780045D"/>
    <w:multiLevelType w:val="hybridMultilevel"/>
    <w:tmpl w:val="478AD55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E467E4"/>
    <w:multiLevelType w:val="hybridMultilevel"/>
    <w:tmpl w:val="2EBC45E0"/>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77F74"/>
    <w:multiLevelType w:val="hybridMultilevel"/>
    <w:tmpl w:val="5C4C418C"/>
    <w:lvl w:ilvl="0" w:tplc="DC986B8C">
      <w:start w:val="16"/>
      <w:numFmt w:val="bullet"/>
      <w:lvlText w:val=""/>
      <w:lvlJc w:val="left"/>
      <w:pPr>
        <w:ind w:left="854" w:hanging="570"/>
      </w:pPr>
      <w:rPr>
        <w:rFonts w:ascii="Symbol" w:eastAsiaTheme="minorHAnsi" w:hAnsi="Symbol" w:cs="Courier New" w:hint="default"/>
        <w:sz w:val="2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4BFD7B6C"/>
    <w:multiLevelType w:val="hybridMultilevel"/>
    <w:tmpl w:val="543A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F59481B"/>
    <w:multiLevelType w:val="hybridMultilevel"/>
    <w:tmpl w:val="D9F8B42C"/>
    <w:lvl w:ilvl="0" w:tplc="080A0003">
      <w:start w:val="1"/>
      <w:numFmt w:val="bullet"/>
      <w:lvlText w:val="o"/>
      <w:lvlJc w:val="left"/>
      <w:pPr>
        <w:ind w:left="-3852" w:hanging="360"/>
      </w:pPr>
      <w:rPr>
        <w:rFonts w:ascii="Courier New" w:hAnsi="Courier New" w:cs="Courier New" w:hint="default"/>
      </w:rPr>
    </w:lvl>
    <w:lvl w:ilvl="1" w:tplc="080A0003" w:tentative="1">
      <w:start w:val="1"/>
      <w:numFmt w:val="bullet"/>
      <w:lvlText w:val="o"/>
      <w:lvlJc w:val="left"/>
      <w:pPr>
        <w:ind w:left="-313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1692" w:hanging="360"/>
      </w:pPr>
      <w:rPr>
        <w:rFonts w:ascii="Symbol" w:hAnsi="Symbol" w:hint="default"/>
      </w:rPr>
    </w:lvl>
    <w:lvl w:ilvl="4" w:tplc="080A0003" w:tentative="1">
      <w:start w:val="1"/>
      <w:numFmt w:val="bullet"/>
      <w:lvlText w:val="o"/>
      <w:lvlJc w:val="left"/>
      <w:pPr>
        <w:ind w:left="-972" w:hanging="360"/>
      </w:pPr>
      <w:rPr>
        <w:rFonts w:ascii="Courier New" w:hAnsi="Courier New" w:cs="Courier New" w:hint="default"/>
      </w:rPr>
    </w:lvl>
    <w:lvl w:ilvl="5" w:tplc="080A0005" w:tentative="1">
      <w:start w:val="1"/>
      <w:numFmt w:val="bullet"/>
      <w:lvlText w:val=""/>
      <w:lvlJc w:val="left"/>
      <w:pPr>
        <w:ind w:left="-252" w:hanging="360"/>
      </w:pPr>
      <w:rPr>
        <w:rFonts w:ascii="Wingdings" w:hAnsi="Wingdings" w:hint="default"/>
      </w:rPr>
    </w:lvl>
    <w:lvl w:ilvl="6" w:tplc="080A0001" w:tentative="1">
      <w:start w:val="1"/>
      <w:numFmt w:val="bullet"/>
      <w:lvlText w:val=""/>
      <w:lvlJc w:val="left"/>
      <w:pPr>
        <w:ind w:left="468" w:hanging="360"/>
      </w:pPr>
      <w:rPr>
        <w:rFonts w:ascii="Symbol" w:hAnsi="Symbol" w:hint="default"/>
      </w:rPr>
    </w:lvl>
    <w:lvl w:ilvl="7" w:tplc="080A0003" w:tentative="1">
      <w:start w:val="1"/>
      <w:numFmt w:val="bullet"/>
      <w:lvlText w:val="o"/>
      <w:lvlJc w:val="left"/>
      <w:pPr>
        <w:ind w:left="1188" w:hanging="360"/>
      </w:pPr>
      <w:rPr>
        <w:rFonts w:ascii="Courier New" w:hAnsi="Courier New" w:cs="Courier New" w:hint="default"/>
      </w:rPr>
    </w:lvl>
    <w:lvl w:ilvl="8" w:tplc="080A0005" w:tentative="1">
      <w:start w:val="1"/>
      <w:numFmt w:val="bullet"/>
      <w:lvlText w:val=""/>
      <w:lvlJc w:val="left"/>
      <w:pPr>
        <w:ind w:left="1908" w:hanging="360"/>
      </w:pPr>
      <w:rPr>
        <w:rFonts w:ascii="Wingdings" w:hAnsi="Wingdings" w:hint="default"/>
      </w:r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9F6F03"/>
    <w:multiLevelType w:val="hybridMultilevel"/>
    <w:tmpl w:val="380CAB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F11F99"/>
    <w:multiLevelType w:val="hybridMultilevel"/>
    <w:tmpl w:val="E3BEA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E2E3CE1"/>
    <w:multiLevelType w:val="hybridMultilevel"/>
    <w:tmpl w:val="7C4A9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6B3291"/>
    <w:multiLevelType w:val="hybridMultilevel"/>
    <w:tmpl w:val="4770E0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1C6739"/>
    <w:multiLevelType w:val="hybridMultilevel"/>
    <w:tmpl w:val="0A2219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2"/>
  </w:num>
  <w:num w:numId="6">
    <w:abstractNumId w:val="3"/>
  </w:num>
  <w:num w:numId="7">
    <w:abstractNumId w:val="7"/>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5"/>
  </w:num>
  <w:num w:numId="15">
    <w:abstractNumId w:val="13"/>
  </w:num>
  <w:num w:numId="16">
    <w:abstractNumId w:val="21"/>
  </w:num>
  <w:num w:numId="17">
    <w:abstractNumId w:val="14"/>
  </w:num>
  <w:num w:numId="18">
    <w:abstractNumId w:val="19"/>
  </w:num>
  <w:num w:numId="19">
    <w:abstractNumId w:val="8"/>
  </w:num>
  <w:num w:numId="20">
    <w:abstractNumId w:val="31"/>
  </w:num>
  <w:num w:numId="21">
    <w:abstractNumId w:val="24"/>
  </w:num>
  <w:num w:numId="22">
    <w:abstractNumId w:val="11"/>
  </w:num>
  <w:num w:numId="23">
    <w:abstractNumId w:val="27"/>
  </w:num>
  <w:num w:numId="24">
    <w:abstractNumId w:val="22"/>
  </w:num>
  <w:num w:numId="25">
    <w:abstractNumId w:val="10"/>
  </w:num>
  <w:num w:numId="26">
    <w:abstractNumId w:val="20"/>
  </w:num>
  <w:num w:numId="27">
    <w:abstractNumId w:val="2"/>
  </w:num>
  <w:num w:numId="28">
    <w:abstractNumId w:val="16"/>
  </w:num>
  <w:num w:numId="29">
    <w:abstractNumId w:val="29"/>
  </w:num>
  <w:num w:numId="30">
    <w:abstractNumId w:val="17"/>
  </w:num>
  <w:num w:numId="31">
    <w:abstractNumId w:val="1"/>
  </w:num>
  <w:num w:numId="32">
    <w:abstractNumId w:val="28"/>
  </w:num>
  <w:num w:numId="33">
    <w:abstractNumId w:val="26"/>
  </w:num>
  <w:num w:numId="34">
    <w:abstractNumId w:val="18"/>
  </w:num>
  <w:num w:numId="35">
    <w:abstractNumId w:val="5"/>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EC"/>
    <w:rsid w:val="0000043F"/>
    <w:rsid w:val="00000BEA"/>
    <w:rsid w:val="00000E98"/>
    <w:rsid w:val="00001694"/>
    <w:rsid w:val="0000180F"/>
    <w:rsid w:val="00001C91"/>
    <w:rsid w:val="000022A6"/>
    <w:rsid w:val="00002466"/>
    <w:rsid w:val="00002561"/>
    <w:rsid w:val="00002665"/>
    <w:rsid w:val="000027BD"/>
    <w:rsid w:val="00002AFF"/>
    <w:rsid w:val="00002B26"/>
    <w:rsid w:val="00003497"/>
    <w:rsid w:val="0000361C"/>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0A1"/>
    <w:rsid w:val="00015302"/>
    <w:rsid w:val="00016220"/>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4F"/>
    <w:rsid w:val="0002439B"/>
    <w:rsid w:val="000248E6"/>
    <w:rsid w:val="00025201"/>
    <w:rsid w:val="00025663"/>
    <w:rsid w:val="000260EE"/>
    <w:rsid w:val="0002657A"/>
    <w:rsid w:val="00026B3C"/>
    <w:rsid w:val="00026B52"/>
    <w:rsid w:val="00027615"/>
    <w:rsid w:val="00027EEC"/>
    <w:rsid w:val="00030480"/>
    <w:rsid w:val="00030511"/>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09"/>
    <w:rsid w:val="00037089"/>
    <w:rsid w:val="00037177"/>
    <w:rsid w:val="00037CC4"/>
    <w:rsid w:val="00037DCD"/>
    <w:rsid w:val="00040411"/>
    <w:rsid w:val="0004066E"/>
    <w:rsid w:val="00040B73"/>
    <w:rsid w:val="00040CFD"/>
    <w:rsid w:val="00040F75"/>
    <w:rsid w:val="00041FF7"/>
    <w:rsid w:val="0004225C"/>
    <w:rsid w:val="0004333A"/>
    <w:rsid w:val="00043535"/>
    <w:rsid w:val="00043B32"/>
    <w:rsid w:val="00043E2B"/>
    <w:rsid w:val="00044296"/>
    <w:rsid w:val="00044699"/>
    <w:rsid w:val="00044700"/>
    <w:rsid w:val="000447CE"/>
    <w:rsid w:val="00044C5E"/>
    <w:rsid w:val="0004596A"/>
    <w:rsid w:val="00045AF1"/>
    <w:rsid w:val="00045E9B"/>
    <w:rsid w:val="0004612E"/>
    <w:rsid w:val="00046139"/>
    <w:rsid w:val="000465BA"/>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7E2"/>
    <w:rsid w:val="000558CA"/>
    <w:rsid w:val="00055B54"/>
    <w:rsid w:val="00055CD3"/>
    <w:rsid w:val="00056553"/>
    <w:rsid w:val="000567F8"/>
    <w:rsid w:val="00056872"/>
    <w:rsid w:val="000569EC"/>
    <w:rsid w:val="00056F51"/>
    <w:rsid w:val="000573F5"/>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211"/>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151"/>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6F71"/>
    <w:rsid w:val="000B74C1"/>
    <w:rsid w:val="000C1051"/>
    <w:rsid w:val="000C1F04"/>
    <w:rsid w:val="000C2892"/>
    <w:rsid w:val="000C2B3C"/>
    <w:rsid w:val="000C30D7"/>
    <w:rsid w:val="000C3105"/>
    <w:rsid w:val="000C32C4"/>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91F"/>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D0B"/>
    <w:rsid w:val="000D6F1E"/>
    <w:rsid w:val="000D706E"/>
    <w:rsid w:val="000D7265"/>
    <w:rsid w:val="000D7A95"/>
    <w:rsid w:val="000D7BBD"/>
    <w:rsid w:val="000E03C0"/>
    <w:rsid w:val="000E0648"/>
    <w:rsid w:val="000E0654"/>
    <w:rsid w:val="000E19B3"/>
    <w:rsid w:val="000E1EB3"/>
    <w:rsid w:val="000E2970"/>
    <w:rsid w:val="000E34E1"/>
    <w:rsid w:val="000E3892"/>
    <w:rsid w:val="000E3CC1"/>
    <w:rsid w:val="000E3CE2"/>
    <w:rsid w:val="000E4A53"/>
    <w:rsid w:val="000E5331"/>
    <w:rsid w:val="000E5526"/>
    <w:rsid w:val="000E5D6B"/>
    <w:rsid w:val="000E5FE0"/>
    <w:rsid w:val="000E6D5D"/>
    <w:rsid w:val="000F032C"/>
    <w:rsid w:val="000F05D5"/>
    <w:rsid w:val="000F1DEB"/>
    <w:rsid w:val="000F3413"/>
    <w:rsid w:val="000F3491"/>
    <w:rsid w:val="000F3C15"/>
    <w:rsid w:val="000F3DE6"/>
    <w:rsid w:val="000F4136"/>
    <w:rsid w:val="000F44E7"/>
    <w:rsid w:val="000F44EA"/>
    <w:rsid w:val="000F4523"/>
    <w:rsid w:val="000F49F1"/>
    <w:rsid w:val="000F4C41"/>
    <w:rsid w:val="000F4FA7"/>
    <w:rsid w:val="000F536A"/>
    <w:rsid w:val="000F541D"/>
    <w:rsid w:val="000F5AD1"/>
    <w:rsid w:val="000F69FA"/>
    <w:rsid w:val="000F741C"/>
    <w:rsid w:val="000F7577"/>
    <w:rsid w:val="000F763F"/>
    <w:rsid w:val="000F7974"/>
    <w:rsid w:val="000F7C20"/>
    <w:rsid w:val="000F7ECD"/>
    <w:rsid w:val="000F7FB5"/>
    <w:rsid w:val="00100317"/>
    <w:rsid w:val="001004CA"/>
    <w:rsid w:val="0010087D"/>
    <w:rsid w:val="00100D31"/>
    <w:rsid w:val="001011EC"/>
    <w:rsid w:val="001013B1"/>
    <w:rsid w:val="001017C1"/>
    <w:rsid w:val="00101E92"/>
    <w:rsid w:val="00101F40"/>
    <w:rsid w:val="001024CF"/>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2910"/>
    <w:rsid w:val="001330D5"/>
    <w:rsid w:val="00133239"/>
    <w:rsid w:val="00133603"/>
    <w:rsid w:val="00134904"/>
    <w:rsid w:val="001349AB"/>
    <w:rsid w:val="00134F4E"/>
    <w:rsid w:val="00134FB0"/>
    <w:rsid w:val="001350AC"/>
    <w:rsid w:val="001352EC"/>
    <w:rsid w:val="00135E0B"/>
    <w:rsid w:val="001361A8"/>
    <w:rsid w:val="001365A5"/>
    <w:rsid w:val="00136690"/>
    <w:rsid w:val="001368CC"/>
    <w:rsid w:val="0013711A"/>
    <w:rsid w:val="001372CA"/>
    <w:rsid w:val="00137AFD"/>
    <w:rsid w:val="0014012A"/>
    <w:rsid w:val="00140AD8"/>
    <w:rsid w:val="00140BE4"/>
    <w:rsid w:val="00140DD6"/>
    <w:rsid w:val="00140E33"/>
    <w:rsid w:val="001411DE"/>
    <w:rsid w:val="00141399"/>
    <w:rsid w:val="00141A0B"/>
    <w:rsid w:val="00141AF4"/>
    <w:rsid w:val="00142E09"/>
    <w:rsid w:val="0014377B"/>
    <w:rsid w:val="00143D3A"/>
    <w:rsid w:val="0014507B"/>
    <w:rsid w:val="00145842"/>
    <w:rsid w:val="00145D32"/>
    <w:rsid w:val="00145F65"/>
    <w:rsid w:val="00145FDA"/>
    <w:rsid w:val="001460E0"/>
    <w:rsid w:val="00146902"/>
    <w:rsid w:val="00146DFA"/>
    <w:rsid w:val="0014794D"/>
    <w:rsid w:val="001479A6"/>
    <w:rsid w:val="00147E53"/>
    <w:rsid w:val="0015018D"/>
    <w:rsid w:val="00150228"/>
    <w:rsid w:val="001502C3"/>
    <w:rsid w:val="001504E8"/>
    <w:rsid w:val="00150536"/>
    <w:rsid w:val="0015105E"/>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69A"/>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7C9"/>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77DA2"/>
    <w:rsid w:val="00180887"/>
    <w:rsid w:val="00180A83"/>
    <w:rsid w:val="001813AB"/>
    <w:rsid w:val="001819C6"/>
    <w:rsid w:val="00181B78"/>
    <w:rsid w:val="0018211C"/>
    <w:rsid w:val="001821F8"/>
    <w:rsid w:val="0018235F"/>
    <w:rsid w:val="00182CBE"/>
    <w:rsid w:val="001831B3"/>
    <w:rsid w:val="001845FA"/>
    <w:rsid w:val="00185115"/>
    <w:rsid w:val="0018522B"/>
    <w:rsid w:val="001854A8"/>
    <w:rsid w:val="00185D40"/>
    <w:rsid w:val="001864B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5F0"/>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6B4"/>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5FB9"/>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C93"/>
    <w:rsid w:val="001C3E2D"/>
    <w:rsid w:val="001C48C7"/>
    <w:rsid w:val="001C49D0"/>
    <w:rsid w:val="001C4A9E"/>
    <w:rsid w:val="001C5D49"/>
    <w:rsid w:val="001C5D7D"/>
    <w:rsid w:val="001C6664"/>
    <w:rsid w:val="001C69A9"/>
    <w:rsid w:val="001C6CAB"/>
    <w:rsid w:val="001C6CC1"/>
    <w:rsid w:val="001C6F99"/>
    <w:rsid w:val="001C6FAA"/>
    <w:rsid w:val="001C7130"/>
    <w:rsid w:val="001C7E70"/>
    <w:rsid w:val="001D0068"/>
    <w:rsid w:val="001D01C6"/>
    <w:rsid w:val="001D092F"/>
    <w:rsid w:val="001D190C"/>
    <w:rsid w:val="001D1AEF"/>
    <w:rsid w:val="001D1F00"/>
    <w:rsid w:val="001D244E"/>
    <w:rsid w:val="001D24F1"/>
    <w:rsid w:val="001D2A3E"/>
    <w:rsid w:val="001D2F42"/>
    <w:rsid w:val="001D2F4B"/>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D7A25"/>
    <w:rsid w:val="001D7B5D"/>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03E"/>
    <w:rsid w:val="001F01E8"/>
    <w:rsid w:val="001F02CD"/>
    <w:rsid w:val="001F0793"/>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5BEC"/>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4FB"/>
    <w:rsid w:val="0020789A"/>
    <w:rsid w:val="00207C83"/>
    <w:rsid w:val="00210197"/>
    <w:rsid w:val="0021036A"/>
    <w:rsid w:val="00210629"/>
    <w:rsid w:val="002106F7"/>
    <w:rsid w:val="00210869"/>
    <w:rsid w:val="00210BDF"/>
    <w:rsid w:val="00210D96"/>
    <w:rsid w:val="002116AD"/>
    <w:rsid w:val="00211999"/>
    <w:rsid w:val="00212078"/>
    <w:rsid w:val="002123A4"/>
    <w:rsid w:val="002125D3"/>
    <w:rsid w:val="002126CD"/>
    <w:rsid w:val="00213773"/>
    <w:rsid w:val="00213A16"/>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6A6"/>
    <w:rsid w:val="0022180E"/>
    <w:rsid w:val="00221E07"/>
    <w:rsid w:val="002220BA"/>
    <w:rsid w:val="0022252D"/>
    <w:rsid w:val="002227B3"/>
    <w:rsid w:val="00222C92"/>
    <w:rsid w:val="00222CE3"/>
    <w:rsid w:val="002235D7"/>
    <w:rsid w:val="002239C4"/>
    <w:rsid w:val="00224617"/>
    <w:rsid w:val="002253FA"/>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6FE"/>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8E"/>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209"/>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0FB"/>
    <w:rsid w:val="002633F4"/>
    <w:rsid w:val="00263BDD"/>
    <w:rsid w:val="002641D9"/>
    <w:rsid w:val="002643C5"/>
    <w:rsid w:val="00264917"/>
    <w:rsid w:val="002651EC"/>
    <w:rsid w:val="00265564"/>
    <w:rsid w:val="00265A0E"/>
    <w:rsid w:val="00265A0F"/>
    <w:rsid w:val="00265C78"/>
    <w:rsid w:val="00265DC2"/>
    <w:rsid w:val="0026638C"/>
    <w:rsid w:val="00266E7D"/>
    <w:rsid w:val="00266F00"/>
    <w:rsid w:val="00266F78"/>
    <w:rsid w:val="002670EF"/>
    <w:rsid w:val="002671A2"/>
    <w:rsid w:val="00267A38"/>
    <w:rsid w:val="00267F5F"/>
    <w:rsid w:val="00270965"/>
    <w:rsid w:val="00271E5D"/>
    <w:rsid w:val="00271F60"/>
    <w:rsid w:val="00272082"/>
    <w:rsid w:val="002728D2"/>
    <w:rsid w:val="0027349D"/>
    <w:rsid w:val="00273516"/>
    <w:rsid w:val="00273985"/>
    <w:rsid w:val="00273B82"/>
    <w:rsid w:val="00273E7A"/>
    <w:rsid w:val="00274372"/>
    <w:rsid w:val="0027475A"/>
    <w:rsid w:val="00274BF0"/>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8CB"/>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6FF4"/>
    <w:rsid w:val="00287514"/>
    <w:rsid w:val="0028791B"/>
    <w:rsid w:val="00287C1D"/>
    <w:rsid w:val="00287E44"/>
    <w:rsid w:val="00287F79"/>
    <w:rsid w:val="002900A9"/>
    <w:rsid w:val="0029022A"/>
    <w:rsid w:val="002906E8"/>
    <w:rsid w:val="00290A6D"/>
    <w:rsid w:val="00290C43"/>
    <w:rsid w:val="00290C90"/>
    <w:rsid w:val="00290E50"/>
    <w:rsid w:val="002913BC"/>
    <w:rsid w:val="002916DB"/>
    <w:rsid w:val="0029190A"/>
    <w:rsid w:val="002919A1"/>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864"/>
    <w:rsid w:val="00297D6A"/>
    <w:rsid w:val="002A0190"/>
    <w:rsid w:val="002A0702"/>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495"/>
    <w:rsid w:val="002A57BC"/>
    <w:rsid w:val="002A581C"/>
    <w:rsid w:val="002A5A35"/>
    <w:rsid w:val="002A63AF"/>
    <w:rsid w:val="002A723F"/>
    <w:rsid w:val="002B00FE"/>
    <w:rsid w:val="002B0D3F"/>
    <w:rsid w:val="002B0E27"/>
    <w:rsid w:val="002B10B6"/>
    <w:rsid w:val="002B10D3"/>
    <w:rsid w:val="002B1113"/>
    <w:rsid w:val="002B1158"/>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D7782"/>
    <w:rsid w:val="002E0067"/>
    <w:rsid w:val="002E02D0"/>
    <w:rsid w:val="002E0489"/>
    <w:rsid w:val="002E04C0"/>
    <w:rsid w:val="002E0544"/>
    <w:rsid w:val="002E1DF4"/>
    <w:rsid w:val="002E2708"/>
    <w:rsid w:val="002E2C3B"/>
    <w:rsid w:val="002E3206"/>
    <w:rsid w:val="002E3565"/>
    <w:rsid w:val="002E3C37"/>
    <w:rsid w:val="002E4BA7"/>
    <w:rsid w:val="002E4D3D"/>
    <w:rsid w:val="002E4FF2"/>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247"/>
    <w:rsid w:val="002F3C64"/>
    <w:rsid w:val="002F4431"/>
    <w:rsid w:val="002F47E7"/>
    <w:rsid w:val="002F510D"/>
    <w:rsid w:val="002F5F61"/>
    <w:rsid w:val="002F72D0"/>
    <w:rsid w:val="002F7881"/>
    <w:rsid w:val="00300081"/>
    <w:rsid w:val="0030023E"/>
    <w:rsid w:val="0030059B"/>
    <w:rsid w:val="00300983"/>
    <w:rsid w:val="003009DC"/>
    <w:rsid w:val="00300DE8"/>
    <w:rsid w:val="00300FC5"/>
    <w:rsid w:val="003011C0"/>
    <w:rsid w:val="00301277"/>
    <w:rsid w:val="00301837"/>
    <w:rsid w:val="003019CD"/>
    <w:rsid w:val="00302749"/>
    <w:rsid w:val="00302CE7"/>
    <w:rsid w:val="0030341B"/>
    <w:rsid w:val="003034D2"/>
    <w:rsid w:val="0030373E"/>
    <w:rsid w:val="00303A1B"/>
    <w:rsid w:val="00303CEE"/>
    <w:rsid w:val="003043AA"/>
    <w:rsid w:val="003045BE"/>
    <w:rsid w:val="003055D2"/>
    <w:rsid w:val="00305B61"/>
    <w:rsid w:val="00305F53"/>
    <w:rsid w:val="003060F3"/>
    <w:rsid w:val="0030612A"/>
    <w:rsid w:val="00306639"/>
    <w:rsid w:val="003068EC"/>
    <w:rsid w:val="00306C01"/>
    <w:rsid w:val="0030759B"/>
    <w:rsid w:val="003076C4"/>
    <w:rsid w:val="003079A6"/>
    <w:rsid w:val="0031024D"/>
    <w:rsid w:val="003106C8"/>
    <w:rsid w:val="003107CE"/>
    <w:rsid w:val="00310E3F"/>
    <w:rsid w:val="00311270"/>
    <w:rsid w:val="0031165B"/>
    <w:rsid w:val="0031175D"/>
    <w:rsid w:val="003119DD"/>
    <w:rsid w:val="00312297"/>
    <w:rsid w:val="0031300C"/>
    <w:rsid w:val="0031309E"/>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47C"/>
    <w:rsid w:val="003205E0"/>
    <w:rsid w:val="00321010"/>
    <w:rsid w:val="00321179"/>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6EE"/>
    <w:rsid w:val="00334725"/>
    <w:rsid w:val="0033493A"/>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574"/>
    <w:rsid w:val="0034360C"/>
    <w:rsid w:val="00343860"/>
    <w:rsid w:val="003438BC"/>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1B41"/>
    <w:rsid w:val="00352775"/>
    <w:rsid w:val="00352F14"/>
    <w:rsid w:val="003530B3"/>
    <w:rsid w:val="00355090"/>
    <w:rsid w:val="0035546F"/>
    <w:rsid w:val="003554BD"/>
    <w:rsid w:val="003554CE"/>
    <w:rsid w:val="00355A18"/>
    <w:rsid w:val="00356586"/>
    <w:rsid w:val="00356792"/>
    <w:rsid w:val="003571E2"/>
    <w:rsid w:val="00360A82"/>
    <w:rsid w:val="00361062"/>
    <w:rsid w:val="003610F5"/>
    <w:rsid w:val="003616F4"/>
    <w:rsid w:val="003617C3"/>
    <w:rsid w:val="003619AE"/>
    <w:rsid w:val="003624D9"/>
    <w:rsid w:val="00362B5E"/>
    <w:rsid w:val="003638E9"/>
    <w:rsid w:val="00363DE6"/>
    <w:rsid w:val="00363E4E"/>
    <w:rsid w:val="00363F74"/>
    <w:rsid w:val="00363FF6"/>
    <w:rsid w:val="003643A5"/>
    <w:rsid w:val="00364A3C"/>
    <w:rsid w:val="00364D97"/>
    <w:rsid w:val="00365093"/>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7FB"/>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1EA0"/>
    <w:rsid w:val="003823DE"/>
    <w:rsid w:val="003825CB"/>
    <w:rsid w:val="003825F4"/>
    <w:rsid w:val="00382F31"/>
    <w:rsid w:val="003830B9"/>
    <w:rsid w:val="00383181"/>
    <w:rsid w:val="003831C2"/>
    <w:rsid w:val="00383338"/>
    <w:rsid w:val="0038339B"/>
    <w:rsid w:val="00383701"/>
    <w:rsid w:val="003840B4"/>
    <w:rsid w:val="00384187"/>
    <w:rsid w:val="00384563"/>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94C"/>
    <w:rsid w:val="00393E76"/>
    <w:rsid w:val="00393FA8"/>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A7FD9"/>
    <w:rsid w:val="003B00E9"/>
    <w:rsid w:val="003B02DF"/>
    <w:rsid w:val="003B099A"/>
    <w:rsid w:val="003B0A8B"/>
    <w:rsid w:val="003B1083"/>
    <w:rsid w:val="003B12DB"/>
    <w:rsid w:val="003B1870"/>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6A8D"/>
    <w:rsid w:val="003B7B4D"/>
    <w:rsid w:val="003C0125"/>
    <w:rsid w:val="003C02E0"/>
    <w:rsid w:val="003C03F7"/>
    <w:rsid w:val="003C05CD"/>
    <w:rsid w:val="003C0DCD"/>
    <w:rsid w:val="003C0FE5"/>
    <w:rsid w:val="003C1A9A"/>
    <w:rsid w:val="003C1CAF"/>
    <w:rsid w:val="003C22D4"/>
    <w:rsid w:val="003C23EF"/>
    <w:rsid w:val="003C29AF"/>
    <w:rsid w:val="003C2BDB"/>
    <w:rsid w:val="003C3481"/>
    <w:rsid w:val="003C3B78"/>
    <w:rsid w:val="003C3F73"/>
    <w:rsid w:val="003C40A2"/>
    <w:rsid w:val="003C4BB8"/>
    <w:rsid w:val="003C5027"/>
    <w:rsid w:val="003C5519"/>
    <w:rsid w:val="003C5A97"/>
    <w:rsid w:val="003C616B"/>
    <w:rsid w:val="003C681D"/>
    <w:rsid w:val="003C6A7B"/>
    <w:rsid w:val="003C6BED"/>
    <w:rsid w:val="003C7560"/>
    <w:rsid w:val="003C7965"/>
    <w:rsid w:val="003C7D06"/>
    <w:rsid w:val="003C7EF7"/>
    <w:rsid w:val="003D03D1"/>
    <w:rsid w:val="003D06B2"/>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AE6"/>
    <w:rsid w:val="003D4B7E"/>
    <w:rsid w:val="003D507A"/>
    <w:rsid w:val="003D5107"/>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0A73"/>
    <w:rsid w:val="003F18CF"/>
    <w:rsid w:val="003F1E48"/>
    <w:rsid w:val="003F2BFE"/>
    <w:rsid w:val="003F3A44"/>
    <w:rsid w:val="003F42D2"/>
    <w:rsid w:val="003F45D9"/>
    <w:rsid w:val="003F4DF9"/>
    <w:rsid w:val="003F5F0A"/>
    <w:rsid w:val="003F6DF4"/>
    <w:rsid w:val="003F7022"/>
    <w:rsid w:val="003F7263"/>
    <w:rsid w:val="003F7D77"/>
    <w:rsid w:val="0040077C"/>
    <w:rsid w:val="00400A5E"/>
    <w:rsid w:val="00400A94"/>
    <w:rsid w:val="0040113F"/>
    <w:rsid w:val="004015B0"/>
    <w:rsid w:val="004016AD"/>
    <w:rsid w:val="00401A15"/>
    <w:rsid w:val="00401B9C"/>
    <w:rsid w:val="00401C5B"/>
    <w:rsid w:val="00401DB1"/>
    <w:rsid w:val="004020FB"/>
    <w:rsid w:val="0040230D"/>
    <w:rsid w:val="0040252B"/>
    <w:rsid w:val="004028D0"/>
    <w:rsid w:val="00402940"/>
    <w:rsid w:val="00402D71"/>
    <w:rsid w:val="00403226"/>
    <w:rsid w:val="00403827"/>
    <w:rsid w:val="004040E3"/>
    <w:rsid w:val="004043AA"/>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516"/>
    <w:rsid w:val="00440891"/>
    <w:rsid w:val="004412E5"/>
    <w:rsid w:val="004415FC"/>
    <w:rsid w:val="00441989"/>
    <w:rsid w:val="00441DBA"/>
    <w:rsid w:val="00442112"/>
    <w:rsid w:val="00442314"/>
    <w:rsid w:val="00442822"/>
    <w:rsid w:val="00442A1E"/>
    <w:rsid w:val="00442E6F"/>
    <w:rsid w:val="00442FFB"/>
    <w:rsid w:val="004437F3"/>
    <w:rsid w:val="00443A3A"/>
    <w:rsid w:val="00443A81"/>
    <w:rsid w:val="00443AE0"/>
    <w:rsid w:val="00443D1A"/>
    <w:rsid w:val="004442B1"/>
    <w:rsid w:val="004443FB"/>
    <w:rsid w:val="0044475F"/>
    <w:rsid w:val="0044476D"/>
    <w:rsid w:val="00445064"/>
    <w:rsid w:val="00445172"/>
    <w:rsid w:val="00446D2D"/>
    <w:rsid w:val="00447603"/>
    <w:rsid w:val="00447837"/>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939"/>
    <w:rsid w:val="00472E22"/>
    <w:rsid w:val="00472EA3"/>
    <w:rsid w:val="00472F67"/>
    <w:rsid w:val="004739A1"/>
    <w:rsid w:val="0047430D"/>
    <w:rsid w:val="00474925"/>
    <w:rsid w:val="00474FDF"/>
    <w:rsid w:val="00475688"/>
    <w:rsid w:val="004758F6"/>
    <w:rsid w:val="004759E3"/>
    <w:rsid w:val="00475B89"/>
    <w:rsid w:val="00475C51"/>
    <w:rsid w:val="00476161"/>
    <w:rsid w:val="00476503"/>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F54"/>
    <w:rsid w:val="004871B4"/>
    <w:rsid w:val="004876B9"/>
    <w:rsid w:val="004876DD"/>
    <w:rsid w:val="00487D65"/>
    <w:rsid w:val="0049178A"/>
    <w:rsid w:val="00491A0F"/>
    <w:rsid w:val="00491C1D"/>
    <w:rsid w:val="00491DF1"/>
    <w:rsid w:val="0049227A"/>
    <w:rsid w:val="00492535"/>
    <w:rsid w:val="00493435"/>
    <w:rsid w:val="00493C1E"/>
    <w:rsid w:val="00494B28"/>
    <w:rsid w:val="00495411"/>
    <w:rsid w:val="00495FFF"/>
    <w:rsid w:val="00496A9F"/>
    <w:rsid w:val="00496D10"/>
    <w:rsid w:val="00497352"/>
    <w:rsid w:val="00497358"/>
    <w:rsid w:val="00497FA5"/>
    <w:rsid w:val="004A03B3"/>
    <w:rsid w:val="004A04D5"/>
    <w:rsid w:val="004A0986"/>
    <w:rsid w:val="004A12D1"/>
    <w:rsid w:val="004A1B07"/>
    <w:rsid w:val="004A2E04"/>
    <w:rsid w:val="004A31AE"/>
    <w:rsid w:val="004A3226"/>
    <w:rsid w:val="004A399F"/>
    <w:rsid w:val="004A3B8F"/>
    <w:rsid w:val="004A3FDD"/>
    <w:rsid w:val="004A4096"/>
    <w:rsid w:val="004A466A"/>
    <w:rsid w:val="004A4692"/>
    <w:rsid w:val="004A4F2E"/>
    <w:rsid w:val="004A5318"/>
    <w:rsid w:val="004A531A"/>
    <w:rsid w:val="004A669F"/>
    <w:rsid w:val="004A6842"/>
    <w:rsid w:val="004A718C"/>
    <w:rsid w:val="004A7993"/>
    <w:rsid w:val="004A7DBE"/>
    <w:rsid w:val="004A7F94"/>
    <w:rsid w:val="004B08AC"/>
    <w:rsid w:val="004B09D4"/>
    <w:rsid w:val="004B0A66"/>
    <w:rsid w:val="004B0D88"/>
    <w:rsid w:val="004B0DE7"/>
    <w:rsid w:val="004B1CB6"/>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0ED"/>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BA0"/>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0EEB"/>
    <w:rsid w:val="00501141"/>
    <w:rsid w:val="005012FC"/>
    <w:rsid w:val="00501EBE"/>
    <w:rsid w:val="00501F78"/>
    <w:rsid w:val="005032EB"/>
    <w:rsid w:val="00503551"/>
    <w:rsid w:val="00503F38"/>
    <w:rsid w:val="005043FC"/>
    <w:rsid w:val="0050444E"/>
    <w:rsid w:val="00504A55"/>
    <w:rsid w:val="00505166"/>
    <w:rsid w:val="00505F08"/>
    <w:rsid w:val="005061A3"/>
    <w:rsid w:val="005062EE"/>
    <w:rsid w:val="0050671D"/>
    <w:rsid w:val="0050672C"/>
    <w:rsid w:val="00506C4C"/>
    <w:rsid w:val="0050700E"/>
    <w:rsid w:val="005079D7"/>
    <w:rsid w:val="00507B26"/>
    <w:rsid w:val="00507B2A"/>
    <w:rsid w:val="00510A22"/>
    <w:rsid w:val="00510D8A"/>
    <w:rsid w:val="00510DCA"/>
    <w:rsid w:val="00510F8F"/>
    <w:rsid w:val="00511EBC"/>
    <w:rsid w:val="005125D5"/>
    <w:rsid w:val="00512CAF"/>
    <w:rsid w:val="00512D51"/>
    <w:rsid w:val="00512DB8"/>
    <w:rsid w:val="00512E95"/>
    <w:rsid w:val="0051301F"/>
    <w:rsid w:val="00513BC1"/>
    <w:rsid w:val="00514674"/>
    <w:rsid w:val="0051477F"/>
    <w:rsid w:val="005148F0"/>
    <w:rsid w:val="00514962"/>
    <w:rsid w:val="00514C46"/>
    <w:rsid w:val="0051550C"/>
    <w:rsid w:val="00515B94"/>
    <w:rsid w:val="00515BCF"/>
    <w:rsid w:val="00515E20"/>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19D6"/>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1D12"/>
    <w:rsid w:val="005324FA"/>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0B20"/>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6D72"/>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5A2"/>
    <w:rsid w:val="005558C4"/>
    <w:rsid w:val="00555FC3"/>
    <w:rsid w:val="00556027"/>
    <w:rsid w:val="00556506"/>
    <w:rsid w:val="0055659A"/>
    <w:rsid w:val="00556731"/>
    <w:rsid w:val="00556A54"/>
    <w:rsid w:val="005573D7"/>
    <w:rsid w:val="00557401"/>
    <w:rsid w:val="0055747C"/>
    <w:rsid w:val="00557D41"/>
    <w:rsid w:val="00557F5B"/>
    <w:rsid w:val="00557FE2"/>
    <w:rsid w:val="00560729"/>
    <w:rsid w:val="00560A86"/>
    <w:rsid w:val="00561088"/>
    <w:rsid w:val="00561C64"/>
    <w:rsid w:val="0056218D"/>
    <w:rsid w:val="0056267C"/>
    <w:rsid w:val="00562887"/>
    <w:rsid w:val="00562EAD"/>
    <w:rsid w:val="00563222"/>
    <w:rsid w:val="00563AEB"/>
    <w:rsid w:val="00564265"/>
    <w:rsid w:val="00564654"/>
    <w:rsid w:val="00564775"/>
    <w:rsid w:val="00564C1E"/>
    <w:rsid w:val="00565AA1"/>
    <w:rsid w:val="005669A3"/>
    <w:rsid w:val="00566C28"/>
    <w:rsid w:val="00566CA0"/>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5CF3"/>
    <w:rsid w:val="00576234"/>
    <w:rsid w:val="00576672"/>
    <w:rsid w:val="00576D35"/>
    <w:rsid w:val="00576FE8"/>
    <w:rsid w:val="005777C8"/>
    <w:rsid w:val="00577AD5"/>
    <w:rsid w:val="00577F23"/>
    <w:rsid w:val="005801AF"/>
    <w:rsid w:val="00580363"/>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59A"/>
    <w:rsid w:val="005A4624"/>
    <w:rsid w:val="005A4726"/>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0898"/>
    <w:rsid w:val="005C0F1C"/>
    <w:rsid w:val="005C12AC"/>
    <w:rsid w:val="005C1644"/>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381"/>
    <w:rsid w:val="005E2A79"/>
    <w:rsid w:val="005E2D15"/>
    <w:rsid w:val="005E2EDB"/>
    <w:rsid w:val="005E2FB1"/>
    <w:rsid w:val="005E30D5"/>
    <w:rsid w:val="005E3850"/>
    <w:rsid w:val="005E3EB4"/>
    <w:rsid w:val="005E40C8"/>
    <w:rsid w:val="005E41B6"/>
    <w:rsid w:val="005E43DF"/>
    <w:rsid w:val="005E48DE"/>
    <w:rsid w:val="005E566F"/>
    <w:rsid w:val="005E631D"/>
    <w:rsid w:val="005E633A"/>
    <w:rsid w:val="005E64AF"/>
    <w:rsid w:val="005E6674"/>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8C"/>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07E2E"/>
    <w:rsid w:val="00611536"/>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424"/>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2B"/>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1EC"/>
    <w:rsid w:val="00644277"/>
    <w:rsid w:val="006443B2"/>
    <w:rsid w:val="0064457D"/>
    <w:rsid w:val="006447A9"/>
    <w:rsid w:val="00645210"/>
    <w:rsid w:val="00645933"/>
    <w:rsid w:val="006459B3"/>
    <w:rsid w:val="00645D57"/>
    <w:rsid w:val="00646970"/>
    <w:rsid w:val="00646ED1"/>
    <w:rsid w:val="00646FDD"/>
    <w:rsid w:val="00647C38"/>
    <w:rsid w:val="00647C77"/>
    <w:rsid w:val="00647D39"/>
    <w:rsid w:val="00647DCE"/>
    <w:rsid w:val="006500A2"/>
    <w:rsid w:val="00650149"/>
    <w:rsid w:val="0065058D"/>
    <w:rsid w:val="00650A97"/>
    <w:rsid w:val="00650C5E"/>
    <w:rsid w:val="00650EBA"/>
    <w:rsid w:val="00651147"/>
    <w:rsid w:val="0065131D"/>
    <w:rsid w:val="006515BF"/>
    <w:rsid w:val="00651ADB"/>
    <w:rsid w:val="00651DC1"/>
    <w:rsid w:val="00651FD6"/>
    <w:rsid w:val="0065234B"/>
    <w:rsid w:val="0065252C"/>
    <w:rsid w:val="00653278"/>
    <w:rsid w:val="006533FF"/>
    <w:rsid w:val="00653AC4"/>
    <w:rsid w:val="00653C52"/>
    <w:rsid w:val="006540C1"/>
    <w:rsid w:val="00654191"/>
    <w:rsid w:val="0065426F"/>
    <w:rsid w:val="00654642"/>
    <w:rsid w:val="00654AF4"/>
    <w:rsid w:val="00654CB8"/>
    <w:rsid w:val="00654D30"/>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4A42"/>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4D"/>
    <w:rsid w:val="00674A98"/>
    <w:rsid w:val="00674C5D"/>
    <w:rsid w:val="00674ED8"/>
    <w:rsid w:val="006752CD"/>
    <w:rsid w:val="00675793"/>
    <w:rsid w:val="00675C5E"/>
    <w:rsid w:val="00676F0B"/>
    <w:rsid w:val="00677137"/>
    <w:rsid w:val="006773D1"/>
    <w:rsid w:val="00677A5F"/>
    <w:rsid w:val="006801BB"/>
    <w:rsid w:val="006802E3"/>
    <w:rsid w:val="00680CC6"/>
    <w:rsid w:val="0068241B"/>
    <w:rsid w:val="00682DA7"/>
    <w:rsid w:val="006834C7"/>
    <w:rsid w:val="00683889"/>
    <w:rsid w:val="006842A2"/>
    <w:rsid w:val="0068432E"/>
    <w:rsid w:val="006848BB"/>
    <w:rsid w:val="006849A8"/>
    <w:rsid w:val="00685075"/>
    <w:rsid w:val="00685339"/>
    <w:rsid w:val="00685597"/>
    <w:rsid w:val="00686338"/>
    <w:rsid w:val="00687039"/>
    <w:rsid w:val="0068731C"/>
    <w:rsid w:val="00687633"/>
    <w:rsid w:val="006904AD"/>
    <w:rsid w:val="006905F1"/>
    <w:rsid w:val="00691201"/>
    <w:rsid w:val="006912E6"/>
    <w:rsid w:val="006914E9"/>
    <w:rsid w:val="006915C2"/>
    <w:rsid w:val="00691815"/>
    <w:rsid w:val="00691E51"/>
    <w:rsid w:val="006920CA"/>
    <w:rsid w:val="006927F0"/>
    <w:rsid w:val="00692C4E"/>
    <w:rsid w:val="006936DB"/>
    <w:rsid w:val="00693801"/>
    <w:rsid w:val="006944B8"/>
    <w:rsid w:val="00694706"/>
    <w:rsid w:val="00694DF8"/>
    <w:rsid w:val="006956E0"/>
    <w:rsid w:val="00695D3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0AD"/>
    <w:rsid w:val="006A7444"/>
    <w:rsid w:val="006A777A"/>
    <w:rsid w:val="006A7AE9"/>
    <w:rsid w:val="006A7C9D"/>
    <w:rsid w:val="006B0264"/>
    <w:rsid w:val="006B02F4"/>
    <w:rsid w:val="006B05F6"/>
    <w:rsid w:val="006B0627"/>
    <w:rsid w:val="006B10C7"/>
    <w:rsid w:val="006B15C1"/>
    <w:rsid w:val="006B1942"/>
    <w:rsid w:val="006B19FD"/>
    <w:rsid w:val="006B1E59"/>
    <w:rsid w:val="006B2229"/>
    <w:rsid w:val="006B2995"/>
    <w:rsid w:val="006B2E08"/>
    <w:rsid w:val="006B2F13"/>
    <w:rsid w:val="006B3029"/>
    <w:rsid w:val="006B32B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60D"/>
    <w:rsid w:val="006C57FE"/>
    <w:rsid w:val="006C5AB5"/>
    <w:rsid w:val="006C5B2C"/>
    <w:rsid w:val="006C6E36"/>
    <w:rsid w:val="006C6FD2"/>
    <w:rsid w:val="006C705E"/>
    <w:rsid w:val="006C7216"/>
    <w:rsid w:val="006C7266"/>
    <w:rsid w:val="006C7AF0"/>
    <w:rsid w:val="006C7E5E"/>
    <w:rsid w:val="006D045E"/>
    <w:rsid w:val="006D0511"/>
    <w:rsid w:val="006D0B6D"/>
    <w:rsid w:val="006D1549"/>
    <w:rsid w:val="006D1A5F"/>
    <w:rsid w:val="006D29A8"/>
    <w:rsid w:val="006D30D9"/>
    <w:rsid w:val="006D381C"/>
    <w:rsid w:val="006D39EA"/>
    <w:rsid w:val="006D3CE0"/>
    <w:rsid w:val="006D4720"/>
    <w:rsid w:val="006D4801"/>
    <w:rsid w:val="006D487E"/>
    <w:rsid w:val="006D4A33"/>
    <w:rsid w:val="006D53DF"/>
    <w:rsid w:val="006D54F7"/>
    <w:rsid w:val="006D5604"/>
    <w:rsid w:val="006D599A"/>
    <w:rsid w:val="006D5CDA"/>
    <w:rsid w:val="006D6436"/>
    <w:rsid w:val="006D6713"/>
    <w:rsid w:val="006D7902"/>
    <w:rsid w:val="006D79C4"/>
    <w:rsid w:val="006D7C9D"/>
    <w:rsid w:val="006D7D85"/>
    <w:rsid w:val="006E045E"/>
    <w:rsid w:val="006E09E9"/>
    <w:rsid w:val="006E0B21"/>
    <w:rsid w:val="006E171B"/>
    <w:rsid w:val="006E2AD6"/>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962"/>
    <w:rsid w:val="006F1DBD"/>
    <w:rsid w:val="006F1E00"/>
    <w:rsid w:val="006F23E4"/>
    <w:rsid w:val="006F2509"/>
    <w:rsid w:val="006F29C6"/>
    <w:rsid w:val="006F301F"/>
    <w:rsid w:val="006F43E8"/>
    <w:rsid w:val="006F5402"/>
    <w:rsid w:val="006F5847"/>
    <w:rsid w:val="006F5B1A"/>
    <w:rsid w:val="006F5F76"/>
    <w:rsid w:val="006F62A6"/>
    <w:rsid w:val="006F6790"/>
    <w:rsid w:val="006F6800"/>
    <w:rsid w:val="006F6A1E"/>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3E20"/>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07E92"/>
    <w:rsid w:val="00710164"/>
    <w:rsid w:val="00710167"/>
    <w:rsid w:val="00710595"/>
    <w:rsid w:val="00710870"/>
    <w:rsid w:val="007109AB"/>
    <w:rsid w:val="007109B1"/>
    <w:rsid w:val="00710A0B"/>
    <w:rsid w:val="00710A1A"/>
    <w:rsid w:val="00710BBD"/>
    <w:rsid w:val="00710E5E"/>
    <w:rsid w:val="007110B3"/>
    <w:rsid w:val="00712020"/>
    <w:rsid w:val="00712026"/>
    <w:rsid w:val="007121C0"/>
    <w:rsid w:val="00712638"/>
    <w:rsid w:val="0071276A"/>
    <w:rsid w:val="00712A32"/>
    <w:rsid w:val="00712B22"/>
    <w:rsid w:val="00712D93"/>
    <w:rsid w:val="007132CE"/>
    <w:rsid w:val="007139BF"/>
    <w:rsid w:val="00713C11"/>
    <w:rsid w:val="00713CBE"/>
    <w:rsid w:val="007140F9"/>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004"/>
    <w:rsid w:val="00721EFB"/>
    <w:rsid w:val="00721F31"/>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827"/>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4D7"/>
    <w:rsid w:val="00731607"/>
    <w:rsid w:val="00732732"/>
    <w:rsid w:val="0073397C"/>
    <w:rsid w:val="00733A16"/>
    <w:rsid w:val="00733E30"/>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A72"/>
    <w:rsid w:val="00742C3D"/>
    <w:rsid w:val="00742DAD"/>
    <w:rsid w:val="00743338"/>
    <w:rsid w:val="00743455"/>
    <w:rsid w:val="007435B8"/>
    <w:rsid w:val="00743FEF"/>
    <w:rsid w:val="007444AE"/>
    <w:rsid w:val="007444B8"/>
    <w:rsid w:val="007447C6"/>
    <w:rsid w:val="007449FE"/>
    <w:rsid w:val="00744CEC"/>
    <w:rsid w:val="00745A05"/>
    <w:rsid w:val="00745F8E"/>
    <w:rsid w:val="00746564"/>
    <w:rsid w:val="00746721"/>
    <w:rsid w:val="00746A84"/>
    <w:rsid w:val="00747741"/>
    <w:rsid w:val="00750447"/>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4C1"/>
    <w:rsid w:val="00760978"/>
    <w:rsid w:val="00760D42"/>
    <w:rsid w:val="00760FD9"/>
    <w:rsid w:val="007614CD"/>
    <w:rsid w:val="007620AA"/>
    <w:rsid w:val="007623B0"/>
    <w:rsid w:val="00762A7D"/>
    <w:rsid w:val="00762C65"/>
    <w:rsid w:val="007638B8"/>
    <w:rsid w:val="00763B9E"/>
    <w:rsid w:val="00764588"/>
    <w:rsid w:val="007648FE"/>
    <w:rsid w:val="00764B39"/>
    <w:rsid w:val="00765EE9"/>
    <w:rsid w:val="007664EA"/>
    <w:rsid w:val="0076652D"/>
    <w:rsid w:val="00766541"/>
    <w:rsid w:val="007667C4"/>
    <w:rsid w:val="007667FE"/>
    <w:rsid w:val="00766E2B"/>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42F"/>
    <w:rsid w:val="00780FF9"/>
    <w:rsid w:val="00781071"/>
    <w:rsid w:val="00781937"/>
    <w:rsid w:val="0078285C"/>
    <w:rsid w:val="00782B30"/>
    <w:rsid w:val="00783A36"/>
    <w:rsid w:val="0078404B"/>
    <w:rsid w:val="007845D4"/>
    <w:rsid w:val="00784DF0"/>
    <w:rsid w:val="007855B7"/>
    <w:rsid w:val="00785A38"/>
    <w:rsid w:val="00785C2A"/>
    <w:rsid w:val="007863C5"/>
    <w:rsid w:val="0078668F"/>
    <w:rsid w:val="00786C45"/>
    <w:rsid w:val="00786F6A"/>
    <w:rsid w:val="0078700E"/>
    <w:rsid w:val="00787339"/>
    <w:rsid w:val="00787B34"/>
    <w:rsid w:val="00787B59"/>
    <w:rsid w:val="00787C9C"/>
    <w:rsid w:val="00787FC0"/>
    <w:rsid w:val="007900A9"/>
    <w:rsid w:val="00790B76"/>
    <w:rsid w:val="007910C3"/>
    <w:rsid w:val="00791110"/>
    <w:rsid w:val="00791250"/>
    <w:rsid w:val="0079150D"/>
    <w:rsid w:val="00791800"/>
    <w:rsid w:val="00791DE1"/>
    <w:rsid w:val="0079219F"/>
    <w:rsid w:val="0079276B"/>
    <w:rsid w:val="00793181"/>
    <w:rsid w:val="007931A6"/>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6327"/>
    <w:rsid w:val="007A704A"/>
    <w:rsid w:val="007A7242"/>
    <w:rsid w:val="007B007F"/>
    <w:rsid w:val="007B0D0F"/>
    <w:rsid w:val="007B12B0"/>
    <w:rsid w:val="007B1392"/>
    <w:rsid w:val="007B1785"/>
    <w:rsid w:val="007B215A"/>
    <w:rsid w:val="007B22DC"/>
    <w:rsid w:val="007B24F0"/>
    <w:rsid w:val="007B29DF"/>
    <w:rsid w:val="007B34DC"/>
    <w:rsid w:val="007B369C"/>
    <w:rsid w:val="007B3A98"/>
    <w:rsid w:val="007B3D7A"/>
    <w:rsid w:val="007B4008"/>
    <w:rsid w:val="007B49C4"/>
    <w:rsid w:val="007B4D74"/>
    <w:rsid w:val="007B4DC6"/>
    <w:rsid w:val="007B5132"/>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097"/>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6DAA"/>
    <w:rsid w:val="007D7635"/>
    <w:rsid w:val="007D76BB"/>
    <w:rsid w:val="007D7C78"/>
    <w:rsid w:val="007D7CDE"/>
    <w:rsid w:val="007D7DC7"/>
    <w:rsid w:val="007E01AF"/>
    <w:rsid w:val="007E0772"/>
    <w:rsid w:val="007E0D31"/>
    <w:rsid w:val="007E0E04"/>
    <w:rsid w:val="007E0EF9"/>
    <w:rsid w:val="007E18BC"/>
    <w:rsid w:val="007E1B5F"/>
    <w:rsid w:val="007E21D9"/>
    <w:rsid w:val="007E23E5"/>
    <w:rsid w:val="007E2BDD"/>
    <w:rsid w:val="007E3569"/>
    <w:rsid w:val="007E45CA"/>
    <w:rsid w:val="007E48C0"/>
    <w:rsid w:val="007E4AC2"/>
    <w:rsid w:val="007E4FBE"/>
    <w:rsid w:val="007E5885"/>
    <w:rsid w:val="007E61B7"/>
    <w:rsid w:val="007E6481"/>
    <w:rsid w:val="007E64FF"/>
    <w:rsid w:val="007E697F"/>
    <w:rsid w:val="007E6BD5"/>
    <w:rsid w:val="007E6F62"/>
    <w:rsid w:val="007E6FEA"/>
    <w:rsid w:val="007E7C7B"/>
    <w:rsid w:val="007E7E0F"/>
    <w:rsid w:val="007E7F8F"/>
    <w:rsid w:val="007F015E"/>
    <w:rsid w:val="007F1063"/>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16C"/>
    <w:rsid w:val="00801255"/>
    <w:rsid w:val="008012A2"/>
    <w:rsid w:val="0080197B"/>
    <w:rsid w:val="00801C1F"/>
    <w:rsid w:val="008021D3"/>
    <w:rsid w:val="00802849"/>
    <w:rsid w:val="00802971"/>
    <w:rsid w:val="008034C0"/>
    <w:rsid w:val="008038E3"/>
    <w:rsid w:val="008038F6"/>
    <w:rsid w:val="00803FF8"/>
    <w:rsid w:val="00804157"/>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02B"/>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50"/>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477D7"/>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DB"/>
    <w:rsid w:val="008558ED"/>
    <w:rsid w:val="00855CFC"/>
    <w:rsid w:val="00855FD5"/>
    <w:rsid w:val="00856049"/>
    <w:rsid w:val="0085632A"/>
    <w:rsid w:val="008568BB"/>
    <w:rsid w:val="00856D84"/>
    <w:rsid w:val="00856E96"/>
    <w:rsid w:val="00857822"/>
    <w:rsid w:val="00857B68"/>
    <w:rsid w:val="00857C93"/>
    <w:rsid w:val="00857FEB"/>
    <w:rsid w:val="00860D51"/>
    <w:rsid w:val="008611C1"/>
    <w:rsid w:val="0086132E"/>
    <w:rsid w:val="0086151A"/>
    <w:rsid w:val="0086173C"/>
    <w:rsid w:val="00861DA4"/>
    <w:rsid w:val="00862330"/>
    <w:rsid w:val="0086264B"/>
    <w:rsid w:val="0086266B"/>
    <w:rsid w:val="008626E9"/>
    <w:rsid w:val="008626EB"/>
    <w:rsid w:val="00862EFD"/>
    <w:rsid w:val="008638FB"/>
    <w:rsid w:val="00863AF4"/>
    <w:rsid w:val="008643F1"/>
    <w:rsid w:val="0086444C"/>
    <w:rsid w:val="008644B1"/>
    <w:rsid w:val="00864768"/>
    <w:rsid w:val="008658AB"/>
    <w:rsid w:val="00865B18"/>
    <w:rsid w:val="0086672E"/>
    <w:rsid w:val="00866792"/>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55B"/>
    <w:rsid w:val="00874C66"/>
    <w:rsid w:val="00874F67"/>
    <w:rsid w:val="00874FBA"/>
    <w:rsid w:val="00875F4F"/>
    <w:rsid w:val="008762D8"/>
    <w:rsid w:val="008772AE"/>
    <w:rsid w:val="008772D9"/>
    <w:rsid w:val="00877345"/>
    <w:rsid w:val="00877456"/>
    <w:rsid w:val="00877B29"/>
    <w:rsid w:val="00877C69"/>
    <w:rsid w:val="00880298"/>
    <w:rsid w:val="008808B9"/>
    <w:rsid w:val="00880994"/>
    <w:rsid w:val="00880B30"/>
    <w:rsid w:val="00880F1D"/>
    <w:rsid w:val="0088172A"/>
    <w:rsid w:val="00881F90"/>
    <w:rsid w:val="00883600"/>
    <w:rsid w:val="00883624"/>
    <w:rsid w:val="008851C4"/>
    <w:rsid w:val="00885696"/>
    <w:rsid w:val="0088570A"/>
    <w:rsid w:val="008858F3"/>
    <w:rsid w:val="00885DB7"/>
    <w:rsid w:val="00885E9D"/>
    <w:rsid w:val="00885F23"/>
    <w:rsid w:val="0088636E"/>
    <w:rsid w:val="008864A7"/>
    <w:rsid w:val="0088666A"/>
    <w:rsid w:val="0088688A"/>
    <w:rsid w:val="00886890"/>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474"/>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BB2"/>
    <w:rsid w:val="008A4C9C"/>
    <w:rsid w:val="008A503C"/>
    <w:rsid w:val="008A6041"/>
    <w:rsid w:val="008A60F8"/>
    <w:rsid w:val="008A66C8"/>
    <w:rsid w:val="008A69FE"/>
    <w:rsid w:val="008A6E1D"/>
    <w:rsid w:val="008A6EC7"/>
    <w:rsid w:val="008A6F36"/>
    <w:rsid w:val="008A7286"/>
    <w:rsid w:val="008A737A"/>
    <w:rsid w:val="008A7B50"/>
    <w:rsid w:val="008B0028"/>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43E"/>
    <w:rsid w:val="008B75B8"/>
    <w:rsid w:val="008B7AAE"/>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432"/>
    <w:rsid w:val="008C4AE1"/>
    <w:rsid w:val="008C54BD"/>
    <w:rsid w:val="008C54C4"/>
    <w:rsid w:val="008C5933"/>
    <w:rsid w:val="008C6056"/>
    <w:rsid w:val="008C6628"/>
    <w:rsid w:val="008C69C9"/>
    <w:rsid w:val="008C6E38"/>
    <w:rsid w:val="008C6F75"/>
    <w:rsid w:val="008C70D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2C4"/>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B55"/>
    <w:rsid w:val="00914D9B"/>
    <w:rsid w:val="00914DC4"/>
    <w:rsid w:val="00915329"/>
    <w:rsid w:val="0091588C"/>
    <w:rsid w:val="00915DB5"/>
    <w:rsid w:val="00915DF4"/>
    <w:rsid w:val="00916012"/>
    <w:rsid w:val="00916068"/>
    <w:rsid w:val="009167D2"/>
    <w:rsid w:val="00916BF5"/>
    <w:rsid w:val="00916CCB"/>
    <w:rsid w:val="00917DB8"/>
    <w:rsid w:val="00917EEB"/>
    <w:rsid w:val="00920EC8"/>
    <w:rsid w:val="00920EE1"/>
    <w:rsid w:val="00921102"/>
    <w:rsid w:val="00921305"/>
    <w:rsid w:val="00921783"/>
    <w:rsid w:val="009217D9"/>
    <w:rsid w:val="00921AC8"/>
    <w:rsid w:val="0092206F"/>
    <w:rsid w:val="00922482"/>
    <w:rsid w:val="0092287A"/>
    <w:rsid w:val="00922A2B"/>
    <w:rsid w:val="009239B9"/>
    <w:rsid w:val="00924A6C"/>
    <w:rsid w:val="00924ED4"/>
    <w:rsid w:val="00924F63"/>
    <w:rsid w:val="00925591"/>
    <w:rsid w:val="00925DB9"/>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1F6"/>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8A"/>
    <w:rsid w:val="00955AA9"/>
    <w:rsid w:val="00955AB2"/>
    <w:rsid w:val="00955E60"/>
    <w:rsid w:val="00955EC8"/>
    <w:rsid w:val="0095699A"/>
    <w:rsid w:val="00956B34"/>
    <w:rsid w:val="00956CCE"/>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6B7F"/>
    <w:rsid w:val="009672C2"/>
    <w:rsid w:val="00967655"/>
    <w:rsid w:val="00967D86"/>
    <w:rsid w:val="0097009F"/>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6D96"/>
    <w:rsid w:val="009B71E1"/>
    <w:rsid w:val="009B73E9"/>
    <w:rsid w:val="009C0448"/>
    <w:rsid w:val="009C0615"/>
    <w:rsid w:val="009C0CF8"/>
    <w:rsid w:val="009C125A"/>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D7F6B"/>
    <w:rsid w:val="009E076D"/>
    <w:rsid w:val="009E1449"/>
    <w:rsid w:val="009E14B2"/>
    <w:rsid w:val="009E1AE3"/>
    <w:rsid w:val="009E1D15"/>
    <w:rsid w:val="009E1DFA"/>
    <w:rsid w:val="009E23ED"/>
    <w:rsid w:val="009E26BC"/>
    <w:rsid w:val="009E322C"/>
    <w:rsid w:val="009E3352"/>
    <w:rsid w:val="009E3479"/>
    <w:rsid w:val="009E387D"/>
    <w:rsid w:val="009E3E89"/>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E0B"/>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CDE"/>
    <w:rsid w:val="00A16F55"/>
    <w:rsid w:val="00A172C9"/>
    <w:rsid w:val="00A17B66"/>
    <w:rsid w:val="00A17F66"/>
    <w:rsid w:val="00A20224"/>
    <w:rsid w:val="00A21424"/>
    <w:rsid w:val="00A21997"/>
    <w:rsid w:val="00A21C53"/>
    <w:rsid w:val="00A2366C"/>
    <w:rsid w:val="00A2390C"/>
    <w:rsid w:val="00A23A98"/>
    <w:rsid w:val="00A23E1D"/>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037"/>
    <w:rsid w:val="00A33CCF"/>
    <w:rsid w:val="00A35316"/>
    <w:rsid w:val="00A35D65"/>
    <w:rsid w:val="00A36CF6"/>
    <w:rsid w:val="00A36EC5"/>
    <w:rsid w:val="00A371D7"/>
    <w:rsid w:val="00A37EDA"/>
    <w:rsid w:val="00A4035D"/>
    <w:rsid w:val="00A406A8"/>
    <w:rsid w:val="00A413A3"/>
    <w:rsid w:val="00A41619"/>
    <w:rsid w:val="00A41F7F"/>
    <w:rsid w:val="00A4317F"/>
    <w:rsid w:val="00A43270"/>
    <w:rsid w:val="00A433D9"/>
    <w:rsid w:val="00A4539E"/>
    <w:rsid w:val="00A459C0"/>
    <w:rsid w:val="00A45F7E"/>
    <w:rsid w:val="00A46080"/>
    <w:rsid w:val="00A460A7"/>
    <w:rsid w:val="00A461CB"/>
    <w:rsid w:val="00A46600"/>
    <w:rsid w:val="00A4666A"/>
    <w:rsid w:val="00A46C6C"/>
    <w:rsid w:val="00A46EB1"/>
    <w:rsid w:val="00A47A54"/>
    <w:rsid w:val="00A47C2F"/>
    <w:rsid w:val="00A47C59"/>
    <w:rsid w:val="00A5052A"/>
    <w:rsid w:val="00A50FEC"/>
    <w:rsid w:val="00A512C7"/>
    <w:rsid w:val="00A51FC3"/>
    <w:rsid w:val="00A53152"/>
    <w:rsid w:val="00A532FC"/>
    <w:rsid w:val="00A53624"/>
    <w:rsid w:val="00A53792"/>
    <w:rsid w:val="00A537F8"/>
    <w:rsid w:val="00A539AA"/>
    <w:rsid w:val="00A54BBD"/>
    <w:rsid w:val="00A54F72"/>
    <w:rsid w:val="00A565B6"/>
    <w:rsid w:val="00A567E2"/>
    <w:rsid w:val="00A56806"/>
    <w:rsid w:val="00A57F15"/>
    <w:rsid w:val="00A57F41"/>
    <w:rsid w:val="00A60066"/>
    <w:rsid w:val="00A60179"/>
    <w:rsid w:val="00A601D9"/>
    <w:rsid w:val="00A6027E"/>
    <w:rsid w:val="00A61399"/>
    <w:rsid w:val="00A61782"/>
    <w:rsid w:val="00A61FDA"/>
    <w:rsid w:val="00A6279F"/>
    <w:rsid w:val="00A63850"/>
    <w:rsid w:val="00A64787"/>
    <w:rsid w:val="00A648E9"/>
    <w:rsid w:val="00A65177"/>
    <w:rsid w:val="00A65DDA"/>
    <w:rsid w:val="00A6654A"/>
    <w:rsid w:val="00A667EF"/>
    <w:rsid w:val="00A66B03"/>
    <w:rsid w:val="00A66C0D"/>
    <w:rsid w:val="00A6764D"/>
    <w:rsid w:val="00A67934"/>
    <w:rsid w:val="00A67D4A"/>
    <w:rsid w:val="00A7022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E13"/>
    <w:rsid w:val="00A72FE2"/>
    <w:rsid w:val="00A73341"/>
    <w:rsid w:val="00A748ED"/>
    <w:rsid w:val="00A74BC3"/>
    <w:rsid w:val="00A74E4C"/>
    <w:rsid w:val="00A7504B"/>
    <w:rsid w:val="00A75386"/>
    <w:rsid w:val="00A7593A"/>
    <w:rsid w:val="00A7597F"/>
    <w:rsid w:val="00A75D3F"/>
    <w:rsid w:val="00A75E69"/>
    <w:rsid w:val="00A7678C"/>
    <w:rsid w:val="00A768C8"/>
    <w:rsid w:val="00A76C21"/>
    <w:rsid w:val="00A77134"/>
    <w:rsid w:val="00A77727"/>
    <w:rsid w:val="00A77A4F"/>
    <w:rsid w:val="00A800E8"/>
    <w:rsid w:val="00A81122"/>
    <w:rsid w:val="00A817C8"/>
    <w:rsid w:val="00A818D7"/>
    <w:rsid w:val="00A820F1"/>
    <w:rsid w:val="00A8226A"/>
    <w:rsid w:val="00A8244C"/>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25C"/>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5B8"/>
    <w:rsid w:val="00AA567F"/>
    <w:rsid w:val="00AA5789"/>
    <w:rsid w:val="00AA583C"/>
    <w:rsid w:val="00AA6012"/>
    <w:rsid w:val="00AA65CF"/>
    <w:rsid w:val="00AA6760"/>
    <w:rsid w:val="00AA6A88"/>
    <w:rsid w:val="00AA7457"/>
    <w:rsid w:val="00AB02DD"/>
    <w:rsid w:val="00AB045C"/>
    <w:rsid w:val="00AB05BB"/>
    <w:rsid w:val="00AB090C"/>
    <w:rsid w:val="00AB0E69"/>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C0843"/>
    <w:rsid w:val="00AC0F49"/>
    <w:rsid w:val="00AC13AC"/>
    <w:rsid w:val="00AC19D1"/>
    <w:rsid w:val="00AC1C78"/>
    <w:rsid w:val="00AC1D3B"/>
    <w:rsid w:val="00AC226A"/>
    <w:rsid w:val="00AC246C"/>
    <w:rsid w:val="00AC2526"/>
    <w:rsid w:val="00AC2FB2"/>
    <w:rsid w:val="00AC32FB"/>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8CB"/>
    <w:rsid w:val="00AD099F"/>
    <w:rsid w:val="00AD1C10"/>
    <w:rsid w:val="00AD1DEC"/>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235"/>
    <w:rsid w:val="00AD734C"/>
    <w:rsid w:val="00AD7922"/>
    <w:rsid w:val="00AE0289"/>
    <w:rsid w:val="00AE0413"/>
    <w:rsid w:val="00AE05BF"/>
    <w:rsid w:val="00AE099B"/>
    <w:rsid w:val="00AE09E9"/>
    <w:rsid w:val="00AE0D8D"/>
    <w:rsid w:val="00AE2354"/>
    <w:rsid w:val="00AE23C8"/>
    <w:rsid w:val="00AE265A"/>
    <w:rsid w:val="00AE308D"/>
    <w:rsid w:val="00AE36D1"/>
    <w:rsid w:val="00AE3DDB"/>
    <w:rsid w:val="00AE44DB"/>
    <w:rsid w:val="00AE46C8"/>
    <w:rsid w:val="00AE48EE"/>
    <w:rsid w:val="00AE4A64"/>
    <w:rsid w:val="00AE53DE"/>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3F0"/>
    <w:rsid w:val="00AF290E"/>
    <w:rsid w:val="00AF29FA"/>
    <w:rsid w:val="00AF2A09"/>
    <w:rsid w:val="00AF2A5F"/>
    <w:rsid w:val="00AF2FA9"/>
    <w:rsid w:val="00AF34B3"/>
    <w:rsid w:val="00AF37D5"/>
    <w:rsid w:val="00AF381B"/>
    <w:rsid w:val="00AF391B"/>
    <w:rsid w:val="00AF3D92"/>
    <w:rsid w:val="00AF3F63"/>
    <w:rsid w:val="00AF40FC"/>
    <w:rsid w:val="00AF4345"/>
    <w:rsid w:val="00AF463B"/>
    <w:rsid w:val="00AF4A34"/>
    <w:rsid w:val="00AF4BEE"/>
    <w:rsid w:val="00AF4C88"/>
    <w:rsid w:val="00AF4CC5"/>
    <w:rsid w:val="00AF5319"/>
    <w:rsid w:val="00AF5B60"/>
    <w:rsid w:val="00AF5D5B"/>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81C"/>
    <w:rsid w:val="00B06DA3"/>
    <w:rsid w:val="00B06EF8"/>
    <w:rsid w:val="00B077D1"/>
    <w:rsid w:val="00B07BDA"/>
    <w:rsid w:val="00B07DDC"/>
    <w:rsid w:val="00B109DF"/>
    <w:rsid w:val="00B118E1"/>
    <w:rsid w:val="00B11A39"/>
    <w:rsid w:val="00B11A5F"/>
    <w:rsid w:val="00B11A9A"/>
    <w:rsid w:val="00B11F37"/>
    <w:rsid w:val="00B120CF"/>
    <w:rsid w:val="00B1210E"/>
    <w:rsid w:val="00B1243E"/>
    <w:rsid w:val="00B129BD"/>
    <w:rsid w:val="00B12BDA"/>
    <w:rsid w:val="00B132D0"/>
    <w:rsid w:val="00B13D2B"/>
    <w:rsid w:val="00B13F2E"/>
    <w:rsid w:val="00B14011"/>
    <w:rsid w:val="00B146F7"/>
    <w:rsid w:val="00B14793"/>
    <w:rsid w:val="00B15075"/>
    <w:rsid w:val="00B15774"/>
    <w:rsid w:val="00B15D17"/>
    <w:rsid w:val="00B15DB9"/>
    <w:rsid w:val="00B16245"/>
    <w:rsid w:val="00B17694"/>
    <w:rsid w:val="00B1780E"/>
    <w:rsid w:val="00B17EE1"/>
    <w:rsid w:val="00B200D3"/>
    <w:rsid w:val="00B204CA"/>
    <w:rsid w:val="00B2060E"/>
    <w:rsid w:val="00B2086A"/>
    <w:rsid w:val="00B20DCF"/>
    <w:rsid w:val="00B20F8A"/>
    <w:rsid w:val="00B215EB"/>
    <w:rsid w:val="00B22522"/>
    <w:rsid w:val="00B2288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072"/>
    <w:rsid w:val="00B3232C"/>
    <w:rsid w:val="00B32565"/>
    <w:rsid w:val="00B331B8"/>
    <w:rsid w:val="00B33786"/>
    <w:rsid w:val="00B337A4"/>
    <w:rsid w:val="00B3388C"/>
    <w:rsid w:val="00B33AAC"/>
    <w:rsid w:val="00B34725"/>
    <w:rsid w:val="00B3558D"/>
    <w:rsid w:val="00B355F0"/>
    <w:rsid w:val="00B3578C"/>
    <w:rsid w:val="00B36730"/>
    <w:rsid w:val="00B36762"/>
    <w:rsid w:val="00B36D9E"/>
    <w:rsid w:val="00B37311"/>
    <w:rsid w:val="00B373FB"/>
    <w:rsid w:val="00B37975"/>
    <w:rsid w:val="00B37E18"/>
    <w:rsid w:val="00B4106F"/>
    <w:rsid w:val="00B4196C"/>
    <w:rsid w:val="00B41A1B"/>
    <w:rsid w:val="00B41BE7"/>
    <w:rsid w:val="00B41F5E"/>
    <w:rsid w:val="00B424F7"/>
    <w:rsid w:val="00B42568"/>
    <w:rsid w:val="00B426DC"/>
    <w:rsid w:val="00B4316E"/>
    <w:rsid w:val="00B4339F"/>
    <w:rsid w:val="00B433C1"/>
    <w:rsid w:val="00B4381B"/>
    <w:rsid w:val="00B4383C"/>
    <w:rsid w:val="00B43A80"/>
    <w:rsid w:val="00B43E26"/>
    <w:rsid w:val="00B4403D"/>
    <w:rsid w:val="00B444C8"/>
    <w:rsid w:val="00B4457A"/>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462"/>
    <w:rsid w:val="00B54B6F"/>
    <w:rsid w:val="00B54BD8"/>
    <w:rsid w:val="00B5596C"/>
    <w:rsid w:val="00B569B2"/>
    <w:rsid w:val="00B56FBD"/>
    <w:rsid w:val="00B5715A"/>
    <w:rsid w:val="00B57327"/>
    <w:rsid w:val="00B57859"/>
    <w:rsid w:val="00B57BD2"/>
    <w:rsid w:val="00B6002D"/>
    <w:rsid w:val="00B60035"/>
    <w:rsid w:val="00B6010B"/>
    <w:rsid w:val="00B61262"/>
    <w:rsid w:val="00B61C96"/>
    <w:rsid w:val="00B6210A"/>
    <w:rsid w:val="00B6220A"/>
    <w:rsid w:val="00B629F3"/>
    <w:rsid w:val="00B62BBA"/>
    <w:rsid w:val="00B640CF"/>
    <w:rsid w:val="00B655BB"/>
    <w:rsid w:val="00B65828"/>
    <w:rsid w:val="00B65DE3"/>
    <w:rsid w:val="00B65E01"/>
    <w:rsid w:val="00B66011"/>
    <w:rsid w:val="00B665BB"/>
    <w:rsid w:val="00B66800"/>
    <w:rsid w:val="00B6680A"/>
    <w:rsid w:val="00B668CA"/>
    <w:rsid w:val="00B66AB0"/>
    <w:rsid w:val="00B677D7"/>
    <w:rsid w:val="00B6790E"/>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552"/>
    <w:rsid w:val="00B856E9"/>
    <w:rsid w:val="00B85774"/>
    <w:rsid w:val="00B86429"/>
    <w:rsid w:val="00B8648F"/>
    <w:rsid w:val="00B86589"/>
    <w:rsid w:val="00B866C7"/>
    <w:rsid w:val="00B86EFB"/>
    <w:rsid w:val="00B872F1"/>
    <w:rsid w:val="00B87563"/>
    <w:rsid w:val="00B87726"/>
    <w:rsid w:val="00B87EBC"/>
    <w:rsid w:val="00B87FF0"/>
    <w:rsid w:val="00B90645"/>
    <w:rsid w:val="00B90657"/>
    <w:rsid w:val="00B90825"/>
    <w:rsid w:val="00B9084F"/>
    <w:rsid w:val="00B90862"/>
    <w:rsid w:val="00B90DD5"/>
    <w:rsid w:val="00B91103"/>
    <w:rsid w:val="00B912EC"/>
    <w:rsid w:val="00B917AC"/>
    <w:rsid w:val="00B91F77"/>
    <w:rsid w:val="00B926AC"/>
    <w:rsid w:val="00B926F1"/>
    <w:rsid w:val="00B92C63"/>
    <w:rsid w:val="00B92C6A"/>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6B97"/>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5F78"/>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352"/>
    <w:rsid w:val="00BD64E7"/>
    <w:rsid w:val="00BD6BFF"/>
    <w:rsid w:val="00BD77DE"/>
    <w:rsid w:val="00BD79C2"/>
    <w:rsid w:val="00BE1CA3"/>
    <w:rsid w:val="00BE1F2E"/>
    <w:rsid w:val="00BE1FA7"/>
    <w:rsid w:val="00BE2891"/>
    <w:rsid w:val="00BE2AD7"/>
    <w:rsid w:val="00BE2BAA"/>
    <w:rsid w:val="00BE39D5"/>
    <w:rsid w:val="00BE4F8D"/>
    <w:rsid w:val="00BE590A"/>
    <w:rsid w:val="00BE5B76"/>
    <w:rsid w:val="00BE7348"/>
    <w:rsid w:val="00BE770F"/>
    <w:rsid w:val="00BE778C"/>
    <w:rsid w:val="00BE7E4D"/>
    <w:rsid w:val="00BE7F15"/>
    <w:rsid w:val="00BF0028"/>
    <w:rsid w:val="00BF01D4"/>
    <w:rsid w:val="00BF03B4"/>
    <w:rsid w:val="00BF0409"/>
    <w:rsid w:val="00BF1E87"/>
    <w:rsid w:val="00BF20FB"/>
    <w:rsid w:val="00BF2554"/>
    <w:rsid w:val="00BF2997"/>
    <w:rsid w:val="00BF2CAE"/>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03D"/>
    <w:rsid w:val="00C0524E"/>
    <w:rsid w:val="00C05428"/>
    <w:rsid w:val="00C0552E"/>
    <w:rsid w:val="00C058A3"/>
    <w:rsid w:val="00C05E05"/>
    <w:rsid w:val="00C06CBE"/>
    <w:rsid w:val="00C06FEC"/>
    <w:rsid w:val="00C0711F"/>
    <w:rsid w:val="00C073D8"/>
    <w:rsid w:val="00C077E1"/>
    <w:rsid w:val="00C101B5"/>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A78"/>
    <w:rsid w:val="00C17B74"/>
    <w:rsid w:val="00C17BCC"/>
    <w:rsid w:val="00C20358"/>
    <w:rsid w:val="00C20A09"/>
    <w:rsid w:val="00C20AEB"/>
    <w:rsid w:val="00C20F22"/>
    <w:rsid w:val="00C21FF8"/>
    <w:rsid w:val="00C220F2"/>
    <w:rsid w:val="00C22286"/>
    <w:rsid w:val="00C223A0"/>
    <w:rsid w:val="00C23398"/>
    <w:rsid w:val="00C2398F"/>
    <w:rsid w:val="00C23BBD"/>
    <w:rsid w:val="00C2414B"/>
    <w:rsid w:val="00C2455C"/>
    <w:rsid w:val="00C24638"/>
    <w:rsid w:val="00C26495"/>
    <w:rsid w:val="00C26A62"/>
    <w:rsid w:val="00C27194"/>
    <w:rsid w:val="00C2725D"/>
    <w:rsid w:val="00C273ED"/>
    <w:rsid w:val="00C27447"/>
    <w:rsid w:val="00C27645"/>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3769B"/>
    <w:rsid w:val="00C40000"/>
    <w:rsid w:val="00C4013D"/>
    <w:rsid w:val="00C40A83"/>
    <w:rsid w:val="00C40D37"/>
    <w:rsid w:val="00C40DA1"/>
    <w:rsid w:val="00C411CD"/>
    <w:rsid w:val="00C412E1"/>
    <w:rsid w:val="00C416FD"/>
    <w:rsid w:val="00C41E73"/>
    <w:rsid w:val="00C41FA0"/>
    <w:rsid w:val="00C4202A"/>
    <w:rsid w:val="00C4271F"/>
    <w:rsid w:val="00C42A6C"/>
    <w:rsid w:val="00C42B60"/>
    <w:rsid w:val="00C43052"/>
    <w:rsid w:val="00C43E4A"/>
    <w:rsid w:val="00C43FD4"/>
    <w:rsid w:val="00C4445E"/>
    <w:rsid w:val="00C44846"/>
    <w:rsid w:val="00C451E7"/>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859"/>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6D89"/>
    <w:rsid w:val="00C87827"/>
    <w:rsid w:val="00C87A20"/>
    <w:rsid w:val="00C87CDD"/>
    <w:rsid w:val="00C909EE"/>
    <w:rsid w:val="00C90E27"/>
    <w:rsid w:val="00C910ED"/>
    <w:rsid w:val="00C914C9"/>
    <w:rsid w:val="00C9156F"/>
    <w:rsid w:val="00C91AB2"/>
    <w:rsid w:val="00C91E57"/>
    <w:rsid w:val="00C922E8"/>
    <w:rsid w:val="00C93188"/>
    <w:rsid w:val="00C93C96"/>
    <w:rsid w:val="00C94540"/>
    <w:rsid w:val="00C945D9"/>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1D0C"/>
    <w:rsid w:val="00CA25F5"/>
    <w:rsid w:val="00CA2A57"/>
    <w:rsid w:val="00CA2C4B"/>
    <w:rsid w:val="00CA30A9"/>
    <w:rsid w:val="00CA35EC"/>
    <w:rsid w:val="00CA3D36"/>
    <w:rsid w:val="00CA3EC4"/>
    <w:rsid w:val="00CA4249"/>
    <w:rsid w:val="00CA47B4"/>
    <w:rsid w:val="00CA4D37"/>
    <w:rsid w:val="00CA4EF3"/>
    <w:rsid w:val="00CA575F"/>
    <w:rsid w:val="00CA6F7C"/>
    <w:rsid w:val="00CA702A"/>
    <w:rsid w:val="00CA703D"/>
    <w:rsid w:val="00CA7AA1"/>
    <w:rsid w:val="00CB0652"/>
    <w:rsid w:val="00CB0A8A"/>
    <w:rsid w:val="00CB138C"/>
    <w:rsid w:val="00CB1BD3"/>
    <w:rsid w:val="00CB21EF"/>
    <w:rsid w:val="00CB222B"/>
    <w:rsid w:val="00CB26B1"/>
    <w:rsid w:val="00CB2714"/>
    <w:rsid w:val="00CB2824"/>
    <w:rsid w:val="00CB2C75"/>
    <w:rsid w:val="00CB2F95"/>
    <w:rsid w:val="00CB30E7"/>
    <w:rsid w:val="00CB3270"/>
    <w:rsid w:val="00CB332C"/>
    <w:rsid w:val="00CB441D"/>
    <w:rsid w:val="00CB44FC"/>
    <w:rsid w:val="00CB492B"/>
    <w:rsid w:val="00CB4DA4"/>
    <w:rsid w:val="00CB557A"/>
    <w:rsid w:val="00CB5A32"/>
    <w:rsid w:val="00CB5AF0"/>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964"/>
    <w:rsid w:val="00CC2B9C"/>
    <w:rsid w:val="00CC326E"/>
    <w:rsid w:val="00CC346D"/>
    <w:rsid w:val="00CC38EE"/>
    <w:rsid w:val="00CC46B8"/>
    <w:rsid w:val="00CC500C"/>
    <w:rsid w:val="00CC566D"/>
    <w:rsid w:val="00CC6071"/>
    <w:rsid w:val="00CC6AA6"/>
    <w:rsid w:val="00CC6ACF"/>
    <w:rsid w:val="00CC722F"/>
    <w:rsid w:val="00CC726E"/>
    <w:rsid w:val="00CC7476"/>
    <w:rsid w:val="00CC75EE"/>
    <w:rsid w:val="00CC78B5"/>
    <w:rsid w:val="00CD0BAE"/>
    <w:rsid w:val="00CD1017"/>
    <w:rsid w:val="00CD1264"/>
    <w:rsid w:val="00CD129C"/>
    <w:rsid w:val="00CD12BA"/>
    <w:rsid w:val="00CD181E"/>
    <w:rsid w:val="00CD1ABF"/>
    <w:rsid w:val="00CD2C45"/>
    <w:rsid w:val="00CD387C"/>
    <w:rsid w:val="00CD45E4"/>
    <w:rsid w:val="00CD474C"/>
    <w:rsid w:val="00CD5589"/>
    <w:rsid w:val="00CD55E5"/>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2AFC"/>
    <w:rsid w:val="00CE3037"/>
    <w:rsid w:val="00CE32AD"/>
    <w:rsid w:val="00CE3361"/>
    <w:rsid w:val="00CE3958"/>
    <w:rsid w:val="00CE3A6B"/>
    <w:rsid w:val="00CE3F49"/>
    <w:rsid w:val="00CE49B0"/>
    <w:rsid w:val="00CE4EA8"/>
    <w:rsid w:val="00CE5261"/>
    <w:rsid w:val="00CE52F6"/>
    <w:rsid w:val="00CE584B"/>
    <w:rsid w:val="00CE5A0A"/>
    <w:rsid w:val="00CE5C82"/>
    <w:rsid w:val="00CE64F3"/>
    <w:rsid w:val="00CE6C5C"/>
    <w:rsid w:val="00CE72F6"/>
    <w:rsid w:val="00CE7FF2"/>
    <w:rsid w:val="00CF0A5E"/>
    <w:rsid w:val="00CF0E8B"/>
    <w:rsid w:val="00CF0EE3"/>
    <w:rsid w:val="00CF1090"/>
    <w:rsid w:val="00CF12DA"/>
    <w:rsid w:val="00CF140F"/>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63E0"/>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4742"/>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088"/>
    <w:rsid w:val="00D174BD"/>
    <w:rsid w:val="00D175C7"/>
    <w:rsid w:val="00D17E09"/>
    <w:rsid w:val="00D200D2"/>
    <w:rsid w:val="00D20886"/>
    <w:rsid w:val="00D20AD4"/>
    <w:rsid w:val="00D22106"/>
    <w:rsid w:val="00D22E00"/>
    <w:rsid w:val="00D2366E"/>
    <w:rsid w:val="00D24218"/>
    <w:rsid w:val="00D24286"/>
    <w:rsid w:val="00D2437C"/>
    <w:rsid w:val="00D25126"/>
    <w:rsid w:val="00D251E6"/>
    <w:rsid w:val="00D25830"/>
    <w:rsid w:val="00D259B0"/>
    <w:rsid w:val="00D26097"/>
    <w:rsid w:val="00D261C5"/>
    <w:rsid w:val="00D26391"/>
    <w:rsid w:val="00D2699D"/>
    <w:rsid w:val="00D27255"/>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6DC1"/>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4AA0"/>
    <w:rsid w:val="00D453B5"/>
    <w:rsid w:val="00D45529"/>
    <w:rsid w:val="00D45977"/>
    <w:rsid w:val="00D45B74"/>
    <w:rsid w:val="00D46DBF"/>
    <w:rsid w:val="00D46F26"/>
    <w:rsid w:val="00D47186"/>
    <w:rsid w:val="00D47568"/>
    <w:rsid w:val="00D47591"/>
    <w:rsid w:val="00D4798C"/>
    <w:rsid w:val="00D50F4A"/>
    <w:rsid w:val="00D51089"/>
    <w:rsid w:val="00D516E3"/>
    <w:rsid w:val="00D5228C"/>
    <w:rsid w:val="00D52E06"/>
    <w:rsid w:val="00D5354C"/>
    <w:rsid w:val="00D53650"/>
    <w:rsid w:val="00D53E59"/>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6FB"/>
    <w:rsid w:val="00D637A9"/>
    <w:rsid w:val="00D63BE1"/>
    <w:rsid w:val="00D65280"/>
    <w:rsid w:val="00D658AA"/>
    <w:rsid w:val="00D6616F"/>
    <w:rsid w:val="00D666DA"/>
    <w:rsid w:val="00D6699B"/>
    <w:rsid w:val="00D7009E"/>
    <w:rsid w:val="00D70B5B"/>
    <w:rsid w:val="00D70BDA"/>
    <w:rsid w:val="00D70C63"/>
    <w:rsid w:val="00D710C5"/>
    <w:rsid w:val="00D71705"/>
    <w:rsid w:val="00D71888"/>
    <w:rsid w:val="00D71B45"/>
    <w:rsid w:val="00D7222C"/>
    <w:rsid w:val="00D722C1"/>
    <w:rsid w:val="00D72437"/>
    <w:rsid w:val="00D726A5"/>
    <w:rsid w:val="00D727AC"/>
    <w:rsid w:val="00D72AC2"/>
    <w:rsid w:val="00D72CAE"/>
    <w:rsid w:val="00D7409D"/>
    <w:rsid w:val="00D74503"/>
    <w:rsid w:val="00D74660"/>
    <w:rsid w:val="00D74797"/>
    <w:rsid w:val="00D74968"/>
    <w:rsid w:val="00D749D2"/>
    <w:rsid w:val="00D74D9B"/>
    <w:rsid w:val="00D750A2"/>
    <w:rsid w:val="00D75650"/>
    <w:rsid w:val="00D75693"/>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370"/>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758"/>
    <w:rsid w:val="00DA6BFD"/>
    <w:rsid w:val="00DA7645"/>
    <w:rsid w:val="00DA7E15"/>
    <w:rsid w:val="00DA7FC8"/>
    <w:rsid w:val="00DB02FF"/>
    <w:rsid w:val="00DB10BD"/>
    <w:rsid w:val="00DB126F"/>
    <w:rsid w:val="00DB1364"/>
    <w:rsid w:val="00DB1433"/>
    <w:rsid w:val="00DB147B"/>
    <w:rsid w:val="00DB197C"/>
    <w:rsid w:val="00DB1AAF"/>
    <w:rsid w:val="00DB26B5"/>
    <w:rsid w:val="00DB289D"/>
    <w:rsid w:val="00DB30B9"/>
    <w:rsid w:val="00DB3AA0"/>
    <w:rsid w:val="00DB3C49"/>
    <w:rsid w:val="00DB41B9"/>
    <w:rsid w:val="00DB42C2"/>
    <w:rsid w:val="00DB444B"/>
    <w:rsid w:val="00DB4628"/>
    <w:rsid w:val="00DB4714"/>
    <w:rsid w:val="00DB4788"/>
    <w:rsid w:val="00DB4D04"/>
    <w:rsid w:val="00DB510A"/>
    <w:rsid w:val="00DB5178"/>
    <w:rsid w:val="00DB52E9"/>
    <w:rsid w:val="00DB5386"/>
    <w:rsid w:val="00DB53D5"/>
    <w:rsid w:val="00DB5ABE"/>
    <w:rsid w:val="00DB5B8E"/>
    <w:rsid w:val="00DB6292"/>
    <w:rsid w:val="00DB67E7"/>
    <w:rsid w:val="00DB68BB"/>
    <w:rsid w:val="00DB68E2"/>
    <w:rsid w:val="00DB6A53"/>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28F"/>
    <w:rsid w:val="00DC7EBE"/>
    <w:rsid w:val="00DD0345"/>
    <w:rsid w:val="00DD083E"/>
    <w:rsid w:val="00DD0D5E"/>
    <w:rsid w:val="00DD12EF"/>
    <w:rsid w:val="00DD158F"/>
    <w:rsid w:val="00DD16FB"/>
    <w:rsid w:val="00DD17EE"/>
    <w:rsid w:val="00DD1DBA"/>
    <w:rsid w:val="00DD235A"/>
    <w:rsid w:val="00DD2381"/>
    <w:rsid w:val="00DD2B1D"/>
    <w:rsid w:val="00DD2E64"/>
    <w:rsid w:val="00DD34D5"/>
    <w:rsid w:val="00DD3821"/>
    <w:rsid w:val="00DD391B"/>
    <w:rsid w:val="00DD45D3"/>
    <w:rsid w:val="00DD48F3"/>
    <w:rsid w:val="00DD4E0C"/>
    <w:rsid w:val="00DD5349"/>
    <w:rsid w:val="00DD541E"/>
    <w:rsid w:val="00DD5789"/>
    <w:rsid w:val="00DD5A2A"/>
    <w:rsid w:val="00DD662B"/>
    <w:rsid w:val="00DD694A"/>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74B"/>
    <w:rsid w:val="00DF3D62"/>
    <w:rsid w:val="00DF50ED"/>
    <w:rsid w:val="00DF572E"/>
    <w:rsid w:val="00DF596A"/>
    <w:rsid w:val="00DF6433"/>
    <w:rsid w:val="00DF66C5"/>
    <w:rsid w:val="00DF6DA6"/>
    <w:rsid w:val="00DF708D"/>
    <w:rsid w:val="00DF7EB8"/>
    <w:rsid w:val="00E0031E"/>
    <w:rsid w:val="00E00B10"/>
    <w:rsid w:val="00E00FD5"/>
    <w:rsid w:val="00E011CA"/>
    <w:rsid w:val="00E01956"/>
    <w:rsid w:val="00E01B27"/>
    <w:rsid w:val="00E01D7A"/>
    <w:rsid w:val="00E01F0A"/>
    <w:rsid w:val="00E02047"/>
    <w:rsid w:val="00E023E5"/>
    <w:rsid w:val="00E0280B"/>
    <w:rsid w:val="00E02837"/>
    <w:rsid w:val="00E0287C"/>
    <w:rsid w:val="00E0297F"/>
    <w:rsid w:val="00E02FC0"/>
    <w:rsid w:val="00E03532"/>
    <w:rsid w:val="00E03CB3"/>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6D4"/>
    <w:rsid w:val="00E1481D"/>
    <w:rsid w:val="00E14824"/>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F2D"/>
    <w:rsid w:val="00E22A26"/>
    <w:rsid w:val="00E22DD9"/>
    <w:rsid w:val="00E22F54"/>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441B"/>
    <w:rsid w:val="00E64A4D"/>
    <w:rsid w:val="00E65073"/>
    <w:rsid w:val="00E65E8C"/>
    <w:rsid w:val="00E66766"/>
    <w:rsid w:val="00E66800"/>
    <w:rsid w:val="00E668F9"/>
    <w:rsid w:val="00E66C08"/>
    <w:rsid w:val="00E66D78"/>
    <w:rsid w:val="00E66D94"/>
    <w:rsid w:val="00E66FCA"/>
    <w:rsid w:val="00E67132"/>
    <w:rsid w:val="00E673C1"/>
    <w:rsid w:val="00E67ACF"/>
    <w:rsid w:val="00E67C5C"/>
    <w:rsid w:val="00E67E55"/>
    <w:rsid w:val="00E70504"/>
    <w:rsid w:val="00E709F4"/>
    <w:rsid w:val="00E71198"/>
    <w:rsid w:val="00E7146F"/>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6EA"/>
    <w:rsid w:val="00E7593F"/>
    <w:rsid w:val="00E76497"/>
    <w:rsid w:val="00E76C33"/>
    <w:rsid w:val="00E77773"/>
    <w:rsid w:val="00E8011B"/>
    <w:rsid w:val="00E801FE"/>
    <w:rsid w:val="00E80768"/>
    <w:rsid w:val="00E80E1E"/>
    <w:rsid w:val="00E81171"/>
    <w:rsid w:val="00E815B2"/>
    <w:rsid w:val="00E81735"/>
    <w:rsid w:val="00E82135"/>
    <w:rsid w:val="00E823C3"/>
    <w:rsid w:val="00E82862"/>
    <w:rsid w:val="00E82CA0"/>
    <w:rsid w:val="00E82E17"/>
    <w:rsid w:val="00E849FF"/>
    <w:rsid w:val="00E84AD4"/>
    <w:rsid w:val="00E8534F"/>
    <w:rsid w:val="00E854EA"/>
    <w:rsid w:val="00E85EC9"/>
    <w:rsid w:val="00E85EE8"/>
    <w:rsid w:val="00E86213"/>
    <w:rsid w:val="00E86BAE"/>
    <w:rsid w:val="00E87370"/>
    <w:rsid w:val="00E87452"/>
    <w:rsid w:val="00E876A3"/>
    <w:rsid w:val="00E87DC5"/>
    <w:rsid w:val="00E87E99"/>
    <w:rsid w:val="00E87F24"/>
    <w:rsid w:val="00E903A5"/>
    <w:rsid w:val="00E90A19"/>
    <w:rsid w:val="00E91364"/>
    <w:rsid w:val="00E91460"/>
    <w:rsid w:val="00E915F1"/>
    <w:rsid w:val="00E91C42"/>
    <w:rsid w:val="00E92341"/>
    <w:rsid w:val="00E93635"/>
    <w:rsid w:val="00E94F06"/>
    <w:rsid w:val="00E95243"/>
    <w:rsid w:val="00E9568A"/>
    <w:rsid w:val="00E956CB"/>
    <w:rsid w:val="00E95E51"/>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953"/>
    <w:rsid w:val="00EA4F1E"/>
    <w:rsid w:val="00EA4F7D"/>
    <w:rsid w:val="00EA5931"/>
    <w:rsid w:val="00EA5F9C"/>
    <w:rsid w:val="00EA633B"/>
    <w:rsid w:val="00EA659C"/>
    <w:rsid w:val="00EA7206"/>
    <w:rsid w:val="00EA7B31"/>
    <w:rsid w:val="00EB01C6"/>
    <w:rsid w:val="00EB02C9"/>
    <w:rsid w:val="00EB079F"/>
    <w:rsid w:val="00EB0A68"/>
    <w:rsid w:val="00EB0E6A"/>
    <w:rsid w:val="00EB0FE6"/>
    <w:rsid w:val="00EB16EB"/>
    <w:rsid w:val="00EB182C"/>
    <w:rsid w:val="00EB19D9"/>
    <w:rsid w:val="00EB2287"/>
    <w:rsid w:val="00EB269D"/>
    <w:rsid w:val="00EB2FCF"/>
    <w:rsid w:val="00EB30E8"/>
    <w:rsid w:val="00EB344E"/>
    <w:rsid w:val="00EB374D"/>
    <w:rsid w:val="00EB425C"/>
    <w:rsid w:val="00EB45D7"/>
    <w:rsid w:val="00EB47B3"/>
    <w:rsid w:val="00EB4926"/>
    <w:rsid w:val="00EB4B58"/>
    <w:rsid w:val="00EB4E5F"/>
    <w:rsid w:val="00EB5197"/>
    <w:rsid w:val="00EB52B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161"/>
    <w:rsid w:val="00EC226A"/>
    <w:rsid w:val="00EC229B"/>
    <w:rsid w:val="00EC237C"/>
    <w:rsid w:val="00EC28DD"/>
    <w:rsid w:val="00EC2EE6"/>
    <w:rsid w:val="00EC3012"/>
    <w:rsid w:val="00EC3713"/>
    <w:rsid w:val="00EC37A0"/>
    <w:rsid w:val="00EC3FA5"/>
    <w:rsid w:val="00EC484F"/>
    <w:rsid w:val="00EC552D"/>
    <w:rsid w:val="00EC5B93"/>
    <w:rsid w:val="00EC5E86"/>
    <w:rsid w:val="00EC5ED3"/>
    <w:rsid w:val="00EC6F7C"/>
    <w:rsid w:val="00EC7275"/>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3F5E"/>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809"/>
    <w:rsid w:val="00F00922"/>
    <w:rsid w:val="00F009EE"/>
    <w:rsid w:val="00F00BEE"/>
    <w:rsid w:val="00F0102C"/>
    <w:rsid w:val="00F0106B"/>
    <w:rsid w:val="00F01260"/>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DFC"/>
    <w:rsid w:val="00F04E02"/>
    <w:rsid w:val="00F05558"/>
    <w:rsid w:val="00F0595E"/>
    <w:rsid w:val="00F05A7B"/>
    <w:rsid w:val="00F05C14"/>
    <w:rsid w:val="00F05DCD"/>
    <w:rsid w:val="00F06454"/>
    <w:rsid w:val="00F064FE"/>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C85"/>
    <w:rsid w:val="00F14D95"/>
    <w:rsid w:val="00F150C2"/>
    <w:rsid w:val="00F15B8F"/>
    <w:rsid w:val="00F15D2C"/>
    <w:rsid w:val="00F15EBF"/>
    <w:rsid w:val="00F16582"/>
    <w:rsid w:val="00F16B9D"/>
    <w:rsid w:val="00F16CE1"/>
    <w:rsid w:val="00F16F1D"/>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7FD"/>
    <w:rsid w:val="00F3484E"/>
    <w:rsid w:val="00F34C58"/>
    <w:rsid w:val="00F34E84"/>
    <w:rsid w:val="00F34FB3"/>
    <w:rsid w:val="00F3559E"/>
    <w:rsid w:val="00F35A6D"/>
    <w:rsid w:val="00F362E4"/>
    <w:rsid w:val="00F36323"/>
    <w:rsid w:val="00F36869"/>
    <w:rsid w:val="00F36F16"/>
    <w:rsid w:val="00F37507"/>
    <w:rsid w:val="00F40042"/>
    <w:rsid w:val="00F4024E"/>
    <w:rsid w:val="00F407D5"/>
    <w:rsid w:val="00F415F2"/>
    <w:rsid w:val="00F42037"/>
    <w:rsid w:val="00F4208C"/>
    <w:rsid w:val="00F423F6"/>
    <w:rsid w:val="00F42415"/>
    <w:rsid w:val="00F424D3"/>
    <w:rsid w:val="00F4284C"/>
    <w:rsid w:val="00F43628"/>
    <w:rsid w:val="00F436F0"/>
    <w:rsid w:val="00F43A5C"/>
    <w:rsid w:val="00F443B0"/>
    <w:rsid w:val="00F444E7"/>
    <w:rsid w:val="00F447EA"/>
    <w:rsid w:val="00F44943"/>
    <w:rsid w:val="00F44D2D"/>
    <w:rsid w:val="00F44E5A"/>
    <w:rsid w:val="00F453DF"/>
    <w:rsid w:val="00F45632"/>
    <w:rsid w:val="00F46D66"/>
    <w:rsid w:val="00F4737E"/>
    <w:rsid w:val="00F47D5F"/>
    <w:rsid w:val="00F47E5F"/>
    <w:rsid w:val="00F50623"/>
    <w:rsid w:val="00F5087C"/>
    <w:rsid w:val="00F50BAD"/>
    <w:rsid w:val="00F50E4E"/>
    <w:rsid w:val="00F511EE"/>
    <w:rsid w:val="00F51D28"/>
    <w:rsid w:val="00F51E10"/>
    <w:rsid w:val="00F51E4D"/>
    <w:rsid w:val="00F53312"/>
    <w:rsid w:val="00F53398"/>
    <w:rsid w:val="00F533F9"/>
    <w:rsid w:val="00F539AC"/>
    <w:rsid w:val="00F53B8D"/>
    <w:rsid w:val="00F53D94"/>
    <w:rsid w:val="00F5420D"/>
    <w:rsid w:val="00F54768"/>
    <w:rsid w:val="00F54ADC"/>
    <w:rsid w:val="00F54AE2"/>
    <w:rsid w:val="00F553E8"/>
    <w:rsid w:val="00F55455"/>
    <w:rsid w:val="00F55AA3"/>
    <w:rsid w:val="00F55C08"/>
    <w:rsid w:val="00F55DFC"/>
    <w:rsid w:val="00F567D1"/>
    <w:rsid w:val="00F56C88"/>
    <w:rsid w:val="00F57256"/>
    <w:rsid w:val="00F5738E"/>
    <w:rsid w:val="00F577B3"/>
    <w:rsid w:val="00F57BDA"/>
    <w:rsid w:val="00F57F43"/>
    <w:rsid w:val="00F60058"/>
    <w:rsid w:val="00F6066A"/>
    <w:rsid w:val="00F60688"/>
    <w:rsid w:val="00F6088F"/>
    <w:rsid w:val="00F60D88"/>
    <w:rsid w:val="00F60DC0"/>
    <w:rsid w:val="00F61248"/>
    <w:rsid w:val="00F61281"/>
    <w:rsid w:val="00F613C3"/>
    <w:rsid w:val="00F6145D"/>
    <w:rsid w:val="00F617DF"/>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588"/>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5FC9"/>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1CF7"/>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823"/>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3D46"/>
    <w:rsid w:val="00F94A71"/>
    <w:rsid w:val="00F94CCA"/>
    <w:rsid w:val="00F9535C"/>
    <w:rsid w:val="00F95780"/>
    <w:rsid w:val="00F95A03"/>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14E"/>
    <w:rsid w:val="00FB6501"/>
    <w:rsid w:val="00FB6F0E"/>
    <w:rsid w:val="00FB7C8D"/>
    <w:rsid w:val="00FB7F71"/>
    <w:rsid w:val="00FC06BF"/>
    <w:rsid w:val="00FC07D1"/>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1CA"/>
    <w:rsid w:val="00FD1280"/>
    <w:rsid w:val="00FD143C"/>
    <w:rsid w:val="00FD1946"/>
    <w:rsid w:val="00FD2965"/>
    <w:rsid w:val="00FD2A64"/>
    <w:rsid w:val="00FD2CC3"/>
    <w:rsid w:val="00FD2F74"/>
    <w:rsid w:val="00FD3162"/>
    <w:rsid w:val="00FD3487"/>
    <w:rsid w:val="00FD3520"/>
    <w:rsid w:val="00FD3D58"/>
    <w:rsid w:val="00FD3D61"/>
    <w:rsid w:val="00FD3EC6"/>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406"/>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08FC"/>
  <w15:docId w15:val="{9FB3B73C-519F-412A-A4CF-7D5769F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 w:type="paragraph" w:styleId="Revisin">
    <w:name w:val="Revision"/>
    <w:hidden/>
    <w:uiPriority w:val="99"/>
    <w:semiHidden/>
    <w:rsid w:val="00D17088"/>
    <w:rPr>
      <w:rFonts w:ascii="Arial" w:hAnsi="Arial" w:cs="Arial"/>
      <w:sz w:val="24"/>
      <w:szCs w:val="24"/>
      <w:lang w:val="es-ES_tradnl" w:eastAsia="es-ES"/>
    </w:rPr>
  </w:style>
  <w:style w:type="paragraph" w:customStyle="1" w:styleId="Pa27">
    <w:name w:val="Pa27"/>
    <w:basedOn w:val="Default"/>
    <w:next w:val="Default"/>
    <w:uiPriority w:val="99"/>
    <w:rsid w:val="00185115"/>
    <w:pPr>
      <w:spacing w:line="221" w:lineRule="atLeast"/>
    </w:pPr>
    <w:rPr>
      <w:rFonts w:eastAsiaTheme="minorHAnsi"/>
      <w:color w:val="auto"/>
      <w:lang w:val="en-US" w:eastAsia="en-US"/>
    </w:rPr>
  </w:style>
  <w:style w:type="character" w:customStyle="1" w:styleId="A1">
    <w:name w:val="A1"/>
    <w:uiPriority w:val="99"/>
    <w:rsid w:val="0078042F"/>
    <w:rPr>
      <w:color w:val="000000"/>
      <w:sz w:val="20"/>
      <w:szCs w:val="20"/>
    </w:rPr>
  </w:style>
  <w:style w:type="character" w:styleId="Mencinsinresolver">
    <w:name w:val="Unresolved Mention"/>
    <w:basedOn w:val="Fuentedeprrafopredeter"/>
    <w:uiPriority w:val="99"/>
    <w:semiHidden/>
    <w:unhideWhenUsed/>
    <w:rsid w:val="0030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7479">
      <w:bodyDiv w:val="1"/>
      <w:marLeft w:val="0"/>
      <w:marRight w:val="0"/>
      <w:marTop w:val="0"/>
      <w:marBottom w:val="0"/>
      <w:divBdr>
        <w:top w:val="none" w:sz="0" w:space="0" w:color="auto"/>
        <w:left w:val="none" w:sz="0" w:space="0" w:color="auto"/>
        <w:bottom w:val="none" w:sz="0" w:space="0" w:color="auto"/>
        <w:right w:val="none" w:sz="0" w:space="0" w:color="auto"/>
      </w:divBdr>
    </w:div>
    <w:div w:id="85420654">
      <w:bodyDiv w:val="1"/>
      <w:marLeft w:val="0"/>
      <w:marRight w:val="0"/>
      <w:marTop w:val="0"/>
      <w:marBottom w:val="0"/>
      <w:divBdr>
        <w:top w:val="none" w:sz="0" w:space="0" w:color="auto"/>
        <w:left w:val="none" w:sz="0" w:space="0" w:color="auto"/>
        <w:bottom w:val="none" w:sz="0" w:space="0" w:color="auto"/>
        <w:right w:val="none" w:sz="0" w:space="0" w:color="auto"/>
      </w:divBdr>
    </w:div>
    <w:div w:id="89274393">
      <w:bodyDiv w:val="1"/>
      <w:marLeft w:val="0"/>
      <w:marRight w:val="0"/>
      <w:marTop w:val="0"/>
      <w:marBottom w:val="0"/>
      <w:divBdr>
        <w:top w:val="none" w:sz="0" w:space="0" w:color="auto"/>
        <w:left w:val="none" w:sz="0" w:space="0" w:color="auto"/>
        <w:bottom w:val="none" w:sz="0" w:space="0" w:color="auto"/>
        <w:right w:val="none" w:sz="0" w:space="0" w:color="auto"/>
      </w:divBdr>
    </w:div>
    <w:div w:id="140510825">
      <w:bodyDiv w:val="1"/>
      <w:marLeft w:val="0"/>
      <w:marRight w:val="0"/>
      <w:marTop w:val="0"/>
      <w:marBottom w:val="0"/>
      <w:divBdr>
        <w:top w:val="none" w:sz="0" w:space="0" w:color="auto"/>
        <w:left w:val="none" w:sz="0" w:space="0" w:color="auto"/>
        <w:bottom w:val="none" w:sz="0" w:space="0" w:color="auto"/>
        <w:right w:val="none" w:sz="0" w:space="0" w:color="auto"/>
      </w:divBdr>
    </w:div>
    <w:div w:id="147671487">
      <w:bodyDiv w:val="1"/>
      <w:marLeft w:val="0"/>
      <w:marRight w:val="0"/>
      <w:marTop w:val="0"/>
      <w:marBottom w:val="0"/>
      <w:divBdr>
        <w:top w:val="none" w:sz="0" w:space="0" w:color="auto"/>
        <w:left w:val="none" w:sz="0" w:space="0" w:color="auto"/>
        <w:bottom w:val="none" w:sz="0" w:space="0" w:color="auto"/>
        <w:right w:val="none" w:sz="0" w:space="0" w:color="auto"/>
      </w:divBdr>
    </w:div>
    <w:div w:id="151719710">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34514022">
      <w:bodyDiv w:val="1"/>
      <w:marLeft w:val="0"/>
      <w:marRight w:val="0"/>
      <w:marTop w:val="0"/>
      <w:marBottom w:val="0"/>
      <w:divBdr>
        <w:top w:val="none" w:sz="0" w:space="0" w:color="auto"/>
        <w:left w:val="none" w:sz="0" w:space="0" w:color="auto"/>
        <w:bottom w:val="none" w:sz="0" w:space="0" w:color="auto"/>
        <w:right w:val="none" w:sz="0" w:space="0" w:color="auto"/>
      </w:divBdr>
    </w:div>
    <w:div w:id="252131231">
      <w:bodyDiv w:val="1"/>
      <w:marLeft w:val="0"/>
      <w:marRight w:val="0"/>
      <w:marTop w:val="0"/>
      <w:marBottom w:val="0"/>
      <w:divBdr>
        <w:top w:val="none" w:sz="0" w:space="0" w:color="auto"/>
        <w:left w:val="none" w:sz="0" w:space="0" w:color="auto"/>
        <w:bottom w:val="none" w:sz="0" w:space="0" w:color="auto"/>
        <w:right w:val="none" w:sz="0" w:space="0" w:color="auto"/>
      </w:divBdr>
    </w:div>
    <w:div w:id="369378576">
      <w:bodyDiv w:val="1"/>
      <w:marLeft w:val="0"/>
      <w:marRight w:val="0"/>
      <w:marTop w:val="0"/>
      <w:marBottom w:val="0"/>
      <w:divBdr>
        <w:top w:val="none" w:sz="0" w:space="0" w:color="auto"/>
        <w:left w:val="none" w:sz="0" w:space="0" w:color="auto"/>
        <w:bottom w:val="none" w:sz="0" w:space="0" w:color="auto"/>
        <w:right w:val="none" w:sz="0" w:space="0" w:color="auto"/>
      </w:divBdr>
    </w:div>
    <w:div w:id="424157714">
      <w:bodyDiv w:val="1"/>
      <w:marLeft w:val="0"/>
      <w:marRight w:val="0"/>
      <w:marTop w:val="0"/>
      <w:marBottom w:val="0"/>
      <w:divBdr>
        <w:top w:val="none" w:sz="0" w:space="0" w:color="auto"/>
        <w:left w:val="none" w:sz="0" w:space="0" w:color="auto"/>
        <w:bottom w:val="none" w:sz="0" w:space="0" w:color="auto"/>
        <w:right w:val="none" w:sz="0" w:space="0" w:color="auto"/>
      </w:divBdr>
    </w:div>
    <w:div w:id="425538600">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4516830">
      <w:bodyDiv w:val="1"/>
      <w:marLeft w:val="0"/>
      <w:marRight w:val="0"/>
      <w:marTop w:val="0"/>
      <w:marBottom w:val="0"/>
      <w:divBdr>
        <w:top w:val="none" w:sz="0" w:space="0" w:color="auto"/>
        <w:left w:val="none" w:sz="0" w:space="0" w:color="auto"/>
        <w:bottom w:val="none" w:sz="0" w:space="0" w:color="auto"/>
        <w:right w:val="none" w:sz="0" w:space="0" w:color="auto"/>
      </w:divBdr>
    </w:div>
    <w:div w:id="507527364">
      <w:bodyDiv w:val="1"/>
      <w:marLeft w:val="0"/>
      <w:marRight w:val="0"/>
      <w:marTop w:val="0"/>
      <w:marBottom w:val="0"/>
      <w:divBdr>
        <w:top w:val="none" w:sz="0" w:space="0" w:color="auto"/>
        <w:left w:val="none" w:sz="0" w:space="0" w:color="auto"/>
        <w:bottom w:val="none" w:sz="0" w:space="0" w:color="auto"/>
        <w:right w:val="none" w:sz="0" w:space="0" w:color="auto"/>
      </w:divBdr>
    </w:div>
    <w:div w:id="535047730">
      <w:bodyDiv w:val="1"/>
      <w:marLeft w:val="0"/>
      <w:marRight w:val="0"/>
      <w:marTop w:val="0"/>
      <w:marBottom w:val="0"/>
      <w:divBdr>
        <w:top w:val="none" w:sz="0" w:space="0" w:color="auto"/>
        <w:left w:val="none" w:sz="0" w:space="0" w:color="auto"/>
        <w:bottom w:val="none" w:sz="0" w:space="0" w:color="auto"/>
        <w:right w:val="none" w:sz="0" w:space="0" w:color="auto"/>
      </w:divBdr>
    </w:div>
    <w:div w:id="554859047">
      <w:bodyDiv w:val="1"/>
      <w:marLeft w:val="0"/>
      <w:marRight w:val="0"/>
      <w:marTop w:val="0"/>
      <w:marBottom w:val="0"/>
      <w:divBdr>
        <w:top w:val="none" w:sz="0" w:space="0" w:color="auto"/>
        <w:left w:val="none" w:sz="0" w:space="0" w:color="auto"/>
        <w:bottom w:val="none" w:sz="0" w:space="0" w:color="auto"/>
        <w:right w:val="none" w:sz="0" w:space="0" w:color="auto"/>
      </w:divBdr>
    </w:div>
    <w:div w:id="59945967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373301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093975">
      <w:bodyDiv w:val="1"/>
      <w:marLeft w:val="0"/>
      <w:marRight w:val="0"/>
      <w:marTop w:val="0"/>
      <w:marBottom w:val="0"/>
      <w:divBdr>
        <w:top w:val="none" w:sz="0" w:space="0" w:color="auto"/>
        <w:left w:val="none" w:sz="0" w:space="0" w:color="auto"/>
        <w:bottom w:val="none" w:sz="0" w:space="0" w:color="auto"/>
        <w:right w:val="none" w:sz="0" w:space="0" w:color="auto"/>
      </w:divBdr>
    </w:div>
    <w:div w:id="68428587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7078077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5546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18385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8067850">
      <w:bodyDiv w:val="1"/>
      <w:marLeft w:val="0"/>
      <w:marRight w:val="0"/>
      <w:marTop w:val="0"/>
      <w:marBottom w:val="0"/>
      <w:divBdr>
        <w:top w:val="none" w:sz="0" w:space="0" w:color="auto"/>
        <w:left w:val="none" w:sz="0" w:space="0" w:color="auto"/>
        <w:bottom w:val="none" w:sz="0" w:space="0" w:color="auto"/>
        <w:right w:val="none" w:sz="0" w:space="0" w:color="auto"/>
      </w:divBdr>
    </w:div>
    <w:div w:id="1062945644">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965937">
      <w:bodyDiv w:val="1"/>
      <w:marLeft w:val="0"/>
      <w:marRight w:val="0"/>
      <w:marTop w:val="0"/>
      <w:marBottom w:val="0"/>
      <w:divBdr>
        <w:top w:val="none" w:sz="0" w:space="0" w:color="auto"/>
        <w:left w:val="none" w:sz="0" w:space="0" w:color="auto"/>
        <w:bottom w:val="none" w:sz="0" w:space="0" w:color="auto"/>
        <w:right w:val="none" w:sz="0" w:space="0" w:color="auto"/>
      </w:divBdr>
    </w:div>
    <w:div w:id="1202128470">
      <w:bodyDiv w:val="1"/>
      <w:marLeft w:val="0"/>
      <w:marRight w:val="0"/>
      <w:marTop w:val="0"/>
      <w:marBottom w:val="0"/>
      <w:divBdr>
        <w:top w:val="none" w:sz="0" w:space="0" w:color="auto"/>
        <w:left w:val="none" w:sz="0" w:space="0" w:color="auto"/>
        <w:bottom w:val="none" w:sz="0" w:space="0" w:color="auto"/>
        <w:right w:val="none" w:sz="0" w:space="0" w:color="auto"/>
      </w:divBdr>
    </w:div>
    <w:div w:id="1209222830">
      <w:bodyDiv w:val="1"/>
      <w:marLeft w:val="0"/>
      <w:marRight w:val="0"/>
      <w:marTop w:val="0"/>
      <w:marBottom w:val="0"/>
      <w:divBdr>
        <w:top w:val="none" w:sz="0" w:space="0" w:color="auto"/>
        <w:left w:val="none" w:sz="0" w:space="0" w:color="auto"/>
        <w:bottom w:val="none" w:sz="0" w:space="0" w:color="auto"/>
        <w:right w:val="none" w:sz="0" w:space="0" w:color="auto"/>
      </w:divBdr>
    </w:div>
    <w:div w:id="1223180379">
      <w:bodyDiv w:val="1"/>
      <w:marLeft w:val="0"/>
      <w:marRight w:val="0"/>
      <w:marTop w:val="0"/>
      <w:marBottom w:val="0"/>
      <w:divBdr>
        <w:top w:val="none" w:sz="0" w:space="0" w:color="auto"/>
        <w:left w:val="none" w:sz="0" w:space="0" w:color="auto"/>
        <w:bottom w:val="none" w:sz="0" w:space="0" w:color="auto"/>
        <w:right w:val="none" w:sz="0" w:space="0" w:color="auto"/>
      </w:divBdr>
    </w:div>
    <w:div w:id="1232693601">
      <w:bodyDiv w:val="1"/>
      <w:marLeft w:val="0"/>
      <w:marRight w:val="0"/>
      <w:marTop w:val="0"/>
      <w:marBottom w:val="0"/>
      <w:divBdr>
        <w:top w:val="none" w:sz="0" w:space="0" w:color="auto"/>
        <w:left w:val="none" w:sz="0" w:space="0" w:color="auto"/>
        <w:bottom w:val="none" w:sz="0" w:space="0" w:color="auto"/>
        <w:right w:val="none" w:sz="0" w:space="0" w:color="auto"/>
      </w:divBdr>
    </w:div>
    <w:div w:id="1233080250">
      <w:bodyDiv w:val="1"/>
      <w:marLeft w:val="0"/>
      <w:marRight w:val="0"/>
      <w:marTop w:val="0"/>
      <w:marBottom w:val="0"/>
      <w:divBdr>
        <w:top w:val="none" w:sz="0" w:space="0" w:color="auto"/>
        <w:left w:val="none" w:sz="0" w:space="0" w:color="auto"/>
        <w:bottom w:val="none" w:sz="0" w:space="0" w:color="auto"/>
        <w:right w:val="none" w:sz="0" w:space="0" w:color="auto"/>
      </w:divBdr>
    </w:div>
    <w:div w:id="1236627305">
      <w:bodyDiv w:val="1"/>
      <w:marLeft w:val="0"/>
      <w:marRight w:val="0"/>
      <w:marTop w:val="0"/>
      <w:marBottom w:val="0"/>
      <w:divBdr>
        <w:top w:val="none" w:sz="0" w:space="0" w:color="auto"/>
        <w:left w:val="none" w:sz="0" w:space="0" w:color="auto"/>
        <w:bottom w:val="none" w:sz="0" w:space="0" w:color="auto"/>
        <w:right w:val="none" w:sz="0" w:space="0" w:color="auto"/>
      </w:divBdr>
    </w:div>
    <w:div w:id="1247110263">
      <w:bodyDiv w:val="1"/>
      <w:marLeft w:val="0"/>
      <w:marRight w:val="0"/>
      <w:marTop w:val="0"/>
      <w:marBottom w:val="0"/>
      <w:divBdr>
        <w:top w:val="none" w:sz="0" w:space="0" w:color="auto"/>
        <w:left w:val="none" w:sz="0" w:space="0" w:color="auto"/>
        <w:bottom w:val="none" w:sz="0" w:space="0" w:color="auto"/>
        <w:right w:val="none" w:sz="0" w:space="0" w:color="auto"/>
      </w:divBdr>
    </w:div>
    <w:div w:id="1306466846">
      <w:bodyDiv w:val="1"/>
      <w:marLeft w:val="0"/>
      <w:marRight w:val="0"/>
      <w:marTop w:val="0"/>
      <w:marBottom w:val="0"/>
      <w:divBdr>
        <w:top w:val="none" w:sz="0" w:space="0" w:color="auto"/>
        <w:left w:val="none" w:sz="0" w:space="0" w:color="auto"/>
        <w:bottom w:val="none" w:sz="0" w:space="0" w:color="auto"/>
        <w:right w:val="none" w:sz="0" w:space="0" w:color="auto"/>
      </w:divBdr>
    </w:div>
    <w:div w:id="1337807846">
      <w:bodyDiv w:val="1"/>
      <w:marLeft w:val="0"/>
      <w:marRight w:val="0"/>
      <w:marTop w:val="0"/>
      <w:marBottom w:val="0"/>
      <w:divBdr>
        <w:top w:val="none" w:sz="0" w:space="0" w:color="auto"/>
        <w:left w:val="none" w:sz="0" w:space="0" w:color="auto"/>
        <w:bottom w:val="none" w:sz="0" w:space="0" w:color="auto"/>
        <w:right w:val="none" w:sz="0" w:space="0" w:color="auto"/>
      </w:divBdr>
    </w:div>
    <w:div w:id="1357002061">
      <w:bodyDiv w:val="1"/>
      <w:marLeft w:val="0"/>
      <w:marRight w:val="0"/>
      <w:marTop w:val="0"/>
      <w:marBottom w:val="0"/>
      <w:divBdr>
        <w:top w:val="none" w:sz="0" w:space="0" w:color="auto"/>
        <w:left w:val="none" w:sz="0" w:space="0" w:color="auto"/>
        <w:bottom w:val="none" w:sz="0" w:space="0" w:color="auto"/>
        <w:right w:val="none" w:sz="0" w:space="0" w:color="auto"/>
      </w:divBdr>
    </w:div>
    <w:div w:id="1367178870">
      <w:bodyDiv w:val="1"/>
      <w:marLeft w:val="0"/>
      <w:marRight w:val="0"/>
      <w:marTop w:val="0"/>
      <w:marBottom w:val="0"/>
      <w:divBdr>
        <w:top w:val="none" w:sz="0" w:space="0" w:color="auto"/>
        <w:left w:val="none" w:sz="0" w:space="0" w:color="auto"/>
        <w:bottom w:val="none" w:sz="0" w:space="0" w:color="auto"/>
        <w:right w:val="none" w:sz="0" w:space="0" w:color="auto"/>
      </w:divBdr>
    </w:div>
    <w:div w:id="141134733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0129850">
      <w:bodyDiv w:val="1"/>
      <w:marLeft w:val="0"/>
      <w:marRight w:val="0"/>
      <w:marTop w:val="0"/>
      <w:marBottom w:val="0"/>
      <w:divBdr>
        <w:top w:val="none" w:sz="0" w:space="0" w:color="auto"/>
        <w:left w:val="none" w:sz="0" w:space="0" w:color="auto"/>
        <w:bottom w:val="none" w:sz="0" w:space="0" w:color="auto"/>
        <w:right w:val="none" w:sz="0" w:space="0" w:color="auto"/>
      </w:divBdr>
    </w:div>
    <w:div w:id="1451363799">
      <w:bodyDiv w:val="1"/>
      <w:marLeft w:val="0"/>
      <w:marRight w:val="0"/>
      <w:marTop w:val="0"/>
      <w:marBottom w:val="0"/>
      <w:divBdr>
        <w:top w:val="none" w:sz="0" w:space="0" w:color="auto"/>
        <w:left w:val="none" w:sz="0" w:space="0" w:color="auto"/>
        <w:bottom w:val="none" w:sz="0" w:space="0" w:color="auto"/>
        <w:right w:val="none" w:sz="0" w:space="0" w:color="auto"/>
      </w:divBdr>
    </w:div>
    <w:div w:id="1457796126">
      <w:bodyDiv w:val="1"/>
      <w:marLeft w:val="0"/>
      <w:marRight w:val="0"/>
      <w:marTop w:val="0"/>
      <w:marBottom w:val="0"/>
      <w:divBdr>
        <w:top w:val="none" w:sz="0" w:space="0" w:color="auto"/>
        <w:left w:val="none" w:sz="0" w:space="0" w:color="auto"/>
        <w:bottom w:val="none" w:sz="0" w:space="0" w:color="auto"/>
        <w:right w:val="none" w:sz="0" w:space="0" w:color="auto"/>
      </w:divBdr>
    </w:div>
    <w:div w:id="1470854157">
      <w:bodyDiv w:val="1"/>
      <w:marLeft w:val="0"/>
      <w:marRight w:val="0"/>
      <w:marTop w:val="0"/>
      <w:marBottom w:val="0"/>
      <w:divBdr>
        <w:top w:val="none" w:sz="0" w:space="0" w:color="auto"/>
        <w:left w:val="none" w:sz="0" w:space="0" w:color="auto"/>
        <w:bottom w:val="none" w:sz="0" w:space="0" w:color="auto"/>
        <w:right w:val="none" w:sz="0" w:space="0" w:color="auto"/>
      </w:divBdr>
    </w:div>
    <w:div w:id="14777245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0870780">
      <w:bodyDiv w:val="1"/>
      <w:marLeft w:val="0"/>
      <w:marRight w:val="0"/>
      <w:marTop w:val="0"/>
      <w:marBottom w:val="0"/>
      <w:divBdr>
        <w:top w:val="none" w:sz="0" w:space="0" w:color="auto"/>
        <w:left w:val="none" w:sz="0" w:space="0" w:color="auto"/>
        <w:bottom w:val="none" w:sz="0" w:space="0" w:color="auto"/>
        <w:right w:val="none" w:sz="0" w:space="0" w:color="auto"/>
      </w:divBdr>
    </w:div>
    <w:div w:id="1547989333">
      <w:bodyDiv w:val="1"/>
      <w:marLeft w:val="0"/>
      <w:marRight w:val="0"/>
      <w:marTop w:val="0"/>
      <w:marBottom w:val="0"/>
      <w:divBdr>
        <w:top w:val="none" w:sz="0" w:space="0" w:color="auto"/>
        <w:left w:val="none" w:sz="0" w:space="0" w:color="auto"/>
        <w:bottom w:val="none" w:sz="0" w:space="0" w:color="auto"/>
        <w:right w:val="none" w:sz="0" w:space="0" w:color="auto"/>
      </w:divBdr>
    </w:div>
    <w:div w:id="1558779362">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06419458">
      <w:bodyDiv w:val="1"/>
      <w:marLeft w:val="0"/>
      <w:marRight w:val="0"/>
      <w:marTop w:val="0"/>
      <w:marBottom w:val="0"/>
      <w:divBdr>
        <w:top w:val="none" w:sz="0" w:space="0" w:color="auto"/>
        <w:left w:val="none" w:sz="0" w:space="0" w:color="auto"/>
        <w:bottom w:val="none" w:sz="0" w:space="0" w:color="auto"/>
        <w:right w:val="none" w:sz="0" w:space="0" w:color="auto"/>
      </w:divBdr>
    </w:div>
    <w:div w:id="160742605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6396331">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5431503">
      <w:bodyDiv w:val="1"/>
      <w:marLeft w:val="0"/>
      <w:marRight w:val="0"/>
      <w:marTop w:val="0"/>
      <w:marBottom w:val="0"/>
      <w:divBdr>
        <w:top w:val="none" w:sz="0" w:space="0" w:color="auto"/>
        <w:left w:val="none" w:sz="0" w:space="0" w:color="auto"/>
        <w:bottom w:val="none" w:sz="0" w:space="0" w:color="auto"/>
        <w:right w:val="none" w:sz="0" w:space="0" w:color="auto"/>
      </w:divBdr>
    </w:div>
    <w:div w:id="186597373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399320">
      <w:bodyDiv w:val="1"/>
      <w:marLeft w:val="0"/>
      <w:marRight w:val="0"/>
      <w:marTop w:val="0"/>
      <w:marBottom w:val="0"/>
      <w:divBdr>
        <w:top w:val="none" w:sz="0" w:space="0" w:color="auto"/>
        <w:left w:val="none" w:sz="0" w:space="0" w:color="auto"/>
        <w:bottom w:val="none" w:sz="0" w:space="0" w:color="auto"/>
        <w:right w:val="none" w:sz="0" w:space="0" w:color="auto"/>
      </w:divBdr>
    </w:div>
    <w:div w:id="1904439096">
      <w:bodyDiv w:val="1"/>
      <w:marLeft w:val="0"/>
      <w:marRight w:val="0"/>
      <w:marTop w:val="0"/>
      <w:marBottom w:val="0"/>
      <w:divBdr>
        <w:top w:val="none" w:sz="0" w:space="0" w:color="auto"/>
        <w:left w:val="none" w:sz="0" w:space="0" w:color="auto"/>
        <w:bottom w:val="none" w:sz="0" w:space="0" w:color="auto"/>
        <w:right w:val="none" w:sz="0" w:space="0" w:color="auto"/>
      </w:divBdr>
    </w:div>
    <w:div w:id="1945963093">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4828292">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1971200657">
      <w:bodyDiv w:val="1"/>
      <w:marLeft w:val="0"/>
      <w:marRight w:val="0"/>
      <w:marTop w:val="0"/>
      <w:marBottom w:val="0"/>
      <w:divBdr>
        <w:top w:val="none" w:sz="0" w:space="0" w:color="auto"/>
        <w:left w:val="none" w:sz="0" w:space="0" w:color="auto"/>
        <w:bottom w:val="none" w:sz="0" w:space="0" w:color="auto"/>
        <w:right w:val="none" w:sz="0" w:space="0" w:color="auto"/>
      </w:divBdr>
    </w:div>
    <w:div w:id="200824725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804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10.emf"/><Relationship Id="rId21" Type="http://schemas.openxmlformats.org/officeDocument/2006/relationships/image" Target="media/image6.png"/><Relationship Id="rId34" Type="http://schemas.openxmlformats.org/officeDocument/2006/relationships/hyperlink" Target="https://www.inegi.org.mx/programas/eat/2013/" TargetMode="Externa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image" Target="media/image15.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1.xml"/><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image" Target="media/image7.png"/><Relationship Id="rId27" Type="http://schemas.openxmlformats.org/officeDocument/2006/relationships/chart" Target="charts/chart2.xml"/><Relationship Id="rId30" Type="http://schemas.openxmlformats.org/officeDocument/2006/relationships/image" Target="media/image13.emf"/><Relationship Id="rId35" Type="http://schemas.openxmlformats.org/officeDocument/2006/relationships/header" Target="header2.xml"/><Relationship Id="rId8" Type="http://schemas.openxmlformats.org/officeDocument/2006/relationships/hyperlink" Target="https://www.inegi.org.mx/programas/eat/2013/"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app/saladeprensa/calendario/default.html" TargetMode="External"/><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roberto.tovar\Documents\Nueva%20carpeta\Mis%20documentos\EAT\2021\Resultados\Pres_Resul_202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oberto.tovar\Documents\Nueva%20carpeta\Mis%20documentos\EAT\2021\Resultados\Pres_Resul_2021.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percentStacked"/>
        <c:varyColors val="0"/>
        <c:ser>
          <c:idx val="0"/>
          <c:order val="0"/>
          <c:tx>
            <c:strRef>
              <c:f>Gráf_Sexo!$F$116</c:f>
              <c:strCache>
                <c:ptCount val="1"/>
                <c:pt idx="0">
                  <c:v>Hombres</c:v>
                </c:pt>
              </c:strCache>
            </c:strRef>
          </c:tx>
          <c:spPr>
            <a:solidFill>
              <a:schemeClr val="accent1">
                <a:shade val="76000"/>
              </a:schemeClr>
            </a:solidFill>
            <a:ln>
              <a:noFill/>
            </a:ln>
            <a:effectLst/>
          </c:spPr>
          <c:invertIfNegative val="0"/>
          <c:dLbls>
            <c:spPr>
              <a:noFill/>
              <a:ln w="25400">
                <a:noFill/>
              </a:ln>
              <a:effectLst/>
            </c:spPr>
            <c:txPr>
              <a:bodyPr rot="0" spcFirstLastPara="1" vertOverflow="ellipsis" vert="horz" wrap="square" anchor="ctr" anchorCtr="1"/>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Gráf_Sexo!$G$115:$N$115</c:f>
              <c:numCache>
                <c:formatCode>General</c:formatCode>
                <c:ptCount val="8"/>
                <c:pt idx="0">
                  <c:v>2013</c:v>
                </c:pt>
                <c:pt idx="1">
                  <c:v>2014</c:v>
                </c:pt>
                <c:pt idx="2">
                  <c:v>2015</c:v>
                </c:pt>
                <c:pt idx="3">
                  <c:v>2016</c:v>
                </c:pt>
                <c:pt idx="4">
                  <c:v>2017</c:v>
                </c:pt>
                <c:pt idx="5">
                  <c:v>2018</c:v>
                </c:pt>
                <c:pt idx="6">
                  <c:v>2019</c:v>
                </c:pt>
                <c:pt idx="7">
                  <c:v>2020</c:v>
                </c:pt>
              </c:numCache>
            </c:numRef>
          </c:cat>
          <c:val>
            <c:numRef>
              <c:f>Gráf_Sexo!$G$116:$N$116</c:f>
              <c:numCache>
                <c:formatCode>0.0</c:formatCode>
                <c:ptCount val="8"/>
                <c:pt idx="0">
                  <c:v>90.836541696258365</c:v>
                </c:pt>
                <c:pt idx="1">
                  <c:v>91.033646054669219</c:v>
                </c:pt>
                <c:pt idx="2">
                  <c:v>91.10268700892054</c:v>
                </c:pt>
                <c:pt idx="3">
                  <c:v>89.956096433798038</c:v>
                </c:pt>
                <c:pt idx="4">
                  <c:v>88.240709838537043</c:v>
                </c:pt>
                <c:pt idx="5">
                  <c:v>89.305794524394017</c:v>
                </c:pt>
                <c:pt idx="6">
                  <c:v>86.461663628282579</c:v>
                </c:pt>
                <c:pt idx="7">
                  <c:v>86.067146056373971</c:v>
                </c:pt>
              </c:numCache>
            </c:numRef>
          </c:val>
          <c:extLst>
            <c:ext xmlns:c16="http://schemas.microsoft.com/office/drawing/2014/chart" uri="{C3380CC4-5D6E-409C-BE32-E72D297353CC}">
              <c16:uniqueId val="{00000000-559C-4D29-8BA7-ED98375E2641}"/>
            </c:ext>
          </c:extLst>
        </c:ser>
        <c:ser>
          <c:idx val="1"/>
          <c:order val="1"/>
          <c:tx>
            <c:strRef>
              <c:f>Gráf_Sexo!$F$117</c:f>
              <c:strCache>
                <c:ptCount val="1"/>
                <c:pt idx="0">
                  <c:v>Mujeres</c:v>
                </c:pt>
              </c:strCache>
            </c:strRef>
          </c:tx>
          <c:spPr>
            <a:solidFill>
              <a:schemeClr val="accent1">
                <a:tint val="77000"/>
              </a:schemeClr>
            </a:solidFill>
            <a:ln>
              <a:noFill/>
            </a:ln>
            <a:effectLst/>
          </c:spPr>
          <c:invertIfNegative val="0"/>
          <c:dLbls>
            <c:spPr>
              <a:noFill/>
              <a:ln w="25400">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Gráf_Sexo!$G$115:$N$115</c:f>
              <c:numCache>
                <c:formatCode>General</c:formatCode>
                <c:ptCount val="8"/>
                <c:pt idx="0">
                  <c:v>2013</c:v>
                </c:pt>
                <c:pt idx="1">
                  <c:v>2014</c:v>
                </c:pt>
                <c:pt idx="2">
                  <c:v>2015</c:v>
                </c:pt>
                <c:pt idx="3">
                  <c:v>2016</c:v>
                </c:pt>
                <c:pt idx="4">
                  <c:v>2017</c:v>
                </c:pt>
                <c:pt idx="5">
                  <c:v>2018</c:v>
                </c:pt>
                <c:pt idx="6">
                  <c:v>2019</c:v>
                </c:pt>
                <c:pt idx="7">
                  <c:v>2020</c:v>
                </c:pt>
              </c:numCache>
            </c:numRef>
          </c:cat>
          <c:val>
            <c:numRef>
              <c:f>Gráf_Sexo!$G$117:$N$117</c:f>
              <c:numCache>
                <c:formatCode>0.0</c:formatCode>
                <c:ptCount val="8"/>
                <c:pt idx="0">
                  <c:v>9.1634583037416366</c:v>
                </c:pt>
                <c:pt idx="1">
                  <c:v>8.9663539453307877</c:v>
                </c:pt>
                <c:pt idx="2">
                  <c:v>8.8973129910794686</c:v>
                </c:pt>
                <c:pt idx="3">
                  <c:v>10.043903566201957</c:v>
                </c:pt>
                <c:pt idx="4">
                  <c:v>11.759290161462948</c:v>
                </c:pt>
                <c:pt idx="5">
                  <c:v>10.694205475605981</c:v>
                </c:pt>
                <c:pt idx="6">
                  <c:v>13.538336371717415</c:v>
                </c:pt>
                <c:pt idx="7">
                  <c:v>13.932853943626039</c:v>
                </c:pt>
              </c:numCache>
            </c:numRef>
          </c:val>
          <c:extLst>
            <c:ext xmlns:c16="http://schemas.microsoft.com/office/drawing/2014/chart" uri="{C3380CC4-5D6E-409C-BE32-E72D297353CC}">
              <c16:uniqueId val="{00000001-559C-4D29-8BA7-ED98375E2641}"/>
            </c:ext>
          </c:extLst>
        </c:ser>
        <c:dLbls>
          <c:showLegendKey val="0"/>
          <c:showVal val="0"/>
          <c:showCatName val="0"/>
          <c:showSerName val="0"/>
          <c:showPercent val="0"/>
          <c:showBubbleSize val="0"/>
        </c:dLbls>
        <c:gapWidth val="150"/>
        <c:overlap val="100"/>
        <c:axId val="631239200"/>
        <c:axId val="1"/>
      </c:barChart>
      <c:catAx>
        <c:axId val="6312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
        <c:crosses val="autoZero"/>
        <c:auto val="1"/>
        <c:lblAlgn val="ctr"/>
        <c:lblOffset val="100"/>
        <c:noMultiLvlLbl val="0"/>
      </c:catAx>
      <c:valAx>
        <c:axId val="1"/>
        <c:scaling>
          <c:orientation val="minMax"/>
          <c:max val="1"/>
          <c:min val="0"/>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631239200"/>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percentStacked"/>
        <c:varyColors val="0"/>
        <c:ser>
          <c:idx val="0"/>
          <c:order val="0"/>
          <c:tx>
            <c:strRef>
              <c:f>Capacitación!$D$24</c:f>
              <c:strCache>
                <c:ptCount val="1"/>
                <c:pt idx="0">
                  <c:v>Si capacitan</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Capacitación!$B$25:$B$31</c:f>
              <c:strCache>
                <c:ptCount val="7"/>
                <c:pt idx="0">
                  <c:v>Transporte aéreo regular en líneas aéreas nacionales</c:v>
                </c:pt>
                <c:pt idx="1">
                  <c:v>Transporte por ferrocarril</c:v>
                </c:pt>
                <c:pt idx="2">
                  <c:v>Transporte marítimo de altura, excepto de petróleo y gas natural</c:v>
                </c:pt>
                <c:pt idx="3">
                  <c:v>Transporte marítimo de cabotaje, excepto de petróleo y gas natural</c:v>
                </c:pt>
                <c:pt idx="4">
                  <c:v>Autotransporte de carga</c:v>
                </c:pt>
                <c:pt idx="5">
                  <c:v>Transporte colectivo urbano y suburbano de pasajeros en autobuses de ruta fija</c:v>
                </c:pt>
                <c:pt idx="6">
                  <c:v>Transporte colectivo foráneo de pasajeros de ruta fija</c:v>
                </c:pt>
              </c:strCache>
            </c:strRef>
          </c:cat>
          <c:val>
            <c:numRef>
              <c:f>Capacitación!$C$25:$C$31</c:f>
              <c:numCache>
                <c:formatCode>General</c:formatCode>
                <c:ptCount val="7"/>
                <c:pt idx="0">
                  <c:v>53.8</c:v>
                </c:pt>
                <c:pt idx="1">
                  <c:v>16.7</c:v>
                </c:pt>
                <c:pt idx="2">
                  <c:v>90.9</c:v>
                </c:pt>
                <c:pt idx="3">
                  <c:v>70.8</c:v>
                </c:pt>
                <c:pt idx="4">
                  <c:v>81.900000000000006</c:v>
                </c:pt>
                <c:pt idx="5">
                  <c:v>78.3</c:v>
                </c:pt>
                <c:pt idx="6">
                  <c:v>56.4</c:v>
                </c:pt>
              </c:numCache>
            </c:numRef>
          </c:val>
          <c:extLst>
            <c:ext xmlns:c16="http://schemas.microsoft.com/office/drawing/2014/chart" uri="{C3380CC4-5D6E-409C-BE32-E72D297353CC}">
              <c16:uniqueId val="{00000000-71EF-402E-9F8F-05A9BC143EC1}"/>
            </c:ext>
          </c:extLst>
        </c:ser>
        <c:ser>
          <c:idx val="1"/>
          <c:order val="1"/>
          <c:tx>
            <c:strRef>
              <c:f>Capacitación!$C$24</c:f>
              <c:strCache>
                <c:ptCount val="1"/>
                <c:pt idx="0">
                  <c:v>No capacitan</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Capacitación!$B$25:$B$31</c:f>
              <c:strCache>
                <c:ptCount val="7"/>
                <c:pt idx="0">
                  <c:v>Transporte aéreo regular en líneas aéreas nacionales</c:v>
                </c:pt>
                <c:pt idx="1">
                  <c:v>Transporte por ferrocarril</c:v>
                </c:pt>
                <c:pt idx="2">
                  <c:v>Transporte marítimo de altura, excepto de petróleo y gas natural</c:v>
                </c:pt>
                <c:pt idx="3">
                  <c:v>Transporte marítimo de cabotaje, excepto de petróleo y gas natural</c:v>
                </c:pt>
                <c:pt idx="4">
                  <c:v>Autotransporte de carga</c:v>
                </c:pt>
                <c:pt idx="5">
                  <c:v>Transporte colectivo urbano y suburbano de pasajeros en autobuses de ruta fija</c:v>
                </c:pt>
                <c:pt idx="6">
                  <c:v>Transporte colectivo foráneo de pasajeros de ruta fija</c:v>
                </c:pt>
              </c:strCache>
            </c:strRef>
          </c:cat>
          <c:val>
            <c:numRef>
              <c:f>Capacitación!$D$25:$D$31</c:f>
              <c:numCache>
                <c:formatCode>General</c:formatCode>
                <c:ptCount val="7"/>
                <c:pt idx="0">
                  <c:v>46.2</c:v>
                </c:pt>
                <c:pt idx="1">
                  <c:v>83.3</c:v>
                </c:pt>
                <c:pt idx="2">
                  <c:v>9.1</c:v>
                </c:pt>
                <c:pt idx="3">
                  <c:v>29.2</c:v>
                </c:pt>
                <c:pt idx="4">
                  <c:v>18.100000000000001</c:v>
                </c:pt>
                <c:pt idx="5">
                  <c:v>21.7</c:v>
                </c:pt>
                <c:pt idx="6">
                  <c:v>43.6</c:v>
                </c:pt>
              </c:numCache>
            </c:numRef>
          </c:val>
          <c:extLst>
            <c:ext xmlns:c16="http://schemas.microsoft.com/office/drawing/2014/chart" uri="{C3380CC4-5D6E-409C-BE32-E72D297353CC}">
              <c16:uniqueId val="{00000001-71EF-402E-9F8F-05A9BC143EC1}"/>
            </c:ext>
          </c:extLst>
        </c:ser>
        <c:dLbls>
          <c:dLblPos val="ctr"/>
          <c:showLegendKey val="0"/>
          <c:showVal val="1"/>
          <c:showCatName val="0"/>
          <c:showSerName val="0"/>
          <c:showPercent val="0"/>
          <c:showBubbleSize val="0"/>
        </c:dLbls>
        <c:gapWidth val="150"/>
        <c:overlap val="100"/>
        <c:axId val="656253712"/>
        <c:axId val="1"/>
      </c:barChart>
      <c:catAx>
        <c:axId val="656253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656253712"/>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593D-40A3-41B7-95E8-41C5EA8D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2294</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Encuesta Anual de Transportes (EAT) 2020</vt:lpstr>
    </vt:vector>
  </TitlesOfParts>
  <Company>INEGI</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Anual de Transportes (EAT) 2020</dc:title>
  <dc:subject/>
  <dc:creator>INEGI</dc:creator>
  <cp:keywords>PEA Ocupación Desocupación Subocupación</cp:keywords>
  <dc:description/>
  <cp:lastModifiedBy>GUILLEN MEDINA MOISES</cp:lastModifiedBy>
  <cp:revision>6</cp:revision>
  <cp:lastPrinted>2019-10-24T20:15:00Z</cp:lastPrinted>
  <dcterms:created xsi:type="dcterms:W3CDTF">2021-12-11T02:50:00Z</dcterms:created>
  <dcterms:modified xsi:type="dcterms:W3CDTF">2021-12-13T00:12:00Z</dcterms:modified>
  <cp:category>Encuesta Nacional de Ocupación y Empleo</cp:category>
  <cp:version>1</cp:version>
</cp:coreProperties>
</file>