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4ACE" w14:textId="6C1F9D4D" w:rsidR="0004518F" w:rsidRPr="001F5BAC" w:rsidRDefault="0004518F" w:rsidP="001F5BAC">
      <w:pPr>
        <w:pStyle w:val="Default"/>
        <w:ind w:left="-567" w:right="-142"/>
        <w:jc w:val="center"/>
      </w:pPr>
      <w:bookmarkStart w:id="0" w:name="_Hlk86063974"/>
      <w:r>
        <w:rPr>
          <w:b/>
          <w:bCs/>
        </w:rPr>
        <w:t>RESULTADOS DEL</w:t>
      </w:r>
      <w:r w:rsidRPr="00610160">
        <w:rPr>
          <w:b/>
          <w:bCs/>
        </w:rPr>
        <w:t xml:space="preserve"> CENSO NACIONAL</w:t>
      </w:r>
      <w:r w:rsidR="00F31492">
        <w:rPr>
          <w:b/>
          <w:bCs/>
        </w:rPr>
        <w:t xml:space="preserve"> </w:t>
      </w:r>
      <w:r w:rsidRPr="00610160">
        <w:rPr>
          <w:b/>
          <w:bCs/>
        </w:rPr>
        <w:t xml:space="preserve">DE IMPARTICIÓN DE JUSTICIA </w:t>
      </w:r>
      <w:r w:rsidR="00CD21A6">
        <w:rPr>
          <w:b/>
          <w:bCs/>
        </w:rPr>
        <w:t>ESTAT</w:t>
      </w:r>
      <w:r w:rsidRPr="00610160">
        <w:rPr>
          <w:b/>
          <w:bCs/>
        </w:rPr>
        <w:t>AL (CNIJ</w:t>
      </w:r>
      <w:r w:rsidR="00CD21A6">
        <w:rPr>
          <w:b/>
          <w:bCs/>
        </w:rPr>
        <w:t>E</w:t>
      </w:r>
      <w:r w:rsidRPr="00610160">
        <w:rPr>
          <w:b/>
          <w:bCs/>
        </w:rPr>
        <w:t>)</w:t>
      </w:r>
      <w:r>
        <w:rPr>
          <w:b/>
          <w:bCs/>
        </w:rPr>
        <w:t xml:space="preserve"> 202</w:t>
      </w:r>
      <w:r w:rsidR="00C82230">
        <w:rPr>
          <w:b/>
          <w:bCs/>
        </w:rPr>
        <w:t>1</w:t>
      </w:r>
    </w:p>
    <w:bookmarkEnd w:id="0"/>
    <w:p w14:paraId="2A006E3F" w14:textId="77777777" w:rsidR="0004518F" w:rsidRPr="00A33DCC" w:rsidRDefault="0004518F" w:rsidP="000451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409A25" w14:textId="0737352B" w:rsidR="0000205A" w:rsidRPr="00AB3404" w:rsidRDefault="0000205A" w:rsidP="00AB3404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pacing w:val="-2"/>
          <w:sz w:val="24"/>
          <w:szCs w:val="24"/>
        </w:rPr>
      </w:pPr>
      <w:r w:rsidRPr="0000205A">
        <w:rPr>
          <w:rFonts w:ascii="Arial" w:hAnsi="Arial" w:cs="Arial"/>
          <w:sz w:val="24"/>
          <w:szCs w:val="24"/>
        </w:rPr>
        <w:t>D</w:t>
      </w:r>
      <w:r w:rsidRPr="0000205A">
        <w:rPr>
          <w:rFonts w:ascii="Arial" w:hAnsi="Arial" w:cs="Arial"/>
          <w:spacing w:val="-2"/>
          <w:sz w:val="24"/>
          <w:szCs w:val="24"/>
        </w:rPr>
        <w:t xml:space="preserve">urante 2020, a nivel nacional se reportaron 1 577 327 asuntos ingresados y 871 054 </w:t>
      </w:r>
      <w:r w:rsidR="005F75D5">
        <w:rPr>
          <w:rFonts w:ascii="Arial" w:hAnsi="Arial" w:cs="Arial"/>
          <w:spacing w:val="-2"/>
          <w:sz w:val="24"/>
          <w:szCs w:val="24"/>
        </w:rPr>
        <w:t xml:space="preserve">asuntos </w:t>
      </w:r>
      <w:r w:rsidRPr="0000205A">
        <w:rPr>
          <w:rFonts w:ascii="Arial" w:hAnsi="Arial" w:cs="Arial"/>
          <w:spacing w:val="-2"/>
          <w:sz w:val="24"/>
          <w:szCs w:val="24"/>
        </w:rPr>
        <w:t xml:space="preserve">concluidos por los órganos jurisdiccionales de los poderes judiciales estatales </w:t>
      </w:r>
      <w:r w:rsidRPr="00AB3404">
        <w:rPr>
          <w:rFonts w:ascii="Arial" w:hAnsi="Arial" w:cs="Arial"/>
          <w:spacing w:val="-2"/>
          <w:sz w:val="24"/>
          <w:szCs w:val="24"/>
        </w:rPr>
        <w:t xml:space="preserve">en todas las materias. En comparación con 2019, </w:t>
      </w:r>
      <w:r w:rsidR="005F75D5" w:rsidRPr="00AB3404">
        <w:rPr>
          <w:rFonts w:ascii="Arial" w:hAnsi="Arial" w:cs="Arial"/>
          <w:spacing w:val="-2"/>
          <w:sz w:val="24"/>
          <w:szCs w:val="24"/>
        </w:rPr>
        <w:t>la cantidad total de asuntos ingresados y concluidos disminuyeron</w:t>
      </w:r>
      <w:r w:rsidRPr="00AB3404">
        <w:rPr>
          <w:rFonts w:ascii="Arial" w:hAnsi="Arial" w:cs="Arial"/>
          <w:spacing w:val="-2"/>
          <w:sz w:val="24"/>
          <w:szCs w:val="24"/>
        </w:rPr>
        <w:t xml:space="preserve"> 30.8% y 34.6% </w:t>
      </w:r>
      <w:r w:rsidR="005F75D5" w:rsidRPr="00AB3404">
        <w:rPr>
          <w:rFonts w:ascii="Arial" w:hAnsi="Arial" w:cs="Arial"/>
          <w:spacing w:val="-2"/>
          <w:sz w:val="24"/>
          <w:szCs w:val="24"/>
        </w:rPr>
        <w:t>respectivamente.</w:t>
      </w:r>
    </w:p>
    <w:p w14:paraId="06123788" w14:textId="70384F16" w:rsidR="00AB3404" w:rsidRDefault="005F75D5" w:rsidP="00904E10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B3404">
        <w:rPr>
          <w:rFonts w:ascii="Arial" w:hAnsi="Arial" w:cs="Arial"/>
          <w:sz w:val="24"/>
          <w:szCs w:val="24"/>
        </w:rPr>
        <w:t xml:space="preserve">En 2020 se registraron 204 012 delitos en las causas penales ingresadas, cifra que representó una disminución de 10.2% con respecto a lo reportado en 2019. </w:t>
      </w:r>
      <w:r w:rsidR="00566D96">
        <w:rPr>
          <w:rFonts w:ascii="Arial" w:hAnsi="Arial" w:cs="Arial"/>
          <w:sz w:val="24"/>
          <w:szCs w:val="24"/>
        </w:rPr>
        <w:t>E</w:t>
      </w:r>
      <w:r w:rsidRPr="00AB3404">
        <w:rPr>
          <w:rFonts w:ascii="Arial" w:hAnsi="Arial" w:cs="Arial"/>
          <w:sz w:val="24"/>
          <w:szCs w:val="24"/>
        </w:rPr>
        <w:t>n</w:t>
      </w:r>
      <w:r w:rsidR="003046CE">
        <w:rPr>
          <w:rFonts w:ascii="Arial" w:hAnsi="Arial" w:cs="Arial"/>
          <w:sz w:val="24"/>
          <w:szCs w:val="24"/>
        </w:rPr>
        <w:t xml:space="preserve"> materia de justicia para</w:t>
      </w:r>
      <w:r w:rsidRPr="00AB3404">
        <w:rPr>
          <w:rFonts w:ascii="Arial" w:hAnsi="Arial" w:cs="Arial"/>
          <w:sz w:val="24"/>
          <w:szCs w:val="24"/>
        </w:rPr>
        <w:t xml:space="preserve"> adolescentes, los delitos contra la salud relacionados con narcóticos, en su modalidad de narcomenudeo presentaron un aumento de </w:t>
      </w:r>
      <w:r w:rsidR="003046CE">
        <w:rPr>
          <w:rFonts w:ascii="Arial" w:hAnsi="Arial" w:cs="Arial"/>
          <w:sz w:val="24"/>
          <w:szCs w:val="24"/>
        </w:rPr>
        <w:t>62.0</w:t>
      </w:r>
      <w:r w:rsidRPr="00AB3404">
        <w:rPr>
          <w:rFonts w:ascii="Arial" w:hAnsi="Arial" w:cs="Arial"/>
          <w:sz w:val="24"/>
          <w:szCs w:val="24"/>
        </w:rPr>
        <w:t>%</w:t>
      </w:r>
      <w:r w:rsidR="00462002">
        <w:rPr>
          <w:rFonts w:ascii="Arial" w:hAnsi="Arial" w:cs="Arial"/>
          <w:sz w:val="24"/>
          <w:szCs w:val="24"/>
        </w:rPr>
        <w:t>, a diferen</w:t>
      </w:r>
      <w:r w:rsidR="00566D96">
        <w:rPr>
          <w:rFonts w:ascii="Arial" w:hAnsi="Arial" w:cs="Arial"/>
          <w:sz w:val="24"/>
          <w:szCs w:val="24"/>
        </w:rPr>
        <w:t>cia del delito de robo en caso de los adultos</w:t>
      </w:r>
      <w:r w:rsidR="00904E10">
        <w:rPr>
          <w:rFonts w:ascii="Arial" w:hAnsi="Arial" w:cs="Arial"/>
          <w:sz w:val="24"/>
          <w:szCs w:val="24"/>
        </w:rPr>
        <w:t xml:space="preserve"> que disminuyó </w:t>
      </w:r>
      <w:r w:rsidR="003046CE">
        <w:rPr>
          <w:rFonts w:ascii="Arial" w:hAnsi="Arial" w:cs="Arial"/>
          <w:sz w:val="24"/>
          <w:szCs w:val="24"/>
        </w:rPr>
        <w:t>23.2</w:t>
      </w:r>
      <w:r w:rsidR="00904E10">
        <w:rPr>
          <w:rFonts w:ascii="Arial" w:hAnsi="Arial" w:cs="Arial"/>
          <w:sz w:val="24"/>
          <w:szCs w:val="24"/>
        </w:rPr>
        <w:t xml:space="preserve"> por ciento.</w:t>
      </w:r>
      <w:r w:rsidR="00AB3404">
        <w:rPr>
          <w:rFonts w:ascii="Arial" w:hAnsi="Arial" w:cs="Arial"/>
          <w:sz w:val="24"/>
          <w:szCs w:val="24"/>
        </w:rPr>
        <w:t xml:space="preserve"> </w:t>
      </w:r>
    </w:p>
    <w:p w14:paraId="329B4F1F" w14:textId="6E77D423" w:rsidR="0004518F" w:rsidRPr="00AB3404" w:rsidRDefault="00A71A7D" w:rsidP="00904E10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B3404">
        <w:rPr>
          <w:rFonts w:ascii="Arial" w:hAnsi="Arial" w:cs="Arial"/>
          <w:sz w:val="24"/>
          <w:szCs w:val="24"/>
        </w:rPr>
        <w:t>Durante 20</w:t>
      </w:r>
      <w:r w:rsidR="002C47D8" w:rsidRPr="00AB3404">
        <w:rPr>
          <w:rFonts w:ascii="Arial" w:hAnsi="Arial" w:cs="Arial"/>
          <w:sz w:val="24"/>
          <w:szCs w:val="24"/>
        </w:rPr>
        <w:t>20</w:t>
      </w:r>
      <w:r w:rsidRPr="00AB3404">
        <w:rPr>
          <w:rFonts w:ascii="Arial" w:hAnsi="Arial" w:cs="Arial"/>
          <w:sz w:val="24"/>
          <w:szCs w:val="24"/>
        </w:rPr>
        <w:t xml:space="preserve">, los </w:t>
      </w:r>
      <w:r w:rsidR="00040B38" w:rsidRPr="00AB3404">
        <w:rPr>
          <w:rFonts w:ascii="Arial" w:hAnsi="Arial" w:cs="Arial"/>
          <w:sz w:val="24"/>
          <w:szCs w:val="24"/>
        </w:rPr>
        <w:t>poderes judiciales estatales</w:t>
      </w:r>
      <w:r w:rsidRPr="00AB3404">
        <w:rPr>
          <w:rFonts w:ascii="Arial" w:hAnsi="Arial" w:cs="Arial"/>
          <w:sz w:val="24"/>
          <w:szCs w:val="24"/>
        </w:rPr>
        <w:t xml:space="preserve"> registraron </w:t>
      </w:r>
      <w:r w:rsidR="00D713E7" w:rsidRPr="00AB3404">
        <w:rPr>
          <w:rFonts w:ascii="Arial" w:hAnsi="Arial" w:cs="Arial"/>
          <w:sz w:val="24"/>
          <w:szCs w:val="24"/>
        </w:rPr>
        <w:t>121 572</w:t>
      </w:r>
      <w:r w:rsidRPr="00AB3404">
        <w:rPr>
          <w:rFonts w:ascii="Arial" w:hAnsi="Arial" w:cs="Arial"/>
          <w:sz w:val="24"/>
          <w:szCs w:val="24"/>
        </w:rPr>
        <w:t xml:space="preserve"> expedientes abiertos en todas las materias por los órganos o centros encargados de la aplicación de Justicia Alternativa y/o Mecanismos Alternativos de Solución de Controversias, en tanto que se concluyeron </w:t>
      </w:r>
      <w:r w:rsidR="00B73953" w:rsidRPr="00AB3404">
        <w:rPr>
          <w:rFonts w:ascii="Arial" w:hAnsi="Arial" w:cs="Arial"/>
          <w:sz w:val="24"/>
          <w:szCs w:val="24"/>
        </w:rPr>
        <w:t>113 961</w:t>
      </w:r>
      <w:r w:rsidRPr="00AB3404">
        <w:rPr>
          <w:rFonts w:ascii="Arial" w:hAnsi="Arial" w:cs="Arial"/>
          <w:sz w:val="24"/>
          <w:szCs w:val="24"/>
        </w:rPr>
        <w:t>.</w:t>
      </w:r>
      <w:r w:rsidR="00927268" w:rsidRPr="00AB3404">
        <w:rPr>
          <w:rFonts w:ascii="Arial" w:hAnsi="Arial" w:cs="Arial"/>
          <w:sz w:val="24"/>
          <w:szCs w:val="24"/>
        </w:rPr>
        <w:t xml:space="preserve"> Ambas cifras indican que, en contraste con 2019, los expedientes disminuyeron 37.0% y 31.8%, respectivamente.</w:t>
      </w:r>
    </w:p>
    <w:p w14:paraId="3855D2F6" w14:textId="30E8CC12" w:rsidR="00A71A7D" w:rsidRDefault="00A71A7D" w:rsidP="00076B6A">
      <w:pPr>
        <w:pStyle w:val="Prrafodelista"/>
        <w:spacing w:after="0" w:line="240" w:lineRule="auto"/>
        <w:ind w:left="284" w:right="56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D6B0D13" w14:textId="684695D9" w:rsidR="009A2346" w:rsidRPr="00756B55" w:rsidRDefault="009A2346" w:rsidP="009A2346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56B55">
        <w:rPr>
          <w:rFonts w:ascii="Arial" w:hAnsi="Arial" w:cs="Arial"/>
          <w:sz w:val="24"/>
          <w:szCs w:val="24"/>
        </w:rPr>
        <w:t xml:space="preserve">El Instituto Nacional de Estadística y Geografía (INEGI) da a conocer el Censo Nacional de </w:t>
      </w:r>
      <w:r>
        <w:rPr>
          <w:rFonts w:ascii="Arial" w:hAnsi="Arial" w:cs="Arial"/>
          <w:sz w:val="24"/>
          <w:szCs w:val="24"/>
        </w:rPr>
        <w:t>Impartición de Justicia</w:t>
      </w:r>
      <w:r w:rsidRPr="00756B55">
        <w:rPr>
          <w:rFonts w:ascii="Arial" w:hAnsi="Arial" w:cs="Arial"/>
          <w:sz w:val="24"/>
          <w:szCs w:val="24"/>
        </w:rPr>
        <w:t xml:space="preserve"> Estatal (CN</w:t>
      </w:r>
      <w:r>
        <w:rPr>
          <w:rFonts w:ascii="Arial" w:hAnsi="Arial" w:cs="Arial"/>
          <w:sz w:val="24"/>
          <w:szCs w:val="24"/>
        </w:rPr>
        <w:t>IJ</w:t>
      </w:r>
      <w:r w:rsidRPr="00756B55">
        <w:rPr>
          <w:rFonts w:ascii="Arial" w:hAnsi="Arial" w:cs="Arial"/>
          <w:sz w:val="24"/>
          <w:szCs w:val="24"/>
        </w:rPr>
        <w:t xml:space="preserve">E) 2021, programa estadístico que ofrece información estadística sobre la gestión y desempeño </w:t>
      </w:r>
      <w:r w:rsidRPr="009A2346">
        <w:rPr>
          <w:rFonts w:ascii="Arial" w:hAnsi="Arial" w:cs="Arial"/>
          <w:sz w:val="24"/>
          <w:szCs w:val="24"/>
        </w:rPr>
        <w:t xml:space="preserve">del Poder Judicial de cada entidad federativa, específicamente en las funciones de gobierno, impartición de justicia, justicia para adolescentes y justicia alternativa y/o mecanismos alternativos de solución de controversias, con la finalidad de que </w:t>
      </w:r>
      <w:r w:rsidR="002C47D8">
        <w:rPr>
          <w:rFonts w:ascii="Arial" w:hAnsi="Arial" w:cs="Arial"/>
          <w:sz w:val="24"/>
          <w:szCs w:val="24"/>
        </w:rPr>
        <w:t>é</w:t>
      </w:r>
      <w:r w:rsidRPr="009A2346">
        <w:rPr>
          <w:rFonts w:ascii="Arial" w:hAnsi="Arial" w:cs="Arial"/>
          <w:sz w:val="24"/>
          <w:szCs w:val="24"/>
        </w:rPr>
        <w:t>sta se vincule con el quehacer gubernamental dentro del proceso de diseño, implementación, monitoreo y evaluación de las políticas públicas de alcance nacional en los referidos temas</w:t>
      </w:r>
      <w:r w:rsidR="00520EFA"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756B55">
        <w:rPr>
          <w:rFonts w:ascii="Arial" w:hAnsi="Arial" w:cs="Arial"/>
          <w:sz w:val="24"/>
          <w:szCs w:val="24"/>
        </w:rPr>
        <w:t>.</w:t>
      </w:r>
    </w:p>
    <w:p w14:paraId="0EE18F1C" w14:textId="77777777" w:rsidR="009A2346" w:rsidRPr="00756B55" w:rsidRDefault="009A2346" w:rsidP="009A2346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55E52F10" w14:textId="4F14E1D5" w:rsidR="009A2346" w:rsidRPr="00B23F25" w:rsidRDefault="009A2346" w:rsidP="009A2346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bookmarkStart w:id="1" w:name="_Hlk83635527"/>
      <w:r w:rsidRPr="00756B55">
        <w:rPr>
          <w:rFonts w:ascii="Arial" w:hAnsi="Arial" w:cs="Arial"/>
          <w:sz w:val="24"/>
          <w:szCs w:val="24"/>
        </w:rPr>
        <w:t>Es preciso advertir que el levantamiento del C</w:t>
      </w:r>
      <w:r w:rsidR="00DB7E89">
        <w:rPr>
          <w:rFonts w:ascii="Arial" w:hAnsi="Arial" w:cs="Arial"/>
          <w:sz w:val="24"/>
          <w:szCs w:val="24"/>
        </w:rPr>
        <w:t>NIJE</w:t>
      </w:r>
      <w:r w:rsidRPr="00756B55">
        <w:rPr>
          <w:rFonts w:ascii="Arial" w:hAnsi="Arial" w:cs="Arial"/>
          <w:sz w:val="24"/>
          <w:szCs w:val="24"/>
        </w:rPr>
        <w:t xml:space="preserve"> 2021 </w:t>
      </w:r>
      <w:bookmarkEnd w:id="1"/>
      <w:r w:rsidRPr="00B23F25">
        <w:rPr>
          <w:rFonts w:ascii="Arial" w:hAnsi="Arial" w:cs="Arial"/>
          <w:sz w:val="24"/>
          <w:szCs w:val="24"/>
        </w:rPr>
        <w:t>ocurrió durante la contingencia sanitaria ocasionada por el virus SARS-</w:t>
      </w:r>
      <w:proofErr w:type="spellStart"/>
      <w:r w:rsidRPr="00B23F25">
        <w:rPr>
          <w:rFonts w:ascii="Arial" w:hAnsi="Arial" w:cs="Arial"/>
          <w:sz w:val="24"/>
          <w:szCs w:val="24"/>
        </w:rPr>
        <w:t>CoV</w:t>
      </w:r>
      <w:proofErr w:type="spellEnd"/>
      <w:r w:rsidRPr="00B23F25">
        <w:rPr>
          <w:rFonts w:ascii="Arial" w:hAnsi="Arial" w:cs="Arial"/>
          <w:sz w:val="24"/>
          <w:szCs w:val="24"/>
        </w:rPr>
        <w:t xml:space="preserve"> 2</w:t>
      </w:r>
      <w:r w:rsidR="00DB7E89">
        <w:rPr>
          <w:rFonts w:ascii="Arial" w:hAnsi="Arial" w:cs="Arial"/>
          <w:sz w:val="24"/>
          <w:szCs w:val="24"/>
        </w:rPr>
        <w:t xml:space="preserve"> </w:t>
      </w:r>
      <w:r w:rsidRPr="00B23F25">
        <w:rPr>
          <w:rFonts w:ascii="Arial" w:hAnsi="Arial" w:cs="Arial"/>
          <w:sz w:val="24"/>
          <w:szCs w:val="24"/>
        </w:rPr>
        <w:t>(COVID</w:t>
      </w:r>
      <w:r>
        <w:rPr>
          <w:rFonts w:ascii="Arial" w:hAnsi="Arial" w:cs="Arial"/>
          <w:sz w:val="24"/>
          <w:szCs w:val="24"/>
        </w:rPr>
        <w:t>-</w:t>
      </w:r>
      <w:r w:rsidRPr="00B23F25">
        <w:rPr>
          <w:rFonts w:ascii="Arial" w:hAnsi="Arial" w:cs="Arial"/>
          <w:sz w:val="24"/>
          <w:szCs w:val="24"/>
        </w:rPr>
        <w:t xml:space="preserve"> 19), así como durante la implementación de medidas sanitarias para evitar su propagación</w:t>
      </w:r>
      <w:r w:rsidR="001A0CFB">
        <w:rPr>
          <w:rFonts w:ascii="Arial" w:hAnsi="Arial" w:cs="Arial"/>
          <w:sz w:val="24"/>
          <w:szCs w:val="24"/>
        </w:rPr>
        <w:t>.</w:t>
      </w:r>
    </w:p>
    <w:p w14:paraId="5BF58751" w14:textId="544B4B75" w:rsidR="009A2346" w:rsidRPr="00756B55" w:rsidRDefault="009A2346" w:rsidP="009A2346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7555100E" w14:textId="6D2FEC20" w:rsidR="009A2346" w:rsidRPr="00756B55" w:rsidRDefault="009A2346" w:rsidP="009A2346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56B55">
        <w:rPr>
          <w:rFonts w:ascii="Arial" w:hAnsi="Arial" w:cs="Arial"/>
          <w:sz w:val="24"/>
          <w:szCs w:val="24"/>
        </w:rPr>
        <w:t>Entre los datos que aporta este Censo se encuentra que:</w:t>
      </w:r>
    </w:p>
    <w:p w14:paraId="721309F2" w14:textId="5F718E36" w:rsidR="0028131D" w:rsidRDefault="0028131D" w:rsidP="00DB7E8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CBCE86" w14:textId="4DC133CB" w:rsidR="005F75D5" w:rsidRPr="00AB3404" w:rsidRDefault="0028131D" w:rsidP="005F75D5">
      <w:pPr>
        <w:pStyle w:val="Prrafodelista"/>
        <w:numPr>
          <w:ilvl w:val="0"/>
          <w:numId w:val="15"/>
        </w:num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B3404">
        <w:rPr>
          <w:rFonts w:ascii="Arial" w:hAnsi="Arial" w:cs="Arial"/>
          <w:sz w:val="24"/>
          <w:szCs w:val="24"/>
        </w:rPr>
        <w:t>Al cierre de 20</w:t>
      </w:r>
      <w:r w:rsidR="005E0E07" w:rsidRPr="00AB3404">
        <w:rPr>
          <w:rFonts w:ascii="Arial" w:hAnsi="Arial" w:cs="Arial"/>
          <w:sz w:val="24"/>
          <w:szCs w:val="24"/>
        </w:rPr>
        <w:t>20</w:t>
      </w:r>
      <w:r w:rsidRPr="00AB3404">
        <w:rPr>
          <w:rFonts w:ascii="Arial" w:hAnsi="Arial" w:cs="Arial"/>
          <w:sz w:val="24"/>
          <w:szCs w:val="24"/>
        </w:rPr>
        <w:t xml:space="preserve">, los </w:t>
      </w:r>
      <w:r w:rsidR="00040B38" w:rsidRPr="00AB3404">
        <w:rPr>
          <w:rFonts w:ascii="Arial" w:hAnsi="Arial" w:cs="Arial"/>
          <w:sz w:val="24"/>
          <w:szCs w:val="24"/>
        </w:rPr>
        <w:t>poderes judiciales estatales</w:t>
      </w:r>
      <w:r w:rsidRPr="00AB3404">
        <w:rPr>
          <w:rFonts w:ascii="Arial" w:hAnsi="Arial" w:cs="Arial"/>
          <w:sz w:val="24"/>
          <w:szCs w:val="24"/>
        </w:rPr>
        <w:t xml:space="preserve"> se conformaron por </w:t>
      </w:r>
      <w:r w:rsidR="005E0E07" w:rsidRPr="00AB3404">
        <w:rPr>
          <w:rFonts w:ascii="Arial" w:hAnsi="Arial" w:cs="Arial"/>
          <w:sz w:val="24"/>
          <w:szCs w:val="24"/>
        </w:rPr>
        <w:t>3 721</w:t>
      </w:r>
      <w:r w:rsidRPr="00AB3404">
        <w:rPr>
          <w:rFonts w:ascii="Arial" w:hAnsi="Arial" w:cs="Arial"/>
          <w:sz w:val="24"/>
          <w:szCs w:val="24"/>
        </w:rPr>
        <w:t xml:space="preserve"> órganos jurisdiccionales (</w:t>
      </w:r>
      <w:r w:rsidR="005E0E07" w:rsidRPr="00AB3404">
        <w:rPr>
          <w:rFonts w:ascii="Arial" w:hAnsi="Arial" w:cs="Arial"/>
          <w:sz w:val="24"/>
          <w:szCs w:val="24"/>
        </w:rPr>
        <w:t>90.6</w:t>
      </w:r>
      <w:r w:rsidRPr="00AB3404">
        <w:rPr>
          <w:rFonts w:ascii="Arial" w:hAnsi="Arial" w:cs="Arial"/>
          <w:sz w:val="24"/>
          <w:szCs w:val="24"/>
        </w:rPr>
        <w:t xml:space="preserve">% correspondió a primera instancia y </w:t>
      </w:r>
      <w:r w:rsidR="005E0E07" w:rsidRPr="00AB3404">
        <w:rPr>
          <w:rFonts w:ascii="Arial" w:hAnsi="Arial" w:cs="Arial"/>
          <w:sz w:val="24"/>
          <w:szCs w:val="24"/>
        </w:rPr>
        <w:t>9.4</w:t>
      </w:r>
      <w:r w:rsidRPr="00AB3404">
        <w:rPr>
          <w:rFonts w:ascii="Arial" w:hAnsi="Arial" w:cs="Arial"/>
          <w:sz w:val="24"/>
          <w:szCs w:val="24"/>
        </w:rPr>
        <w:t xml:space="preserve">% a segunda instancia) y </w:t>
      </w:r>
      <w:r w:rsidR="005E0E07" w:rsidRPr="00AB3404">
        <w:rPr>
          <w:rFonts w:ascii="Arial" w:hAnsi="Arial" w:cs="Arial"/>
          <w:sz w:val="24"/>
          <w:szCs w:val="24"/>
        </w:rPr>
        <w:t xml:space="preserve">            </w:t>
      </w:r>
      <w:r w:rsidRPr="00AB3404">
        <w:rPr>
          <w:rFonts w:ascii="Arial" w:hAnsi="Arial" w:cs="Arial"/>
          <w:sz w:val="24"/>
          <w:szCs w:val="24"/>
        </w:rPr>
        <w:t xml:space="preserve">1 </w:t>
      </w:r>
      <w:r w:rsidR="005E0E07" w:rsidRPr="00AB3404">
        <w:rPr>
          <w:rFonts w:ascii="Arial" w:hAnsi="Arial" w:cs="Arial"/>
          <w:sz w:val="24"/>
          <w:szCs w:val="24"/>
        </w:rPr>
        <w:t>450</w:t>
      </w:r>
      <w:r w:rsidRPr="00AB3404">
        <w:rPr>
          <w:rFonts w:ascii="Arial" w:hAnsi="Arial" w:cs="Arial"/>
          <w:sz w:val="24"/>
          <w:szCs w:val="24"/>
        </w:rPr>
        <w:t xml:space="preserve"> a órganos administrativos y/o unidades administrativas.</w:t>
      </w:r>
    </w:p>
    <w:p w14:paraId="00C9F58A" w14:textId="77777777" w:rsidR="00265202" w:rsidRPr="00AB3404" w:rsidRDefault="00265202" w:rsidP="002652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AC2F95" w14:textId="097F9254" w:rsidR="00A87DF9" w:rsidRDefault="00265202" w:rsidP="00A87DF9">
      <w:pPr>
        <w:pStyle w:val="Prrafodelista"/>
        <w:numPr>
          <w:ilvl w:val="0"/>
          <w:numId w:val="3"/>
        </w:num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B3404">
        <w:rPr>
          <w:rFonts w:ascii="Arial" w:hAnsi="Arial" w:cs="Arial"/>
          <w:sz w:val="24"/>
          <w:szCs w:val="24"/>
        </w:rPr>
        <w:t>Al cierre de 2020, en los poderes judiciales estatales se reportaron 70 294 servidoras y servidores públicos, de los cuales, 47 226 (67.2%) estuvieron adscritos a los órganos jurisdiccionales, 38 224 en órganos de primera instancia</w:t>
      </w:r>
      <w:r w:rsidR="004872D5">
        <w:rPr>
          <w:rFonts w:ascii="Arial" w:hAnsi="Arial" w:cs="Arial"/>
          <w:sz w:val="24"/>
          <w:szCs w:val="24"/>
        </w:rPr>
        <w:t>,</w:t>
      </w:r>
      <w:r w:rsidRPr="00AB3404">
        <w:rPr>
          <w:rFonts w:ascii="Arial" w:hAnsi="Arial" w:cs="Arial"/>
          <w:sz w:val="24"/>
          <w:szCs w:val="24"/>
        </w:rPr>
        <w:t xml:space="preserve"> 9 002 en segunda instancia </w:t>
      </w:r>
      <w:proofErr w:type="gramStart"/>
      <w:r w:rsidRPr="00AB3404">
        <w:rPr>
          <w:rFonts w:ascii="Arial" w:hAnsi="Arial" w:cs="Arial"/>
          <w:sz w:val="24"/>
          <w:szCs w:val="24"/>
        </w:rPr>
        <w:t xml:space="preserve">y </w:t>
      </w:r>
      <w:r w:rsidR="006C6BBA">
        <w:rPr>
          <w:rFonts w:ascii="Arial" w:hAnsi="Arial" w:cs="Arial"/>
          <w:sz w:val="24"/>
          <w:szCs w:val="24"/>
        </w:rPr>
        <w:t xml:space="preserve"> </w:t>
      </w:r>
      <w:r w:rsidRPr="00AB3404">
        <w:rPr>
          <w:rFonts w:ascii="Arial" w:hAnsi="Arial" w:cs="Arial"/>
          <w:sz w:val="24"/>
          <w:szCs w:val="24"/>
        </w:rPr>
        <w:t>22</w:t>
      </w:r>
      <w:proofErr w:type="gramEnd"/>
      <w:r w:rsidRPr="00AB3404">
        <w:rPr>
          <w:rFonts w:ascii="Arial" w:hAnsi="Arial" w:cs="Arial"/>
          <w:sz w:val="24"/>
          <w:szCs w:val="24"/>
        </w:rPr>
        <w:t xml:space="preserve"> 996 (32.7%) a órganos administrativos y/o unidades administrativas. Del total del </w:t>
      </w:r>
      <w:r w:rsidRPr="00AB3404">
        <w:rPr>
          <w:rFonts w:ascii="Arial" w:hAnsi="Arial" w:cs="Arial"/>
          <w:sz w:val="24"/>
          <w:szCs w:val="24"/>
        </w:rPr>
        <w:lastRenderedPageBreak/>
        <w:t>personal, los hombres representaron 40.9% (28 724), las mujeres 59.0% (41 498) y para el restante 0.1% (72) no se especificó el sexo.</w:t>
      </w:r>
    </w:p>
    <w:p w14:paraId="29186C73" w14:textId="77777777" w:rsidR="00A87DF9" w:rsidRDefault="00A87DF9" w:rsidP="00A87DF9">
      <w:pPr>
        <w:pStyle w:val="Prrafodelista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14:paraId="7886FE35" w14:textId="4DED5394" w:rsidR="00C865E0" w:rsidRPr="00A87DF9" w:rsidRDefault="00C865E0" w:rsidP="00A87DF9">
      <w:pPr>
        <w:pStyle w:val="Prrafodelista"/>
        <w:numPr>
          <w:ilvl w:val="0"/>
          <w:numId w:val="3"/>
        </w:numPr>
        <w:spacing w:after="0" w:line="240" w:lineRule="auto"/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 w:rsidRPr="00A87DF9">
        <w:rPr>
          <w:rFonts w:ascii="Arial" w:hAnsi="Arial" w:cs="Arial"/>
          <w:color w:val="000000"/>
          <w:sz w:val="24"/>
          <w:szCs w:val="24"/>
        </w:rPr>
        <w:t xml:space="preserve">Al cierre de 2020, se reportaron 4 783 servidoras y servidores públicos con el cargo de magistrados y jueces en los órganos jurisdiccionales, cifra que, en comparación con lo reportado en 2019, indica un aumento de 3.4%. Del total de magistrados y jueces, 2 753 (57.6%) fueron hombres y 2 030 (42.4%) mujeres. Según el órgano de adscripción, 4 188 (87.6%) estaban adscritos en órganos de primera instancia y 595 (12.4%) en órganos de segunda instancia. </w:t>
      </w:r>
    </w:p>
    <w:p w14:paraId="25C2B770" w14:textId="77777777" w:rsidR="00265202" w:rsidRPr="00AB3404" w:rsidRDefault="00265202" w:rsidP="00265202">
      <w:pPr>
        <w:pStyle w:val="Default"/>
        <w:jc w:val="both"/>
        <w:rPr>
          <w:color w:val="auto"/>
        </w:rPr>
      </w:pPr>
    </w:p>
    <w:p w14:paraId="005346E0" w14:textId="3320F80D" w:rsidR="00265202" w:rsidRPr="00AB3404" w:rsidRDefault="003E6887" w:rsidP="00265202">
      <w:pPr>
        <w:pStyle w:val="Prrafodelista"/>
        <w:numPr>
          <w:ilvl w:val="0"/>
          <w:numId w:val="3"/>
        </w:num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265202" w:rsidRPr="00AB3404">
        <w:rPr>
          <w:rFonts w:ascii="Arial" w:hAnsi="Arial" w:cs="Arial"/>
          <w:color w:val="000000"/>
          <w:sz w:val="24"/>
          <w:szCs w:val="24"/>
        </w:rPr>
        <w:t xml:space="preserve">os recursos presupuestales ejercidos por los poderes judiciales estatales durante 2020 </w:t>
      </w:r>
      <w:r>
        <w:rPr>
          <w:rFonts w:ascii="Arial" w:hAnsi="Arial" w:cs="Arial"/>
          <w:color w:val="000000"/>
          <w:sz w:val="24"/>
          <w:szCs w:val="24"/>
        </w:rPr>
        <w:t>fueron de</w:t>
      </w:r>
      <w:r w:rsidR="00265202" w:rsidRPr="00AB3404">
        <w:t xml:space="preserve"> </w:t>
      </w:r>
      <w:r w:rsidR="00265202" w:rsidRPr="00AB3404">
        <w:rPr>
          <w:rFonts w:ascii="Arial" w:hAnsi="Arial" w:cs="Arial"/>
          <w:color w:val="000000"/>
          <w:sz w:val="24"/>
          <w:szCs w:val="24"/>
        </w:rPr>
        <w:t>39 410 231 048 pesos. En comparación con el presupuesto reportado en 2019, la cantidad de presupuesto ejercido aumentó 5.6% en 2020.</w:t>
      </w:r>
    </w:p>
    <w:p w14:paraId="15D2ABCF" w14:textId="77777777" w:rsidR="00265202" w:rsidRPr="00AB3404" w:rsidRDefault="00265202" w:rsidP="00AB3404">
      <w:pPr>
        <w:pStyle w:val="Prrafodelista"/>
        <w:rPr>
          <w:rFonts w:ascii="Arial" w:hAnsi="Arial" w:cs="Arial"/>
          <w:sz w:val="24"/>
          <w:szCs w:val="24"/>
          <w:highlight w:val="yellow"/>
        </w:rPr>
      </w:pPr>
    </w:p>
    <w:p w14:paraId="322B9A0A" w14:textId="10C97D59" w:rsidR="005F75D5" w:rsidRPr="00265202" w:rsidRDefault="00265202" w:rsidP="00AB340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 w:rsidRPr="00265202">
        <w:rPr>
          <w:rFonts w:ascii="Arial" w:hAnsi="Arial" w:cs="Arial"/>
          <w:color w:val="000000"/>
          <w:sz w:val="24"/>
          <w:szCs w:val="24"/>
        </w:rPr>
        <w:t xml:space="preserve">En 2020 se reportó que los poderes judiciales estatales publicaron en sus sitios </w:t>
      </w:r>
      <w:r w:rsidRPr="003E6887">
        <w:rPr>
          <w:rFonts w:ascii="Arial" w:hAnsi="Arial" w:cs="Arial"/>
          <w:iCs/>
          <w:color w:val="000000"/>
          <w:sz w:val="24"/>
          <w:szCs w:val="24"/>
        </w:rPr>
        <w:t>web</w:t>
      </w:r>
      <w:r w:rsidRPr="003E6887">
        <w:rPr>
          <w:rFonts w:ascii="Arial" w:hAnsi="Arial" w:cs="Arial"/>
          <w:color w:val="000000"/>
          <w:sz w:val="24"/>
          <w:szCs w:val="24"/>
        </w:rPr>
        <w:t xml:space="preserve"> </w:t>
      </w:r>
      <w:r w:rsidR="006C6BBA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265202">
        <w:rPr>
          <w:rFonts w:ascii="Arial" w:hAnsi="Arial" w:cs="Arial"/>
          <w:color w:val="000000"/>
          <w:sz w:val="24"/>
          <w:szCs w:val="24"/>
        </w:rPr>
        <w:t>113 859 sentencias emitidas por los órganos jurisdiccionales</w:t>
      </w:r>
      <w:r w:rsidR="003E6887">
        <w:rPr>
          <w:rFonts w:ascii="Arial" w:hAnsi="Arial" w:cs="Arial"/>
          <w:color w:val="000000"/>
          <w:sz w:val="24"/>
          <w:szCs w:val="24"/>
        </w:rPr>
        <w:t>. D</w:t>
      </w:r>
      <w:r w:rsidRPr="00265202">
        <w:rPr>
          <w:rFonts w:ascii="Arial" w:hAnsi="Arial" w:cs="Arial"/>
          <w:color w:val="000000"/>
          <w:sz w:val="24"/>
          <w:szCs w:val="24"/>
        </w:rPr>
        <w:t xml:space="preserve">e ellas, 90 149 (79.2%) correspondieron a primera instancia y 23 710 (20.8%) a segunda instancia. En contraste con lo reportado en 2019, la cantidad total de sentencias publicadas en los sitios </w:t>
      </w:r>
      <w:r w:rsidRPr="003E6887">
        <w:rPr>
          <w:rFonts w:ascii="Arial" w:hAnsi="Arial" w:cs="Arial"/>
          <w:iCs/>
          <w:color w:val="000000"/>
          <w:sz w:val="24"/>
          <w:szCs w:val="24"/>
        </w:rPr>
        <w:t>web</w:t>
      </w:r>
      <w:r w:rsidRPr="00265202">
        <w:rPr>
          <w:rFonts w:ascii="Arial" w:hAnsi="Arial" w:cs="Arial"/>
          <w:color w:val="000000"/>
          <w:sz w:val="24"/>
          <w:szCs w:val="24"/>
        </w:rPr>
        <w:t xml:space="preserve"> disminuyó 14.1% en 2020.</w:t>
      </w:r>
      <w:r w:rsidRPr="00265202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3A3FFF0F" w14:textId="77777777" w:rsidR="007B6DB1" w:rsidRPr="00E839A2" w:rsidRDefault="007B6DB1" w:rsidP="00076B6A">
      <w:pPr>
        <w:spacing w:after="0" w:line="240" w:lineRule="auto"/>
        <w:ind w:left="-142" w:hanging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86ADE1D" w14:textId="16DE4854" w:rsidR="00265202" w:rsidRPr="00265202" w:rsidRDefault="00265202" w:rsidP="00AB3404">
      <w:pPr>
        <w:pStyle w:val="Prrafodelista"/>
        <w:numPr>
          <w:ilvl w:val="0"/>
          <w:numId w:val="15"/>
        </w:numPr>
        <w:spacing w:after="0"/>
        <w:ind w:left="-142"/>
        <w:jc w:val="both"/>
        <w:rPr>
          <w:rFonts w:ascii="Arial" w:hAnsi="Arial" w:cs="Arial"/>
          <w:spacing w:val="-2"/>
          <w:sz w:val="24"/>
          <w:szCs w:val="24"/>
        </w:rPr>
      </w:pPr>
      <w:r w:rsidRPr="00265202">
        <w:rPr>
          <w:rFonts w:ascii="Arial" w:hAnsi="Arial" w:cs="Arial"/>
          <w:sz w:val="24"/>
          <w:szCs w:val="24"/>
        </w:rPr>
        <w:t>D</w:t>
      </w:r>
      <w:r w:rsidRPr="00265202">
        <w:rPr>
          <w:rFonts w:ascii="Arial" w:hAnsi="Arial" w:cs="Arial"/>
          <w:spacing w:val="-2"/>
          <w:sz w:val="24"/>
          <w:szCs w:val="24"/>
        </w:rPr>
        <w:t>urante 2020, a nivel nacional se reportaron 1 577 327 asuntos ingresados y 871 054 concluidos por los órganos jurisdiccionales de los poderes judiciales estatales en todas las materias. En comparación con 2019, se observa una disminución de 30.8% en la cantidad total de asuntos ingresados y una disminución de 34.6% en los asuntos concluidos.</w:t>
      </w:r>
    </w:p>
    <w:p w14:paraId="262F6031" w14:textId="77777777" w:rsidR="0012683C" w:rsidRPr="00E839A2" w:rsidRDefault="0012683C" w:rsidP="00076B6A">
      <w:pPr>
        <w:pStyle w:val="Prrafodelista"/>
        <w:spacing w:after="0" w:line="240" w:lineRule="auto"/>
        <w:ind w:left="-142" w:hanging="360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6D3D06AC" w14:textId="0A9AC3FB" w:rsidR="0020299D" w:rsidRPr="00AB3404" w:rsidRDefault="00AA274F" w:rsidP="00076B6A">
      <w:pPr>
        <w:pStyle w:val="Prrafodelista"/>
        <w:numPr>
          <w:ilvl w:val="0"/>
          <w:numId w:val="3"/>
        </w:num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B3404">
        <w:rPr>
          <w:rFonts w:ascii="Arial" w:hAnsi="Arial" w:cs="Arial"/>
          <w:sz w:val="24"/>
          <w:szCs w:val="24"/>
        </w:rPr>
        <w:t>De</w:t>
      </w:r>
      <w:r w:rsidR="00C15412" w:rsidRPr="00AB3404">
        <w:rPr>
          <w:rFonts w:ascii="Arial" w:hAnsi="Arial" w:cs="Arial"/>
          <w:sz w:val="24"/>
          <w:szCs w:val="24"/>
        </w:rPr>
        <w:t xml:space="preserve"> l</w:t>
      </w:r>
      <w:r w:rsidR="007D291F">
        <w:rPr>
          <w:rFonts w:ascii="Arial" w:hAnsi="Arial" w:cs="Arial"/>
          <w:sz w:val="24"/>
          <w:szCs w:val="24"/>
        </w:rPr>
        <w:t>a</w:t>
      </w:r>
      <w:r w:rsidR="00C15412" w:rsidRPr="00AB3404">
        <w:rPr>
          <w:rFonts w:ascii="Arial" w:hAnsi="Arial" w:cs="Arial"/>
          <w:sz w:val="24"/>
          <w:szCs w:val="24"/>
        </w:rPr>
        <w:t xml:space="preserve">s </w:t>
      </w:r>
      <w:r w:rsidR="00476D1A" w:rsidRPr="00AB3404">
        <w:rPr>
          <w:rFonts w:ascii="Arial" w:hAnsi="Arial" w:cs="Arial"/>
          <w:sz w:val="24"/>
          <w:szCs w:val="24"/>
        </w:rPr>
        <w:t>1 577 327</w:t>
      </w:r>
      <w:r w:rsidR="0020299D" w:rsidRPr="00AB3404">
        <w:rPr>
          <w:rFonts w:ascii="Arial" w:hAnsi="Arial" w:cs="Arial"/>
          <w:sz w:val="24"/>
          <w:szCs w:val="24"/>
        </w:rPr>
        <w:t xml:space="preserve"> causas penales y expedientes ingresados a los órganos jurisdiccionales de los </w:t>
      </w:r>
      <w:r w:rsidR="00040B38" w:rsidRPr="00AB3404">
        <w:rPr>
          <w:rFonts w:ascii="Arial" w:hAnsi="Arial" w:cs="Arial"/>
          <w:sz w:val="24"/>
          <w:szCs w:val="24"/>
        </w:rPr>
        <w:t>poderes judiciales estatales</w:t>
      </w:r>
      <w:r w:rsidR="0020299D" w:rsidRPr="00AB3404">
        <w:rPr>
          <w:rFonts w:ascii="Arial" w:hAnsi="Arial" w:cs="Arial"/>
          <w:sz w:val="24"/>
          <w:szCs w:val="24"/>
        </w:rPr>
        <w:t xml:space="preserve">, </w:t>
      </w:r>
      <w:r w:rsidR="00476D1A" w:rsidRPr="00AB3404">
        <w:rPr>
          <w:rFonts w:ascii="Arial" w:hAnsi="Arial" w:cs="Arial"/>
          <w:sz w:val="24"/>
          <w:szCs w:val="24"/>
        </w:rPr>
        <w:t>1 140 717</w:t>
      </w:r>
      <w:r w:rsidR="0020299D" w:rsidRPr="00AB3404">
        <w:rPr>
          <w:rFonts w:ascii="Arial" w:hAnsi="Arial" w:cs="Arial"/>
          <w:sz w:val="24"/>
          <w:szCs w:val="24"/>
        </w:rPr>
        <w:t xml:space="preserve"> se registraron en el Sistema Tradicional y </w:t>
      </w:r>
      <w:r w:rsidR="00607C4F" w:rsidRPr="00AB3404">
        <w:rPr>
          <w:rFonts w:ascii="Arial" w:hAnsi="Arial" w:cs="Arial"/>
          <w:sz w:val="24"/>
          <w:szCs w:val="24"/>
        </w:rPr>
        <w:t xml:space="preserve">                </w:t>
      </w:r>
      <w:r w:rsidR="00476D1A" w:rsidRPr="00AB3404">
        <w:rPr>
          <w:rFonts w:ascii="Arial" w:hAnsi="Arial" w:cs="Arial"/>
          <w:sz w:val="24"/>
          <w:szCs w:val="24"/>
        </w:rPr>
        <w:t>436 310</w:t>
      </w:r>
      <w:r w:rsidR="0020299D" w:rsidRPr="00AB3404">
        <w:rPr>
          <w:rFonts w:ascii="Arial" w:hAnsi="Arial" w:cs="Arial"/>
          <w:sz w:val="24"/>
          <w:szCs w:val="24"/>
        </w:rPr>
        <w:t xml:space="preserve"> en el Sistema Oral</w:t>
      </w:r>
      <w:r w:rsidR="0020299D" w:rsidRPr="00AB3404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20299D" w:rsidRPr="00AB3404">
        <w:rPr>
          <w:rFonts w:ascii="Arial" w:hAnsi="Arial" w:cs="Arial"/>
          <w:sz w:val="24"/>
          <w:szCs w:val="24"/>
        </w:rPr>
        <w:t xml:space="preserve">. </w:t>
      </w:r>
    </w:p>
    <w:p w14:paraId="73463E71" w14:textId="77777777" w:rsidR="0020299D" w:rsidRPr="00AB3404" w:rsidRDefault="0020299D" w:rsidP="00076B6A">
      <w:pPr>
        <w:spacing w:after="0" w:line="240" w:lineRule="auto"/>
        <w:ind w:left="-142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75A84796" w14:textId="04AA9A8A" w:rsidR="00687273" w:rsidRPr="00AB3404" w:rsidRDefault="00687273" w:rsidP="00076B6A">
      <w:pPr>
        <w:pStyle w:val="Prrafodelista"/>
        <w:numPr>
          <w:ilvl w:val="0"/>
          <w:numId w:val="3"/>
        </w:num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B3404">
        <w:rPr>
          <w:rFonts w:ascii="Arial" w:hAnsi="Arial" w:cs="Arial"/>
          <w:sz w:val="24"/>
          <w:szCs w:val="24"/>
        </w:rPr>
        <w:t>Sobre los delitos registrados en las causas penales ingresadas, en 20</w:t>
      </w:r>
      <w:r w:rsidR="00147C74" w:rsidRPr="00AB3404">
        <w:rPr>
          <w:rFonts w:ascii="Arial" w:hAnsi="Arial" w:cs="Arial"/>
          <w:sz w:val="24"/>
          <w:szCs w:val="24"/>
        </w:rPr>
        <w:t>20</w:t>
      </w:r>
      <w:r w:rsidRPr="00AB3404">
        <w:rPr>
          <w:rFonts w:ascii="Arial" w:hAnsi="Arial" w:cs="Arial"/>
          <w:sz w:val="24"/>
          <w:szCs w:val="24"/>
        </w:rPr>
        <w:t xml:space="preserve"> se reportó un total de </w:t>
      </w:r>
      <w:r w:rsidR="00147C74" w:rsidRPr="00AB3404">
        <w:rPr>
          <w:rFonts w:ascii="Arial" w:hAnsi="Arial" w:cs="Arial"/>
          <w:sz w:val="24"/>
          <w:szCs w:val="24"/>
        </w:rPr>
        <w:t>204 012</w:t>
      </w:r>
      <w:r w:rsidR="003E6887">
        <w:rPr>
          <w:rFonts w:ascii="Arial" w:hAnsi="Arial" w:cs="Arial"/>
          <w:sz w:val="24"/>
          <w:szCs w:val="24"/>
        </w:rPr>
        <w:t>. D</w:t>
      </w:r>
      <w:r w:rsidRPr="00AB3404">
        <w:rPr>
          <w:rFonts w:ascii="Arial" w:hAnsi="Arial" w:cs="Arial"/>
          <w:sz w:val="24"/>
          <w:szCs w:val="24"/>
        </w:rPr>
        <w:t xml:space="preserve">e ellos, </w:t>
      </w:r>
      <w:r w:rsidR="00147C74" w:rsidRPr="00AB3404">
        <w:rPr>
          <w:rFonts w:ascii="Arial" w:hAnsi="Arial" w:cs="Arial"/>
          <w:sz w:val="24"/>
          <w:szCs w:val="24"/>
        </w:rPr>
        <w:t>198 132</w:t>
      </w:r>
      <w:r w:rsidRPr="00AB3404">
        <w:rPr>
          <w:rFonts w:ascii="Arial" w:hAnsi="Arial" w:cs="Arial"/>
          <w:sz w:val="24"/>
          <w:szCs w:val="24"/>
        </w:rPr>
        <w:t xml:space="preserve"> (</w:t>
      </w:r>
      <w:r w:rsidR="00147C74" w:rsidRPr="00AB3404">
        <w:rPr>
          <w:rFonts w:ascii="Arial" w:hAnsi="Arial" w:cs="Arial"/>
          <w:sz w:val="24"/>
          <w:szCs w:val="24"/>
        </w:rPr>
        <w:t>97.1</w:t>
      </w:r>
      <w:r w:rsidRPr="00AB3404">
        <w:rPr>
          <w:rFonts w:ascii="Arial" w:hAnsi="Arial" w:cs="Arial"/>
          <w:sz w:val="24"/>
          <w:szCs w:val="24"/>
        </w:rPr>
        <w:t xml:space="preserve">%) </w:t>
      </w:r>
      <w:r w:rsidR="0020299D" w:rsidRPr="00AB3404">
        <w:rPr>
          <w:rFonts w:ascii="Arial" w:hAnsi="Arial" w:cs="Arial"/>
          <w:sz w:val="24"/>
          <w:szCs w:val="24"/>
        </w:rPr>
        <w:t>correspondieron a</w:t>
      </w:r>
      <w:r w:rsidRPr="00AB3404">
        <w:rPr>
          <w:rFonts w:ascii="Arial" w:hAnsi="Arial" w:cs="Arial"/>
          <w:sz w:val="24"/>
          <w:szCs w:val="24"/>
        </w:rPr>
        <w:t xml:space="preserve"> adultos y 5 </w:t>
      </w:r>
      <w:r w:rsidR="00147C74" w:rsidRPr="00AB3404">
        <w:rPr>
          <w:rFonts w:ascii="Arial" w:hAnsi="Arial" w:cs="Arial"/>
          <w:sz w:val="24"/>
          <w:szCs w:val="24"/>
        </w:rPr>
        <w:t>880</w:t>
      </w:r>
      <w:r w:rsidRPr="00AB3404">
        <w:rPr>
          <w:rFonts w:ascii="Arial" w:hAnsi="Arial" w:cs="Arial"/>
          <w:sz w:val="24"/>
          <w:szCs w:val="24"/>
        </w:rPr>
        <w:t xml:space="preserve"> a adolescentes (</w:t>
      </w:r>
      <w:r w:rsidR="00147C74" w:rsidRPr="00AB3404">
        <w:rPr>
          <w:rFonts w:ascii="Arial" w:hAnsi="Arial" w:cs="Arial"/>
          <w:sz w:val="24"/>
          <w:szCs w:val="24"/>
        </w:rPr>
        <w:t>2.9%</w:t>
      </w:r>
      <w:r w:rsidRPr="00AB3404">
        <w:rPr>
          <w:rFonts w:ascii="Arial" w:hAnsi="Arial" w:cs="Arial"/>
          <w:sz w:val="24"/>
          <w:szCs w:val="24"/>
        </w:rPr>
        <w:t xml:space="preserve">). </w:t>
      </w:r>
      <w:r w:rsidR="00147C74" w:rsidRPr="00AB3404">
        <w:rPr>
          <w:rFonts w:ascii="Arial" w:hAnsi="Arial" w:cs="Arial"/>
          <w:sz w:val="24"/>
          <w:szCs w:val="24"/>
        </w:rPr>
        <w:t>En comparación con 2019, la cantidad de delitos disminuyó 10.2 por ciento.</w:t>
      </w:r>
    </w:p>
    <w:p w14:paraId="2C910C45" w14:textId="39F947CF" w:rsidR="00687273" w:rsidRPr="00AB3404" w:rsidRDefault="00687273" w:rsidP="00076B6A">
      <w:pPr>
        <w:pStyle w:val="Prrafodelista"/>
        <w:spacing w:after="0" w:line="240" w:lineRule="auto"/>
        <w:ind w:left="-142" w:hanging="360"/>
        <w:jc w:val="both"/>
        <w:rPr>
          <w:rFonts w:ascii="Arial" w:hAnsi="Arial" w:cs="Arial"/>
          <w:sz w:val="24"/>
          <w:szCs w:val="24"/>
        </w:rPr>
      </w:pPr>
    </w:p>
    <w:p w14:paraId="42F671DD" w14:textId="701C594D" w:rsidR="00763F1D" w:rsidRPr="00AB3404" w:rsidRDefault="00763F1D" w:rsidP="00DB7E89">
      <w:pPr>
        <w:pStyle w:val="Prrafodelista"/>
        <w:numPr>
          <w:ilvl w:val="0"/>
          <w:numId w:val="3"/>
        </w:num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B3404">
        <w:rPr>
          <w:rFonts w:ascii="Arial" w:hAnsi="Arial" w:cs="Arial"/>
          <w:sz w:val="24"/>
          <w:szCs w:val="24"/>
        </w:rPr>
        <w:t>De acuerdo con el tipo de delito cometido, en el caso de los adultos</w:t>
      </w:r>
      <w:r w:rsidR="007D4D48">
        <w:rPr>
          <w:rFonts w:ascii="Arial" w:hAnsi="Arial" w:cs="Arial"/>
          <w:sz w:val="24"/>
          <w:szCs w:val="24"/>
        </w:rPr>
        <w:t>,</w:t>
      </w:r>
      <w:r w:rsidRPr="00AB3404">
        <w:rPr>
          <w:rFonts w:ascii="Arial" w:hAnsi="Arial" w:cs="Arial"/>
          <w:sz w:val="24"/>
          <w:szCs w:val="24"/>
        </w:rPr>
        <w:t xml:space="preserve"> el robo registró la mayor incidencia </w:t>
      </w:r>
      <w:r w:rsidR="00E13C2C">
        <w:rPr>
          <w:rFonts w:ascii="Arial" w:hAnsi="Arial" w:cs="Arial"/>
          <w:sz w:val="24"/>
          <w:szCs w:val="24"/>
        </w:rPr>
        <w:t xml:space="preserve">con </w:t>
      </w:r>
      <w:r w:rsidRPr="00AB3404">
        <w:rPr>
          <w:rFonts w:ascii="Arial" w:hAnsi="Arial" w:cs="Arial"/>
          <w:sz w:val="24"/>
          <w:szCs w:val="24"/>
        </w:rPr>
        <w:t>22.0%</w:t>
      </w:r>
      <w:r w:rsidR="00E13C2C">
        <w:rPr>
          <w:rFonts w:ascii="Arial" w:hAnsi="Arial" w:cs="Arial"/>
          <w:sz w:val="24"/>
          <w:szCs w:val="24"/>
        </w:rPr>
        <w:t>.</w:t>
      </w:r>
      <w:r w:rsidRPr="00AB3404">
        <w:rPr>
          <w:rFonts w:ascii="Arial" w:hAnsi="Arial" w:cs="Arial"/>
          <w:sz w:val="24"/>
          <w:szCs w:val="24"/>
        </w:rPr>
        <w:t xml:space="preserve"> </w:t>
      </w:r>
      <w:r w:rsidR="00E13C2C">
        <w:rPr>
          <w:rFonts w:ascii="Arial" w:hAnsi="Arial" w:cs="Arial"/>
          <w:sz w:val="24"/>
          <w:szCs w:val="24"/>
        </w:rPr>
        <w:t>E</w:t>
      </w:r>
      <w:r w:rsidRPr="00AB3404">
        <w:rPr>
          <w:rFonts w:ascii="Arial" w:hAnsi="Arial" w:cs="Arial"/>
          <w:sz w:val="24"/>
          <w:szCs w:val="24"/>
        </w:rPr>
        <w:t xml:space="preserve">n cuanto a los adolescentes, los más frecuentes fueron los delitos contra la salud relacionados con narcóticos en su modalidad de narcomenudeo, que </w:t>
      </w:r>
      <w:r w:rsidRPr="0017731B">
        <w:rPr>
          <w:rFonts w:ascii="Arial" w:hAnsi="Arial" w:cs="Arial"/>
          <w:sz w:val="24"/>
          <w:szCs w:val="24"/>
        </w:rPr>
        <w:t>representaron 32.3 por ciento</w:t>
      </w:r>
      <w:r w:rsidRPr="00AB3404">
        <w:rPr>
          <w:rFonts w:ascii="Arial" w:hAnsi="Arial" w:cs="Arial"/>
          <w:sz w:val="24"/>
          <w:szCs w:val="24"/>
        </w:rPr>
        <w:t>.</w:t>
      </w:r>
    </w:p>
    <w:p w14:paraId="70F28EB8" w14:textId="77777777" w:rsidR="00763F1D" w:rsidRPr="00AB3404" w:rsidRDefault="00763F1D" w:rsidP="00763F1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E16E802" w14:textId="1FF754D0" w:rsidR="001D1F70" w:rsidRDefault="001D1F70" w:rsidP="00076B6A">
      <w:pPr>
        <w:pStyle w:val="Prrafodelista"/>
        <w:numPr>
          <w:ilvl w:val="0"/>
          <w:numId w:val="3"/>
        </w:num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B3404">
        <w:rPr>
          <w:rFonts w:ascii="Arial" w:hAnsi="Arial" w:cs="Arial"/>
          <w:sz w:val="24"/>
          <w:szCs w:val="24"/>
        </w:rPr>
        <w:lastRenderedPageBreak/>
        <w:t>El porcentaje de causas penales ingresadas en los Tribunales de Enjuiciamiento</w:t>
      </w:r>
      <w:r w:rsidR="009B079F" w:rsidRPr="00AB3404">
        <w:rPr>
          <w:rFonts w:ascii="Arial" w:hAnsi="Arial" w:cs="Arial"/>
          <w:sz w:val="24"/>
          <w:szCs w:val="24"/>
        </w:rPr>
        <w:t xml:space="preserve"> o Juicio Oral</w:t>
      </w:r>
      <w:r w:rsidR="0085040A">
        <w:rPr>
          <w:rFonts w:ascii="Arial" w:hAnsi="Arial" w:cs="Arial"/>
          <w:sz w:val="24"/>
          <w:szCs w:val="24"/>
        </w:rPr>
        <w:t>,</w:t>
      </w:r>
      <w:r w:rsidRPr="00AB3404">
        <w:rPr>
          <w:rFonts w:ascii="Arial" w:hAnsi="Arial" w:cs="Arial"/>
          <w:sz w:val="24"/>
          <w:szCs w:val="24"/>
        </w:rPr>
        <w:t xml:space="preserve"> con respecto a los ingresos registrados en los Juzgados de Control o Garantías</w:t>
      </w:r>
      <w:r w:rsidR="0085040A">
        <w:rPr>
          <w:rFonts w:ascii="Arial" w:hAnsi="Arial" w:cs="Arial"/>
          <w:sz w:val="24"/>
          <w:szCs w:val="24"/>
        </w:rPr>
        <w:t>,</w:t>
      </w:r>
      <w:r w:rsidRPr="00AB3404">
        <w:rPr>
          <w:rFonts w:ascii="Arial" w:hAnsi="Arial" w:cs="Arial"/>
          <w:sz w:val="24"/>
          <w:szCs w:val="24"/>
        </w:rPr>
        <w:t xml:space="preserve"> fue de </w:t>
      </w:r>
      <w:r w:rsidR="00FD1727" w:rsidRPr="00AB3404">
        <w:rPr>
          <w:rFonts w:ascii="Arial" w:hAnsi="Arial" w:cs="Arial"/>
          <w:sz w:val="24"/>
          <w:szCs w:val="24"/>
        </w:rPr>
        <w:t>5.2</w:t>
      </w:r>
      <w:r w:rsidRPr="00AB3404">
        <w:rPr>
          <w:rFonts w:ascii="Arial" w:hAnsi="Arial" w:cs="Arial"/>
          <w:sz w:val="24"/>
          <w:szCs w:val="24"/>
        </w:rPr>
        <w:t>% a nivel nacional.</w:t>
      </w:r>
    </w:p>
    <w:p w14:paraId="6E7D62C5" w14:textId="77777777" w:rsidR="003E6887" w:rsidRPr="003E6887" w:rsidRDefault="003E6887" w:rsidP="003E6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B2CB40" w14:textId="1796201E" w:rsidR="00CD6DB6" w:rsidRPr="00AB3404" w:rsidRDefault="00687273" w:rsidP="00076B6A">
      <w:pPr>
        <w:pStyle w:val="Prrafodelista"/>
        <w:numPr>
          <w:ilvl w:val="0"/>
          <w:numId w:val="3"/>
        </w:num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B3404">
        <w:rPr>
          <w:rFonts w:ascii="Arial" w:hAnsi="Arial" w:cs="Arial"/>
          <w:sz w:val="24"/>
          <w:szCs w:val="24"/>
        </w:rPr>
        <w:t>En 20</w:t>
      </w:r>
      <w:r w:rsidR="003177A7">
        <w:rPr>
          <w:rFonts w:ascii="Arial" w:hAnsi="Arial" w:cs="Arial"/>
          <w:sz w:val="24"/>
          <w:szCs w:val="24"/>
        </w:rPr>
        <w:t>20</w:t>
      </w:r>
      <w:r w:rsidRPr="00AB3404">
        <w:rPr>
          <w:rFonts w:ascii="Arial" w:hAnsi="Arial" w:cs="Arial"/>
          <w:sz w:val="24"/>
          <w:szCs w:val="24"/>
        </w:rPr>
        <w:t xml:space="preserve">, se efectuaron </w:t>
      </w:r>
      <w:r w:rsidR="00DA4EBF" w:rsidRPr="00AB3404">
        <w:rPr>
          <w:rFonts w:ascii="Arial" w:hAnsi="Arial" w:cs="Arial"/>
          <w:sz w:val="24"/>
          <w:szCs w:val="24"/>
        </w:rPr>
        <w:t>109 304</w:t>
      </w:r>
      <w:r w:rsidRPr="00AB3404">
        <w:rPr>
          <w:rFonts w:ascii="Arial" w:hAnsi="Arial" w:cs="Arial"/>
          <w:sz w:val="24"/>
          <w:szCs w:val="24"/>
        </w:rPr>
        <w:t xml:space="preserve"> conclusiones a las causas penales,</w:t>
      </w:r>
      <w:r w:rsidRPr="00AB3404">
        <w:t xml:space="preserve"> </w:t>
      </w:r>
      <w:r w:rsidR="00DA4EBF" w:rsidRPr="00AB3404">
        <w:rPr>
          <w:rFonts w:ascii="Arial" w:hAnsi="Arial" w:cs="Arial"/>
          <w:sz w:val="24"/>
          <w:szCs w:val="24"/>
        </w:rPr>
        <w:t xml:space="preserve">104 705 </w:t>
      </w:r>
      <w:r w:rsidRPr="00AB3404">
        <w:rPr>
          <w:rFonts w:ascii="Arial" w:hAnsi="Arial" w:cs="Arial"/>
          <w:sz w:val="24"/>
          <w:szCs w:val="24"/>
        </w:rPr>
        <w:t xml:space="preserve">para adultos y </w:t>
      </w:r>
      <w:r w:rsidR="00DA4EBF" w:rsidRPr="00AB3404">
        <w:rPr>
          <w:rFonts w:ascii="Arial" w:hAnsi="Arial" w:cs="Arial"/>
          <w:sz w:val="24"/>
          <w:szCs w:val="24"/>
        </w:rPr>
        <w:t xml:space="preserve">4 599 </w:t>
      </w:r>
      <w:r w:rsidRPr="00AB3404">
        <w:rPr>
          <w:rFonts w:ascii="Arial" w:hAnsi="Arial" w:cs="Arial"/>
          <w:sz w:val="24"/>
          <w:szCs w:val="24"/>
        </w:rPr>
        <w:t xml:space="preserve">para adolescentes. </w:t>
      </w:r>
      <w:r w:rsidR="00DA4EBF" w:rsidRPr="00AB3404">
        <w:rPr>
          <w:rFonts w:ascii="Arial" w:hAnsi="Arial" w:cs="Arial"/>
          <w:sz w:val="24"/>
          <w:szCs w:val="24"/>
        </w:rPr>
        <w:t>En el Sistema Tradicional se registraron 11 158 conclusiones, para el Sistema Penal Acusatorio la cifra fue de 93 547, en el Sistema Escrito o Mixto y Sistema Oral se registraron 146 conclusiones y 4 453 en el Sistema Integral de Justicia Penal para Adolescentes</w:t>
      </w:r>
      <w:r w:rsidR="00DA4EBF" w:rsidRPr="00AB3404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DA4EBF" w:rsidRPr="00AB3404">
        <w:rPr>
          <w:rFonts w:ascii="Arial" w:hAnsi="Arial" w:cs="Arial"/>
          <w:sz w:val="24"/>
          <w:szCs w:val="24"/>
        </w:rPr>
        <w:t xml:space="preserve">. </w:t>
      </w:r>
    </w:p>
    <w:p w14:paraId="6AF285D4" w14:textId="77777777" w:rsidR="00687273" w:rsidRPr="00AB3404" w:rsidRDefault="00687273" w:rsidP="00076B6A">
      <w:pPr>
        <w:pStyle w:val="Prrafodelista"/>
        <w:spacing w:after="0" w:line="240" w:lineRule="auto"/>
        <w:ind w:left="-142" w:hanging="360"/>
        <w:rPr>
          <w:rFonts w:ascii="Arial" w:hAnsi="Arial" w:cs="Arial"/>
          <w:color w:val="FF0000"/>
          <w:sz w:val="24"/>
          <w:szCs w:val="24"/>
        </w:rPr>
      </w:pPr>
    </w:p>
    <w:p w14:paraId="50125923" w14:textId="5AB6AE49" w:rsidR="00687273" w:rsidRPr="00AB3404" w:rsidRDefault="00687273" w:rsidP="00076B6A">
      <w:pPr>
        <w:pStyle w:val="Prrafodelista"/>
        <w:numPr>
          <w:ilvl w:val="0"/>
          <w:numId w:val="3"/>
        </w:num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B3404">
        <w:rPr>
          <w:rFonts w:ascii="Arial" w:hAnsi="Arial" w:cs="Arial"/>
          <w:sz w:val="24"/>
          <w:szCs w:val="24"/>
        </w:rPr>
        <w:t>En cuanto a los procesados e imputados registrados en las causas penales ingresadas, durante 20</w:t>
      </w:r>
      <w:r w:rsidR="00DA4EBF" w:rsidRPr="00AB3404">
        <w:rPr>
          <w:rFonts w:ascii="Arial" w:hAnsi="Arial" w:cs="Arial"/>
          <w:sz w:val="24"/>
          <w:szCs w:val="24"/>
        </w:rPr>
        <w:t>20</w:t>
      </w:r>
      <w:r w:rsidRPr="00AB3404">
        <w:rPr>
          <w:rFonts w:ascii="Arial" w:hAnsi="Arial" w:cs="Arial"/>
          <w:sz w:val="24"/>
          <w:szCs w:val="24"/>
        </w:rPr>
        <w:t xml:space="preserve"> se reportó un total de </w:t>
      </w:r>
      <w:r w:rsidR="00DA4EBF" w:rsidRPr="00AB3404">
        <w:rPr>
          <w:rFonts w:ascii="Arial" w:hAnsi="Arial" w:cs="Arial"/>
          <w:sz w:val="24"/>
          <w:szCs w:val="24"/>
        </w:rPr>
        <w:t>214 572</w:t>
      </w:r>
      <w:r w:rsidR="003E6887">
        <w:rPr>
          <w:rFonts w:ascii="Arial" w:hAnsi="Arial" w:cs="Arial"/>
          <w:sz w:val="24"/>
          <w:szCs w:val="24"/>
        </w:rPr>
        <w:t>. D</w:t>
      </w:r>
      <w:r w:rsidRPr="00AB3404">
        <w:rPr>
          <w:rFonts w:ascii="Arial" w:hAnsi="Arial" w:cs="Arial"/>
          <w:sz w:val="24"/>
          <w:szCs w:val="24"/>
        </w:rPr>
        <w:t xml:space="preserve">e ellos, </w:t>
      </w:r>
      <w:r w:rsidR="007729CF" w:rsidRPr="00AB3404">
        <w:rPr>
          <w:rFonts w:ascii="Arial" w:hAnsi="Arial" w:cs="Arial"/>
          <w:sz w:val="24"/>
          <w:szCs w:val="24"/>
        </w:rPr>
        <w:t>80.1</w:t>
      </w:r>
      <w:r w:rsidRPr="00AB3404">
        <w:rPr>
          <w:rFonts w:ascii="Arial" w:hAnsi="Arial" w:cs="Arial"/>
          <w:sz w:val="24"/>
          <w:szCs w:val="24"/>
        </w:rPr>
        <w:t xml:space="preserve">% fueron hombres, </w:t>
      </w:r>
      <w:r w:rsidR="007729CF" w:rsidRPr="00AB3404">
        <w:rPr>
          <w:rFonts w:ascii="Arial" w:hAnsi="Arial" w:cs="Arial"/>
          <w:sz w:val="24"/>
          <w:szCs w:val="24"/>
        </w:rPr>
        <w:t>9.5</w:t>
      </w:r>
      <w:r w:rsidRPr="00AB3404">
        <w:rPr>
          <w:rFonts w:ascii="Arial" w:hAnsi="Arial" w:cs="Arial"/>
          <w:sz w:val="24"/>
          <w:szCs w:val="24"/>
        </w:rPr>
        <w:t>% fueron mujeres y para el resto (</w:t>
      </w:r>
      <w:r w:rsidR="007729CF" w:rsidRPr="00AB3404">
        <w:rPr>
          <w:rFonts w:ascii="Arial" w:hAnsi="Arial" w:cs="Arial"/>
          <w:sz w:val="24"/>
          <w:szCs w:val="24"/>
        </w:rPr>
        <w:t>10.4</w:t>
      </w:r>
      <w:r w:rsidRPr="00AB3404">
        <w:rPr>
          <w:rFonts w:ascii="Arial" w:hAnsi="Arial" w:cs="Arial"/>
          <w:sz w:val="24"/>
          <w:szCs w:val="24"/>
        </w:rPr>
        <w:t>%) no pudo identificarse el sexo</w:t>
      </w:r>
      <w:r w:rsidRPr="00AB3404">
        <w:rPr>
          <w:rStyle w:val="Refdenotaalpie"/>
          <w:rFonts w:ascii="Arial" w:hAnsi="Arial" w:cs="Arial"/>
          <w:sz w:val="24"/>
          <w:szCs w:val="24"/>
        </w:rPr>
        <w:footnoteReference w:id="4"/>
      </w:r>
      <w:r w:rsidRPr="00AB3404">
        <w:rPr>
          <w:rFonts w:ascii="Arial" w:hAnsi="Arial" w:cs="Arial"/>
          <w:sz w:val="24"/>
          <w:szCs w:val="24"/>
        </w:rPr>
        <w:t xml:space="preserve">. </w:t>
      </w:r>
    </w:p>
    <w:p w14:paraId="4BA71A36" w14:textId="77777777" w:rsidR="00D713E7" w:rsidRPr="00AB3404" w:rsidRDefault="00D713E7" w:rsidP="00D713E7">
      <w:pPr>
        <w:pStyle w:val="Prrafodelista"/>
      </w:pPr>
    </w:p>
    <w:p w14:paraId="0EF4427B" w14:textId="6A6C5606" w:rsidR="00D713E7" w:rsidRPr="000D7589" w:rsidRDefault="00D713E7" w:rsidP="00076B6A">
      <w:pPr>
        <w:pStyle w:val="Default"/>
        <w:numPr>
          <w:ilvl w:val="0"/>
          <w:numId w:val="3"/>
        </w:numPr>
        <w:ind w:left="-142"/>
        <w:jc w:val="both"/>
        <w:rPr>
          <w:color w:val="auto"/>
        </w:rPr>
      </w:pPr>
      <w:r w:rsidRPr="00064C2C">
        <w:t>Al cierre de 2020, la Defensoría Pública o Defensoría de Oficio a cargo de los poderes judiciales estatales contó con 837 servidoras y servidores públicos, de los cuales</w:t>
      </w:r>
      <w:r w:rsidR="00C865E0" w:rsidRPr="00064C2C">
        <w:t>,</w:t>
      </w:r>
      <w:r w:rsidRPr="00064C2C">
        <w:t xml:space="preserve"> 55.2% (462) fueron mujeres y 44.8% (375) hombres. Del total, 621 se desempeñaron como defensores públicos y asesores jurídicos, cifra que representó 74.2% del total. La cantidad de defensores y asesores aumentó 1.1% con respecto a 2019.</w:t>
      </w:r>
    </w:p>
    <w:p w14:paraId="6B233FD8" w14:textId="77777777" w:rsidR="007729CF" w:rsidRPr="007729CF" w:rsidRDefault="007729CF" w:rsidP="003E6887">
      <w:pPr>
        <w:pStyle w:val="Default"/>
        <w:jc w:val="both"/>
        <w:rPr>
          <w:color w:val="auto"/>
        </w:rPr>
      </w:pPr>
    </w:p>
    <w:p w14:paraId="290BD30C" w14:textId="563AA6C5" w:rsidR="00093F34" w:rsidRPr="00275BC5" w:rsidRDefault="00093F34" w:rsidP="00093F34">
      <w:pPr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756B55">
        <w:rPr>
          <w:rFonts w:ascii="Arial" w:hAnsi="Arial" w:cs="Arial"/>
          <w:color w:val="000000"/>
          <w:sz w:val="24"/>
        </w:rPr>
        <w:t>Los resultados del CN</w:t>
      </w:r>
      <w:r>
        <w:rPr>
          <w:rFonts w:ascii="Arial" w:hAnsi="Arial" w:cs="Arial"/>
          <w:color w:val="000000"/>
          <w:sz w:val="24"/>
        </w:rPr>
        <w:t>IJ</w:t>
      </w:r>
      <w:r w:rsidRPr="00756B55">
        <w:rPr>
          <w:rFonts w:ascii="Arial" w:hAnsi="Arial" w:cs="Arial"/>
          <w:color w:val="000000"/>
          <w:sz w:val="24"/>
        </w:rPr>
        <w:t xml:space="preserve">E 2021 se presentan en cuadros estadísticos organizados en los siguientes apartados: </w:t>
      </w:r>
      <w:r w:rsidRPr="00275BC5">
        <w:rPr>
          <w:rFonts w:ascii="Arial" w:hAnsi="Arial" w:cs="Arial"/>
          <w:color w:val="000000"/>
          <w:sz w:val="24"/>
          <w:szCs w:val="24"/>
        </w:rPr>
        <w:t>Estructura organizacional y recursos; Trámites y servicios; Transparencia; Control interno y anticorrupción; Administración de archivos y gestión documental;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75BC5">
        <w:rPr>
          <w:rFonts w:ascii="Arial" w:hAnsi="Arial" w:cs="Arial"/>
          <w:color w:val="000000"/>
          <w:sz w:val="24"/>
          <w:szCs w:val="24"/>
        </w:rPr>
        <w:t>Defensoría pública o defensoría de oficio; Servicios periciales; Impartición de justicia; Justicia alternativa y/o mecanismos alternativos de solución de controversias</w:t>
      </w:r>
      <w:r w:rsidRPr="00275BC5">
        <w:rPr>
          <w:rStyle w:val="Refdenotaalpie"/>
          <w:rFonts w:ascii="Arial" w:hAnsi="Arial" w:cs="Arial"/>
          <w:color w:val="000000"/>
          <w:sz w:val="24"/>
        </w:rPr>
        <w:footnoteReference w:id="5"/>
      </w:r>
      <w:r w:rsidRPr="00275BC5">
        <w:rPr>
          <w:rFonts w:ascii="Arial" w:hAnsi="Arial" w:cs="Arial"/>
          <w:color w:val="000000"/>
          <w:sz w:val="24"/>
        </w:rPr>
        <w:t>.</w:t>
      </w:r>
    </w:p>
    <w:p w14:paraId="0F780D7F" w14:textId="77777777" w:rsidR="0004518F" w:rsidRDefault="0004518F" w:rsidP="003E688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AA71EB" w14:textId="6509F18B" w:rsidR="0004518F" w:rsidRPr="000E4ADF" w:rsidRDefault="0004518F" w:rsidP="0036483E">
      <w:pPr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La información se puede consultar en el sitio: </w:t>
      </w:r>
      <w:hyperlink r:id="rId8" w:history="1">
        <w:r w:rsidR="003A6DAC" w:rsidRPr="00EC3CD0">
          <w:rPr>
            <w:rStyle w:val="Hipervnculo"/>
            <w:rFonts w:ascii="Arial" w:hAnsi="Arial" w:cs="Arial"/>
            <w:sz w:val="24"/>
          </w:rPr>
          <w:t>https://www.inegi.org.mx/programas/cnije/2021/</w:t>
        </w:r>
      </w:hyperlink>
      <w:r>
        <w:rPr>
          <w:rFonts w:ascii="Arial" w:hAnsi="Arial" w:cs="Arial"/>
          <w:color w:val="000000"/>
          <w:sz w:val="24"/>
        </w:rPr>
        <w:t>.</w:t>
      </w:r>
    </w:p>
    <w:p w14:paraId="24E1015D" w14:textId="77777777" w:rsidR="0004518F" w:rsidRDefault="0004518F" w:rsidP="008C320B">
      <w:pPr>
        <w:spacing w:after="0" w:line="240" w:lineRule="auto"/>
      </w:pPr>
    </w:p>
    <w:p w14:paraId="0B30EF0B" w14:textId="77777777" w:rsidR="0013335E" w:rsidRDefault="0013335E" w:rsidP="00883FAB">
      <w:pPr>
        <w:pStyle w:val="Default"/>
        <w:ind w:left="-567"/>
        <w:jc w:val="center"/>
        <w:rPr>
          <w:b/>
          <w:bCs/>
        </w:rPr>
      </w:pPr>
    </w:p>
    <w:p w14:paraId="66FE2114" w14:textId="17F7B797" w:rsidR="0004518F" w:rsidRDefault="0004518F" w:rsidP="00883FAB">
      <w:pPr>
        <w:pStyle w:val="Default"/>
        <w:ind w:left="-567"/>
        <w:jc w:val="center"/>
        <w:rPr>
          <w:b/>
          <w:bCs/>
        </w:rPr>
      </w:pPr>
      <w:r w:rsidRPr="0056217D">
        <w:rPr>
          <w:b/>
          <w:bCs/>
        </w:rPr>
        <w:t>Se anexa nota técnica</w:t>
      </w:r>
    </w:p>
    <w:p w14:paraId="7C94EA38" w14:textId="77EA668B" w:rsidR="00076B6A" w:rsidRDefault="00076B6A" w:rsidP="00883FAB">
      <w:pPr>
        <w:pStyle w:val="Default"/>
        <w:ind w:left="-567"/>
        <w:jc w:val="center"/>
        <w:rPr>
          <w:b/>
          <w:bCs/>
        </w:rPr>
      </w:pPr>
    </w:p>
    <w:p w14:paraId="66EA6496" w14:textId="77777777" w:rsidR="0004518F" w:rsidRPr="00883FAB" w:rsidRDefault="0004518F" w:rsidP="00883FAB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  <w:sz w:val="22"/>
          <w:szCs w:val="22"/>
        </w:rPr>
      </w:pPr>
      <w:r w:rsidRPr="00883FAB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9" w:history="1">
        <w:r w:rsidRPr="00883FAB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883FAB">
        <w:rPr>
          <w:rFonts w:ascii="Arial" w:hAnsi="Arial" w:cs="Arial"/>
          <w:sz w:val="22"/>
          <w:szCs w:val="22"/>
        </w:rPr>
        <w:t xml:space="preserve"> </w:t>
      </w:r>
    </w:p>
    <w:p w14:paraId="4921CDB8" w14:textId="77777777" w:rsidR="0004518F" w:rsidRPr="00883FAB" w:rsidRDefault="0004518F" w:rsidP="00883FAB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  <w:sz w:val="22"/>
          <w:szCs w:val="22"/>
        </w:rPr>
      </w:pPr>
      <w:r w:rsidRPr="00883FAB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883FAB">
        <w:rPr>
          <w:rFonts w:ascii="Arial" w:hAnsi="Arial" w:cs="Arial"/>
          <w:sz w:val="22"/>
          <w:szCs w:val="22"/>
        </w:rPr>
        <w:t>exts</w:t>
      </w:r>
      <w:proofErr w:type="spellEnd"/>
      <w:r w:rsidRPr="00883FAB">
        <w:rPr>
          <w:rFonts w:ascii="Arial" w:hAnsi="Arial" w:cs="Arial"/>
          <w:sz w:val="22"/>
          <w:szCs w:val="22"/>
        </w:rPr>
        <w:t>. 1134, 1260 y 1241.</w:t>
      </w:r>
    </w:p>
    <w:p w14:paraId="30DDF605" w14:textId="77777777" w:rsidR="0004518F" w:rsidRPr="00883FAB" w:rsidRDefault="0004518F" w:rsidP="00883FAB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  <w:sz w:val="22"/>
          <w:szCs w:val="22"/>
        </w:rPr>
      </w:pPr>
    </w:p>
    <w:p w14:paraId="4E33E00D" w14:textId="77777777" w:rsidR="0004518F" w:rsidRPr="00883FAB" w:rsidRDefault="0004518F" w:rsidP="00883FAB">
      <w:pPr>
        <w:ind w:left="-567"/>
        <w:contextualSpacing/>
        <w:jc w:val="center"/>
        <w:rPr>
          <w:rFonts w:ascii="Arial" w:hAnsi="Arial" w:cs="Arial"/>
        </w:rPr>
      </w:pPr>
      <w:r w:rsidRPr="00883FAB">
        <w:rPr>
          <w:rFonts w:ascii="Arial" w:hAnsi="Arial" w:cs="Arial"/>
        </w:rPr>
        <w:t xml:space="preserve">Dirección de Atención a Medios / Dirección General Adjunta de Comunicación </w:t>
      </w:r>
    </w:p>
    <w:p w14:paraId="37274271" w14:textId="77777777" w:rsidR="00883FAB" w:rsidRPr="00AC0C6B" w:rsidRDefault="00883FAB" w:rsidP="00883FAB">
      <w:pPr>
        <w:ind w:left="-567"/>
        <w:contextualSpacing/>
        <w:jc w:val="center"/>
        <w:rPr>
          <w:rFonts w:ascii="Arial" w:hAnsi="Arial" w:cs="Arial"/>
          <w:sz w:val="20"/>
          <w:szCs w:val="20"/>
        </w:rPr>
      </w:pPr>
    </w:p>
    <w:p w14:paraId="4CCDCB8C" w14:textId="77777777" w:rsidR="00076B6A" w:rsidRDefault="0004518F" w:rsidP="00883FAB">
      <w:pPr>
        <w:ind w:left="-567"/>
        <w:contextualSpacing/>
        <w:jc w:val="center"/>
        <w:rPr>
          <w:noProof/>
          <w:lang w:eastAsia="es-MX"/>
        </w:rPr>
        <w:sectPr w:rsidR="00076B6A" w:rsidSect="00076B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17" w:right="1183" w:bottom="993" w:left="1701" w:header="708" w:footer="435" w:gutter="0"/>
          <w:cols w:space="708"/>
          <w:docGrid w:linePitch="360"/>
        </w:sectPr>
      </w:pPr>
      <w:r w:rsidRPr="008F0992">
        <w:rPr>
          <w:noProof/>
          <w:lang w:eastAsia="es-MX"/>
        </w:rPr>
        <w:drawing>
          <wp:inline distT="0" distB="0" distL="0" distR="0" wp14:anchorId="647EAB73" wp14:editId="6A845848">
            <wp:extent cx="318472" cy="322419"/>
            <wp:effectExtent l="0" t="0" r="5715" b="1905"/>
            <wp:docPr id="13" name="Imagen 13" descr="C:\Users\saladeprensa\Desktop\NVOS LOGOS\F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723BA582" wp14:editId="754966E2">
            <wp:extent cx="327704" cy="325467"/>
            <wp:effectExtent l="0" t="0" r="0" b="0"/>
            <wp:docPr id="17" name="Imagen 17" descr="C:\Users\saladeprensa\Desktop\NVOS LOGOS\I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1BFCD348" wp14:editId="4D422947">
            <wp:extent cx="321276" cy="324093"/>
            <wp:effectExtent l="0" t="0" r="3175" b="0"/>
            <wp:docPr id="35" name="Imagen 35" descr="C:\Users\saladeprensa\Desktop\NVOS LOGOS\T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7E366480" wp14:editId="07BA8F4B">
            <wp:extent cx="321276" cy="326574"/>
            <wp:effectExtent l="0" t="0" r="3175" b="0"/>
            <wp:docPr id="36" name="Imagen 36" descr="C:\Users\saladeprensa\Desktop\NVOS LOGOS\Y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8F0992">
        <w:rPr>
          <w:noProof/>
          <w:sz w:val="14"/>
          <w:szCs w:val="18"/>
          <w:lang w:eastAsia="es-MX"/>
        </w:rPr>
        <w:drawing>
          <wp:inline distT="0" distB="0" distL="0" distR="0" wp14:anchorId="1B17EF6A" wp14:editId="00486DB5">
            <wp:extent cx="2323070" cy="319707"/>
            <wp:effectExtent l="0" t="0" r="1270" b="4445"/>
            <wp:docPr id="40" name="Imagen 4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DA202" w14:textId="7A0C816A" w:rsidR="00BA310C" w:rsidRDefault="00BA310C" w:rsidP="00883FAB">
      <w:pPr>
        <w:ind w:left="-567"/>
        <w:contextualSpacing/>
        <w:jc w:val="center"/>
      </w:pPr>
    </w:p>
    <w:p w14:paraId="477429A7" w14:textId="77777777" w:rsidR="00A87DF9" w:rsidRDefault="00A87DF9" w:rsidP="00BA310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0F5B42" w14:textId="77777777" w:rsidR="00A87DF9" w:rsidRDefault="00A87DF9" w:rsidP="00BA310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EA8170" w14:textId="230E4C7A" w:rsidR="00BA310C" w:rsidRPr="00532488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  <w:r w:rsidRPr="00532488">
        <w:rPr>
          <w:rFonts w:ascii="Arial" w:hAnsi="Arial" w:cs="Arial"/>
          <w:b/>
          <w:bCs/>
          <w:color w:val="000000"/>
          <w:sz w:val="24"/>
          <w:szCs w:val="24"/>
        </w:rPr>
        <w:t xml:space="preserve">INEGI PRESENTA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 </w:t>
      </w:r>
      <w:r w:rsidR="00292B9C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532488">
        <w:rPr>
          <w:rFonts w:ascii="Arial" w:hAnsi="Arial" w:cs="Arial"/>
          <w:b/>
          <w:bCs/>
          <w:color w:val="000000"/>
          <w:sz w:val="24"/>
          <w:szCs w:val="24"/>
        </w:rPr>
        <w:t xml:space="preserve">ENSO NACIONAL DE IMPARTICIÓN DE JUSTICIA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ESTAT</w:t>
      </w:r>
      <w:r w:rsidRPr="00532488">
        <w:rPr>
          <w:rFonts w:ascii="Arial" w:hAnsi="Arial" w:cs="Arial"/>
          <w:b/>
          <w:bCs/>
          <w:color w:val="000000"/>
          <w:sz w:val="24"/>
          <w:szCs w:val="24"/>
        </w:rPr>
        <w:t>AL</w:t>
      </w:r>
    </w:p>
    <w:p w14:paraId="3474A8BD" w14:textId="77777777" w:rsidR="00BA310C" w:rsidRDefault="00BA310C" w:rsidP="00BA3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A7A28A8" w14:textId="3389FCA7" w:rsidR="00BA310C" w:rsidRPr="00D1786A" w:rsidRDefault="00BA310C" w:rsidP="00BA310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333" w:hanging="426"/>
        <w:jc w:val="both"/>
        <w:rPr>
          <w:rFonts w:ascii="Arial" w:hAnsi="Arial" w:cs="Arial"/>
          <w:color w:val="000000"/>
        </w:rPr>
      </w:pPr>
      <w:r w:rsidRPr="00D1786A">
        <w:rPr>
          <w:rFonts w:ascii="Arial" w:hAnsi="Arial" w:cs="Arial"/>
          <w:b/>
          <w:bCs/>
          <w:color w:val="000000"/>
        </w:rPr>
        <w:t>Se constituye como un pro</w:t>
      </w:r>
      <w:r>
        <w:rPr>
          <w:rFonts w:ascii="Arial" w:hAnsi="Arial" w:cs="Arial"/>
          <w:b/>
          <w:bCs/>
          <w:color w:val="000000"/>
        </w:rPr>
        <w:t>grama</w:t>
      </w:r>
      <w:r w:rsidRPr="00D1786A">
        <w:rPr>
          <w:rFonts w:ascii="Arial" w:hAnsi="Arial" w:cs="Arial"/>
          <w:b/>
          <w:bCs/>
          <w:color w:val="000000"/>
        </w:rPr>
        <w:t xml:space="preserve"> estadístico que se realiza en el ámbito </w:t>
      </w:r>
      <w:r>
        <w:rPr>
          <w:rFonts w:ascii="Arial" w:hAnsi="Arial" w:cs="Arial"/>
          <w:b/>
          <w:bCs/>
          <w:color w:val="000000"/>
        </w:rPr>
        <w:t>estat</w:t>
      </w:r>
      <w:r w:rsidRPr="00D1786A">
        <w:rPr>
          <w:rFonts w:ascii="Arial" w:hAnsi="Arial" w:cs="Arial"/>
          <w:b/>
          <w:bCs/>
          <w:color w:val="000000"/>
        </w:rPr>
        <w:t>al del Estado Mexicano y, en conjunto, ofrece información</w:t>
      </w:r>
      <w:r>
        <w:rPr>
          <w:rFonts w:ascii="Arial" w:hAnsi="Arial" w:cs="Arial"/>
          <w:b/>
          <w:bCs/>
          <w:color w:val="000000"/>
        </w:rPr>
        <w:t xml:space="preserve"> de la estructura organizacional</w:t>
      </w:r>
      <w:r w:rsidRPr="00D1786A">
        <w:rPr>
          <w:rFonts w:ascii="Arial" w:hAnsi="Arial" w:cs="Arial"/>
          <w:b/>
          <w:bCs/>
          <w:color w:val="000000"/>
        </w:rPr>
        <w:t>, recursos y ejercicio de la función de los órganos que conforman 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1786A"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</w:rPr>
        <w:t>os</w:t>
      </w:r>
      <w:r w:rsidRPr="00D1786A">
        <w:rPr>
          <w:rFonts w:ascii="Arial" w:hAnsi="Arial" w:cs="Arial"/>
          <w:b/>
          <w:bCs/>
          <w:color w:val="000000"/>
        </w:rPr>
        <w:t xml:space="preserve"> </w:t>
      </w:r>
      <w:r w:rsidR="00EE30FE">
        <w:rPr>
          <w:rFonts w:ascii="Arial" w:hAnsi="Arial" w:cs="Arial"/>
          <w:b/>
          <w:bCs/>
          <w:color w:val="000000"/>
        </w:rPr>
        <w:t>poderes</w:t>
      </w:r>
      <w:r w:rsidRPr="00D1786A">
        <w:rPr>
          <w:rFonts w:ascii="Arial" w:hAnsi="Arial" w:cs="Arial"/>
          <w:b/>
          <w:bCs/>
          <w:color w:val="000000"/>
        </w:rPr>
        <w:t xml:space="preserve"> Judicial</w:t>
      </w:r>
      <w:r>
        <w:rPr>
          <w:rFonts w:ascii="Arial" w:hAnsi="Arial" w:cs="Arial"/>
          <w:b/>
          <w:bCs/>
          <w:color w:val="000000"/>
        </w:rPr>
        <w:t>es</w:t>
      </w:r>
      <w:r w:rsidRPr="00D1786A">
        <w:rPr>
          <w:rFonts w:ascii="Arial" w:hAnsi="Arial" w:cs="Arial"/>
          <w:b/>
          <w:bCs/>
          <w:color w:val="000000"/>
        </w:rPr>
        <w:t xml:space="preserve"> de </w:t>
      </w:r>
      <w:r>
        <w:rPr>
          <w:rFonts w:ascii="Arial" w:hAnsi="Arial" w:cs="Arial"/>
          <w:b/>
          <w:bCs/>
          <w:color w:val="000000"/>
        </w:rPr>
        <w:t>cada entidad federativa</w:t>
      </w:r>
      <w:r w:rsidRPr="00D1786A">
        <w:rPr>
          <w:rFonts w:ascii="Arial" w:hAnsi="Arial" w:cs="Arial"/>
          <w:b/>
          <w:bCs/>
          <w:color w:val="000000"/>
        </w:rPr>
        <w:t xml:space="preserve">. </w:t>
      </w:r>
    </w:p>
    <w:p w14:paraId="3B76B89B" w14:textId="77777777" w:rsidR="00BA310C" w:rsidRDefault="00BA310C" w:rsidP="00BA3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94EAA6" w14:textId="77777777" w:rsidR="00BA310C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</w:rPr>
      </w:pPr>
    </w:p>
    <w:p w14:paraId="6FFAC20F" w14:textId="46552769" w:rsidR="00BA310C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</w:rPr>
      </w:pPr>
      <w:r w:rsidRPr="001D20DC">
        <w:rPr>
          <w:rFonts w:ascii="Arial" w:hAnsi="Arial" w:cs="Arial"/>
          <w:color w:val="000000"/>
          <w:sz w:val="24"/>
        </w:rPr>
        <w:t>El Instituto Nacional de Estadística y Geografía (INEGI) da a conocer hoy la información</w:t>
      </w:r>
      <w:r>
        <w:rPr>
          <w:rFonts w:ascii="Arial" w:hAnsi="Arial" w:cs="Arial"/>
          <w:color w:val="000000"/>
          <w:sz w:val="24"/>
        </w:rPr>
        <w:t xml:space="preserve"> </w:t>
      </w:r>
      <w:r w:rsidRPr="001D20DC">
        <w:rPr>
          <w:rFonts w:ascii="Arial" w:hAnsi="Arial" w:cs="Arial"/>
          <w:color w:val="000000"/>
          <w:sz w:val="24"/>
        </w:rPr>
        <w:t xml:space="preserve">del </w:t>
      </w:r>
      <w:r>
        <w:rPr>
          <w:rFonts w:ascii="Arial" w:hAnsi="Arial" w:cs="Arial"/>
          <w:color w:val="000000"/>
          <w:sz w:val="24"/>
        </w:rPr>
        <w:t xml:space="preserve">Censo </w:t>
      </w:r>
      <w:r w:rsidRPr="00670E94">
        <w:rPr>
          <w:rFonts w:ascii="Arial" w:hAnsi="Arial" w:cs="Arial"/>
          <w:color w:val="000000"/>
          <w:sz w:val="24"/>
        </w:rPr>
        <w:t xml:space="preserve">Nacional de Impartición de Justicia </w:t>
      </w:r>
      <w:r>
        <w:rPr>
          <w:rFonts w:ascii="Arial" w:hAnsi="Arial" w:cs="Arial"/>
          <w:color w:val="000000"/>
          <w:sz w:val="24"/>
        </w:rPr>
        <w:t>Estat</w:t>
      </w:r>
      <w:r w:rsidRPr="00670E94">
        <w:rPr>
          <w:rFonts w:ascii="Arial" w:hAnsi="Arial" w:cs="Arial"/>
          <w:color w:val="000000"/>
          <w:sz w:val="24"/>
        </w:rPr>
        <w:t>al (CNIJ</w:t>
      </w:r>
      <w:r>
        <w:rPr>
          <w:rFonts w:ascii="Arial" w:hAnsi="Arial" w:cs="Arial"/>
          <w:color w:val="000000"/>
          <w:sz w:val="24"/>
        </w:rPr>
        <w:t>E</w:t>
      </w:r>
      <w:r w:rsidRPr="00670E94">
        <w:rPr>
          <w:rFonts w:ascii="Arial" w:hAnsi="Arial" w:cs="Arial"/>
          <w:color w:val="000000"/>
          <w:sz w:val="24"/>
        </w:rPr>
        <w:t>)</w:t>
      </w:r>
      <w:r>
        <w:rPr>
          <w:rFonts w:ascii="Arial" w:hAnsi="Arial" w:cs="Arial"/>
          <w:color w:val="000000"/>
          <w:sz w:val="24"/>
        </w:rPr>
        <w:t xml:space="preserve"> </w:t>
      </w:r>
      <w:r w:rsidRPr="00670E94">
        <w:rPr>
          <w:rFonts w:ascii="Arial" w:hAnsi="Arial" w:cs="Arial"/>
          <w:color w:val="000000"/>
          <w:sz w:val="24"/>
        </w:rPr>
        <w:t>20</w:t>
      </w:r>
      <w:r>
        <w:rPr>
          <w:rFonts w:ascii="Arial" w:hAnsi="Arial" w:cs="Arial"/>
          <w:color w:val="000000"/>
          <w:sz w:val="24"/>
        </w:rPr>
        <w:t>2</w:t>
      </w:r>
      <w:r w:rsidR="00292B9C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.</w:t>
      </w:r>
    </w:p>
    <w:p w14:paraId="01F3BEE7" w14:textId="77777777" w:rsidR="00BA310C" w:rsidRPr="00670E94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</w:rPr>
      </w:pPr>
    </w:p>
    <w:p w14:paraId="7EEF445C" w14:textId="5EB9875E" w:rsidR="00BA310C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</w:rPr>
      </w:pPr>
      <w:r w:rsidRPr="00670E94">
        <w:rPr>
          <w:rFonts w:ascii="Arial" w:hAnsi="Arial" w:cs="Arial"/>
          <w:color w:val="000000"/>
          <w:sz w:val="24"/>
        </w:rPr>
        <w:t>E</w:t>
      </w:r>
      <w:r>
        <w:rPr>
          <w:rFonts w:ascii="Arial" w:hAnsi="Arial" w:cs="Arial"/>
          <w:color w:val="000000"/>
          <w:sz w:val="24"/>
        </w:rPr>
        <w:t>l objetivo general es</w:t>
      </w:r>
      <w:r w:rsidRPr="00670E94">
        <w:rPr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g</w:t>
      </w:r>
      <w:r w:rsidRPr="00BD7DD8">
        <w:rPr>
          <w:rFonts w:ascii="Arial" w:hAnsi="Arial" w:cs="Arial"/>
          <w:color w:val="000000"/>
          <w:sz w:val="24"/>
        </w:rPr>
        <w:t xml:space="preserve">enerar </w:t>
      </w:r>
      <w:r w:rsidR="005C29EE" w:rsidRPr="005C29EE">
        <w:rPr>
          <w:rFonts w:ascii="Arial" w:hAnsi="Arial" w:cs="Arial"/>
          <w:color w:val="000000"/>
          <w:sz w:val="24"/>
        </w:rPr>
        <w:t xml:space="preserve">información estadística y geográfica sobre la gestión y desempeño del Poder Judicial de cada entidad federativa, específicamente en las funciones de gobierno, impartición de justicia, justicia para adolescentes y justicia alternativa y/o mecanismos alternativos de solución de controversias, con la finalidad de que </w:t>
      </w:r>
      <w:r w:rsidR="002C47D8">
        <w:rPr>
          <w:rFonts w:ascii="Arial" w:hAnsi="Arial" w:cs="Arial"/>
          <w:color w:val="000000"/>
          <w:sz w:val="24"/>
        </w:rPr>
        <w:t>é</w:t>
      </w:r>
      <w:r w:rsidR="005C29EE" w:rsidRPr="005C29EE">
        <w:rPr>
          <w:rFonts w:ascii="Arial" w:hAnsi="Arial" w:cs="Arial"/>
          <w:color w:val="000000"/>
          <w:sz w:val="24"/>
        </w:rPr>
        <w:t>sta se vincule con el quehacer gubernamental dentro del proceso de diseño, implementación, monitoreo y evaluación de las políticas públicas de alcance nacional en los referidos temas</w:t>
      </w:r>
      <w:r w:rsidRPr="00BD7DD8">
        <w:rPr>
          <w:rFonts w:ascii="Arial" w:hAnsi="Arial" w:cs="Arial"/>
          <w:color w:val="000000"/>
          <w:sz w:val="24"/>
        </w:rPr>
        <w:t>.</w:t>
      </w:r>
    </w:p>
    <w:p w14:paraId="3C1E7037" w14:textId="77777777" w:rsidR="00BA310C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</w:rPr>
      </w:pPr>
    </w:p>
    <w:p w14:paraId="4F1D9D3D" w14:textId="1629C421" w:rsidR="00BA310C" w:rsidRDefault="00BA310C" w:rsidP="005C29E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</w:rPr>
      </w:pPr>
      <w:r w:rsidRPr="006627FE">
        <w:rPr>
          <w:rFonts w:ascii="Arial" w:hAnsi="Arial" w:cs="Arial"/>
          <w:color w:val="000000"/>
          <w:sz w:val="24"/>
        </w:rPr>
        <w:t>En relación con los aspectos metodológicos del CN</w:t>
      </w:r>
      <w:r>
        <w:rPr>
          <w:rFonts w:ascii="Arial" w:hAnsi="Arial" w:cs="Arial"/>
          <w:color w:val="000000"/>
          <w:sz w:val="24"/>
        </w:rPr>
        <w:t>IJE</w:t>
      </w:r>
      <w:r w:rsidRPr="006627FE">
        <w:rPr>
          <w:rFonts w:ascii="Arial" w:hAnsi="Arial" w:cs="Arial"/>
          <w:color w:val="000000"/>
          <w:sz w:val="24"/>
        </w:rPr>
        <w:t xml:space="preserve"> 20</w:t>
      </w:r>
      <w:r>
        <w:rPr>
          <w:rFonts w:ascii="Arial" w:hAnsi="Arial" w:cs="Arial"/>
          <w:color w:val="000000"/>
          <w:sz w:val="24"/>
        </w:rPr>
        <w:t>2</w:t>
      </w:r>
      <w:r w:rsidR="005C29EE">
        <w:rPr>
          <w:rFonts w:ascii="Arial" w:hAnsi="Arial" w:cs="Arial"/>
          <w:color w:val="000000"/>
          <w:sz w:val="24"/>
        </w:rPr>
        <w:t>1</w:t>
      </w:r>
      <w:r w:rsidRPr="006627FE">
        <w:rPr>
          <w:rFonts w:ascii="Arial" w:hAnsi="Arial" w:cs="Arial"/>
          <w:color w:val="000000"/>
          <w:sz w:val="24"/>
        </w:rPr>
        <w:t xml:space="preserve">, </w:t>
      </w:r>
      <w:r w:rsidR="005C29EE" w:rsidRPr="005C29EE">
        <w:rPr>
          <w:rFonts w:ascii="Arial" w:hAnsi="Arial" w:cs="Arial"/>
          <w:color w:val="000000"/>
          <w:sz w:val="24"/>
        </w:rPr>
        <w:t xml:space="preserve">se destaca que la cobertura geográfica es estatal, en tanto que la temporalidad de la información corresponde a 2020 y 2021, </w:t>
      </w:r>
      <w:r w:rsidR="002C47D8">
        <w:rPr>
          <w:rFonts w:ascii="Arial" w:hAnsi="Arial" w:cs="Arial"/>
          <w:color w:val="000000"/>
          <w:sz w:val="24"/>
        </w:rPr>
        <w:t>é</w:t>
      </w:r>
      <w:r w:rsidR="005C29EE" w:rsidRPr="005C29EE">
        <w:rPr>
          <w:rFonts w:ascii="Arial" w:hAnsi="Arial" w:cs="Arial"/>
          <w:color w:val="000000"/>
          <w:sz w:val="24"/>
        </w:rPr>
        <w:t>ste último solo para las preguntas que solicitan datos al momento de la aplicación del cuestionario. Las unidades de análisis son l</w:t>
      </w:r>
      <w:r w:rsidR="00A5201C">
        <w:rPr>
          <w:rFonts w:ascii="Arial" w:hAnsi="Arial" w:cs="Arial"/>
          <w:color w:val="000000"/>
          <w:sz w:val="24"/>
        </w:rPr>
        <w:t>os poderes judiciales d</w:t>
      </w:r>
      <w:r w:rsidR="005C29EE" w:rsidRPr="005C29EE">
        <w:rPr>
          <w:rFonts w:ascii="Arial" w:hAnsi="Arial" w:cs="Arial"/>
          <w:color w:val="000000"/>
          <w:sz w:val="24"/>
        </w:rPr>
        <w:t xml:space="preserve">e cada entidad federativa. El periodo de levantamiento fue del </w:t>
      </w:r>
      <w:r w:rsidR="00A5201C">
        <w:rPr>
          <w:rFonts w:ascii="Arial" w:hAnsi="Arial" w:cs="Arial"/>
          <w:color w:val="000000"/>
          <w:sz w:val="24"/>
        </w:rPr>
        <w:t>22</w:t>
      </w:r>
      <w:r w:rsidR="005C29EE" w:rsidRPr="005C29EE">
        <w:rPr>
          <w:rFonts w:ascii="Arial" w:hAnsi="Arial" w:cs="Arial"/>
          <w:color w:val="000000"/>
          <w:sz w:val="24"/>
        </w:rPr>
        <w:t xml:space="preserve"> de marzo al </w:t>
      </w:r>
      <w:r w:rsidR="00A5201C">
        <w:rPr>
          <w:rFonts w:ascii="Arial" w:hAnsi="Arial" w:cs="Arial"/>
          <w:color w:val="000000"/>
          <w:sz w:val="24"/>
        </w:rPr>
        <w:t>23</w:t>
      </w:r>
      <w:r w:rsidR="005C29EE" w:rsidRPr="005C29EE">
        <w:rPr>
          <w:rFonts w:ascii="Arial" w:hAnsi="Arial" w:cs="Arial"/>
          <w:color w:val="000000"/>
          <w:sz w:val="24"/>
        </w:rPr>
        <w:t xml:space="preserve"> de septiembre de 2021.</w:t>
      </w:r>
    </w:p>
    <w:p w14:paraId="429E4308" w14:textId="72247234" w:rsidR="005C29EE" w:rsidRDefault="005C29EE" w:rsidP="005C29E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</w:rPr>
      </w:pPr>
    </w:p>
    <w:p w14:paraId="6A347F26" w14:textId="7695D118" w:rsidR="008144BA" w:rsidRPr="00B23F25" w:rsidRDefault="008144BA" w:rsidP="008144BA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756B55">
        <w:rPr>
          <w:rFonts w:ascii="Arial" w:hAnsi="Arial" w:cs="Arial"/>
          <w:sz w:val="24"/>
          <w:szCs w:val="24"/>
        </w:rPr>
        <w:t xml:space="preserve">Es preciso advertir que el levantamiento del Censo Nacional de </w:t>
      </w:r>
      <w:r>
        <w:rPr>
          <w:rFonts w:ascii="Arial" w:hAnsi="Arial" w:cs="Arial"/>
          <w:sz w:val="24"/>
          <w:szCs w:val="24"/>
        </w:rPr>
        <w:t>Impartición de Justicia</w:t>
      </w:r>
      <w:r w:rsidRPr="00756B55">
        <w:rPr>
          <w:rFonts w:ascii="Arial" w:hAnsi="Arial" w:cs="Arial"/>
          <w:sz w:val="24"/>
          <w:szCs w:val="24"/>
        </w:rPr>
        <w:t xml:space="preserve"> Estatal 2021 </w:t>
      </w:r>
      <w:r w:rsidRPr="00B23F25">
        <w:rPr>
          <w:rFonts w:ascii="Arial" w:hAnsi="Arial" w:cs="Arial"/>
          <w:sz w:val="24"/>
          <w:szCs w:val="24"/>
        </w:rPr>
        <w:t>ocurrió durante la contingencia sanitaria ocasionada por el virus SARS-</w:t>
      </w:r>
      <w:proofErr w:type="spellStart"/>
      <w:r w:rsidRPr="00B23F25">
        <w:rPr>
          <w:rFonts w:ascii="Arial" w:hAnsi="Arial" w:cs="Arial"/>
          <w:sz w:val="24"/>
          <w:szCs w:val="24"/>
        </w:rPr>
        <w:t>CoV</w:t>
      </w:r>
      <w:proofErr w:type="spellEnd"/>
      <w:r w:rsidRPr="00B23F25"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B23F25">
        <w:rPr>
          <w:rFonts w:ascii="Arial" w:hAnsi="Arial" w:cs="Arial"/>
          <w:sz w:val="24"/>
          <w:szCs w:val="24"/>
        </w:rPr>
        <w:t>(</w:t>
      </w:r>
      <w:proofErr w:type="gramEnd"/>
      <w:r w:rsidRPr="00B23F25"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</w:rPr>
        <w:t>-</w:t>
      </w:r>
      <w:r w:rsidRPr="00B23F25">
        <w:rPr>
          <w:rFonts w:ascii="Arial" w:hAnsi="Arial" w:cs="Arial"/>
          <w:sz w:val="24"/>
          <w:szCs w:val="24"/>
        </w:rPr>
        <w:t xml:space="preserve"> 19), así como durante la implementación de medidas sanitarias para evitar su propagación</w:t>
      </w:r>
      <w:r w:rsidR="001A0CFB">
        <w:rPr>
          <w:rFonts w:ascii="Arial" w:hAnsi="Arial" w:cs="Arial"/>
          <w:sz w:val="24"/>
          <w:szCs w:val="24"/>
        </w:rPr>
        <w:t>.</w:t>
      </w:r>
    </w:p>
    <w:p w14:paraId="3D90ED0A" w14:textId="77777777" w:rsidR="008144BA" w:rsidRPr="00756B55" w:rsidRDefault="008144BA" w:rsidP="008144BA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7BE27E88" w14:textId="4B67A44A" w:rsidR="008144BA" w:rsidRPr="00756B55" w:rsidRDefault="008144BA" w:rsidP="008144BA">
      <w:pPr>
        <w:spacing w:after="0" w:line="240" w:lineRule="auto"/>
        <w:ind w:left="-567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756B55">
        <w:rPr>
          <w:rFonts w:ascii="Arial" w:hAnsi="Arial" w:cs="Arial"/>
          <w:sz w:val="24"/>
          <w:szCs w:val="24"/>
        </w:rPr>
        <w:t xml:space="preserve">La publicación de resultados se realiza el </w:t>
      </w:r>
      <w:r w:rsidR="00E80E13">
        <w:rPr>
          <w:rFonts w:ascii="Arial" w:hAnsi="Arial" w:cs="Arial"/>
          <w:sz w:val="24"/>
          <w:szCs w:val="24"/>
        </w:rPr>
        <w:t>26</w:t>
      </w:r>
      <w:r w:rsidRPr="00756B55">
        <w:rPr>
          <w:rFonts w:ascii="Arial" w:hAnsi="Arial" w:cs="Arial"/>
          <w:sz w:val="24"/>
          <w:szCs w:val="24"/>
        </w:rPr>
        <w:t xml:space="preserve"> de </w:t>
      </w:r>
      <w:r w:rsidRPr="00756B55">
        <w:rPr>
          <w:rFonts w:ascii="Arial" w:hAnsi="Arial" w:cs="Arial"/>
          <w:color w:val="000000"/>
          <w:sz w:val="24"/>
          <w:szCs w:val="24"/>
        </w:rPr>
        <w:t xml:space="preserve">octubre de 2021. La información se puede consultar en el sitio: </w:t>
      </w:r>
      <w:hyperlink r:id="rId26" w:history="1">
        <w:r w:rsidR="00DD0A4A" w:rsidRPr="00EC3CD0">
          <w:rPr>
            <w:rStyle w:val="Hipervnculo"/>
            <w:rFonts w:ascii="Arial" w:hAnsi="Arial" w:cs="Arial"/>
            <w:spacing w:val="-2"/>
            <w:sz w:val="24"/>
            <w:szCs w:val="24"/>
          </w:rPr>
          <w:t>https://www.inegi.org.mx/programas/cnije/2021/</w:t>
        </w:r>
      </w:hyperlink>
    </w:p>
    <w:p w14:paraId="3B1D28CF" w14:textId="77777777" w:rsidR="008144BA" w:rsidRPr="00756B55" w:rsidRDefault="008144BA" w:rsidP="008144BA">
      <w:pPr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</w:rPr>
      </w:pPr>
    </w:p>
    <w:p w14:paraId="3E2601E8" w14:textId="607ED2CB" w:rsidR="00BA310C" w:rsidRPr="00275BC5" w:rsidRDefault="008144BA" w:rsidP="00275BC5">
      <w:pPr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756B55">
        <w:rPr>
          <w:rFonts w:ascii="Arial" w:hAnsi="Arial" w:cs="Arial"/>
          <w:color w:val="000000"/>
          <w:sz w:val="24"/>
        </w:rPr>
        <w:t>Los resultados del CN</w:t>
      </w:r>
      <w:r w:rsidR="00DD0A4A">
        <w:rPr>
          <w:rFonts w:ascii="Arial" w:hAnsi="Arial" w:cs="Arial"/>
          <w:color w:val="000000"/>
          <w:sz w:val="24"/>
        </w:rPr>
        <w:t>IJ</w:t>
      </w:r>
      <w:r w:rsidRPr="00756B55">
        <w:rPr>
          <w:rFonts w:ascii="Arial" w:hAnsi="Arial" w:cs="Arial"/>
          <w:color w:val="000000"/>
          <w:sz w:val="24"/>
        </w:rPr>
        <w:t xml:space="preserve">E 2021 se presentan en cuadros estadísticos organizados en los siguientes apartados: </w:t>
      </w:r>
      <w:r w:rsidR="00275BC5" w:rsidRPr="00275BC5">
        <w:rPr>
          <w:rFonts w:ascii="Arial" w:hAnsi="Arial" w:cs="Arial"/>
          <w:color w:val="000000"/>
          <w:sz w:val="24"/>
          <w:szCs w:val="24"/>
        </w:rPr>
        <w:t>Estructura organizacional y recursos; Trámites y servicios; Transparencia; Control interno y anticorrupción; Administración de archivos y gestión documental;</w:t>
      </w:r>
      <w:r w:rsidR="00A53BBE">
        <w:rPr>
          <w:rFonts w:ascii="Arial" w:hAnsi="Arial" w:cs="Arial"/>
          <w:color w:val="000000"/>
          <w:sz w:val="24"/>
          <w:szCs w:val="24"/>
        </w:rPr>
        <w:t xml:space="preserve"> </w:t>
      </w:r>
      <w:r w:rsidR="00275BC5" w:rsidRPr="00275BC5">
        <w:rPr>
          <w:rFonts w:ascii="Arial" w:hAnsi="Arial" w:cs="Arial"/>
          <w:color w:val="000000"/>
          <w:sz w:val="24"/>
          <w:szCs w:val="24"/>
        </w:rPr>
        <w:t>Defensoría pública o defensoría de oficio; Servicios periciales; Impartición de justicia; Justicia alternativa y/o mecanismos alternativos de solución de controversias</w:t>
      </w:r>
      <w:r w:rsidR="00BA310C" w:rsidRPr="00275BC5">
        <w:rPr>
          <w:rStyle w:val="Refdenotaalpie"/>
          <w:rFonts w:ascii="Arial" w:hAnsi="Arial" w:cs="Arial"/>
          <w:color w:val="000000"/>
          <w:sz w:val="24"/>
        </w:rPr>
        <w:footnoteReference w:id="6"/>
      </w:r>
      <w:r w:rsidR="00BA310C" w:rsidRPr="00275BC5">
        <w:rPr>
          <w:rFonts w:ascii="Arial" w:hAnsi="Arial" w:cs="Arial"/>
          <w:color w:val="000000"/>
          <w:sz w:val="24"/>
        </w:rPr>
        <w:t>.</w:t>
      </w:r>
    </w:p>
    <w:p w14:paraId="5323E577" w14:textId="77777777" w:rsidR="00BA310C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</w:rPr>
      </w:pPr>
    </w:p>
    <w:p w14:paraId="1CAE8729" w14:textId="77777777" w:rsidR="00417173" w:rsidRDefault="00417173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597C2E38" w14:textId="6C838B3D" w:rsidR="00417173" w:rsidRDefault="00417173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0D819761" w14:textId="3F990D39" w:rsidR="003B3685" w:rsidRDefault="003B3685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D9D2B41" w14:textId="59C47F18" w:rsidR="003B3685" w:rsidRDefault="003B3685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24CAF55" w14:textId="32EF3422" w:rsidR="005E0738" w:rsidRDefault="005E0738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1DAFD78B" w14:textId="77777777" w:rsidR="005E0738" w:rsidRDefault="005E0738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00CACDDE" w14:textId="7F48644F" w:rsidR="003B3685" w:rsidRDefault="003B3685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14B6ACBF" w14:textId="5D281DF8" w:rsidR="00BA310C" w:rsidRPr="00CF2511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CF2511">
        <w:rPr>
          <w:rFonts w:ascii="Arial" w:hAnsi="Arial" w:cs="Arial"/>
          <w:b/>
          <w:bCs/>
          <w:sz w:val="24"/>
          <w:szCs w:val="24"/>
        </w:rPr>
        <w:lastRenderedPageBreak/>
        <w:t xml:space="preserve">Estructura organizacional y recursos </w:t>
      </w:r>
    </w:p>
    <w:p w14:paraId="3F0DD1A3" w14:textId="77777777" w:rsidR="00BA310C" w:rsidRPr="00670E94" w:rsidRDefault="00BA310C" w:rsidP="00BA310C">
      <w:pPr>
        <w:pStyle w:val="Default"/>
        <w:ind w:left="-567"/>
      </w:pPr>
    </w:p>
    <w:p w14:paraId="6C5BCCF2" w14:textId="0B33AC49" w:rsidR="001A0CFB" w:rsidRPr="00756B55" w:rsidRDefault="00CC125C" w:rsidP="001A0CFB">
      <w:pPr>
        <w:pStyle w:val="Default"/>
        <w:ind w:left="-567"/>
        <w:jc w:val="both"/>
        <w:rPr>
          <w:color w:val="auto"/>
        </w:rPr>
      </w:pPr>
      <w:r>
        <w:t>A partir de la información</w:t>
      </w:r>
      <w:r w:rsidR="007908D7">
        <w:t xml:space="preserve"> recopilada</w:t>
      </w:r>
      <w:r>
        <w:t xml:space="preserve">, </w:t>
      </w:r>
      <w:r w:rsidRPr="00670E94">
        <w:t xml:space="preserve">es posible conocer las características de la estructura organizacional </w:t>
      </w:r>
      <w:r w:rsidRPr="00263756">
        <w:t>y recursos con los que cuenta</w:t>
      </w:r>
      <w:r>
        <w:t>n</w:t>
      </w:r>
      <w:r w:rsidRPr="00263756">
        <w:t xml:space="preserve"> </w:t>
      </w:r>
      <w:r>
        <w:t xml:space="preserve">los </w:t>
      </w:r>
      <w:r w:rsidR="00F223F4">
        <w:t>p</w:t>
      </w:r>
      <w:r w:rsidRPr="00263756">
        <w:t>oder</w:t>
      </w:r>
      <w:r>
        <w:t>es</w:t>
      </w:r>
      <w:r w:rsidRPr="00263756">
        <w:t xml:space="preserve"> </w:t>
      </w:r>
      <w:r w:rsidR="00F223F4">
        <w:t>j</w:t>
      </w:r>
      <w:r w:rsidRPr="00263756">
        <w:t>udicial</w:t>
      </w:r>
      <w:r>
        <w:t xml:space="preserve">es </w:t>
      </w:r>
      <w:r w:rsidR="00C96599">
        <w:t>de cada entidad federativa</w:t>
      </w:r>
      <w:r>
        <w:t xml:space="preserve">. Al </w:t>
      </w:r>
      <w:r w:rsidRPr="00040B38">
        <w:rPr>
          <w:color w:val="auto"/>
        </w:rPr>
        <w:t>respecto, se reportó que</w:t>
      </w:r>
      <w:r w:rsidR="00BA310C" w:rsidRPr="00040B38">
        <w:rPr>
          <w:color w:val="auto"/>
        </w:rPr>
        <w:t xml:space="preserve">, </w:t>
      </w:r>
      <w:bookmarkStart w:id="2" w:name="_Hlk53435678"/>
      <w:r w:rsidR="00BA310C" w:rsidRPr="00040B38">
        <w:rPr>
          <w:color w:val="auto"/>
        </w:rPr>
        <w:t>al cierre de 20</w:t>
      </w:r>
      <w:r w:rsidR="007908D7" w:rsidRPr="00040B38">
        <w:rPr>
          <w:color w:val="auto"/>
        </w:rPr>
        <w:t>20</w:t>
      </w:r>
      <w:r w:rsidR="00BA310C" w:rsidRPr="00040B38">
        <w:rPr>
          <w:color w:val="auto"/>
        </w:rPr>
        <w:t xml:space="preserve">, los </w:t>
      </w:r>
      <w:r w:rsidR="00EE30FE" w:rsidRPr="00040B38">
        <w:rPr>
          <w:color w:val="auto"/>
        </w:rPr>
        <w:t>poderes judiciales estatales</w:t>
      </w:r>
      <w:r w:rsidR="00BA310C" w:rsidRPr="00040B38">
        <w:rPr>
          <w:color w:val="auto"/>
        </w:rPr>
        <w:t xml:space="preserve"> se conformaron por </w:t>
      </w:r>
      <w:r w:rsidR="00DA0149" w:rsidRPr="00040B38">
        <w:rPr>
          <w:color w:val="auto"/>
        </w:rPr>
        <w:t>5 171</w:t>
      </w:r>
      <w:r w:rsidR="008B10E6" w:rsidRPr="00040B38">
        <w:rPr>
          <w:color w:val="auto"/>
        </w:rPr>
        <w:t xml:space="preserve"> órganos, de ellos</w:t>
      </w:r>
      <w:r w:rsidR="00692CC4">
        <w:rPr>
          <w:color w:val="auto"/>
        </w:rPr>
        <w:t>,</w:t>
      </w:r>
      <w:r w:rsidR="00DA0149" w:rsidRPr="00040B38">
        <w:rPr>
          <w:color w:val="auto"/>
        </w:rPr>
        <w:t xml:space="preserve"> </w:t>
      </w:r>
      <w:r w:rsidR="0074170D" w:rsidRPr="00040B38">
        <w:rPr>
          <w:color w:val="auto"/>
        </w:rPr>
        <w:t xml:space="preserve">3 721 </w:t>
      </w:r>
      <w:r w:rsidR="00842036" w:rsidRPr="00040B38">
        <w:rPr>
          <w:color w:val="auto"/>
        </w:rPr>
        <w:t>fueron</w:t>
      </w:r>
      <w:r w:rsidR="00BA310C" w:rsidRPr="00040B38">
        <w:rPr>
          <w:color w:val="auto"/>
        </w:rPr>
        <w:t xml:space="preserve"> jurisdiccionales</w:t>
      </w:r>
      <w:r w:rsidR="001A0CFB">
        <w:rPr>
          <w:rStyle w:val="Refdenotaalpie"/>
          <w:color w:val="auto"/>
        </w:rPr>
        <w:footnoteReference w:id="7"/>
      </w:r>
      <w:r w:rsidR="00BA310C" w:rsidRPr="00040B38">
        <w:rPr>
          <w:color w:val="auto"/>
        </w:rPr>
        <w:t xml:space="preserve"> (</w:t>
      </w:r>
      <w:r w:rsidR="00842036" w:rsidRPr="00040B38">
        <w:rPr>
          <w:color w:val="auto"/>
        </w:rPr>
        <w:t>90.6</w:t>
      </w:r>
      <w:r w:rsidR="00BA310C" w:rsidRPr="00040B38">
        <w:rPr>
          <w:color w:val="auto"/>
        </w:rPr>
        <w:t xml:space="preserve">% correspondió a primera instancia y </w:t>
      </w:r>
      <w:r w:rsidR="00842036" w:rsidRPr="00040B38">
        <w:rPr>
          <w:color w:val="auto"/>
        </w:rPr>
        <w:t>9.4</w:t>
      </w:r>
      <w:r w:rsidR="00BA310C" w:rsidRPr="00040B38">
        <w:rPr>
          <w:color w:val="auto"/>
        </w:rPr>
        <w:t xml:space="preserve">% a segunda instancia) y 1 </w:t>
      </w:r>
      <w:r w:rsidR="00842036" w:rsidRPr="00040B38">
        <w:rPr>
          <w:color w:val="auto"/>
        </w:rPr>
        <w:t>450</w:t>
      </w:r>
      <w:r w:rsidR="00BA310C" w:rsidRPr="00040B38">
        <w:rPr>
          <w:color w:val="auto"/>
        </w:rPr>
        <w:t xml:space="preserve"> administrativos</w:t>
      </w:r>
      <w:r w:rsidR="003679F1">
        <w:rPr>
          <w:rStyle w:val="Refdenotaalpie"/>
          <w:color w:val="auto"/>
        </w:rPr>
        <w:footnoteReference w:id="8"/>
      </w:r>
      <w:r w:rsidR="00BA310C" w:rsidRPr="00040B38">
        <w:rPr>
          <w:color w:val="auto"/>
        </w:rPr>
        <w:t xml:space="preserve"> </w:t>
      </w:r>
      <w:r w:rsidR="00BA310C" w:rsidRPr="00FB24E9">
        <w:t>.</w:t>
      </w:r>
      <w:bookmarkEnd w:id="2"/>
      <w:r w:rsidR="00BA310C" w:rsidRPr="00FB24E9">
        <w:t xml:space="preserve"> </w:t>
      </w:r>
      <w:r w:rsidR="001A0CFB" w:rsidRPr="004B63B8">
        <w:t>En</w:t>
      </w:r>
      <w:r w:rsidR="001A0CFB">
        <w:t xml:space="preserve"> comparación con la cifra </w:t>
      </w:r>
      <w:r w:rsidR="00EF4861">
        <w:t xml:space="preserve">total </w:t>
      </w:r>
      <w:r w:rsidR="001A0CFB">
        <w:t xml:space="preserve">de órganos reportada en 2019, se registró una disminución de </w:t>
      </w:r>
      <w:r w:rsidR="00EF4861">
        <w:t>10</w:t>
      </w:r>
      <w:r w:rsidR="001A0CFB">
        <w:t>.2 por ciento.</w:t>
      </w:r>
    </w:p>
    <w:p w14:paraId="18D24AB1" w14:textId="77777777" w:rsidR="001A0CFB" w:rsidRPr="004B63B8" w:rsidRDefault="001A0CFB" w:rsidP="001A0CFB">
      <w:pPr>
        <w:pStyle w:val="Default"/>
        <w:spacing w:after="10"/>
        <w:ind w:left="-567"/>
        <w:jc w:val="both"/>
      </w:pPr>
    </w:p>
    <w:p w14:paraId="568815A2" w14:textId="11B86860" w:rsidR="001A0CFB" w:rsidRPr="00C63AB0" w:rsidRDefault="001A0CFB" w:rsidP="001A0CFB">
      <w:pPr>
        <w:pStyle w:val="Default"/>
        <w:spacing w:after="10"/>
        <w:jc w:val="center"/>
        <w:rPr>
          <w:b/>
          <w:i/>
          <w:color w:val="414C1C"/>
          <w:sz w:val="18"/>
          <w:szCs w:val="18"/>
        </w:rPr>
      </w:pPr>
      <w:r w:rsidRPr="00C63AB0">
        <w:rPr>
          <w:b/>
          <w:i/>
          <w:color w:val="414C1C"/>
          <w:sz w:val="18"/>
          <w:szCs w:val="18"/>
        </w:rPr>
        <w:t xml:space="preserve">Gráfica </w:t>
      </w:r>
      <w:r>
        <w:rPr>
          <w:b/>
          <w:i/>
          <w:color w:val="414C1C"/>
          <w:sz w:val="18"/>
          <w:szCs w:val="18"/>
        </w:rPr>
        <w:t>1</w:t>
      </w:r>
      <w:r w:rsidRPr="00C63AB0">
        <w:rPr>
          <w:b/>
          <w:i/>
          <w:color w:val="414C1C"/>
          <w:sz w:val="18"/>
          <w:szCs w:val="18"/>
        </w:rPr>
        <w:t xml:space="preserve">. </w:t>
      </w:r>
      <w:r>
        <w:rPr>
          <w:b/>
          <w:i/>
          <w:color w:val="414C1C"/>
          <w:sz w:val="18"/>
          <w:szCs w:val="18"/>
        </w:rPr>
        <w:t>Órganos</w:t>
      </w:r>
      <w:r w:rsidR="00EF4861" w:rsidRPr="00EF4861">
        <w:rPr>
          <w:b/>
          <w:i/>
          <w:color w:val="414C1C"/>
          <w:sz w:val="18"/>
          <w:szCs w:val="18"/>
        </w:rPr>
        <w:t xml:space="preserve"> jurisdiccionales y órganos administrativos y/o unidades administrativas</w:t>
      </w:r>
      <w:r>
        <w:rPr>
          <w:b/>
          <w:i/>
          <w:color w:val="414C1C"/>
          <w:sz w:val="18"/>
          <w:szCs w:val="18"/>
        </w:rPr>
        <w:t xml:space="preserve"> de los poderes judiciales estatales</w:t>
      </w:r>
      <w:r w:rsidRPr="00C63AB0">
        <w:rPr>
          <w:b/>
          <w:i/>
          <w:color w:val="414C1C"/>
          <w:sz w:val="18"/>
          <w:szCs w:val="18"/>
        </w:rPr>
        <w:t xml:space="preserve">, </w:t>
      </w:r>
      <w:r>
        <w:rPr>
          <w:b/>
          <w:i/>
          <w:color w:val="414C1C"/>
          <w:sz w:val="18"/>
          <w:szCs w:val="18"/>
        </w:rPr>
        <w:t xml:space="preserve">2010 a </w:t>
      </w:r>
      <w:r w:rsidRPr="00C63AB0">
        <w:rPr>
          <w:b/>
          <w:i/>
          <w:color w:val="414C1C"/>
          <w:sz w:val="18"/>
          <w:szCs w:val="18"/>
        </w:rPr>
        <w:t>20</w:t>
      </w:r>
      <w:r>
        <w:rPr>
          <w:b/>
          <w:i/>
          <w:color w:val="414C1C"/>
          <w:sz w:val="18"/>
          <w:szCs w:val="18"/>
        </w:rPr>
        <w:t>20</w:t>
      </w:r>
    </w:p>
    <w:p w14:paraId="0D1F5C17" w14:textId="0D9836DB" w:rsidR="001A0CFB" w:rsidRDefault="00EC6879" w:rsidP="001A0CFB">
      <w:pPr>
        <w:pStyle w:val="Default"/>
        <w:spacing w:after="10"/>
        <w:ind w:left="-567"/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237D151A" wp14:editId="22B9D3DC">
            <wp:extent cx="5981700" cy="2171700"/>
            <wp:effectExtent l="0" t="0" r="0" b="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00D2FFD0-66DF-4900-9765-6F776FD8B6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077D00A" w14:textId="77777777" w:rsidR="001A0CFB" w:rsidRDefault="001A0CFB" w:rsidP="00842036">
      <w:pPr>
        <w:pStyle w:val="Default"/>
        <w:ind w:left="-567"/>
        <w:jc w:val="both"/>
      </w:pPr>
    </w:p>
    <w:p w14:paraId="2352D152" w14:textId="77777777" w:rsidR="00064C2C" w:rsidRPr="00EC6879" w:rsidRDefault="00064C2C" w:rsidP="00842036">
      <w:pPr>
        <w:pStyle w:val="Default"/>
        <w:ind w:left="-567"/>
        <w:jc w:val="both"/>
        <w:rPr>
          <w:sz w:val="12"/>
          <w:szCs w:val="12"/>
        </w:rPr>
      </w:pPr>
    </w:p>
    <w:p w14:paraId="1030212D" w14:textId="02020A53" w:rsidR="00BA310C" w:rsidRPr="00842036" w:rsidRDefault="00BA310C" w:rsidP="00842036">
      <w:pPr>
        <w:pStyle w:val="Default"/>
        <w:ind w:left="-567"/>
        <w:jc w:val="both"/>
      </w:pPr>
      <w:r w:rsidRPr="00FB24E9">
        <w:t>La distribución por materia de los órganos jurisdiccionales se presenta a continuación:</w:t>
      </w:r>
    </w:p>
    <w:p w14:paraId="21756F5A" w14:textId="77777777" w:rsidR="00BA310C" w:rsidRDefault="00BA310C" w:rsidP="00BA310C">
      <w:pPr>
        <w:pStyle w:val="Default"/>
        <w:ind w:left="-567"/>
        <w:jc w:val="both"/>
        <w:rPr>
          <w:highlight w:val="yellow"/>
        </w:rPr>
      </w:pPr>
    </w:p>
    <w:p w14:paraId="20343CC7" w14:textId="5E6F2F62" w:rsidR="00BA310C" w:rsidRPr="00040B38" w:rsidRDefault="00BA310C" w:rsidP="00BA310C">
      <w:pPr>
        <w:pStyle w:val="Default"/>
        <w:ind w:left="284" w:right="1134"/>
        <w:jc w:val="center"/>
        <w:rPr>
          <w:b/>
          <w:i/>
          <w:color w:val="414C1C"/>
          <w:sz w:val="18"/>
        </w:rPr>
      </w:pPr>
      <w:r w:rsidRPr="00040B38">
        <w:rPr>
          <w:b/>
          <w:i/>
          <w:color w:val="414C1C"/>
          <w:sz w:val="18"/>
        </w:rPr>
        <w:t xml:space="preserve">Gráfica </w:t>
      </w:r>
      <w:r w:rsidR="001A0CFB">
        <w:rPr>
          <w:b/>
          <w:i/>
          <w:color w:val="414C1C"/>
          <w:sz w:val="18"/>
        </w:rPr>
        <w:t>2</w:t>
      </w:r>
      <w:r w:rsidRPr="00040B38">
        <w:rPr>
          <w:b/>
          <w:i/>
          <w:color w:val="414C1C"/>
          <w:sz w:val="18"/>
        </w:rPr>
        <w:t xml:space="preserve">. Distribución porcentual de los órganos jurisdiccionales de los </w:t>
      </w:r>
      <w:r w:rsidR="00EE30FE" w:rsidRPr="00040B38">
        <w:rPr>
          <w:b/>
          <w:i/>
          <w:color w:val="414C1C"/>
          <w:sz w:val="18"/>
        </w:rPr>
        <w:t>poderes judiciales estatales</w:t>
      </w:r>
      <w:r w:rsidRPr="00040B38">
        <w:rPr>
          <w:b/>
          <w:i/>
          <w:color w:val="414C1C"/>
          <w:sz w:val="18"/>
        </w:rPr>
        <w:t>, por materia, 20</w:t>
      </w:r>
      <w:r w:rsidR="007545D6">
        <w:rPr>
          <w:b/>
          <w:i/>
          <w:color w:val="414C1C"/>
          <w:sz w:val="18"/>
        </w:rPr>
        <w:t>20</w:t>
      </w:r>
    </w:p>
    <w:p w14:paraId="0F0C6F25" w14:textId="77777777" w:rsidR="00BA310C" w:rsidRPr="00040B38" w:rsidRDefault="00BA310C" w:rsidP="00BA310C">
      <w:pPr>
        <w:pStyle w:val="Default"/>
        <w:ind w:left="-567"/>
        <w:jc w:val="center"/>
        <w:rPr>
          <w:b/>
          <w:i/>
          <w:color w:val="643200"/>
          <w:sz w:val="20"/>
        </w:rPr>
      </w:pPr>
    </w:p>
    <w:p w14:paraId="6B10918A" w14:textId="586DACFD" w:rsidR="00BA310C" w:rsidRPr="000E5724" w:rsidRDefault="00EE30FE" w:rsidP="00BA310C">
      <w:pPr>
        <w:pStyle w:val="Default"/>
        <w:ind w:left="-567"/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02923D48" wp14:editId="35E0D7C2">
            <wp:extent cx="4176395" cy="2042555"/>
            <wp:effectExtent l="0" t="0" r="0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4D3563FB-6D6A-449A-AD15-3E4542C535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F868C01" w14:textId="04CDD7C4" w:rsidR="00BA310C" w:rsidRDefault="00BA310C" w:rsidP="00154F10">
      <w:pPr>
        <w:spacing w:after="0"/>
        <w:ind w:left="-284"/>
        <w:jc w:val="center"/>
        <w:rPr>
          <w:rFonts w:ascii="Arial" w:hAnsi="Arial" w:cs="Arial"/>
          <w:sz w:val="16"/>
          <w:szCs w:val="16"/>
        </w:rPr>
      </w:pPr>
      <w:r w:rsidRPr="00953D1F">
        <w:rPr>
          <w:rFonts w:ascii="Arial" w:hAnsi="Arial" w:cs="Arial"/>
          <w:sz w:val="16"/>
          <w:szCs w:val="16"/>
        </w:rPr>
        <w:t xml:space="preserve">Nota: </w:t>
      </w:r>
      <w:r w:rsidR="009B5252">
        <w:rPr>
          <w:rFonts w:ascii="Arial" w:hAnsi="Arial" w:cs="Arial"/>
          <w:sz w:val="16"/>
          <w:szCs w:val="16"/>
        </w:rPr>
        <w:t>s</w:t>
      </w:r>
      <w:r w:rsidRPr="00953D1F">
        <w:rPr>
          <w:rFonts w:ascii="Arial" w:hAnsi="Arial" w:cs="Arial"/>
          <w:sz w:val="16"/>
          <w:szCs w:val="16"/>
        </w:rPr>
        <w:t>e incluyen los órganos de primera y segunda instancia</w:t>
      </w:r>
      <w:r w:rsidR="00953D1F">
        <w:rPr>
          <w:rFonts w:ascii="Arial" w:hAnsi="Arial" w:cs="Arial"/>
          <w:sz w:val="16"/>
          <w:szCs w:val="16"/>
        </w:rPr>
        <w:t xml:space="preserve"> en los sistemas </w:t>
      </w:r>
      <w:r w:rsidR="009B5252">
        <w:rPr>
          <w:rFonts w:ascii="Arial" w:hAnsi="Arial" w:cs="Arial"/>
          <w:sz w:val="16"/>
          <w:szCs w:val="16"/>
        </w:rPr>
        <w:t>Tradicional, Penal Acusatorio, Escrito, Oral e Integral de Justicia Penal para Adolescentes. L</w:t>
      </w:r>
      <w:r w:rsidR="009B5252" w:rsidRPr="00953D1F">
        <w:rPr>
          <w:rFonts w:ascii="Arial" w:hAnsi="Arial" w:cs="Arial"/>
          <w:sz w:val="16"/>
          <w:szCs w:val="16"/>
        </w:rPr>
        <w:t>a distribución se realizó considerando 7,053 órganos jurisdiccionales, toda vez que un mismo órgano pudo atender más de una materia y/o sistema</w:t>
      </w:r>
      <w:r w:rsidR="0013781E">
        <w:rPr>
          <w:rFonts w:ascii="Arial" w:hAnsi="Arial" w:cs="Arial"/>
          <w:sz w:val="16"/>
          <w:szCs w:val="16"/>
        </w:rPr>
        <w:t xml:space="preserve"> de justicia</w:t>
      </w:r>
      <w:r w:rsidR="00EE30FE" w:rsidRPr="00953D1F">
        <w:rPr>
          <w:rFonts w:ascii="Arial" w:hAnsi="Arial" w:cs="Arial"/>
          <w:sz w:val="16"/>
          <w:szCs w:val="16"/>
        </w:rPr>
        <w:t xml:space="preserve">. La categoría </w:t>
      </w:r>
      <w:r w:rsidR="00EE30FE" w:rsidRPr="00953D1F">
        <w:rPr>
          <w:rFonts w:ascii="Arial" w:hAnsi="Arial" w:cs="Arial"/>
          <w:i/>
          <w:iCs/>
          <w:sz w:val="16"/>
          <w:szCs w:val="16"/>
        </w:rPr>
        <w:t>Otra materia</w:t>
      </w:r>
      <w:r w:rsidR="00EE30FE" w:rsidRPr="00953D1F">
        <w:rPr>
          <w:rFonts w:ascii="Arial" w:hAnsi="Arial" w:cs="Arial"/>
          <w:sz w:val="16"/>
          <w:szCs w:val="16"/>
        </w:rPr>
        <w:t xml:space="preserve"> incluye las materias</w:t>
      </w:r>
      <w:r w:rsidR="00953D1F" w:rsidRPr="00953D1F">
        <w:t xml:space="preserve"> </w:t>
      </w:r>
      <w:r w:rsidR="00953D1F" w:rsidRPr="00953D1F">
        <w:rPr>
          <w:rFonts w:ascii="Arial" w:hAnsi="Arial" w:cs="Arial"/>
          <w:i/>
          <w:iCs/>
          <w:sz w:val="16"/>
          <w:szCs w:val="16"/>
        </w:rPr>
        <w:t xml:space="preserve">Extinción de dominio </w:t>
      </w:r>
      <w:r w:rsidR="00953D1F" w:rsidRPr="00953D1F">
        <w:rPr>
          <w:rFonts w:ascii="Arial" w:hAnsi="Arial" w:cs="Arial"/>
          <w:sz w:val="16"/>
          <w:szCs w:val="16"/>
        </w:rPr>
        <w:t xml:space="preserve">(1.9%), </w:t>
      </w:r>
      <w:r w:rsidR="00953D1F" w:rsidRPr="00953D1F">
        <w:rPr>
          <w:rFonts w:ascii="Arial" w:hAnsi="Arial" w:cs="Arial"/>
          <w:i/>
          <w:iCs/>
          <w:sz w:val="16"/>
          <w:szCs w:val="16"/>
        </w:rPr>
        <w:t xml:space="preserve">Indígena </w:t>
      </w:r>
      <w:r w:rsidR="00953D1F" w:rsidRPr="00953D1F">
        <w:rPr>
          <w:rFonts w:ascii="Arial" w:hAnsi="Arial" w:cs="Arial"/>
          <w:sz w:val="16"/>
          <w:szCs w:val="16"/>
        </w:rPr>
        <w:t xml:space="preserve">(0.7%), </w:t>
      </w:r>
      <w:r w:rsidR="00953D1F" w:rsidRPr="00953D1F">
        <w:rPr>
          <w:rFonts w:ascii="Arial" w:hAnsi="Arial" w:cs="Arial"/>
          <w:i/>
          <w:iCs/>
          <w:sz w:val="16"/>
          <w:szCs w:val="16"/>
        </w:rPr>
        <w:t xml:space="preserve">Laboral </w:t>
      </w:r>
      <w:r w:rsidR="00953D1F" w:rsidRPr="00953D1F">
        <w:rPr>
          <w:rFonts w:ascii="Arial" w:hAnsi="Arial" w:cs="Arial"/>
          <w:sz w:val="16"/>
          <w:szCs w:val="16"/>
        </w:rPr>
        <w:t xml:space="preserve">(0.4%), </w:t>
      </w:r>
      <w:r w:rsidR="00953D1F" w:rsidRPr="00953D1F">
        <w:rPr>
          <w:rFonts w:ascii="Arial" w:hAnsi="Arial" w:cs="Arial"/>
          <w:i/>
          <w:iCs/>
          <w:sz w:val="16"/>
          <w:szCs w:val="16"/>
        </w:rPr>
        <w:t>Otro tipo</w:t>
      </w:r>
      <w:r w:rsidR="00953D1F" w:rsidRPr="00953D1F">
        <w:rPr>
          <w:rFonts w:ascii="Arial" w:hAnsi="Arial" w:cs="Arial"/>
          <w:sz w:val="16"/>
          <w:szCs w:val="16"/>
        </w:rPr>
        <w:t xml:space="preserve"> (2.4%) y </w:t>
      </w:r>
      <w:r w:rsidR="00953D1F" w:rsidRPr="00F5354D">
        <w:rPr>
          <w:rFonts w:ascii="Arial" w:hAnsi="Arial" w:cs="Arial"/>
          <w:i/>
          <w:iCs/>
          <w:sz w:val="16"/>
          <w:szCs w:val="16"/>
        </w:rPr>
        <w:t>No se sabe</w:t>
      </w:r>
      <w:r w:rsidR="00953D1F" w:rsidRPr="00F5354D">
        <w:rPr>
          <w:rFonts w:ascii="Arial" w:hAnsi="Arial" w:cs="Arial"/>
          <w:sz w:val="16"/>
          <w:szCs w:val="16"/>
        </w:rPr>
        <w:t xml:space="preserve"> (0.01%)</w:t>
      </w:r>
      <w:r w:rsidRPr="00F5354D">
        <w:rPr>
          <w:rFonts w:ascii="Arial" w:hAnsi="Arial" w:cs="Arial"/>
          <w:sz w:val="16"/>
          <w:szCs w:val="16"/>
        </w:rPr>
        <w:t>.</w:t>
      </w:r>
    </w:p>
    <w:p w14:paraId="46BB3921" w14:textId="2E586550" w:rsidR="007764CE" w:rsidRDefault="00BA310C" w:rsidP="007764CE">
      <w:pPr>
        <w:pStyle w:val="Default"/>
        <w:spacing w:after="10"/>
        <w:ind w:left="-567"/>
        <w:jc w:val="both"/>
      </w:pPr>
      <w:r w:rsidRPr="007A1C50">
        <w:lastRenderedPageBreak/>
        <w:t>Al cierre de 20</w:t>
      </w:r>
      <w:r w:rsidR="008A7BD2" w:rsidRPr="007A1C50">
        <w:t>2</w:t>
      </w:r>
      <w:r w:rsidR="00417173">
        <w:t>0</w:t>
      </w:r>
      <w:r w:rsidRPr="007A1C50">
        <w:t>, los plenos de los órganos que conforma</w:t>
      </w:r>
      <w:r w:rsidR="008A7BD2" w:rsidRPr="007A1C50">
        <w:t>ro</w:t>
      </w:r>
      <w:r w:rsidRPr="007A1C50">
        <w:t xml:space="preserve">n los </w:t>
      </w:r>
      <w:r w:rsidR="00EE30FE" w:rsidRPr="007A1C50">
        <w:t>poderes judiciales estatales</w:t>
      </w:r>
      <w:r w:rsidR="008A7BD2" w:rsidRPr="007A1C50">
        <w:t xml:space="preserve"> </w:t>
      </w:r>
      <w:r w:rsidRPr="007A1C50">
        <w:t xml:space="preserve">se integraron por </w:t>
      </w:r>
      <w:r w:rsidR="00291777" w:rsidRPr="007A1C50">
        <w:t>715</w:t>
      </w:r>
      <w:r w:rsidRPr="007A1C50">
        <w:t xml:space="preserve"> </w:t>
      </w:r>
      <w:r w:rsidR="00E530D9">
        <w:t xml:space="preserve">personas con el cargo de </w:t>
      </w:r>
      <w:r w:rsidRPr="007A1C50">
        <w:t>magistrados y consejeros, de</w:t>
      </w:r>
      <w:r w:rsidR="003679F1">
        <w:t>l total</w:t>
      </w:r>
      <w:r w:rsidRPr="007A1C50">
        <w:t>, 4</w:t>
      </w:r>
      <w:r w:rsidR="00291777" w:rsidRPr="007A1C50">
        <w:t>83</w:t>
      </w:r>
      <w:r w:rsidRPr="007A1C50">
        <w:t xml:space="preserve"> (</w:t>
      </w:r>
      <w:r w:rsidR="00291777" w:rsidRPr="007A1C50">
        <w:t>67.6</w:t>
      </w:r>
      <w:r w:rsidRPr="007A1C50">
        <w:t>%) fueron hombres y 2</w:t>
      </w:r>
      <w:r w:rsidR="00291777" w:rsidRPr="007A1C50">
        <w:t>32</w:t>
      </w:r>
      <w:r w:rsidRPr="007A1C50">
        <w:t xml:space="preserve"> (</w:t>
      </w:r>
      <w:r w:rsidR="00291777" w:rsidRPr="007A1C50">
        <w:t>32.4</w:t>
      </w:r>
      <w:r w:rsidRPr="007A1C50">
        <w:t>%) mujeres</w:t>
      </w:r>
      <w:r w:rsidRPr="007A1C50">
        <w:rPr>
          <w:rStyle w:val="Refdenotaalpie"/>
        </w:rPr>
        <w:footnoteReference w:id="9"/>
      </w:r>
      <w:r w:rsidRPr="007A1C50">
        <w:t>. Enseguida se presenta</w:t>
      </w:r>
      <w:r w:rsidR="007764CE">
        <w:t xml:space="preserve">n las cifras de </w:t>
      </w:r>
      <w:r w:rsidR="00D1447E">
        <w:t xml:space="preserve">magistrados y </w:t>
      </w:r>
      <w:r w:rsidR="007764CE">
        <w:t xml:space="preserve">consejeros en el periodo de 2011 a </w:t>
      </w:r>
      <w:r w:rsidR="007764CE" w:rsidRPr="00904E10">
        <w:t>202</w:t>
      </w:r>
      <w:r w:rsidR="00064C2C" w:rsidRPr="00904E10">
        <w:t>0</w:t>
      </w:r>
      <w:r w:rsidR="007764CE" w:rsidRPr="00904E10">
        <w:t>.</w:t>
      </w:r>
    </w:p>
    <w:p w14:paraId="4F0CA4E4" w14:textId="77777777" w:rsidR="00792BB5" w:rsidRPr="007A1C50" w:rsidRDefault="00792BB5" w:rsidP="00BA310C">
      <w:pPr>
        <w:pStyle w:val="Default"/>
        <w:spacing w:after="10"/>
        <w:ind w:left="-567"/>
        <w:jc w:val="both"/>
      </w:pPr>
    </w:p>
    <w:p w14:paraId="3E932EA9" w14:textId="4F55758F" w:rsidR="00BA310C" w:rsidRDefault="00BA310C" w:rsidP="00BE7253">
      <w:pPr>
        <w:pStyle w:val="Default"/>
        <w:spacing w:after="10"/>
        <w:ind w:left="-567"/>
        <w:jc w:val="center"/>
        <w:rPr>
          <w:b/>
          <w:i/>
          <w:color w:val="414C1C"/>
          <w:sz w:val="18"/>
          <w:szCs w:val="18"/>
        </w:rPr>
      </w:pPr>
      <w:r w:rsidRPr="007A1C50">
        <w:rPr>
          <w:b/>
          <w:i/>
          <w:color w:val="414C1C"/>
          <w:sz w:val="18"/>
          <w:szCs w:val="18"/>
        </w:rPr>
        <w:t xml:space="preserve">Gráfica </w:t>
      </w:r>
      <w:r w:rsidR="007A1C50" w:rsidRPr="007A1C50">
        <w:rPr>
          <w:b/>
          <w:i/>
          <w:color w:val="414C1C"/>
          <w:sz w:val="18"/>
          <w:szCs w:val="18"/>
        </w:rPr>
        <w:t>3</w:t>
      </w:r>
      <w:r w:rsidRPr="007A1C50">
        <w:rPr>
          <w:b/>
          <w:i/>
          <w:color w:val="414C1C"/>
          <w:sz w:val="18"/>
          <w:szCs w:val="18"/>
        </w:rPr>
        <w:t xml:space="preserve">. </w:t>
      </w:r>
      <w:r w:rsidR="007764CE">
        <w:rPr>
          <w:b/>
          <w:i/>
          <w:color w:val="414C1C"/>
          <w:sz w:val="18"/>
          <w:szCs w:val="18"/>
        </w:rPr>
        <w:t>M</w:t>
      </w:r>
      <w:r w:rsidRPr="007A1C50">
        <w:rPr>
          <w:b/>
          <w:i/>
          <w:color w:val="414C1C"/>
          <w:sz w:val="18"/>
          <w:szCs w:val="18"/>
        </w:rPr>
        <w:t>agistrados y consejeros</w:t>
      </w:r>
      <w:r w:rsidR="00D1447E">
        <w:rPr>
          <w:b/>
          <w:i/>
          <w:color w:val="414C1C"/>
          <w:sz w:val="18"/>
          <w:szCs w:val="18"/>
        </w:rPr>
        <w:t xml:space="preserve"> en los poderes judiciales estatales</w:t>
      </w:r>
      <w:r w:rsidRPr="007A1C50">
        <w:rPr>
          <w:b/>
          <w:i/>
          <w:color w:val="414C1C"/>
          <w:sz w:val="18"/>
          <w:szCs w:val="18"/>
        </w:rPr>
        <w:t xml:space="preserve">, </w:t>
      </w:r>
      <w:r w:rsidR="00112147">
        <w:rPr>
          <w:b/>
          <w:i/>
          <w:color w:val="414C1C"/>
          <w:sz w:val="18"/>
          <w:szCs w:val="18"/>
        </w:rPr>
        <w:t xml:space="preserve">por cargo, </w:t>
      </w:r>
      <w:r w:rsidR="007764CE">
        <w:rPr>
          <w:b/>
          <w:i/>
          <w:color w:val="414C1C"/>
          <w:sz w:val="18"/>
          <w:szCs w:val="18"/>
        </w:rPr>
        <w:t xml:space="preserve">2011 a </w:t>
      </w:r>
      <w:r w:rsidRPr="00BE7253">
        <w:rPr>
          <w:b/>
          <w:i/>
          <w:color w:val="414C1C"/>
          <w:sz w:val="18"/>
          <w:szCs w:val="18"/>
        </w:rPr>
        <w:t>20</w:t>
      </w:r>
      <w:r w:rsidR="007A1C50" w:rsidRPr="00BE7253">
        <w:rPr>
          <w:b/>
          <w:i/>
          <w:color w:val="414C1C"/>
          <w:sz w:val="18"/>
          <w:szCs w:val="18"/>
        </w:rPr>
        <w:t>2</w:t>
      </w:r>
      <w:r w:rsidR="00BA6879">
        <w:rPr>
          <w:b/>
          <w:i/>
          <w:color w:val="414C1C"/>
          <w:sz w:val="18"/>
          <w:szCs w:val="18"/>
        </w:rPr>
        <w:t>0</w:t>
      </w:r>
    </w:p>
    <w:p w14:paraId="2C4E7E1E" w14:textId="77777777" w:rsidR="007764CE" w:rsidRDefault="007764CE" w:rsidP="00BA310C">
      <w:pPr>
        <w:pStyle w:val="Default"/>
        <w:spacing w:after="10"/>
        <w:jc w:val="center"/>
        <w:rPr>
          <w:b/>
          <w:i/>
          <w:color w:val="414C1C"/>
          <w:sz w:val="18"/>
          <w:szCs w:val="18"/>
        </w:rPr>
      </w:pPr>
    </w:p>
    <w:p w14:paraId="2F71CE08" w14:textId="602EA2D7" w:rsidR="00BA310C" w:rsidRPr="007A1C50" w:rsidRDefault="00AB7A48" w:rsidP="00BE7253">
      <w:pPr>
        <w:pStyle w:val="Default"/>
        <w:spacing w:after="10"/>
        <w:ind w:left="-567"/>
        <w:jc w:val="center"/>
        <w:rPr>
          <w:b/>
          <w:i/>
          <w:color w:val="472015"/>
          <w:sz w:val="22"/>
        </w:rPr>
      </w:pPr>
      <w:r>
        <w:rPr>
          <w:noProof/>
        </w:rPr>
        <w:drawing>
          <wp:inline distT="0" distB="0" distL="0" distR="0" wp14:anchorId="7829FD79" wp14:editId="21958453">
            <wp:extent cx="6142008" cy="2096135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12716092-5431-44B7-B3CC-0959CA1A51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7764CE" w:rsidRPr="007764CE">
        <w:rPr>
          <w:noProof/>
        </w:rPr>
        <w:t xml:space="preserve"> </w:t>
      </w:r>
    </w:p>
    <w:p w14:paraId="2C68C476" w14:textId="656F65C4" w:rsidR="00792BB5" w:rsidRDefault="00AD5CEC" w:rsidP="00AD5CEC">
      <w:pPr>
        <w:pStyle w:val="Default"/>
        <w:spacing w:after="10"/>
        <w:jc w:val="center"/>
        <w:rPr>
          <w:sz w:val="16"/>
          <w:szCs w:val="18"/>
        </w:rPr>
      </w:pPr>
      <w:r w:rsidRPr="00AD5CEC">
        <w:rPr>
          <w:sz w:val="16"/>
          <w:szCs w:val="18"/>
        </w:rPr>
        <w:t xml:space="preserve">*La </w:t>
      </w:r>
      <w:r w:rsidR="00BF1855">
        <w:rPr>
          <w:sz w:val="16"/>
          <w:szCs w:val="18"/>
        </w:rPr>
        <w:t xml:space="preserve">temporalidad de la </w:t>
      </w:r>
      <w:r w:rsidRPr="00AD5CEC">
        <w:rPr>
          <w:sz w:val="16"/>
          <w:szCs w:val="18"/>
        </w:rPr>
        <w:t>información corresponde al cierre del año.</w:t>
      </w:r>
    </w:p>
    <w:p w14:paraId="0182AA65" w14:textId="77777777" w:rsidR="00AD5CEC" w:rsidRPr="00AD5CEC" w:rsidRDefault="00AD5CEC" w:rsidP="00AD5CEC">
      <w:pPr>
        <w:pStyle w:val="Default"/>
        <w:spacing w:after="10"/>
        <w:jc w:val="center"/>
        <w:rPr>
          <w:sz w:val="16"/>
          <w:szCs w:val="18"/>
        </w:rPr>
      </w:pPr>
    </w:p>
    <w:p w14:paraId="0725D0C9" w14:textId="674329E8" w:rsidR="003679F1" w:rsidRDefault="00BA310C" w:rsidP="003679F1">
      <w:pPr>
        <w:pStyle w:val="Default"/>
        <w:spacing w:after="10"/>
        <w:ind w:left="-567"/>
        <w:jc w:val="both"/>
        <w:rPr>
          <w:color w:val="auto"/>
        </w:rPr>
      </w:pPr>
      <w:r w:rsidRPr="00792BB5">
        <w:t xml:space="preserve">En cuanto al personal con el que contaron los </w:t>
      </w:r>
      <w:r w:rsidR="00040B38" w:rsidRPr="00792BB5">
        <w:t>poderes judiciales estatales</w:t>
      </w:r>
      <w:r w:rsidRPr="00792BB5">
        <w:t xml:space="preserve"> al cierre de 20</w:t>
      </w:r>
      <w:r w:rsidR="005D2830" w:rsidRPr="00792BB5">
        <w:t>20</w:t>
      </w:r>
      <w:r w:rsidRPr="00792BB5">
        <w:t xml:space="preserve">, se </w:t>
      </w:r>
      <w:r w:rsidR="00A45D91" w:rsidRPr="00792BB5">
        <w:t>reportaron</w:t>
      </w:r>
      <w:r w:rsidRPr="00792BB5">
        <w:t xml:space="preserve"> </w:t>
      </w:r>
      <w:r w:rsidR="00A45D91" w:rsidRPr="00792BB5">
        <w:rPr>
          <w:color w:val="auto"/>
        </w:rPr>
        <w:t xml:space="preserve">70 294 </w:t>
      </w:r>
      <w:r w:rsidRPr="00792BB5">
        <w:rPr>
          <w:color w:val="auto"/>
        </w:rPr>
        <w:t xml:space="preserve">servidoras y servidores públicos, de los cuales, </w:t>
      </w:r>
      <w:r w:rsidR="00A45D91" w:rsidRPr="00792BB5">
        <w:rPr>
          <w:color w:val="auto"/>
        </w:rPr>
        <w:t xml:space="preserve">47 226 </w:t>
      </w:r>
      <w:r w:rsidRPr="00792BB5">
        <w:rPr>
          <w:color w:val="auto"/>
        </w:rPr>
        <w:t>(</w:t>
      </w:r>
      <w:r w:rsidR="00A45D91" w:rsidRPr="00792BB5">
        <w:rPr>
          <w:color w:val="auto"/>
        </w:rPr>
        <w:t>67.2</w:t>
      </w:r>
      <w:r w:rsidRPr="00792BB5">
        <w:rPr>
          <w:color w:val="auto"/>
        </w:rPr>
        <w:t xml:space="preserve">%) estuvieron adscritos a los órganos jurisdiccionales, </w:t>
      </w:r>
      <w:r w:rsidR="00A45D91" w:rsidRPr="00792BB5">
        <w:rPr>
          <w:color w:val="auto"/>
        </w:rPr>
        <w:t xml:space="preserve">38 224 </w:t>
      </w:r>
      <w:r w:rsidRPr="00792BB5">
        <w:rPr>
          <w:color w:val="auto"/>
        </w:rPr>
        <w:t xml:space="preserve">en órganos de primera </w:t>
      </w:r>
      <w:proofErr w:type="gramStart"/>
      <w:r w:rsidR="00064C2C" w:rsidRPr="00792BB5">
        <w:rPr>
          <w:color w:val="auto"/>
        </w:rPr>
        <w:t>instancia</w:t>
      </w:r>
      <w:r w:rsidR="00064C2C">
        <w:rPr>
          <w:color w:val="auto"/>
        </w:rPr>
        <w:t>,</w:t>
      </w:r>
      <w:r w:rsidR="00064C2C" w:rsidRPr="00792BB5">
        <w:rPr>
          <w:color w:val="auto"/>
        </w:rPr>
        <w:t xml:space="preserve"> </w:t>
      </w:r>
      <w:r w:rsidR="00064C2C">
        <w:rPr>
          <w:color w:val="auto"/>
        </w:rPr>
        <w:t xml:space="preserve"> </w:t>
      </w:r>
      <w:r w:rsidR="00A45D91" w:rsidRPr="00792BB5">
        <w:rPr>
          <w:color w:val="auto"/>
        </w:rPr>
        <w:t>9</w:t>
      </w:r>
      <w:proofErr w:type="gramEnd"/>
      <w:r w:rsidR="00A45D91" w:rsidRPr="00792BB5">
        <w:rPr>
          <w:color w:val="auto"/>
        </w:rPr>
        <w:t xml:space="preserve"> 002 </w:t>
      </w:r>
      <w:r w:rsidRPr="00792BB5">
        <w:rPr>
          <w:color w:val="auto"/>
        </w:rPr>
        <w:t>en segunda instancia</w:t>
      </w:r>
      <w:r w:rsidR="009F5FC4" w:rsidRPr="00254AFF">
        <w:rPr>
          <w:color w:val="auto"/>
        </w:rPr>
        <w:t xml:space="preserve">; </w:t>
      </w:r>
      <w:r w:rsidR="00A45D91" w:rsidRPr="00254AFF">
        <w:rPr>
          <w:color w:val="auto"/>
        </w:rPr>
        <w:t>22 996</w:t>
      </w:r>
      <w:r w:rsidRPr="00254AFF">
        <w:rPr>
          <w:color w:val="auto"/>
        </w:rPr>
        <w:t xml:space="preserve"> </w:t>
      </w:r>
      <w:r w:rsidRPr="00254AFF">
        <w:t>(</w:t>
      </w:r>
      <w:r w:rsidR="00A45D91" w:rsidRPr="00254AFF">
        <w:t>32.7</w:t>
      </w:r>
      <w:r w:rsidRPr="00254AFF">
        <w:t>%) a órganos administrativos y/o unidades administrativas</w:t>
      </w:r>
      <w:r w:rsidR="009F5FC4" w:rsidRPr="00254AFF">
        <w:t xml:space="preserve">, y para 72 </w:t>
      </w:r>
      <w:r w:rsidR="0083309D" w:rsidRPr="00254AFF">
        <w:t xml:space="preserve">(0.1%) </w:t>
      </w:r>
      <w:r w:rsidR="009F5FC4" w:rsidRPr="00254AFF">
        <w:t>no se especificó la adscripción.</w:t>
      </w:r>
      <w:r w:rsidRPr="00792BB5">
        <w:t xml:space="preserve"> Del total del personal, los hombres representaron 40.9% (</w:t>
      </w:r>
      <w:r w:rsidR="00792BB5" w:rsidRPr="00792BB5">
        <w:t>28 724</w:t>
      </w:r>
      <w:r w:rsidRPr="00792BB5">
        <w:t>)</w:t>
      </w:r>
      <w:r w:rsidR="00792BB5" w:rsidRPr="00792BB5">
        <w:t>,</w:t>
      </w:r>
      <w:r w:rsidRPr="00792BB5">
        <w:t xml:space="preserve"> las mujeres 59.</w:t>
      </w:r>
      <w:r w:rsidR="00792BB5" w:rsidRPr="00792BB5">
        <w:t>0</w:t>
      </w:r>
      <w:r w:rsidRPr="00792BB5">
        <w:t>% (</w:t>
      </w:r>
      <w:r w:rsidR="00792BB5" w:rsidRPr="00792BB5">
        <w:t>41 498</w:t>
      </w:r>
      <w:r w:rsidRPr="00792BB5">
        <w:t>)</w:t>
      </w:r>
      <w:r w:rsidR="00792BB5" w:rsidRPr="00792BB5">
        <w:t xml:space="preserve"> y para 0.1%</w:t>
      </w:r>
      <w:r w:rsidR="00792BB5">
        <w:t xml:space="preserve"> (72)</w:t>
      </w:r>
      <w:r w:rsidR="00792BB5" w:rsidRPr="00792BB5">
        <w:t xml:space="preserve"> no se especificó el sexo</w:t>
      </w:r>
      <w:r w:rsidRPr="00792BB5">
        <w:t>.</w:t>
      </w:r>
      <w:r w:rsidR="003679F1" w:rsidRPr="003679F1">
        <w:rPr>
          <w:color w:val="auto"/>
        </w:rPr>
        <w:t xml:space="preserve"> </w:t>
      </w:r>
      <w:r w:rsidR="003679F1" w:rsidRPr="00B43396">
        <w:rPr>
          <w:color w:val="auto"/>
        </w:rPr>
        <w:t xml:space="preserve">Con respecto a la </w:t>
      </w:r>
      <w:r w:rsidR="003679F1">
        <w:rPr>
          <w:color w:val="auto"/>
        </w:rPr>
        <w:t>cifra</w:t>
      </w:r>
      <w:r w:rsidR="003679F1" w:rsidRPr="00B43396">
        <w:rPr>
          <w:color w:val="auto"/>
        </w:rPr>
        <w:t xml:space="preserve"> reportada en 2019, el personal adscrito a los poderes judiciales estatales presentó un aumento de 2.4</w:t>
      </w:r>
      <w:r w:rsidR="00D83001">
        <w:rPr>
          <w:color w:val="auto"/>
        </w:rPr>
        <w:t>%</w:t>
      </w:r>
      <w:r w:rsidR="003679F1" w:rsidRPr="00B43396">
        <w:rPr>
          <w:color w:val="auto"/>
        </w:rPr>
        <w:t xml:space="preserve"> en 2020. </w:t>
      </w:r>
    </w:p>
    <w:p w14:paraId="50C7736E" w14:textId="77777777" w:rsidR="003679F1" w:rsidRDefault="003679F1" w:rsidP="003679F1">
      <w:pPr>
        <w:pStyle w:val="Default"/>
        <w:spacing w:after="10"/>
        <w:ind w:left="-567" w:right="-518"/>
        <w:jc w:val="center"/>
        <w:rPr>
          <w:b/>
          <w:bCs/>
          <w:i/>
          <w:iCs/>
          <w:color w:val="414C1C"/>
          <w:sz w:val="18"/>
          <w:szCs w:val="18"/>
        </w:rPr>
      </w:pPr>
    </w:p>
    <w:p w14:paraId="0EA41696" w14:textId="28A0FB6E" w:rsidR="003679F1" w:rsidRDefault="003679F1" w:rsidP="003679F1">
      <w:pPr>
        <w:pStyle w:val="Default"/>
        <w:spacing w:after="10"/>
        <w:ind w:left="-567" w:right="-518"/>
        <w:jc w:val="center"/>
        <w:rPr>
          <w:b/>
          <w:bCs/>
          <w:i/>
          <w:iCs/>
          <w:color w:val="414C1C"/>
          <w:sz w:val="18"/>
          <w:szCs w:val="18"/>
        </w:rPr>
      </w:pPr>
      <w:r w:rsidRPr="00A45D91">
        <w:rPr>
          <w:b/>
          <w:bCs/>
          <w:i/>
          <w:iCs/>
          <w:color w:val="414C1C"/>
          <w:sz w:val="18"/>
          <w:szCs w:val="18"/>
        </w:rPr>
        <w:t xml:space="preserve">Gráfica </w:t>
      </w:r>
      <w:r>
        <w:rPr>
          <w:b/>
          <w:bCs/>
          <w:i/>
          <w:iCs/>
          <w:color w:val="414C1C"/>
          <w:sz w:val="18"/>
          <w:szCs w:val="18"/>
        </w:rPr>
        <w:t>4</w:t>
      </w:r>
      <w:r w:rsidRPr="00A45D91">
        <w:rPr>
          <w:b/>
          <w:bCs/>
          <w:i/>
          <w:iCs/>
          <w:color w:val="414C1C"/>
          <w:sz w:val="18"/>
          <w:szCs w:val="18"/>
        </w:rPr>
        <w:t xml:space="preserve">. </w:t>
      </w:r>
      <w:r>
        <w:rPr>
          <w:b/>
          <w:bCs/>
          <w:i/>
          <w:iCs/>
          <w:color w:val="414C1C"/>
          <w:sz w:val="18"/>
          <w:szCs w:val="18"/>
        </w:rPr>
        <w:t>P</w:t>
      </w:r>
      <w:r w:rsidRPr="00A45D91">
        <w:rPr>
          <w:b/>
          <w:bCs/>
          <w:i/>
          <w:iCs/>
          <w:color w:val="414C1C"/>
          <w:sz w:val="18"/>
          <w:szCs w:val="18"/>
        </w:rPr>
        <w:t xml:space="preserve">ersonal </w:t>
      </w:r>
      <w:r>
        <w:rPr>
          <w:b/>
          <w:bCs/>
          <w:i/>
          <w:iCs/>
          <w:color w:val="414C1C"/>
          <w:sz w:val="18"/>
          <w:szCs w:val="18"/>
        </w:rPr>
        <w:t>adscrito a</w:t>
      </w:r>
      <w:r w:rsidRPr="00A45D91">
        <w:rPr>
          <w:b/>
          <w:bCs/>
          <w:i/>
          <w:iCs/>
          <w:color w:val="414C1C"/>
          <w:sz w:val="18"/>
          <w:szCs w:val="18"/>
        </w:rPr>
        <w:t xml:space="preserve"> los poderes judiciales estatales, por sexo, </w:t>
      </w:r>
      <w:r>
        <w:rPr>
          <w:b/>
          <w:bCs/>
          <w:i/>
          <w:iCs/>
          <w:color w:val="414C1C"/>
          <w:sz w:val="18"/>
          <w:szCs w:val="18"/>
        </w:rPr>
        <w:t xml:space="preserve">2010 a </w:t>
      </w:r>
      <w:r w:rsidRPr="00A45D91">
        <w:rPr>
          <w:b/>
          <w:bCs/>
          <w:i/>
          <w:iCs/>
          <w:color w:val="414C1C"/>
          <w:sz w:val="18"/>
          <w:szCs w:val="18"/>
        </w:rPr>
        <w:t>2020</w:t>
      </w:r>
    </w:p>
    <w:p w14:paraId="480320E1" w14:textId="77777777" w:rsidR="003679F1" w:rsidRDefault="003679F1" w:rsidP="003679F1">
      <w:pPr>
        <w:pStyle w:val="Default"/>
        <w:ind w:left="-567" w:right="-518"/>
        <w:jc w:val="center"/>
        <w:rPr>
          <w:color w:val="auto"/>
          <w:highlight w:val="yellow"/>
        </w:rPr>
      </w:pPr>
    </w:p>
    <w:p w14:paraId="3B5A3995" w14:textId="0447BD9D" w:rsidR="002C47D8" w:rsidRPr="00CB3353" w:rsidRDefault="003679F1" w:rsidP="002C47D8">
      <w:pPr>
        <w:pStyle w:val="Default"/>
        <w:spacing w:after="10"/>
        <w:ind w:left="-567" w:right="284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DE07970" wp14:editId="50578A34">
            <wp:extent cx="5985510" cy="2570672"/>
            <wp:effectExtent l="0" t="0" r="0" b="127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56A6440D-3CCA-4EFB-9F35-688ED451B7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2C47D8" w:rsidRPr="002C47D8">
        <w:rPr>
          <w:sz w:val="16"/>
          <w:szCs w:val="16"/>
          <w:highlight w:val="magenta"/>
        </w:rPr>
        <w:t xml:space="preserve"> </w:t>
      </w:r>
      <w:r w:rsidR="002C47D8" w:rsidRPr="002C47D8">
        <w:rPr>
          <w:sz w:val="16"/>
          <w:szCs w:val="16"/>
        </w:rPr>
        <w:t xml:space="preserve">Nota: no se incluye la categoría </w:t>
      </w:r>
      <w:r w:rsidR="002C47D8" w:rsidRPr="002C47D8">
        <w:rPr>
          <w:i/>
          <w:iCs/>
          <w:sz w:val="16"/>
          <w:szCs w:val="16"/>
        </w:rPr>
        <w:t xml:space="preserve">No especificado </w:t>
      </w:r>
      <w:r w:rsidR="002C47D8" w:rsidRPr="002C47D8">
        <w:rPr>
          <w:sz w:val="16"/>
          <w:szCs w:val="16"/>
        </w:rPr>
        <w:t>para los años 2010, 2011 y 2020 para las que se reportaron 614, 2 604 y 72 personas, respectivamente. Las cifras incluyen magistrados</w:t>
      </w:r>
      <w:r w:rsidR="00305310">
        <w:rPr>
          <w:sz w:val="16"/>
          <w:szCs w:val="16"/>
        </w:rPr>
        <w:t xml:space="preserve"> y jueces</w:t>
      </w:r>
      <w:r w:rsidR="002C47D8" w:rsidRPr="002C47D8">
        <w:rPr>
          <w:sz w:val="16"/>
          <w:szCs w:val="16"/>
        </w:rPr>
        <w:t>.</w:t>
      </w:r>
    </w:p>
    <w:p w14:paraId="7C5A0E6A" w14:textId="1881FDC6" w:rsidR="00450777" w:rsidRDefault="003679F1" w:rsidP="00154F10">
      <w:pPr>
        <w:pStyle w:val="Default"/>
        <w:spacing w:after="10"/>
        <w:ind w:left="-567"/>
        <w:jc w:val="both"/>
        <w:rPr>
          <w:color w:val="auto"/>
        </w:rPr>
      </w:pPr>
      <w:r>
        <w:rPr>
          <w:color w:val="auto"/>
        </w:rPr>
        <w:lastRenderedPageBreak/>
        <w:t>Ciudad de México y el estado de México fueron l</w:t>
      </w:r>
      <w:r w:rsidR="00D62E9D">
        <w:rPr>
          <w:color w:val="auto"/>
        </w:rPr>
        <w:t>as entidades que concentraron la mayor cantidad de personal</w:t>
      </w:r>
      <w:r w:rsidR="007841D4">
        <w:rPr>
          <w:color w:val="auto"/>
        </w:rPr>
        <w:t>,</w:t>
      </w:r>
      <w:r>
        <w:rPr>
          <w:color w:val="auto"/>
        </w:rPr>
        <w:t xml:space="preserve"> con </w:t>
      </w:r>
      <w:r w:rsidR="00112147">
        <w:rPr>
          <w:color w:val="auto"/>
        </w:rPr>
        <w:t>23.1</w:t>
      </w:r>
      <w:r>
        <w:rPr>
          <w:color w:val="auto"/>
        </w:rPr>
        <w:t>% del total nacional</w:t>
      </w:r>
      <w:r w:rsidR="00D62E9D">
        <w:rPr>
          <w:color w:val="auto"/>
        </w:rPr>
        <w:t xml:space="preserve">. </w:t>
      </w:r>
    </w:p>
    <w:p w14:paraId="682A38A0" w14:textId="162E4EF8" w:rsidR="00D62E9D" w:rsidRDefault="00D62E9D" w:rsidP="00D62E9D">
      <w:pPr>
        <w:pStyle w:val="Default"/>
        <w:spacing w:after="10"/>
        <w:ind w:left="-567" w:right="-518"/>
        <w:jc w:val="center"/>
        <w:rPr>
          <w:b/>
          <w:bCs/>
          <w:i/>
          <w:iCs/>
          <w:color w:val="414C1C"/>
          <w:sz w:val="18"/>
          <w:szCs w:val="18"/>
        </w:rPr>
      </w:pPr>
    </w:p>
    <w:p w14:paraId="4C0973A1" w14:textId="305EEFDF" w:rsidR="00D62E9D" w:rsidRDefault="00D62E9D" w:rsidP="00D62E9D">
      <w:pPr>
        <w:pStyle w:val="Default"/>
        <w:spacing w:after="10"/>
        <w:ind w:left="-567" w:right="-518"/>
        <w:jc w:val="center"/>
        <w:rPr>
          <w:b/>
          <w:bCs/>
          <w:i/>
          <w:iCs/>
          <w:color w:val="414C1C"/>
          <w:sz w:val="18"/>
          <w:szCs w:val="18"/>
        </w:rPr>
      </w:pPr>
      <w:r w:rsidRPr="007C53A5">
        <w:rPr>
          <w:b/>
          <w:bCs/>
          <w:i/>
          <w:iCs/>
          <w:color w:val="414C1C"/>
          <w:sz w:val="18"/>
          <w:szCs w:val="18"/>
        </w:rPr>
        <w:t>Mapa 1. Personal adscrito a los poderes judiciales estatales, 2020</w:t>
      </w:r>
    </w:p>
    <w:p w14:paraId="707D7399" w14:textId="45251142" w:rsidR="00D62E9D" w:rsidRPr="007C53A5" w:rsidRDefault="00112147" w:rsidP="00D62E9D">
      <w:pPr>
        <w:pStyle w:val="Default"/>
        <w:spacing w:after="10"/>
        <w:ind w:left="-567" w:right="-518"/>
        <w:jc w:val="center"/>
        <w:rPr>
          <w:color w:va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14892C9" wp14:editId="756D16C1">
                <wp:simplePos x="0" y="0"/>
                <wp:positionH relativeFrom="column">
                  <wp:posOffset>3720465</wp:posOffset>
                </wp:positionH>
                <wp:positionV relativeFrom="paragraph">
                  <wp:posOffset>530860</wp:posOffset>
                </wp:positionV>
                <wp:extent cx="2026522" cy="597949"/>
                <wp:effectExtent l="0" t="0" r="0" b="0"/>
                <wp:wrapNone/>
                <wp:docPr id="82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522" cy="597949"/>
                          <a:chOff x="0" y="0"/>
                          <a:chExt cx="2114979" cy="724123"/>
                        </a:xfrm>
                      </wpg:grpSpPr>
                      <wps:wsp>
                        <wps:cNvPr id="83" name="Rectángulo: esquinas redondeadas 83"/>
                        <wps:cNvSpPr/>
                        <wps:spPr>
                          <a:xfrm>
                            <a:off x="0" y="206790"/>
                            <a:ext cx="150815" cy="139430"/>
                          </a:xfrm>
                          <a:prstGeom prst="roundRect">
                            <a:avLst/>
                          </a:prstGeom>
                          <a:solidFill>
                            <a:srgbClr val="BCBF9D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84" name="Rectángulo: esquinas redondeadas 84"/>
                        <wps:cNvSpPr/>
                        <wps:spPr>
                          <a:xfrm>
                            <a:off x="3510" y="46225"/>
                            <a:ext cx="150472" cy="139430"/>
                          </a:xfrm>
                          <a:prstGeom prst="roundRect">
                            <a:avLst/>
                          </a:prstGeom>
                          <a:solidFill>
                            <a:srgbClr val="677053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85" name="Rectángulo: esquinas redondeadas 85"/>
                        <wps:cNvSpPr/>
                        <wps:spPr>
                          <a:xfrm>
                            <a:off x="802" y="369455"/>
                            <a:ext cx="150814" cy="139430"/>
                          </a:xfrm>
                          <a:prstGeom prst="roundRect">
                            <a:avLst/>
                          </a:prstGeom>
                          <a:solidFill>
                            <a:srgbClr val="B2A499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86" name="Rectángulo: esquinas redondeadas 86"/>
                        <wps:cNvSpPr/>
                        <wps:spPr>
                          <a:xfrm>
                            <a:off x="3108" y="533278"/>
                            <a:ext cx="149297" cy="138693"/>
                          </a:xfrm>
                          <a:prstGeom prst="roundRect">
                            <a:avLst/>
                          </a:prstGeom>
                          <a:solidFill>
                            <a:srgbClr val="56402E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87" name="Rectángulo 87"/>
                        <wps:cNvSpPr/>
                        <wps:spPr>
                          <a:xfrm>
                            <a:off x="110129" y="486633"/>
                            <a:ext cx="1651635" cy="237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64E3E7" w14:textId="77777777" w:rsidR="00DB7E89" w:rsidRDefault="00DB7E89" w:rsidP="00112147">
                              <w:pPr>
                                <w:overflowPunct w:val="0"/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  <w:t>De 1 a 1,000 (5 entidades)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8" name="Rectángulo 88"/>
                        <wps:cNvSpPr/>
                        <wps:spPr>
                          <a:xfrm>
                            <a:off x="110284" y="318704"/>
                            <a:ext cx="2004695" cy="237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880DEE" w14:textId="77777777" w:rsidR="00DB7E89" w:rsidRDefault="00DB7E89" w:rsidP="00112147">
                              <w:pPr>
                                <w:overflowPunct w:val="0"/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  <w:t>De 1,001 a 2,500 (19 entidades)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9" name="Rectángulo 89"/>
                        <wps:cNvSpPr/>
                        <wps:spPr>
                          <a:xfrm>
                            <a:off x="110285" y="159412"/>
                            <a:ext cx="1934210" cy="237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8B246D" w14:textId="77777777" w:rsidR="00DB7E89" w:rsidRDefault="00DB7E89" w:rsidP="00112147">
                              <w:pPr>
                                <w:overflowPunct w:val="0"/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  <w:t>De 2,501 a 5,000 (6 entidades)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0" name="Rectángulo 90"/>
                        <wps:cNvSpPr/>
                        <wps:spPr>
                          <a:xfrm>
                            <a:off x="116920" y="0"/>
                            <a:ext cx="1729105" cy="237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012F95" w14:textId="77777777" w:rsidR="00DB7E89" w:rsidRDefault="00DB7E89" w:rsidP="00112147">
                              <w:pPr>
                                <w:overflowPunct w:val="0"/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  <w:t>Más de 5,000 (2 entidades)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892C9" id="Grupo 6" o:spid="_x0000_s1026" style="position:absolute;left:0;text-align:left;margin-left:292.95pt;margin-top:41.8pt;width:159.55pt;height:47.1pt;z-index:251671552" coordsize="21149,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">
                <v:roundrect id="Rectángulo: esquinas redondeadas 83" o:spid="_x0000_s1027" style="position:absolute;top:2067;width:1508;height:13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" fillcolor="#bcbf9d" stroked="f" strokeweight="2pt">
                  <v:textbox inset="0,0,0,0"/>
                </v:roundrect>
                <v:roundrect id="Rectángulo: esquinas redondeadas 84" o:spid="_x0000_s1028" style="position:absolute;left:35;top:462;width:1504;height:1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" fillcolor="#677053" stroked="f" strokeweight="2pt">
                  <v:textbox inset="0,0,0,0"/>
                </v:roundrect>
                <v:roundrect id="Rectángulo: esquinas redondeadas 85" o:spid="_x0000_s1029" style="position:absolute;left:8;top:3694;width:1508;height:1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" fillcolor="#b2a499" stroked="f" strokeweight="2pt">
                  <v:textbox inset="0,0,0,0"/>
                </v:roundrect>
                <v:roundrect id="Rectángulo: esquinas redondeadas 86" o:spid="_x0000_s1030" style="position:absolute;left:31;top:5332;width:1493;height:1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" fillcolor="#56402e" stroked="f" strokeweight="2pt">
                  <v:textbox inset="0,0,0,0"/>
                </v:roundrect>
                <v:rect id="Rectángulo 87" o:spid="_x0000_s1031" style="position:absolute;left:1101;top:4866;width:1651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" filled="f" stroked="f">
                  <v:textbox>
                    <w:txbxContent>
                      <w:p w14:paraId="6E64E3E7" w14:textId="77777777" w:rsidR="00DB7E89" w:rsidRDefault="00DB7E89" w:rsidP="00112147">
                        <w:pPr>
                          <w:overflowPunct w:val="0"/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  <w:t>De 1 a 1,000 (5 entidades)</w:t>
                        </w:r>
                      </w:p>
                    </w:txbxContent>
                  </v:textbox>
                </v:rect>
                <v:rect id="Rectángulo 88" o:spid="_x0000_s1032" style="position:absolute;left:1102;top:3187;width:2004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6e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Ghi/hB8jdDQAA//8DAFBLAQItABQABgAIAAAAIQDb4fbL7gAAAIUBAAATAAAAAAAAAAAAAAAA&#10;AAAAAABbQ29udGVudF9UeXBlc10ueG1sUEsBAi0AFAAGAAgAAAAhAFr0LFu/AAAAFQEAAAsAAAAA&#10;AAAAAAAAAAAAHwEAAF9yZWxzLy5yZWxzUEsBAi0AFAAGAAgAAAAhABlwbp7BAAAA2wAAAA8AAAAA&#10;AAAAAAAAAAAABwIAAGRycy9kb3ducmV2LnhtbFBLBQYAAAAAAwADALcAAAD1AgAAAAA=&#10;" filled="f" stroked="f">
                  <v:textbox>
                    <w:txbxContent>
                      <w:p w14:paraId="2F880DEE" w14:textId="77777777" w:rsidR="00DB7E89" w:rsidRDefault="00DB7E89" w:rsidP="00112147">
                        <w:pPr>
                          <w:overflowPunct w:val="0"/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  <w:t>De 1,001 a 2,500 (19 entidades)</w:t>
                        </w:r>
                      </w:p>
                    </w:txbxContent>
                  </v:textbox>
                </v:rect>
                <v:rect id="Rectángulo 89" o:spid="_x0000_s1033" style="position:absolute;left:1102;top:1594;width:193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" filled="f" stroked="f">
                  <v:textbox>
                    <w:txbxContent>
                      <w:p w14:paraId="118B246D" w14:textId="77777777" w:rsidR="00DB7E89" w:rsidRDefault="00DB7E89" w:rsidP="00112147">
                        <w:pPr>
                          <w:overflowPunct w:val="0"/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  <w:t>De 2,501 a 5,000 (6 entidades)</w:t>
                        </w:r>
                      </w:p>
                    </w:txbxContent>
                  </v:textbox>
                </v:rect>
                <v:rect id="Rectángulo 90" o:spid="_x0000_s1034" style="position:absolute;left:1169;width:1729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" filled="f" stroked="f">
                  <v:textbox>
                    <w:txbxContent>
                      <w:p w14:paraId="22012F95" w14:textId="77777777" w:rsidR="00DB7E89" w:rsidRDefault="00DB7E89" w:rsidP="00112147">
                        <w:pPr>
                          <w:overflowPunct w:val="0"/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  <w:t>Más de 5,000 (2 entidades)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i/>
          <w:iCs/>
          <w:noProof/>
          <w:color w:val="414C1C"/>
          <w:sz w:val="18"/>
          <w:szCs w:val="18"/>
        </w:rPr>
        <w:drawing>
          <wp:inline distT="0" distB="0" distL="0" distR="0" wp14:anchorId="5A4706AC" wp14:editId="71D7CF85">
            <wp:extent cx="5504395" cy="3603600"/>
            <wp:effectExtent l="0" t="0" r="1270" b="0"/>
            <wp:docPr id="81" name="Imagen 8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n 81" descr="Map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95" cy="36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AC84F" w14:textId="77777777" w:rsidR="00D62E9D" w:rsidRDefault="00D62E9D" w:rsidP="00802093">
      <w:pPr>
        <w:pStyle w:val="Default"/>
        <w:spacing w:after="10"/>
        <w:ind w:left="-567" w:right="-518"/>
        <w:jc w:val="center"/>
        <w:rPr>
          <w:b/>
          <w:bCs/>
          <w:i/>
          <w:iCs/>
          <w:color w:val="414C1C"/>
          <w:sz w:val="18"/>
          <w:szCs w:val="18"/>
        </w:rPr>
      </w:pPr>
    </w:p>
    <w:p w14:paraId="104CFB81" w14:textId="3679ACE4" w:rsidR="00D62E9D" w:rsidRDefault="00D62E9D" w:rsidP="00802093">
      <w:pPr>
        <w:pStyle w:val="Default"/>
        <w:spacing w:after="10"/>
        <w:ind w:left="-567" w:right="-518"/>
        <w:jc w:val="center"/>
        <w:rPr>
          <w:b/>
          <w:bCs/>
          <w:i/>
          <w:iCs/>
          <w:color w:val="414C1C"/>
          <w:sz w:val="18"/>
          <w:szCs w:val="18"/>
        </w:rPr>
      </w:pPr>
    </w:p>
    <w:p w14:paraId="79120F5D" w14:textId="7A766F72" w:rsidR="00BA310C" w:rsidRPr="00730624" w:rsidRDefault="00BD6FA4" w:rsidP="00154F10">
      <w:pPr>
        <w:pStyle w:val="Default"/>
        <w:spacing w:after="10"/>
        <w:ind w:left="-567" w:right="284"/>
        <w:jc w:val="both"/>
        <w:rPr>
          <w:color w:val="auto"/>
        </w:rPr>
      </w:pPr>
      <w:bookmarkStart w:id="3" w:name="_Hlk53436671"/>
      <w:r w:rsidRPr="007C53A5">
        <w:rPr>
          <w:color w:val="auto"/>
        </w:rPr>
        <w:t>Al cierre de 2020, se repo</w:t>
      </w:r>
      <w:r w:rsidRPr="00730624">
        <w:rPr>
          <w:color w:val="auto"/>
        </w:rPr>
        <w:t>rtaron 4 783 servidoras y servidores públicos con el cargo de</w:t>
      </w:r>
      <w:r w:rsidR="00BA310C" w:rsidRPr="00730624">
        <w:rPr>
          <w:color w:val="auto"/>
        </w:rPr>
        <w:t xml:space="preserve"> </w:t>
      </w:r>
      <w:bookmarkStart w:id="4" w:name="_Hlk85238324"/>
      <w:r w:rsidR="00A43910">
        <w:rPr>
          <w:color w:val="auto"/>
        </w:rPr>
        <w:t>magistrados</w:t>
      </w:r>
      <w:r w:rsidR="00F21DC8">
        <w:rPr>
          <w:color w:val="auto"/>
        </w:rPr>
        <w:t xml:space="preserve"> y jueces</w:t>
      </w:r>
      <w:r w:rsidRPr="00730624">
        <w:rPr>
          <w:color w:val="auto"/>
        </w:rPr>
        <w:t xml:space="preserve"> </w:t>
      </w:r>
      <w:bookmarkEnd w:id="4"/>
      <w:r w:rsidR="00730624">
        <w:rPr>
          <w:color w:val="auto"/>
        </w:rPr>
        <w:t>en</w:t>
      </w:r>
      <w:r w:rsidR="00BA310C" w:rsidRPr="00730624">
        <w:rPr>
          <w:color w:val="auto"/>
        </w:rPr>
        <w:t xml:space="preserve"> los órganos jurisdiccionales, </w:t>
      </w:r>
      <w:r w:rsidRPr="00730624">
        <w:rPr>
          <w:color w:val="auto"/>
        </w:rPr>
        <w:t xml:space="preserve">cifra que, en comparación con lo reportado en 2019, indica un aumento de 3.4%. Del total de </w:t>
      </w:r>
      <w:r w:rsidR="00F21DC8">
        <w:rPr>
          <w:color w:val="auto"/>
        </w:rPr>
        <w:t>magistrados y jueces</w:t>
      </w:r>
      <w:r w:rsidRPr="00730624">
        <w:rPr>
          <w:color w:val="auto"/>
        </w:rPr>
        <w:t xml:space="preserve">, </w:t>
      </w:r>
      <w:bookmarkStart w:id="5" w:name="_Hlk53672038"/>
      <w:r w:rsidR="00BA310C" w:rsidRPr="00730624">
        <w:rPr>
          <w:color w:val="auto"/>
        </w:rPr>
        <w:t>2 7</w:t>
      </w:r>
      <w:r w:rsidRPr="00730624">
        <w:rPr>
          <w:color w:val="auto"/>
        </w:rPr>
        <w:t>53</w:t>
      </w:r>
      <w:r w:rsidR="00BA310C" w:rsidRPr="00730624">
        <w:rPr>
          <w:color w:val="auto"/>
        </w:rPr>
        <w:t xml:space="preserve"> (5</w:t>
      </w:r>
      <w:r w:rsidRPr="00730624">
        <w:rPr>
          <w:color w:val="auto"/>
        </w:rPr>
        <w:t>7</w:t>
      </w:r>
      <w:r w:rsidR="00BA310C" w:rsidRPr="00730624">
        <w:rPr>
          <w:color w:val="auto"/>
        </w:rPr>
        <w:t xml:space="preserve">.6%) fueron hombres y </w:t>
      </w:r>
      <w:r w:rsidRPr="00730624">
        <w:rPr>
          <w:color w:val="auto"/>
        </w:rPr>
        <w:t>2 030</w:t>
      </w:r>
      <w:r w:rsidR="00BA310C" w:rsidRPr="00730624">
        <w:rPr>
          <w:color w:val="auto"/>
        </w:rPr>
        <w:t xml:space="preserve"> (4</w:t>
      </w:r>
      <w:r w:rsidRPr="00730624">
        <w:rPr>
          <w:color w:val="auto"/>
        </w:rPr>
        <w:t>2</w:t>
      </w:r>
      <w:r w:rsidR="00BA310C" w:rsidRPr="00730624">
        <w:rPr>
          <w:color w:val="auto"/>
        </w:rPr>
        <w:t>.4%) mujeres</w:t>
      </w:r>
      <w:bookmarkEnd w:id="5"/>
      <w:r w:rsidR="00BA310C" w:rsidRPr="00730624">
        <w:rPr>
          <w:color w:val="auto"/>
        </w:rPr>
        <w:t xml:space="preserve">. </w:t>
      </w:r>
      <w:r w:rsidRPr="00730624">
        <w:rPr>
          <w:color w:val="auto"/>
        </w:rPr>
        <w:t xml:space="preserve">Según el órgano de adscripción, </w:t>
      </w:r>
      <w:r w:rsidR="00730624" w:rsidRPr="00730624">
        <w:rPr>
          <w:color w:val="auto"/>
        </w:rPr>
        <w:t>4 188</w:t>
      </w:r>
      <w:r w:rsidR="00BA310C" w:rsidRPr="00730624">
        <w:rPr>
          <w:color w:val="auto"/>
        </w:rPr>
        <w:t xml:space="preserve"> (87.</w:t>
      </w:r>
      <w:r w:rsidR="00730624" w:rsidRPr="00730624">
        <w:rPr>
          <w:color w:val="auto"/>
        </w:rPr>
        <w:t>6</w:t>
      </w:r>
      <w:r w:rsidR="00BA310C" w:rsidRPr="00730624">
        <w:rPr>
          <w:color w:val="auto"/>
        </w:rPr>
        <w:t>%) estaban adscritos en órganos de primera instancia y 5</w:t>
      </w:r>
      <w:r w:rsidR="00730624" w:rsidRPr="00730624">
        <w:rPr>
          <w:color w:val="auto"/>
        </w:rPr>
        <w:t>95</w:t>
      </w:r>
      <w:r w:rsidR="00730624">
        <w:rPr>
          <w:color w:val="auto"/>
        </w:rPr>
        <w:t xml:space="preserve"> </w:t>
      </w:r>
      <w:r w:rsidR="00BA310C" w:rsidRPr="00730624">
        <w:rPr>
          <w:color w:val="auto"/>
        </w:rPr>
        <w:t>(12.</w:t>
      </w:r>
      <w:r w:rsidR="00730624" w:rsidRPr="00730624">
        <w:rPr>
          <w:color w:val="auto"/>
        </w:rPr>
        <w:t>4</w:t>
      </w:r>
      <w:r w:rsidR="00BA310C" w:rsidRPr="00730624">
        <w:rPr>
          <w:color w:val="auto"/>
        </w:rPr>
        <w:t xml:space="preserve">%) en órganos de segunda instancia. </w:t>
      </w:r>
    </w:p>
    <w:bookmarkEnd w:id="3"/>
    <w:p w14:paraId="44E46396" w14:textId="77777777" w:rsidR="00BA310C" w:rsidRPr="000E5724" w:rsidRDefault="00BA310C" w:rsidP="00BA310C">
      <w:pPr>
        <w:pStyle w:val="Default"/>
        <w:spacing w:after="10"/>
        <w:ind w:left="-567" w:right="-518"/>
        <w:jc w:val="both"/>
        <w:rPr>
          <w:color w:val="auto"/>
          <w:highlight w:val="yellow"/>
        </w:rPr>
      </w:pPr>
    </w:p>
    <w:p w14:paraId="48343D84" w14:textId="30EAE9B1" w:rsidR="00BA310C" w:rsidRPr="00784151" w:rsidRDefault="00BA310C" w:rsidP="00BA310C">
      <w:pPr>
        <w:pStyle w:val="Default"/>
        <w:spacing w:after="10"/>
        <w:ind w:left="567" w:right="567"/>
        <w:jc w:val="center"/>
        <w:rPr>
          <w:b/>
          <w:bCs/>
          <w:i/>
          <w:iCs/>
          <w:color w:val="414C1C"/>
          <w:sz w:val="18"/>
          <w:szCs w:val="18"/>
        </w:rPr>
      </w:pPr>
      <w:r w:rsidRPr="00784151">
        <w:rPr>
          <w:color w:val="auto"/>
        </w:rPr>
        <w:t xml:space="preserve"> </w:t>
      </w:r>
      <w:r w:rsidRPr="00784151">
        <w:rPr>
          <w:color w:val="auto"/>
        </w:rPr>
        <w:tab/>
        <w:t xml:space="preserve"> </w:t>
      </w:r>
      <w:r w:rsidRPr="00784151">
        <w:rPr>
          <w:b/>
          <w:bCs/>
          <w:i/>
          <w:iCs/>
          <w:color w:val="414C1C"/>
          <w:sz w:val="18"/>
          <w:szCs w:val="18"/>
        </w:rPr>
        <w:t xml:space="preserve">Gráfica </w:t>
      </w:r>
      <w:r w:rsidR="00D86C60">
        <w:rPr>
          <w:b/>
          <w:bCs/>
          <w:i/>
          <w:iCs/>
          <w:color w:val="414C1C"/>
          <w:sz w:val="18"/>
          <w:szCs w:val="18"/>
        </w:rPr>
        <w:t>5</w:t>
      </w:r>
      <w:r w:rsidRPr="00784151">
        <w:rPr>
          <w:b/>
          <w:bCs/>
          <w:i/>
          <w:iCs/>
          <w:color w:val="414C1C"/>
          <w:sz w:val="18"/>
          <w:szCs w:val="18"/>
        </w:rPr>
        <w:t xml:space="preserve">. </w:t>
      </w:r>
      <w:r w:rsidR="00F21DC8">
        <w:rPr>
          <w:b/>
          <w:bCs/>
          <w:i/>
          <w:iCs/>
          <w:color w:val="414C1C"/>
          <w:sz w:val="18"/>
          <w:szCs w:val="18"/>
        </w:rPr>
        <w:t>M</w:t>
      </w:r>
      <w:r w:rsidR="00F21DC8" w:rsidRPr="00F21DC8">
        <w:rPr>
          <w:b/>
          <w:bCs/>
          <w:i/>
          <w:iCs/>
          <w:color w:val="414C1C"/>
          <w:sz w:val="18"/>
          <w:szCs w:val="18"/>
        </w:rPr>
        <w:t xml:space="preserve">agistrados y jueces </w:t>
      </w:r>
      <w:r w:rsidRPr="00784151">
        <w:rPr>
          <w:b/>
          <w:bCs/>
          <w:i/>
          <w:iCs/>
          <w:color w:val="414C1C"/>
          <w:sz w:val="18"/>
          <w:szCs w:val="18"/>
        </w:rPr>
        <w:t>en los órganos jurisdiccionales</w:t>
      </w:r>
      <w:r w:rsidR="00112147">
        <w:rPr>
          <w:b/>
          <w:bCs/>
          <w:i/>
          <w:iCs/>
          <w:color w:val="414C1C"/>
          <w:sz w:val="18"/>
          <w:szCs w:val="18"/>
        </w:rPr>
        <w:t xml:space="preserve"> de los poderes judiciales estatales</w:t>
      </w:r>
      <w:r w:rsidRPr="00784151">
        <w:rPr>
          <w:b/>
          <w:bCs/>
          <w:i/>
          <w:iCs/>
          <w:color w:val="414C1C"/>
          <w:sz w:val="18"/>
          <w:szCs w:val="18"/>
        </w:rPr>
        <w:t xml:space="preserve">, </w:t>
      </w:r>
      <w:r w:rsidR="00784151" w:rsidRPr="00784151">
        <w:rPr>
          <w:b/>
          <w:bCs/>
          <w:i/>
          <w:iCs/>
          <w:color w:val="414C1C"/>
          <w:sz w:val="18"/>
          <w:szCs w:val="18"/>
        </w:rPr>
        <w:t>por</w:t>
      </w:r>
      <w:r w:rsidRPr="00784151">
        <w:rPr>
          <w:b/>
          <w:bCs/>
          <w:i/>
          <w:iCs/>
          <w:color w:val="414C1C"/>
          <w:sz w:val="18"/>
          <w:szCs w:val="18"/>
        </w:rPr>
        <w:t xml:space="preserve"> </w:t>
      </w:r>
      <w:r w:rsidR="00112147">
        <w:rPr>
          <w:b/>
          <w:bCs/>
          <w:i/>
          <w:iCs/>
          <w:color w:val="414C1C"/>
          <w:sz w:val="18"/>
          <w:szCs w:val="18"/>
        </w:rPr>
        <w:t>cargo</w:t>
      </w:r>
      <w:r w:rsidRPr="00784151">
        <w:rPr>
          <w:b/>
          <w:bCs/>
          <w:i/>
          <w:iCs/>
          <w:color w:val="414C1C"/>
          <w:sz w:val="18"/>
          <w:szCs w:val="18"/>
        </w:rPr>
        <w:t>, 201</w:t>
      </w:r>
      <w:r w:rsidR="00112147">
        <w:rPr>
          <w:b/>
          <w:bCs/>
          <w:i/>
          <w:iCs/>
          <w:color w:val="414C1C"/>
          <w:sz w:val="18"/>
          <w:szCs w:val="18"/>
        </w:rPr>
        <w:t>0 a 2020</w:t>
      </w:r>
    </w:p>
    <w:p w14:paraId="110FF568" w14:textId="204F5943" w:rsidR="00BA310C" w:rsidRPr="000E5724" w:rsidRDefault="00BA310C" w:rsidP="00BA310C">
      <w:pPr>
        <w:pStyle w:val="Default"/>
        <w:spacing w:after="10"/>
        <w:ind w:left="-567" w:right="-518"/>
        <w:jc w:val="center"/>
        <w:rPr>
          <w:b/>
          <w:bCs/>
          <w:i/>
          <w:iCs/>
          <w:sz w:val="20"/>
          <w:szCs w:val="20"/>
          <w:highlight w:val="yellow"/>
        </w:rPr>
      </w:pPr>
    </w:p>
    <w:p w14:paraId="00A34B78" w14:textId="5645F11E" w:rsidR="00154F10" w:rsidRDefault="00EC6879" w:rsidP="00154B9A">
      <w:pPr>
        <w:ind w:left="-567" w:right="-142"/>
        <w:jc w:val="both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543FE74F" wp14:editId="106AB924">
            <wp:extent cx="5876925" cy="2162175"/>
            <wp:effectExtent l="0" t="0" r="0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29755EC5-ABD4-4329-B6D2-3152617ED7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01E58D9" w14:textId="3A61C513" w:rsidR="00BA310C" w:rsidRPr="00565B68" w:rsidRDefault="00BA310C" w:rsidP="00565B68">
      <w:pPr>
        <w:ind w:left="-567"/>
        <w:jc w:val="both"/>
        <w:rPr>
          <w:rFonts w:ascii="Arial" w:hAnsi="Arial" w:cs="Arial"/>
          <w:color w:val="000000"/>
          <w:sz w:val="28"/>
          <w:szCs w:val="24"/>
        </w:rPr>
      </w:pPr>
      <w:r w:rsidRPr="00565B68">
        <w:rPr>
          <w:rFonts w:ascii="Arial" w:hAnsi="Arial" w:cs="Arial"/>
          <w:sz w:val="24"/>
        </w:rPr>
        <w:lastRenderedPageBreak/>
        <w:t xml:space="preserve">Los </w:t>
      </w:r>
      <w:r w:rsidR="00040B38" w:rsidRPr="00565B68">
        <w:rPr>
          <w:rFonts w:ascii="Arial" w:hAnsi="Arial" w:cs="Arial"/>
          <w:sz w:val="24"/>
        </w:rPr>
        <w:t>poderes judiciales estatales</w:t>
      </w:r>
      <w:r w:rsidRPr="00565B68">
        <w:rPr>
          <w:rFonts w:ascii="Arial" w:hAnsi="Arial" w:cs="Arial"/>
          <w:sz w:val="24"/>
        </w:rPr>
        <w:t xml:space="preserve"> que registraron mayor paridad de género </w:t>
      </w:r>
      <w:r w:rsidR="00565B68" w:rsidRPr="00565B68">
        <w:rPr>
          <w:rFonts w:ascii="Arial" w:hAnsi="Arial" w:cs="Arial"/>
          <w:sz w:val="24"/>
        </w:rPr>
        <w:t>de</w:t>
      </w:r>
      <w:r w:rsidRPr="00565B68">
        <w:rPr>
          <w:rFonts w:ascii="Arial" w:hAnsi="Arial" w:cs="Arial"/>
          <w:sz w:val="24"/>
        </w:rPr>
        <w:t xml:space="preserve"> </w:t>
      </w:r>
      <w:r w:rsidR="00F21DC8" w:rsidRPr="00F21DC8">
        <w:rPr>
          <w:rFonts w:ascii="Arial" w:hAnsi="Arial" w:cs="Arial"/>
          <w:sz w:val="24"/>
        </w:rPr>
        <w:t>magistrados y jueces</w:t>
      </w:r>
      <w:r w:rsidR="00B6358A">
        <w:rPr>
          <w:rFonts w:ascii="Arial" w:hAnsi="Arial" w:cs="Arial"/>
          <w:sz w:val="24"/>
        </w:rPr>
        <w:t xml:space="preserve"> fueron </w:t>
      </w:r>
      <w:r w:rsidR="00565B68" w:rsidRPr="00565B68">
        <w:rPr>
          <w:rFonts w:ascii="Arial" w:hAnsi="Arial" w:cs="Arial"/>
          <w:sz w:val="24"/>
        </w:rPr>
        <w:t>Baja California,</w:t>
      </w:r>
      <w:r w:rsidRPr="00565B68">
        <w:rPr>
          <w:rFonts w:ascii="Arial" w:hAnsi="Arial" w:cs="Arial"/>
          <w:sz w:val="24"/>
        </w:rPr>
        <w:t xml:space="preserve"> Campeche, Zacatecas</w:t>
      </w:r>
      <w:r w:rsidR="00565B68" w:rsidRPr="00565B68">
        <w:rPr>
          <w:rFonts w:ascii="Arial" w:hAnsi="Arial" w:cs="Arial"/>
          <w:sz w:val="24"/>
        </w:rPr>
        <w:t xml:space="preserve"> </w:t>
      </w:r>
      <w:r w:rsidRPr="00565B68">
        <w:rPr>
          <w:rFonts w:ascii="Arial" w:hAnsi="Arial" w:cs="Arial"/>
          <w:sz w:val="24"/>
        </w:rPr>
        <w:t xml:space="preserve">y </w:t>
      </w:r>
      <w:r w:rsidR="00565B68" w:rsidRPr="00565B68">
        <w:rPr>
          <w:rFonts w:ascii="Arial" w:hAnsi="Arial" w:cs="Arial"/>
          <w:sz w:val="24"/>
        </w:rPr>
        <w:t>Querétaro</w:t>
      </w:r>
      <w:r w:rsidRPr="00565B68">
        <w:rPr>
          <w:rFonts w:ascii="Arial" w:hAnsi="Arial" w:cs="Arial"/>
          <w:sz w:val="24"/>
        </w:rPr>
        <w:t>.</w:t>
      </w:r>
    </w:p>
    <w:p w14:paraId="23994D3C" w14:textId="77777777" w:rsidR="00CA2DD7" w:rsidRDefault="00BA310C" w:rsidP="00BA310C">
      <w:pPr>
        <w:pStyle w:val="Default"/>
        <w:spacing w:after="10"/>
        <w:ind w:left="567" w:right="567"/>
        <w:jc w:val="center"/>
        <w:rPr>
          <w:b/>
          <w:bCs/>
          <w:i/>
          <w:iCs/>
          <w:color w:val="414C1C"/>
          <w:sz w:val="18"/>
          <w:szCs w:val="18"/>
        </w:rPr>
      </w:pPr>
      <w:r w:rsidRPr="00565B68">
        <w:rPr>
          <w:b/>
          <w:bCs/>
          <w:i/>
          <w:iCs/>
          <w:color w:val="414C1C"/>
          <w:sz w:val="18"/>
          <w:szCs w:val="18"/>
        </w:rPr>
        <w:t xml:space="preserve">Gráfica </w:t>
      </w:r>
      <w:r w:rsidR="00D86C60">
        <w:rPr>
          <w:b/>
          <w:bCs/>
          <w:i/>
          <w:iCs/>
          <w:color w:val="414C1C"/>
          <w:sz w:val="18"/>
          <w:szCs w:val="18"/>
        </w:rPr>
        <w:t>6.</w:t>
      </w:r>
      <w:r w:rsidRPr="00565B68">
        <w:rPr>
          <w:b/>
          <w:bCs/>
          <w:i/>
          <w:iCs/>
          <w:color w:val="414C1C"/>
          <w:sz w:val="18"/>
          <w:szCs w:val="18"/>
        </w:rPr>
        <w:t xml:space="preserve"> Distribución porcentual de </w:t>
      </w:r>
      <w:r w:rsidR="00F21DC8" w:rsidRPr="00F21DC8">
        <w:rPr>
          <w:b/>
          <w:bCs/>
          <w:i/>
          <w:iCs/>
          <w:color w:val="414C1C"/>
          <w:sz w:val="18"/>
          <w:szCs w:val="18"/>
        </w:rPr>
        <w:t xml:space="preserve">magistrados y jueces </w:t>
      </w:r>
      <w:r w:rsidRPr="00565B68">
        <w:rPr>
          <w:b/>
          <w:bCs/>
          <w:i/>
          <w:iCs/>
          <w:color w:val="414C1C"/>
          <w:sz w:val="18"/>
          <w:szCs w:val="18"/>
        </w:rPr>
        <w:t xml:space="preserve">en los órganos jurisdiccionales, </w:t>
      </w:r>
    </w:p>
    <w:p w14:paraId="77432BCF" w14:textId="3DC75875" w:rsidR="00BA310C" w:rsidRPr="00565B68" w:rsidRDefault="00BA310C" w:rsidP="00BA310C">
      <w:pPr>
        <w:pStyle w:val="Default"/>
        <w:spacing w:after="10"/>
        <w:ind w:left="567" w:right="567"/>
        <w:jc w:val="center"/>
        <w:rPr>
          <w:b/>
          <w:bCs/>
          <w:i/>
          <w:iCs/>
          <w:color w:val="414C1C"/>
          <w:sz w:val="18"/>
          <w:szCs w:val="18"/>
        </w:rPr>
      </w:pPr>
      <w:r w:rsidRPr="00565B68">
        <w:rPr>
          <w:b/>
          <w:bCs/>
          <w:i/>
          <w:iCs/>
          <w:color w:val="414C1C"/>
          <w:sz w:val="18"/>
          <w:szCs w:val="18"/>
        </w:rPr>
        <w:t>por entidad federativa y sexo, 20</w:t>
      </w:r>
      <w:r w:rsidR="00565B68" w:rsidRPr="00565B68">
        <w:rPr>
          <w:b/>
          <w:bCs/>
          <w:i/>
          <w:iCs/>
          <w:color w:val="414C1C"/>
          <w:sz w:val="18"/>
          <w:szCs w:val="18"/>
        </w:rPr>
        <w:t>20</w:t>
      </w:r>
    </w:p>
    <w:p w14:paraId="51AFFC9C" w14:textId="0CAE8916" w:rsidR="00BA310C" w:rsidRPr="000E5724" w:rsidRDefault="00CA2DD7" w:rsidP="00BA310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1ECDBF26" wp14:editId="710BE5CB">
            <wp:extent cx="4128770" cy="4274820"/>
            <wp:effectExtent l="0" t="0" r="508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7234C3B4-9B39-4864-824E-E9C6D32C9E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677AD8B7" w14:textId="77777777" w:rsidR="00BA310C" w:rsidRPr="000E5724" w:rsidRDefault="00BA310C" w:rsidP="00BA310C">
      <w:pPr>
        <w:spacing w:after="0"/>
        <w:jc w:val="both"/>
        <w:rPr>
          <w:b/>
          <w:bCs/>
          <w:i/>
          <w:iCs/>
          <w:color w:val="414C1C"/>
          <w:sz w:val="20"/>
          <w:highlight w:val="yellow"/>
        </w:rPr>
      </w:pPr>
    </w:p>
    <w:p w14:paraId="444F5C88" w14:textId="3B4EE745" w:rsidR="002A715E" w:rsidRPr="00D86C60" w:rsidRDefault="002A715E" w:rsidP="00154F10">
      <w:pPr>
        <w:pStyle w:val="Default"/>
        <w:spacing w:after="10"/>
        <w:ind w:left="-567"/>
        <w:jc w:val="both"/>
        <w:rPr>
          <w:color w:val="auto"/>
          <w:spacing w:val="-6"/>
        </w:rPr>
      </w:pPr>
      <w:r w:rsidRPr="00D86C60">
        <w:rPr>
          <w:color w:val="auto"/>
          <w:spacing w:val="-6"/>
        </w:rPr>
        <w:t xml:space="preserve">Durante 2020, a nivel nacional </w:t>
      </w:r>
      <w:r w:rsidR="00035B73">
        <w:rPr>
          <w:color w:val="auto"/>
          <w:spacing w:val="-6"/>
        </w:rPr>
        <w:t xml:space="preserve">fallecieron 204 personas </w:t>
      </w:r>
      <w:r w:rsidRPr="00D86C60">
        <w:rPr>
          <w:color w:val="auto"/>
          <w:spacing w:val="-6"/>
        </w:rPr>
        <w:t>adscrit</w:t>
      </w:r>
      <w:r w:rsidR="00035B73">
        <w:rPr>
          <w:color w:val="auto"/>
          <w:spacing w:val="-6"/>
        </w:rPr>
        <w:t>as</w:t>
      </w:r>
      <w:r w:rsidRPr="00D86C60">
        <w:rPr>
          <w:color w:val="auto"/>
          <w:spacing w:val="-6"/>
        </w:rPr>
        <w:t xml:space="preserve"> a los poderes judiciales estatales</w:t>
      </w:r>
      <w:r w:rsidR="009461B7" w:rsidRPr="00D86C60">
        <w:rPr>
          <w:color w:val="auto"/>
          <w:spacing w:val="-6"/>
        </w:rPr>
        <w:t>,</w:t>
      </w:r>
      <w:r w:rsidRPr="00D86C60">
        <w:rPr>
          <w:color w:val="auto"/>
          <w:spacing w:val="-6"/>
        </w:rPr>
        <w:t xml:space="preserve"> de las cuales</w:t>
      </w:r>
      <w:r w:rsidR="00B165CB" w:rsidRPr="00D86C60">
        <w:rPr>
          <w:color w:val="auto"/>
          <w:spacing w:val="-6"/>
        </w:rPr>
        <w:t>,</w:t>
      </w:r>
      <w:r w:rsidRPr="00D86C60">
        <w:rPr>
          <w:color w:val="auto"/>
          <w:spacing w:val="-6"/>
        </w:rPr>
        <w:t xml:space="preserve"> 131 (64.2%) eran hombres y 73 (35.8%) mujeres. La </w:t>
      </w:r>
      <w:r w:rsidR="00D62E9D" w:rsidRPr="00D86C60">
        <w:rPr>
          <w:color w:val="auto"/>
          <w:spacing w:val="-6"/>
        </w:rPr>
        <w:t xml:space="preserve">mayor parte del personal falleció </w:t>
      </w:r>
      <w:r w:rsidRPr="00D86C60">
        <w:rPr>
          <w:color w:val="auto"/>
          <w:spacing w:val="-6"/>
        </w:rPr>
        <w:t xml:space="preserve">por causas naturales. </w:t>
      </w:r>
      <w:r w:rsidR="00035B73">
        <w:rPr>
          <w:color w:val="auto"/>
          <w:spacing w:val="-6"/>
        </w:rPr>
        <w:t>Asimismo</w:t>
      </w:r>
      <w:r w:rsidR="00B165CB" w:rsidRPr="00D86C60">
        <w:rPr>
          <w:color w:val="auto"/>
          <w:spacing w:val="-6"/>
        </w:rPr>
        <w:t xml:space="preserve">, los </w:t>
      </w:r>
      <w:r w:rsidR="00D86C60" w:rsidRPr="00D86C60">
        <w:rPr>
          <w:color w:val="auto"/>
          <w:spacing w:val="-6"/>
        </w:rPr>
        <w:t>p</w:t>
      </w:r>
      <w:r w:rsidR="00B165CB" w:rsidRPr="00D86C60">
        <w:rPr>
          <w:color w:val="auto"/>
          <w:spacing w:val="-6"/>
        </w:rPr>
        <w:t xml:space="preserve">oderes </w:t>
      </w:r>
      <w:r w:rsidR="00D86C60" w:rsidRPr="00D86C60">
        <w:rPr>
          <w:color w:val="auto"/>
          <w:spacing w:val="-6"/>
        </w:rPr>
        <w:t>j</w:t>
      </w:r>
      <w:r w:rsidR="00B165CB" w:rsidRPr="00D86C60">
        <w:rPr>
          <w:color w:val="auto"/>
          <w:spacing w:val="-6"/>
        </w:rPr>
        <w:t>udiciales estatales reportaron que</w:t>
      </w:r>
      <w:r w:rsidR="005C5BA2">
        <w:rPr>
          <w:color w:val="auto"/>
          <w:spacing w:val="-6"/>
        </w:rPr>
        <w:t xml:space="preserve"> en los órganos jurisdiccionales</w:t>
      </w:r>
      <w:r w:rsidR="00B165CB" w:rsidRPr="00D86C60">
        <w:rPr>
          <w:color w:val="auto"/>
          <w:spacing w:val="-6"/>
        </w:rPr>
        <w:t xml:space="preserve"> 92 personas fallecieron</w:t>
      </w:r>
      <w:r w:rsidRPr="00D86C60">
        <w:rPr>
          <w:color w:val="auto"/>
          <w:spacing w:val="-6"/>
        </w:rPr>
        <w:t xml:space="preserve"> por COVID-19, 70 eran hombres y 22 mujeres. La mayoría del personal fallecido por COVID-19 se registró en la Ciudad de México.</w:t>
      </w:r>
    </w:p>
    <w:p w14:paraId="339DB362" w14:textId="77777777" w:rsidR="002A715E" w:rsidRDefault="002A715E" w:rsidP="002A715E">
      <w:pPr>
        <w:pStyle w:val="Default"/>
        <w:spacing w:after="10"/>
        <w:ind w:left="-567" w:right="-518"/>
        <w:jc w:val="both"/>
        <w:rPr>
          <w:color w:val="auto"/>
        </w:rPr>
      </w:pPr>
    </w:p>
    <w:p w14:paraId="03BD9E4F" w14:textId="77777777" w:rsidR="001D20BB" w:rsidRDefault="002A715E" w:rsidP="00154F10">
      <w:pPr>
        <w:pStyle w:val="Default"/>
        <w:spacing w:after="10"/>
        <w:ind w:left="-567"/>
        <w:jc w:val="center"/>
        <w:rPr>
          <w:b/>
          <w:bCs/>
          <w:i/>
          <w:iCs/>
          <w:color w:val="414C1C"/>
          <w:sz w:val="18"/>
          <w:szCs w:val="18"/>
        </w:rPr>
      </w:pPr>
      <w:r w:rsidRPr="00A45D91">
        <w:rPr>
          <w:b/>
          <w:bCs/>
          <w:i/>
          <w:iCs/>
          <w:color w:val="414C1C"/>
          <w:sz w:val="18"/>
          <w:szCs w:val="18"/>
        </w:rPr>
        <w:t xml:space="preserve">Gráfica </w:t>
      </w:r>
      <w:r w:rsidR="00D86C60">
        <w:rPr>
          <w:b/>
          <w:bCs/>
          <w:i/>
          <w:iCs/>
          <w:color w:val="414C1C"/>
          <w:sz w:val="18"/>
          <w:szCs w:val="18"/>
        </w:rPr>
        <w:t>7</w:t>
      </w:r>
      <w:r w:rsidRPr="00A45D91">
        <w:rPr>
          <w:b/>
          <w:bCs/>
          <w:i/>
          <w:iCs/>
          <w:color w:val="414C1C"/>
          <w:sz w:val="18"/>
          <w:szCs w:val="18"/>
        </w:rPr>
        <w:t xml:space="preserve">. </w:t>
      </w:r>
      <w:r>
        <w:rPr>
          <w:b/>
          <w:bCs/>
          <w:i/>
          <w:iCs/>
          <w:color w:val="414C1C"/>
          <w:sz w:val="18"/>
          <w:szCs w:val="18"/>
        </w:rPr>
        <w:t>P</w:t>
      </w:r>
      <w:r w:rsidRPr="00A45D91">
        <w:rPr>
          <w:b/>
          <w:bCs/>
          <w:i/>
          <w:iCs/>
          <w:color w:val="414C1C"/>
          <w:sz w:val="18"/>
          <w:szCs w:val="18"/>
        </w:rPr>
        <w:t xml:space="preserve">ersonal </w:t>
      </w:r>
      <w:r>
        <w:rPr>
          <w:b/>
          <w:bCs/>
          <w:i/>
          <w:iCs/>
          <w:color w:val="414C1C"/>
          <w:sz w:val="18"/>
          <w:szCs w:val="18"/>
        </w:rPr>
        <w:t>adscrito a</w:t>
      </w:r>
      <w:r w:rsidRPr="00A45D91">
        <w:rPr>
          <w:b/>
          <w:bCs/>
          <w:i/>
          <w:iCs/>
          <w:color w:val="414C1C"/>
          <w:sz w:val="18"/>
          <w:szCs w:val="18"/>
        </w:rPr>
        <w:t xml:space="preserve"> los </w:t>
      </w:r>
      <w:r w:rsidR="00064C2C">
        <w:rPr>
          <w:b/>
          <w:bCs/>
          <w:i/>
          <w:iCs/>
          <w:color w:val="414C1C"/>
          <w:sz w:val="18"/>
          <w:szCs w:val="18"/>
        </w:rPr>
        <w:t xml:space="preserve">órganos jurisdiccionales de los </w:t>
      </w:r>
      <w:r w:rsidRPr="00A45D91">
        <w:rPr>
          <w:b/>
          <w:bCs/>
          <w:i/>
          <w:iCs/>
          <w:color w:val="414C1C"/>
          <w:sz w:val="18"/>
          <w:szCs w:val="18"/>
        </w:rPr>
        <w:t xml:space="preserve">poderes judiciales estatales, </w:t>
      </w:r>
      <w:r>
        <w:rPr>
          <w:b/>
          <w:bCs/>
          <w:i/>
          <w:iCs/>
          <w:color w:val="414C1C"/>
          <w:sz w:val="18"/>
          <w:szCs w:val="18"/>
        </w:rPr>
        <w:t xml:space="preserve">fallecido </w:t>
      </w:r>
    </w:p>
    <w:p w14:paraId="0CA662A1" w14:textId="5567A1F9" w:rsidR="002A715E" w:rsidRDefault="002A715E" w:rsidP="00154F10">
      <w:pPr>
        <w:pStyle w:val="Default"/>
        <w:spacing w:after="10"/>
        <w:ind w:left="-567"/>
        <w:jc w:val="center"/>
        <w:rPr>
          <w:b/>
          <w:bCs/>
          <w:i/>
          <w:iCs/>
          <w:color w:val="414C1C"/>
          <w:sz w:val="18"/>
          <w:szCs w:val="18"/>
        </w:rPr>
      </w:pPr>
      <w:r w:rsidRPr="00A45D91">
        <w:rPr>
          <w:b/>
          <w:bCs/>
          <w:i/>
          <w:iCs/>
          <w:color w:val="414C1C"/>
          <w:sz w:val="18"/>
          <w:szCs w:val="18"/>
        </w:rPr>
        <w:t>por</w:t>
      </w:r>
      <w:r>
        <w:rPr>
          <w:b/>
          <w:bCs/>
          <w:i/>
          <w:iCs/>
          <w:color w:val="414C1C"/>
          <w:sz w:val="18"/>
          <w:szCs w:val="18"/>
        </w:rPr>
        <w:t xml:space="preserve"> COVID-19, por entidad federativa, </w:t>
      </w:r>
      <w:r w:rsidRPr="00A45D91">
        <w:rPr>
          <w:b/>
          <w:bCs/>
          <w:i/>
          <w:iCs/>
          <w:color w:val="414C1C"/>
          <w:sz w:val="18"/>
          <w:szCs w:val="18"/>
        </w:rPr>
        <w:t>2020</w:t>
      </w:r>
    </w:p>
    <w:p w14:paraId="537C7BE8" w14:textId="77777777" w:rsidR="002A715E" w:rsidRDefault="002A715E" w:rsidP="002A715E">
      <w:pPr>
        <w:pStyle w:val="Default"/>
        <w:spacing w:after="10"/>
        <w:ind w:left="-567" w:right="-518"/>
        <w:jc w:val="both"/>
        <w:rPr>
          <w:color w:val="auto"/>
        </w:rPr>
      </w:pPr>
      <w:r>
        <w:rPr>
          <w:noProof/>
        </w:rPr>
        <w:drawing>
          <wp:inline distT="0" distB="0" distL="0" distR="0" wp14:anchorId="19FE864C" wp14:editId="7B220C4D">
            <wp:extent cx="6304915" cy="1615044"/>
            <wp:effectExtent l="0" t="0" r="635" b="4445"/>
            <wp:docPr id="45" name="Gráfico 45">
              <a:extLst xmlns:a="http://schemas.openxmlformats.org/drawingml/2006/main">
                <a:ext uri="{FF2B5EF4-FFF2-40B4-BE49-F238E27FC236}">
                  <a16:creationId xmlns:a16="http://schemas.microsoft.com/office/drawing/2014/main" id="{3146B882-A18B-4E60-A3C8-98E5E6DE39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48F8266B" w14:textId="77777777" w:rsidR="002A715E" w:rsidRDefault="002A715E" w:rsidP="00154F10">
      <w:pPr>
        <w:pStyle w:val="Default"/>
        <w:spacing w:after="10"/>
        <w:ind w:left="-567"/>
        <w:jc w:val="center"/>
        <w:rPr>
          <w:sz w:val="16"/>
          <w:szCs w:val="16"/>
        </w:rPr>
      </w:pPr>
      <w:r w:rsidRPr="00953D1F">
        <w:rPr>
          <w:sz w:val="16"/>
          <w:szCs w:val="16"/>
        </w:rPr>
        <w:t>Nota:</w:t>
      </w:r>
      <w:r>
        <w:rPr>
          <w:sz w:val="16"/>
          <w:szCs w:val="16"/>
        </w:rPr>
        <w:t xml:space="preserve"> no</w:t>
      </w:r>
      <w:r w:rsidRPr="00953D1F">
        <w:rPr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Pr="00953D1F">
        <w:rPr>
          <w:sz w:val="16"/>
          <w:szCs w:val="16"/>
        </w:rPr>
        <w:t>e incluye</w:t>
      </w:r>
      <w:r>
        <w:rPr>
          <w:sz w:val="16"/>
          <w:szCs w:val="16"/>
        </w:rPr>
        <w:t xml:space="preserve"> el estado de Aguascalientes, toda vez que reportó no tener registro de fallecimiento de alguno de sus servidores públicos. No se incluye el estado de Oaxaca, debido a que no contó con datos o elementos para responder sobre el tema. </w:t>
      </w:r>
    </w:p>
    <w:p w14:paraId="3EF5B6C4" w14:textId="77777777" w:rsidR="008163D6" w:rsidRDefault="008163D6" w:rsidP="00B165CB">
      <w:pPr>
        <w:spacing w:after="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C19EFF1" w14:textId="3AE96EFC" w:rsidR="00B165CB" w:rsidRPr="00121664" w:rsidRDefault="00BA310C" w:rsidP="00B165CB">
      <w:pPr>
        <w:spacing w:after="0"/>
        <w:ind w:left="-567"/>
        <w:jc w:val="both"/>
        <w:rPr>
          <w:rFonts w:ascii="Arial" w:hAnsi="Arial" w:cs="Arial"/>
          <w:sz w:val="16"/>
          <w:szCs w:val="16"/>
        </w:rPr>
      </w:pPr>
      <w:r w:rsidRPr="00E6386D">
        <w:rPr>
          <w:rFonts w:ascii="Arial" w:hAnsi="Arial" w:cs="Arial"/>
          <w:color w:val="000000"/>
          <w:sz w:val="24"/>
          <w:szCs w:val="24"/>
        </w:rPr>
        <w:t xml:space="preserve">En relación con los recursos presupuestales </w:t>
      </w:r>
      <w:r w:rsidR="009461B7" w:rsidRPr="00E6386D">
        <w:rPr>
          <w:rFonts w:ascii="Arial" w:hAnsi="Arial" w:cs="Arial"/>
          <w:color w:val="000000"/>
          <w:sz w:val="24"/>
          <w:szCs w:val="24"/>
        </w:rPr>
        <w:t>ejercidos por los poderes judiciales estatales</w:t>
      </w:r>
      <w:r w:rsidRPr="00E6386D">
        <w:rPr>
          <w:rFonts w:ascii="Arial" w:hAnsi="Arial" w:cs="Arial"/>
          <w:color w:val="000000"/>
          <w:sz w:val="24"/>
          <w:szCs w:val="24"/>
        </w:rPr>
        <w:t>, durante 20</w:t>
      </w:r>
      <w:r w:rsidR="00560D79" w:rsidRPr="00E6386D">
        <w:rPr>
          <w:rFonts w:ascii="Arial" w:hAnsi="Arial" w:cs="Arial"/>
          <w:color w:val="000000"/>
          <w:sz w:val="24"/>
          <w:szCs w:val="24"/>
        </w:rPr>
        <w:t>20</w:t>
      </w:r>
      <w:r w:rsidR="009461B7" w:rsidRPr="00E6386D">
        <w:rPr>
          <w:rFonts w:ascii="Arial" w:hAnsi="Arial" w:cs="Arial"/>
          <w:color w:val="000000"/>
          <w:sz w:val="24"/>
          <w:szCs w:val="24"/>
        </w:rPr>
        <w:t xml:space="preserve">, se reportó un total </w:t>
      </w:r>
      <w:r w:rsidRPr="00E6386D">
        <w:rPr>
          <w:rFonts w:ascii="Arial" w:hAnsi="Arial" w:cs="Arial"/>
          <w:color w:val="000000"/>
          <w:sz w:val="24"/>
          <w:szCs w:val="24"/>
        </w:rPr>
        <w:t>de</w:t>
      </w:r>
      <w:r w:rsidRPr="00E6386D">
        <w:t xml:space="preserve"> </w:t>
      </w:r>
      <w:r w:rsidR="00560D79" w:rsidRPr="00E6386D">
        <w:rPr>
          <w:rFonts w:ascii="Arial" w:hAnsi="Arial" w:cs="Arial"/>
          <w:color w:val="000000"/>
          <w:sz w:val="24"/>
          <w:szCs w:val="24"/>
        </w:rPr>
        <w:t xml:space="preserve">39 410 231 048 </w:t>
      </w:r>
      <w:r w:rsidRPr="00E6386D">
        <w:rPr>
          <w:rFonts w:ascii="Arial" w:hAnsi="Arial" w:cs="Arial"/>
          <w:color w:val="000000"/>
          <w:sz w:val="24"/>
          <w:szCs w:val="24"/>
        </w:rPr>
        <w:t>pesos. De dicho presupuesto, 63.</w:t>
      </w:r>
      <w:r w:rsidR="009461B7" w:rsidRPr="00E6386D">
        <w:rPr>
          <w:rFonts w:ascii="Arial" w:hAnsi="Arial" w:cs="Arial"/>
          <w:color w:val="000000"/>
          <w:sz w:val="24"/>
          <w:szCs w:val="24"/>
        </w:rPr>
        <w:t>3</w:t>
      </w:r>
      <w:r w:rsidRPr="00E6386D">
        <w:rPr>
          <w:rFonts w:ascii="Arial" w:hAnsi="Arial" w:cs="Arial"/>
          <w:color w:val="000000"/>
          <w:sz w:val="24"/>
          <w:szCs w:val="24"/>
        </w:rPr>
        <w:t>% correspondió a órganos jurisdiccionales</w:t>
      </w:r>
      <w:r w:rsidR="009461B7" w:rsidRPr="00E6386D">
        <w:rPr>
          <w:rFonts w:ascii="Arial" w:hAnsi="Arial" w:cs="Arial"/>
          <w:color w:val="000000"/>
          <w:sz w:val="24"/>
          <w:szCs w:val="24"/>
        </w:rPr>
        <w:t>, 28.0</w:t>
      </w:r>
      <w:r w:rsidRPr="00E6386D">
        <w:rPr>
          <w:rFonts w:ascii="Arial" w:hAnsi="Arial" w:cs="Arial"/>
          <w:color w:val="000000"/>
          <w:sz w:val="24"/>
          <w:szCs w:val="24"/>
        </w:rPr>
        <w:t>% a órganos administrativos y/o unidades administrativas</w:t>
      </w:r>
      <w:r w:rsidR="009461B7" w:rsidRPr="00E6386D">
        <w:rPr>
          <w:rFonts w:ascii="Arial" w:hAnsi="Arial" w:cs="Arial"/>
          <w:color w:val="000000"/>
          <w:sz w:val="24"/>
          <w:szCs w:val="24"/>
        </w:rPr>
        <w:t xml:space="preserve"> y 8.7% no </w:t>
      </w:r>
      <w:r w:rsidR="006F5A19">
        <w:rPr>
          <w:rFonts w:ascii="Arial" w:hAnsi="Arial" w:cs="Arial"/>
          <w:color w:val="000000"/>
          <w:sz w:val="24"/>
          <w:szCs w:val="24"/>
        </w:rPr>
        <w:t xml:space="preserve">fue </w:t>
      </w:r>
      <w:r w:rsidR="009461B7" w:rsidRPr="00E6386D">
        <w:rPr>
          <w:rFonts w:ascii="Arial" w:hAnsi="Arial" w:cs="Arial"/>
          <w:color w:val="000000"/>
          <w:sz w:val="24"/>
          <w:szCs w:val="24"/>
        </w:rPr>
        <w:t>especificado</w:t>
      </w:r>
      <w:r w:rsidRPr="00121664">
        <w:rPr>
          <w:rFonts w:ascii="Arial" w:hAnsi="Arial" w:cs="Arial"/>
          <w:color w:val="000000"/>
          <w:sz w:val="24"/>
          <w:szCs w:val="24"/>
        </w:rPr>
        <w:t xml:space="preserve">. </w:t>
      </w:r>
      <w:r w:rsidR="00B165CB">
        <w:rPr>
          <w:rFonts w:ascii="Arial" w:hAnsi="Arial" w:cs="Arial"/>
          <w:color w:val="000000"/>
          <w:sz w:val="24"/>
          <w:szCs w:val="24"/>
        </w:rPr>
        <w:t xml:space="preserve">En comparación con el presupuesto reportado en 2019, la cantidad de presupuesto ejercido aumentó 5.6% en 2020. </w:t>
      </w:r>
      <w:r w:rsidR="00B165CB" w:rsidRPr="00E6386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A169CC2" w14:textId="77777777" w:rsidR="00B165CB" w:rsidRPr="00121664" w:rsidRDefault="00B165CB" w:rsidP="00B165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0889EC3" w14:textId="03B4B72C" w:rsidR="00B165CB" w:rsidRPr="00121664" w:rsidRDefault="00B165CB" w:rsidP="00B165CB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</w:rPr>
      </w:pPr>
      <w:r w:rsidRPr="00121664">
        <w:rPr>
          <w:b/>
          <w:bCs/>
          <w:i/>
          <w:iCs/>
          <w:color w:val="414C1C"/>
          <w:sz w:val="18"/>
          <w:szCs w:val="18"/>
        </w:rPr>
        <w:t xml:space="preserve">Gráfica </w:t>
      </w:r>
      <w:r w:rsidR="00D86C60">
        <w:rPr>
          <w:b/>
          <w:bCs/>
          <w:i/>
          <w:iCs/>
          <w:color w:val="414C1C"/>
          <w:sz w:val="18"/>
          <w:szCs w:val="18"/>
        </w:rPr>
        <w:t>8</w:t>
      </w:r>
      <w:r w:rsidRPr="00121664">
        <w:rPr>
          <w:b/>
          <w:bCs/>
          <w:i/>
          <w:iCs/>
          <w:color w:val="414C1C"/>
          <w:sz w:val="18"/>
          <w:szCs w:val="18"/>
        </w:rPr>
        <w:t>. Presupuesto ejercido por los poderes judiciales estatales,</w:t>
      </w:r>
      <w:r w:rsidR="00827D50">
        <w:rPr>
          <w:b/>
          <w:bCs/>
          <w:i/>
          <w:iCs/>
          <w:color w:val="414C1C"/>
          <w:sz w:val="18"/>
          <w:szCs w:val="18"/>
        </w:rPr>
        <w:t xml:space="preserve"> 2010 a 2020</w:t>
      </w:r>
    </w:p>
    <w:p w14:paraId="0E9E8412" w14:textId="77777777" w:rsidR="00B165CB" w:rsidRPr="00121664" w:rsidRDefault="00B165CB" w:rsidP="00B165CB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</w:rPr>
      </w:pPr>
      <w:r w:rsidRPr="00121664">
        <w:rPr>
          <w:b/>
          <w:bCs/>
          <w:i/>
          <w:iCs/>
          <w:color w:val="414C1C"/>
          <w:sz w:val="18"/>
          <w:szCs w:val="18"/>
        </w:rPr>
        <w:t>(Millones de pesos)</w:t>
      </w:r>
    </w:p>
    <w:p w14:paraId="723D6E9E" w14:textId="77777777" w:rsidR="00B165CB" w:rsidRPr="000E5724" w:rsidRDefault="00B165CB" w:rsidP="00B165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0614EE07" wp14:editId="6F023623">
            <wp:extent cx="5433695" cy="2790701"/>
            <wp:effectExtent l="0" t="0" r="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2E50FE04-770E-42A2-AE50-9778AB6A5B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1EC7282" w14:textId="39C99990" w:rsidR="00B165CB" w:rsidRDefault="00B165CB" w:rsidP="00BA310C">
      <w:pPr>
        <w:spacing w:after="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64C7D8A" w14:textId="77777777" w:rsidR="00B165CB" w:rsidRDefault="00B165CB" w:rsidP="00BA310C">
      <w:pPr>
        <w:spacing w:after="0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2DC4092" w14:textId="46E3C4F6" w:rsidR="00BA310C" w:rsidRPr="00121664" w:rsidRDefault="00B165CB" w:rsidP="00BA310C">
      <w:pPr>
        <w:spacing w:after="0"/>
        <w:ind w:lef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Por entidad federativa, l</w:t>
      </w:r>
      <w:r w:rsidR="00BA310C" w:rsidRPr="00121664">
        <w:rPr>
          <w:rFonts w:ascii="Arial" w:hAnsi="Arial" w:cs="Arial"/>
          <w:color w:val="000000"/>
          <w:sz w:val="24"/>
          <w:szCs w:val="24"/>
        </w:rPr>
        <w:t xml:space="preserve">a Ciudad de México concentró </w:t>
      </w:r>
      <w:r w:rsidR="00121664" w:rsidRPr="00121664">
        <w:rPr>
          <w:rFonts w:ascii="Arial" w:hAnsi="Arial" w:cs="Arial"/>
          <w:color w:val="000000"/>
          <w:sz w:val="24"/>
          <w:szCs w:val="24"/>
        </w:rPr>
        <w:t>15.8</w:t>
      </w:r>
      <w:r w:rsidR="00BA310C" w:rsidRPr="00121664">
        <w:rPr>
          <w:rFonts w:ascii="Arial" w:hAnsi="Arial" w:cs="Arial"/>
          <w:color w:val="000000"/>
          <w:sz w:val="24"/>
          <w:szCs w:val="24"/>
        </w:rPr>
        <w:t>% del total de presupuesto ejercido.</w:t>
      </w:r>
    </w:p>
    <w:p w14:paraId="7F494597" w14:textId="38FFB2A8" w:rsidR="001A59D2" w:rsidRPr="00121664" w:rsidRDefault="001A59D2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A7945B0" w14:textId="76301E1D" w:rsidR="00BA310C" w:rsidRPr="00121664" w:rsidRDefault="00BA310C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</w:rPr>
      </w:pPr>
      <w:r w:rsidRPr="00121664">
        <w:rPr>
          <w:b/>
          <w:bCs/>
          <w:i/>
          <w:iCs/>
          <w:color w:val="414C1C"/>
          <w:sz w:val="18"/>
          <w:szCs w:val="18"/>
        </w:rPr>
        <w:t xml:space="preserve">Gráfica </w:t>
      </w:r>
      <w:r w:rsidR="00D86C60">
        <w:rPr>
          <w:b/>
          <w:bCs/>
          <w:i/>
          <w:iCs/>
          <w:color w:val="414C1C"/>
          <w:sz w:val="18"/>
          <w:szCs w:val="18"/>
        </w:rPr>
        <w:t>9</w:t>
      </w:r>
      <w:r w:rsidRPr="00121664">
        <w:rPr>
          <w:b/>
          <w:bCs/>
          <w:i/>
          <w:iCs/>
          <w:color w:val="414C1C"/>
          <w:sz w:val="18"/>
          <w:szCs w:val="18"/>
        </w:rPr>
        <w:t xml:space="preserve">. Presupuesto ejercido por los </w:t>
      </w:r>
      <w:r w:rsidR="00EE30FE" w:rsidRPr="00121664">
        <w:rPr>
          <w:b/>
          <w:bCs/>
          <w:i/>
          <w:iCs/>
          <w:color w:val="414C1C"/>
          <w:sz w:val="18"/>
          <w:szCs w:val="18"/>
        </w:rPr>
        <w:t>poderes judiciales estatales</w:t>
      </w:r>
      <w:r w:rsidRPr="00121664">
        <w:rPr>
          <w:b/>
          <w:bCs/>
          <w:i/>
          <w:iCs/>
          <w:color w:val="414C1C"/>
          <w:sz w:val="18"/>
          <w:szCs w:val="18"/>
        </w:rPr>
        <w:t>,</w:t>
      </w:r>
    </w:p>
    <w:p w14:paraId="762F1244" w14:textId="06E198EE" w:rsidR="00121664" w:rsidRPr="00121664" w:rsidRDefault="00BA310C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</w:rPr>
      </w:pPr>
      <w:r w:rsidRPr="00121664">
        <w:rPr>
          <w:b/>
          <w:bCs/>
          <w:i/>
          <w:iCs/>
          <w:color w:val="414C1C"/>
          <w:sz w:val="18"/>
          <w:szCs w:val="18"/>
        </w:rPr>
        <w:t xml:space="preserve"> por entidad federativa, 20</w:t>
      </w:r>
      <w:r w:rsidR="00121664" w:rsidRPr="00121664">
        <w:rPr>
          <w:b/>
          <w:bCs/>
          <w:i/>
          <w:iCs/>
          <w:color w:val="414C1C"/>
          <w:sz w:val="18"/>
          <w:szCs w:val="18"/>
        </w:rPr>
        <w:t>20</w:t>
      </w:r>
    </w:p>
    <w:p w14:paraId="3973222B" w14:textId="5A26C89E" w:rsidR="00BA310C" w:rsidRPr="00121664" w:rsidRDefault="00121664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</w:rPr>
      </w:pPr>
      <w:r w:rsidRPr="00121664">
        <w:rPr>
          <w:b/>
          <w:bCs/>
          <w:i/>
          <w:iCs/>
          <w:color w:val="414C1C"/>
          <w:sz w:val="18"/>
          <w:szCs w:val="18"/>
        </w:rPr>
        <w:t>(</w:t>
      </w:r>
      <w:r w:rsidR="00BA310C" w:rsidRPr="00121664">
        <w:rPr>
          <w:b/>
          <w:bCs/>
          <w:i/>
          <w:iCs/>
          <w:color w:val="414C1C"/>
          <w:sz w:val="18"/>
          <w:szCs w:val="18"/>
        </w:rPr>
        <w:t>Millones de pesos</w:t>
      </w:r>
      <w:r w:rsidRPr="00121664">
        <w:rPr>
          <w:b/>
          <w:bCs/>
          <w:i/>
          <w:iCs/>
          <w:color w:val="414C1C"/>
          <w:sz w:val="18"/>
          <w:szCs w:val="18"/>
        </w:rPr>
        <w:t>)</w:t>
      </w:r>
    </w:p>
    <w:p w14:paraId="4662722B" w14:textId="31F2D7BC" w:rsidR="00BA310C" w:rsidRPr="000E5724" w:rsidRDefault="00121664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4C4B0A82" wp14:editId="6BC252D5">
            <wp:extent cx="6377049" cy="2458085"/>
            <wp:effectExtent l="0" t="0" r="5080" b="0"/>
            <wp:docPr id="48" name="Gráfico 48">
              <a:extLst xmlns:a="http://schemas.openxmlformats.org/drawingml/2006/main">
                <a:ext uri="{FF2B5EF4-FFF2-40B4-BE49-F238E27FC236}">
                  <a16:creationId xmlns:a16="http://schemas.microsoft.com/office/drawing/2014/main" id="{73602A60-1DF3-4544-BBBD-1173376766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086F6F47" w14:textId="360CB1C3" w:rsidR="001A59D2" w:rsidRPr="000E5724" w:rsidRDefault="001A59D2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2620CB3A" w14:textId="18CE8B07" w:rsidR="001A59D2" w:rsidRDefault="001A59D2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1938189D" w14:textId="29AE4FE9" w:rsidR="00BA310C" w:rsidRPr="00DE7471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E7471">
        <w:rPr>
          <w:rFonts w:ascii="Arial" w:hAnsi="Arial" w:cs="Arial"/>
          <w:b/>
          <w:color w:val="000000"/>
          <w:sz w:val="24"/>
          <w:szCs w:val="24"/>
        </w:rPr>
        <w:lastRenderedPageBreak/>
        <w:t>Publicación de sentencias</w:t>
      </w:r>
    </w:p>
    <w:p w14:paraId="1814EC5F" w14:textId="77777777" w:rsidR="00BA310C" w:rsidRPr="000E5724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75BBE140" w14:textId="7631BD16" w:rsidR="00827D50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DE7471">
        <w:rPr>
          <w:rFonts w:ascii="Arial" w:hAnsi="Arial" w:cs="Arial"/>
          <w:color w:val="000000"/>
          <w:sz w:val="24"/>
          <w:szCs w:val="24"/>
        </w:rPr>
        <w:t xml:space="preserve">En </w:t>
      </w:r>
      <w:r w:rsidR="0084022A">
        <w:rPr>
          <w:rFonts w:ascii="Arial" w:hAnsi="Arial" w:cs="Arial"/>
          <w:color w:val="000000"/>
          <w:sz w:val="24"/>
          <w:szCs w:val="24"/>
        </w:rPr>
        <w:t xml:space="preserve">2020 se reportó que los poderes judiciales </w:t>
      </w:r>
      <w:r w:rsidR="0084022A" w:rsidRPr="0084022A">
        <w:rPr>
          <w:rFonts w:ascii="Arial" w:hAnsi="Arial" w:cs="Arial"/>
          <w:color w:val="000000"/>
          <w:sz w:val="24"/>
          <w:szCs w:val="24"/>
        </w:rPr>
        <w:t xml:space="preserve">estatales publicaron en sus sitios </w:t>
      </w:r>
      <w:r w:rsidR="0084022A" w:rsidRPr="00B31BB7">
        <w:rPr>
          <w:rFonts w:ascii="Arial" w:hAnsi="Arial" w:cs="Arial"/>
          <w:i/>
          <w:iCs/>
          <w:color w:val="000000"/>
          <w:sz w:val="24"/>
          <w:szCs w:val="24"/>
        </w:rPr>
        <w:t>web</w:t>
      </w:r>
      <w:r w:rsidR="0084022A" w:rsidRPr="0084022A">
        <w:rPr>
          <w:rFonts w:ascii="Arial" w:hAnsi="Arial" w:cs="Arial"/>
          <w:color w:val="000000"/>
          <w:sz w:val="24"/>
          <w:szCs w:val="24"/>
        </w:rPr>
        <w:t xml:space="preserve"> 113 859 sentencias</w:t>
      </w:r>
      <w:r w:rsidR="00DE7471" w:rsidRPr="008402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022A">
        <w:rPr>
          <w:rFonts w:ascii="Arial" w:hAnsi="Arial" w:cs="Arial"/>
          <w:color w:val="000000"/>
          <w:sz w:val="24"/>
          <w:szCs w:val="24"/>
        </w:rPr>
        <w:t xml:space="preserve">emitidas por los órganos jurisdiccionales, de ellas, </w:t>
      </w:r>
      <w:r w:rsidR="0084022A" w:rsidRPr="0084022A">
        <w:rPr>
          <w:rFonts w:ascii="Arial" w:hAnsi="Arial" w:cs="Arial"/>
          <w:color w:val="000000"/>
          <w:sz w:val="24"/>
          <w:szCs w:val="24"/>
        </w:rPr>
        <w:t xml:space="preserve">90 149 </w:t>
      </w:r>
      <w:r w:rsidRPr="0084022A">
        <w:rPr>
          <w:rFonts w:ascii="Arial" w:hAnsi="Arial" w:cs="Arial"/>
          <w:color w:val="000000"/>
          <w:sz w:val="24"/>
          <w:szCs w:val="24"/>
        </w:rPr>
        <w:t>(</w:t>
      </w:r>
      <w:r w:rsidR="0084022A" w:rsidRPr="0084022A">
        <w:rPr>
          <w:rFonts w:ascii="Arial" w:hAnsi="Arial" w:cs="Arial"/>
          <w:color w:val="000000"/>
          <w:sz w:val="24"/>
          <w:szCs w:val="24"/>
        </w:rPr>
        <w:t>79.2</w:t>
      </w:r>
      <w:r w:rsidRPr="0084022A">
        <w:rPr>
          <w:rFonts w:ascii="Arial" w:hAnsi="Arial" w:cs="Arial"/>
          <w:color w:val="000000"/>
          <w:sz w:val="24"/>
          <w:szCs w:val="24"/>
        </w:rPr>
        <w:t xml:space="preserve">%) </w:t>
      </w:r>
      <w:r w:rsidR="004E1EBA">
        <w:rPr>
          <w:rFonts w:ascii="Arial" w:hAnsi="Arial" w:cs="Arial"/>
          <w:color w:val="000000"/>
          <w:sz w:val="24"/>
          <w:szCs w:val="24"/>
        </w:rPr>
        <w:t xml:space="preserve">correspondieron a </w:t>
      </w:r>
      <w:r w:rsidRPr="0005527A">
        <w:rPr>
          <w:rFonts w:ascii="Arial" w:hAnsi="Arial" w:cs="Arial"/>
          <w:color w:val="000000"/>
          <w:sz w:val="24"/>
          <w:szCs w:val="24"/>
        </w:rPr>
        <w:t xml:space="preserve">primera instancia y </w:t>
      </w:r>
      <w:r w:rsidR="0084022A" w:rsidRPr="0005527A">
        <w:rPr>
          <w:rFonts w:ascii="Arial" w:hAnsi="Arial" w:cs="Arial"/>
          <w:color w:val="000000"/>
          <w:sz w:val="24"/>
          <w:szCs w:val="24"/>
        </w:rPr>
        <w:t>23</w:t>
      </w:r>
      <w:r w:rsidR="00DB6EEB" w:rsidRPr="0005527A">
        <w:rPr>
          <w:rFonts w:ascii="Arial" w:hAnsi="Arial" w:cs="Arial"/>
          <w:color w:val="000000"/>
          <w:sz w:val="24"/>
          <w:szCs w:val="24"/>
        </w:rPr>
        <w:t xml:space="preserve"> </w:t>
      </w:r>
      <w:r w:rsidR="0084022A" w:rsidRPr="0005527A">
        <w:rPr>
          <w:rFonts w:ascii="Arial" w:hAnsi="Arial" w:cs="Arial"/>
          <w:color w:val="000000"/>
          <w:sz w:val="24"/>
          <w:szCs w:val="24"/>
        </w:rPr>
        <w:t>710</w:t>
      </w:r>
      <w:r w:rsidRPr="0005527A">
        <w:rPr>
          <w:rFonts w:ascii="Arial" w:hAnsi="Arial" w:cs="Arial"/>
          <w:color w:val="000000"/>
          <w:sz w:val="24"/>
          <w:szCs w:val="24"/>
        </w:rPr>
        <w:t xml:space="preserve"> (</w:t>
      </w:r>
      <w:r w:rsidR="0084022A" w:rsidRPr="0005527A">
        <w:rPr>
          <w:rFonts w:ascii="Arial" w:hAnsi="Arial" w:cs="Arial"/>
          <w:color w:val="000000"/>
          <w:sz w:val="24"/>
          <w:szCs w:val="24"/>
        </w:rPr>
        <w:t>20.8</w:t>
      </w:r>
      <w:r w:rsidRPr="0005527A">
        <w:rPr>
          <w:rFonts w:ascii="Arial" w:hAnsi="Arial" w:cs="Arial"/>
          <w:color w:val="000000"/>
          <w:sz w:val="24"/>
          <w:szCs w:val="24"/>
        </w:rPr>
        <w:t xml:space="preserve">%) </w:t>
      </w:r>
      <w:r w:rsidR="004E1EBA">
        <w:rPr>
          <w:rFonts w:ascii="Arial" w:hAnsi="Arial" w:cs="Arial"/>
          <w:color w:val="000000"/>
          <w:sz w:val="24"/>
          <w:szCs w:val="24"/>
        </w:rPr>
        <w:t>a</w:t>
      </w:r>
      <w:r w:rsidRPr="0005527A">
        <w:rPr>
          <w:rFonts w:ascii="Arial" w:hAnsi="Arial" w:cs="Arial"/>
          <w:color w:val="000000"/>
          <w:sz w:val="24"/>
          <w:szCs w:val="24"/>
        </w:rPr>
        <w:t xml:space="preserve"> segunda instancia.</w:t>
      </w:r>
      <w:r w:rsidR="00827D50" w:rsidRPr="00827D50">
        <w:rPr>
          <w:rFonts w:ascii="Arial" w:hAnsi="Arial" w:cs="Arial"/>
          <w:color w:val="000000"/>
          <w:sz w:val="24"/>
          <w:szCs w:val="24"/>
        </w:rPr>
        <w:t xml:space="preserve"> </w:t>
      </w:r>
      <w:r w:rsidR="00827D50" w:rsidRPr="0005527A">
        <w:rPr>
          <w:rFonts w:ascii="Arial" w:hAnsi="Arial" w:cs="Arial"/>
          <w:color w:val="000000"/>
          <w:sz w:val="24"/>
          <w:szCs w:val="24"/>
        </w:rPr>
        <w:t xml:space="preserve">En contraste con lo reportado en 2019, la cantidad total de sentencias publicadas en los sitios </w:t>
      </w:r>
      <w:r w:rsidR="00827D50" w:rsidRPr="00B31BB7">
        <w:rPr>
          <w:rFonts w:ascii="Arial" w:hAnsi="Arial" w:cs="Arial"/>
          <w:i/>
          <w:iCs/>
          <w:color w:val="000000"/>
          <w:sz w:val="24"/>
          <w:szCs w:val="24"/>
        </w:rPr>
        <w:t>web</w:t>
      </w:r>
      <w:r w:rsidR="00827D50" w:rsidRPr="0005527A">
        <w:rPr>
          <w:rFonts w:ascii="Arial" w:hAnsi="Arial" w:cs="Arial"/>
          <w:color w:val="000000"/>
          <w:sz w:val="24"/>
          <w:szCs w:val="24"/>
        </w:rPr>
        <w:t xml:space="preserve"> disminuyó 14.1</w:t>
      </w:r>
      <w:r w:rsidR="00827D50">
        <w:rPr>
          <w:rFonts w:ascii="Arial" w:hAnsi="Arial" w:cs="Arial"/>
          <w:color w:val="000000"/>
          <w:sz w:val="24"/>
          <w:szCs w:val="24"/>
        </w:rPr>
        <w:t>% en 2020</w:t>
      </w:r>
      <w:r w:rsidR="00827D50" w:rsidRPr="0005527A">
        <w:rPr>
          <w:rFonts w:ascii="Arial" w:hAnsi="Arial" w:cs="Arial"/>
          <w:color w:val="000000"/>
          <w:sz w:val="24"/>
          <w:szCs w:val="24"/>
        </w:rPr>
        <w:t>.</w:t>
      </w:r>
    </w:p>
    <w:p w14:paraId="25470DFF" w14:textId="77777777" w:rsidR="00F01152" w:rsidRDefault="00F01152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7DFD438" w14:textId="71077F3C" w:rsidR="00827D50" w:rsidRPr="00507175" w:rsidRDefault="00827D50" w:rsidP="00827D50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</w:rPr>
      </w:pPr>
      <w:r w:rsidRPr="00507175">
        <w:rPr>
          <w:sz w:val="22"/>
          <w:szCs w:val="22"/>
        </w:rPr>
        <w:t xml:space="preserve"> </w:t>
      </w:r>
      <w:r w:rsidRPr="00507175">
        <w:rPr>
          <w:b/>
          <w:bCs/>
          <w:i/>
          <w:iCs/>
          <w:color w:val="414C1C"/>
          <w:sz w:val="18"/>
          <w:szCs w:val="18"/>
        </w:rPr>
        <w:t>Gráfica 1</w:t>
      </w:r>
      <w:r w:rsidR="00BB6813">
        <w:rPr>
          <w:b/>
          <w:bCs/>
          <w:i/>
          <w:iCs/>
          <w:color w:val="414C1C"/>
          <w:sz w:val="18"/>
          <w:szCs w:val="18"/>
        </w:rPr>
        <w:t>0</w:t>
      </w:r>
      <w:r w:rsidRPr="00507175">
        <w:rPr>
          <w:b/>
          <w:bCs/>
          <w:i/>
          <w:iCs/>
          <w:color w:val="414C1C"/>
          <w:sz w:val="18"/>
          <w:szCs w:val="18"/>
        </w:rPr>
        <w:t>.</w:t>
      </w:r>
      <w:r w:rsidRPr="00507175">
        <w:rPr>
          <w:sz w:val="18"/>
          <w:szCs w:val="18"/>
        </w:rPr>
        <w:t xml:space="preserve"> S</w:t>
      </w:r>
      <w:r w:rsidRPr="00507175">
        <w:rPr>
          <w:b/>
          <w:bCs/>
          <w:i/>
          <w:iCs/>
          <w:color w:val="414C1C"/>
          <w:sz w:val="18"/>
          <w:szCs w:val="18"/>
        </w:rPr>
        <w:t xml:space="preserve">entencias publicadas por los poderes judiciales estatales </w:t>
      </w:r>
    </w:p>
    <w:p w14:paraId="40DD5A3C" w14:textId="747D27DB" w:rsidR="00827D50" w:rsidRDefault="00827D50" w:rsidP="00827D50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</w:rPr>
      </w:pPr>
      <w:r w:rsidRPr="00507175">
        <w:rPr>
          <w:b/>
          <w:bCs/>
          <w:i/>
          <w:iCs/>
          <w:color w:val="414C1C"/>
          <w:sz w:val="18"/>
          <w:szCs w:val="18"/>
        </w:rPr>
        <w:t>según instancia, 20</w:t>
      </w:r>
      <w:r w:rsidR="00507175">
        <w:rPr>
          <w:b/>
          <w:bCs/>
          <w:i/>
          <w:iCs/>
          <w:color w:val="414C1C"/>
          <w:sz w:val="18"/>
          <w:szCs w:val="18"/>
        </w:rPr>
        <w:t>19</w:t>
      </w:r>
      <w:r w:rsidRPr="00507175">
        <w:rPr>
          <w:b/>
          <w:bCs/>
          <w:i/>
          <w:iCs/>
          <w:color w:val="414C1C"/>
          <w:sz w:val="18"/>
          <w:szCs w:val="18"/>
        </w:rPr>
        <w:t xml:space="preserve"> a 2020</w:t>
      </w:r>
    </w:p>
    <w:p w14:paraId="006EF57F" w14:textId="77777777" w:rsidR="00BB6813" w:rsidRPr="00BB6813" w:rsidRDefault="00BB6813" w:rsidP="00827D50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2"/>
          <w:szCs w:val="12"/>
        </w:rPr>
      </w:pPr>
    </w:p>
    <w:p w14:paraId="44546F89" w14:textId="4D1ABBCA" w:rsidR="00827D50" w:rsidRDefault="00507175" w:rsidP="0050717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5A31232" wp14:editId="43C2CE5C">
            <wp:extent cx="3786505" cy="1371600"/>
            <wp:effectExtent l="0" t="0" r="4445" b="0"/>
            <wp:docPr id="94" name="Gráfico 94">
              <a:extLst xmlns:a="http://schemas.openxmlformats.org/drawingml/2006/main">
                <a:ext uri="{FF2B5EF4-FFF2-40B4-BE49-F238E27FC236}">
                  <a16:creationId xmlns:a16="http://schemas.microsoft.com/office/drawing/2014/main" id="{B99336C1-04E7-4C7D-98D7-6F6FAF2A59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14C9923E" w14:textId="2643FA71" w:rsidR="00827D50" w:rsidRDefault="00827D50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8EB7ECB" w14:textId="77777777" w:rsidR="00A12AB9" w:rsidRDefault="00A12AB9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5BCA7DD" w14:textId="3D17D026" w:rsidR="00BA310C" w:rsidRDefault="00F01152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BA310C" w:rsidRPr="0005527A">
        <w:rPr>
          <w:rFonts w:ascii="Arial" w:hAnsi="Arial" w:cs="Arial"/>
          <w:color w:val="000000"/>
          <w:sz w:val="24"/>
          <w:szCs w:val="24"/>
        </w:rPr>
        <w:t xml:space="preserve">a materia familiar presentó la mayoría de las sentencias </w:t>
      </w:r>
      <w:r w:rsidR="00035B73">
        <w:rPr>
          <w:rFonts w:ascii="Arial" w:hAnsi="Arial" w:cs="Arial"/>
          <w:color w:val="000000"/>
          <w:sz w:val="24"/>
          <w:szCs w:val="24"/>
        </w:rPr>
        <w:t xml:space="preserve">publicadas </w:t>
      </w:r>
      <w:r w:rsidR="00BA310C" w:rsidRPr="0005527A">
        <w:rPr>
          <w:rFonts w:ascii="Arial" w:hAnsi="Arial" w:cs="Arial"/>
          <w:color w:val="000000"/>
          <w:sz w:val="24"/>
          <w:szCs w:val="24"/>
        </w:rPr>
        <w:t xml:space="preserve">con </w:t>
      </w:r>
      <w:r w:rsidR="009A71C3" w:rsidRPr="00BE7253">
        <w:rPr>
          <w:rFonts w:ascii="Arial" w:hAnsi="Arial" w:cs="Arial"/>
          <w:color w:val="000000"/>
          <w:sz w:val="24"/>
          <w:szCs w:val="24"/>
        </w:rPr>
        <w:t>37.0</w:t>
      </w:r>
      <w:r w:rsidR="00BA310C" w:rsidRPr="00BE7253">
        <w:rPr>
          <w:rFonts w:ascii="Arial" w:hAnsi="Arial" w:cs="Arial"/>
          <w:color w:val="000000"/>
          <w:sz w:val="24"/>
          <w:szCs w:val="24"/>
        </w:rPr>
        <w:t>%</w:t>
      </w:r>
      <w:r w:rsidR="009A71C3">
        <w:rPr>
          <w:rFonts w:ascii="Arial" w:hAnsi="Arial" w:cs="Arial"/>
          <w:color w:val="000000"/>
          <w:sz w:val="24"/>
          <w:szCs w:val="24"/>
        </w:rPr>
        <w:t xml:space="preserve"> del total nacional</w:t>
      </w:r>
      <w:r w:rsidR="00BA310C" w:rsidRPr="0005527A">
        <w:rPr>
          <w:rFonts w:ascii="Arial" w:hAnsi="Arial" w:cs="Arial"/>
          <w:color w:val="000000"/>
          <w:sz w:val="24"/>
          <w:szCs w:val="24"/>
        </w:rPr>
        <w:t xml:space="preserve">, </w:t>
      </w:r>
      <w:r w:rsidR="009A71C3">
        <w:rPr>
          <w:rFonts w:ascii="Arial" w:hAnsi="Arial" w:cs="Arial"/>
          <w:color w:val="000000"/>
          <w:sz w:val="24"/>
          <w:szCs w:val="24"/>
        </w:rPr>
        <w:t xml:space="preserve">seguida de la materia civil que </w:t>
      </w:r>
      <w:r w:rsidR="00BA310C" w:rsidRPr="0005527A">
        <w:rPr>
          <w:rFonts w:ascii="Arial" w:hAnsi="Arial" w:cs="Arial"/>
          <w:color w:val="000000"/>
          <w:sz w:val="24"/>
          <w:szCs w:val="24"/>
        </w:rPr>
        <w:t>alcanz</w:t>
      </w:r>
      <w:r w:rsidR="009A71C3">
        <w:rPr>
          <w:rFonts w:ascii="Arial" w:hAnsi="Arial" w:cs="Arial"/>
          <w:color w:val="000000"/>
          <w:sz w:val="24"/>
          <w:szCs w:val="24"/>
        </w:rPr>
        <w:t xml:space="preserve">ó </w:t>
      </w:r>
      <w:r w:rsidR="00BE7253">
        <w:rPr>
          <w:rFonts w:ascii="Arial" w:hAnsi="Arial" w:cs="Arial"/>
          <w:color w:val="000000"/>
          <w:sz w:val="24"/>
          <w:szCs w:val="24"/>
        </w:rPr>
        <w:t>26.9</w:t>
      </w:r>
      <w:r w:rsidR="009A71C3">
        <w:rPr>
          <w:rFonts w:ascii="Arial" w:hAnsi="Arial" w:cs="Arial"/>
          <w:color w:val="000000"/>
          <w:sz w:val="24"/>
          <w:szCs w:val="24"/>
        </w:rPr>
        <w:t xml:space="preserve"> por ciento.</w:t>
      </w:r>
      <w:r w:rsidR="00DB6EEB" w:rsidRPr="000552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65F5A82" w14:textId="131FD371" w:rsidR="00F01152" w:rsidRDefault="00F01152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15EE442" w14:textId="1BDCC79F" w:rsidR="00BA310C" w:rsidRDefault="008163D6" w:rsidP="00BB6813">
      <w:pPr>
        <w:pStyle w:val="Default"/>
        <w:spacing w:after="10"/>
        <w:ind w:left="-567"/>
        <w:jc w:val="center"/>
        <w:rPr>
          <w:b/>
          <w:bCs/>
          <w:i/>
          <w:iCs/>
          <w:color w:val="414C1C"/>
          <w:sz w:val="18"/>
        </w:rPr>
      </w:pPr>
      <w:r>
        <w:rPr>
          <w:b/>
          <w:bCs/>
          <w:i/>
          <w:iCs/>
          <w:color w:val="414C1C"/>
          <w:sz w:val="18"/>
        </w:rPr>
        <w:t>Cuadro 1</w:t>
      </w:r>
      <w:r w:rsidR="00BA310C" w:rsidRPr="0005527A">
        <w:rPr>
          <w:b/>
          <w:bCs/>
          <w:i/>
          <w:iCs/>
          <w:color w:val="414C1C"/>
          <w:sz w:val="18"/>
        </w:rPr>
        <w:t>.</w:t>
      </w:r>
      <w:r w:rsidR="00BA310C" w:rsidRPr="0005527A">
        <w:rPr>
          <w:sz w:val="22"/>
        </w:rPr>
        <w:t xml:space="preserve"> </w:t>
      </w:r>
      <w:r w:rsidR="005C11F1">
        <w:rPr>
          <w:b/>
          <w:bCs/>
          <w:i/>
          <w:iCs/>
          <w:color w:val="414C1C"/>
          <w:sz w:val="18"/>
        </w:rPr>
        <w:t>Sentencias publicadas por</w:t>
      </w:r>
      <w:r w:rsidR="00BA310C" w:rsidRPr="0005527A">
        <w:rPr>
          <w:b/>
          <w:bCs/>
          <w:i/>
          <w:iCs/>
          <w:color w:val="414C1C"/>
          <w:sz w:val="18"/>
        </w:rPr>
        <w:t xml:space="preserve"> los </w:t>
      </w:r>
      <w:r w:rsidR="00EE30FE" w:rsidRPr="0005527A">
        <w:rPr>
          <w:b/>
          <w:bCs/>
          <w:i/>
          <w:iCs/>
          <w:color w:val="414C1C"/>
          <w:sz w:val="18"/>
        </w:rPr>
        <w:t>poderes judiciales estatales</w:t>
      </w:r>
      <w:r w:rsidR="00BB6813">
        <w:rPr>
          <w:b/>
          <w:bCs/>
          <w:i/>
          <w:iCs/>
          <w:color w:val="414C1C"/>
          <w:sz w:val="18"/>
        </w:rPr>
        <w:t xml:space="preserve"> </w:t>
      </w:r>
      <w:r w:rsidR="00BA310C" w:rsidRPr="0005527A">
        <w:rPr>
          <w:b/>
          <w:bCs/>
          <w:i/>
          <w:iCs/>
          <w:color w:val="414C1C"/>
          <w:sz w:val="18"/>
        </w:rPr>
        <w:t xml:space="preserve">por </w:t>
      </w:r>
      <w:r w:rsidR="005C11F1">
        <w:rPr>
          <w:b/>
          <w:bCs/>
          <w:i/>
          <w:iCs/>
          <w:color w:val="414C1C"/>
          <w:sz w:val="18"/>
        </w:rPr>
        <w:t>entidad federativa</w:t>
      </w:r>
      <w:r w:rsidR="00BA310C" w:rsidRPr="0005527A">
        <w:rPr>
          <w:b/>
          <w:bCs/>
          <w:i/>
          <w:iCs/>
          <w:color w:val="414C1C"/>
          <w:sz w:val="18"/>
        </w:rPr>
        <w:t xml:space="preserve">, </w:t>
      </w:r>
      <w:r w:rsidR="00BB6813">
        <w:rPr>
          <w:b/>
          <w:bCs/>
          <w:i/>
          <w:iCs/>
          <w:color w:val="414C1C"/>
          <w:sz w:val="18"/>
        </w:rPr>
        <w:t>s</w:t>
      </w:r>
      <w:r w:rsidR="00BA310C" w:rsidRPr="0005527A">
        <w:rPr>
          <w:b/>
          <w:bCs/>
          <w:i/>
          <w:iCs/>
          <w:color w:val="414C1C"/>
          <w:sz w:val="18"/>
        </w:rPr>
        <w:t xml:space="preserve">egún </w:t>
      </w:r>
      <w:r w:rsidR="000105DC">
        <w:rPr>
          <w:b/>
          <w:bCs/>
          <w:i/>
          <w:iCs/>
          <w:color w:val="414C1C"/>
          <w:sz w:val="18"/>
        </w:rPr>
        <w:t>materia</w:t>
      </w:r>
      <w:r w:rsidR="00BA310C" w:rsidRPr="0005527A">
        <w:rPr>
          <w:b/>
          <w:bCs/>
          <w:i/>
          <w:iCs/>
          <w:color w:val="414C1C"/>
          <w:sz w:val="18"/>
        </w:rPr>
        <w:t>, 20</w:t>
      </w:r>
      <w:r w:rsidR="0005527A" w:rsidRPr="0005527A">
        <w:rPr>
          <w:b/>
          <w:bCs/>
          <w:i/>
          <w:iCs/>
          <w:color w:val="414C1C"/>
          <w:sz w:val="18"/>
        </w:rPr>
        <w:t>20</w:t>
      </w:r>
    </w:p>
    <w:p w14:paraId="14E29797" w14:textId="77777777" w:rsidR="009A71C3" w:rsidRPr="0005527A" w:rsidRDefault="009A71C3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</w:rPr>
      </w:pPr>
    </w:p>
    <w:tbl>
      <w:tblPr>
        <w:tblW w:w="895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20"/>
        <w:gridCol w:w="1020"/>
        <w:gridCol w:w="1020"/>
        <w:gridCol w:w="1020"/>
        <w:gridCol w:w="1020"/>
        <w:gridCol w:w="1020"/>
        <w:gridCol w:w="1134"/>
        <w:gridCol w:w="850"/>
      </w:tblGrid>
      <w:tr w:rsidR="009A71C3" w:rsidRPr="00F01152" w14:paraId="567E3488" w14:textId="77777777" w:rsidTr="00A12AB9">
        <w:trPr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2927"/>
            <w:vAlign w:val="center"/>
            <w:hideMark/>
          </w:tcPr>
          <w:p w14:paraId="15BDB1CB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 xml:space="preserve">Entidad </w:t>
            </w: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federativa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2927"/>
            <w:noWrap/>
            <w:vAlign w:val="center"/>
            <w:hideMark/>
          </w:tcPr>
          <w:p w14:paraId="295A633B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2927"/>
            <w:noWrap/>
            <w:vAlign w:val="center"/>
            <w:hideMark/>
          </w:tcPr>
          <w:p w14:paraId="0B9DA7E7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Civil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2927"/>
            <w:noWrap/>
            <w:vAlign w:val="center"/>
            <w:hideMark/>
          </w:tcPr>
          <w:p w14:paraId="3A3EF7C0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Familiar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2927"/>
            <w:noWrap/>
            <w:vAlign w:val="center"/>
            <w:hideMark/>
          </w:tcPr>
          <w:p w14:paraId="1CB34862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Mercantil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2927"/>
            <w:noWrap/>
            <w:vAlign w:val="center"/>
            <w:hideMark/>
          </w:tcPr>
          <w:p w14:paraId="24ECA3F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Laboral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2927"/>
            <w:noWrap/>
            <w:vAlign w:val="center"/>
            <w:hideMark/>
          </w:tcPr>
          <w:p w14:paraId="255AA501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 xml:space="preserve">Penal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2927"/>
            <w:vAlign w:val="center"/>
            <w:hideMark/>
          </w:tcPr>
          <w:p w14:paraId="2178D748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 xml:space="preserve">Justicia para </w:t>
            </w: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adolescentes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2927"/>
            <w:noWrap/>
            <w:vAlign w:val="center"/>
            <w:hideMark/>
          </w:tcPr>
          <w:p w14:paraId="33E7964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Otra materia</w:t>
            </w:r>
          </w:p>
        </w:tc>
      </w:tr>
      <w:tr w:rsidR="008163D6" w:rsidRPr="00F01152" w14:paraId="6CF372D5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42B22B75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MICH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107A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27,958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0484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20E2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6,724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4B5A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9FF3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0878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993E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BB76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  <w:tr w:rsidR="009A71C3" w:rsidRPr="00F01152" w14:paraId="10F02288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528954D5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CHIH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7988482A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7C457CD3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10D29760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13,487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7A0606ED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5444B61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6B0B9F32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37E73C7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3D08AD60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  <w:tr w:rsidR="008163D6" w:rsidRPr="00F01152" w14:paraId="18AD5BF3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67696909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MEX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6FDC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32D8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8633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7,363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246C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3188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F04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53F2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2C53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987</w:t>
            </w:r>
          </w:p>
        </w:tc>
      </w:tr>
      <w:tr w:rsidR="009A71C3" w:rsidRPr="00F01152" w14:paraId="7574A4E6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4DAD2D0D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COAH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07A63946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0EEFD4FA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21CA242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62DADCBD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01532B4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6EB137B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1FB31BE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35436489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  <w:tr w:rsidR="008163D6" w:rsidRPr="00F01152" w14:paraId="53D3E60C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16E6F030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TAMPS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12D1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AA4C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25A9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AE91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D946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4226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7F0E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E7F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  <w:tr w:rsidR="009A71C3" w:rsidRPr="00F01152" w14:paraId="4653FDB1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032D2DFC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DGO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7749C4EE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6414DAFE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0F222ED9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2D6BF5E1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21C47150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083BC2DD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77AF3F9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19289E77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975</w:t>
            </w:r>
          </w:p>
        </w:tc>
      </w:tr>
      <w:tr w:rsidR="008163D6" w:rsidRPr="00F01152" w14:paraId="1F3B96C5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1F384D90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SIN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541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F5B1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454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23DC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86D1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B5E1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23D2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1A23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  <w:tr w:rsidR="009A71C3" w:rsidRPr="00F01152" w14:paraId="344D2E08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4C13C654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MOR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2DAC5849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47C3C53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3C71502E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621DCAF4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2BFFCF1B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0FB8F7D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4608629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4ABC4919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  <w:tr w:rsidR="008163D6" w:rsidRPr="00F01152" w14:paraId="67EB54F4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0FEBBC9B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TAB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35A9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8CC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90B4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295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1580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B03C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B461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CB1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  <w:tr w:rsidR="009A71C3" w:rsidRPr="00F01152" w14:paraId="71AF7C5F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4A26F5AC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NL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53ABA9F0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7BA34FF3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433F0F78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6541418A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137C27E6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1D135116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091A8B1E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5A57B45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  <w:tr w:rsidR="008163D6" w:rsidRPr="00F01152" w14:paraId="1006DDA4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74433CDF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NAY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3AA9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44C8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68E7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1AE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86C7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53FD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E6A1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8088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  <w:tr w:rsidR="009A71C3" w:rsidRPr="00F01152" w14:paraId="2F855CFF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72719658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AGS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0AA1AFE6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77E5BCD4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438A0CA6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22140B0E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75F8EE40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69D9091B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463F3463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01C9A32B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  <w:tr w:rsidR="008163D6" w:rsidRPr="00F01152" w14:paraId="077E4C41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2A4D7B35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HGO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F31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CAD2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A30C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526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08B7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1A03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D483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CE4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  <w:tr w:rsidR="009A71C3" w:rsidRPr="00F01152" w14:paraId="2B7ED8FD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134020A6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YUC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1E313B47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61BBC46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7B6A39F8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353ED2C9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46292DE1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34D1E7CE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73B6A638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4113B11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8163D6" w:rsidRPr="00F01152" w14:paraId="2B517C8F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3C573CE0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PUE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247B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6AFB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196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F4FC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3159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050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601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CF24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9A71C3" w:rsidRPr="00F01152" w14:paraId="03D8C663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702443C0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3A4819BB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7B0FF3D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2E0BA328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0F7EF3CD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145BB0C7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1C9989B4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494475D6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62697C77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  <w:tr w:rsidR="008163D6" w:rsidRPr="00F01152" w14:paraId="7F256EF2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2E3F7FAF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OAX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2D7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4192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4F1C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D38C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4467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F32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A71C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C0C0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9A71C3" w:rsidRPr="00F01152" w14:paraId="2BD700D4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5A1E3B04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CAMP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54CAE118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062A2AFE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1ABFFA83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51FA3BD2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07D5C507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2EF459F0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6F2B0F19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61EF13C9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8163D6" w:rsidRPr="00F01152" w14:paraId="283397C6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724793B0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CHIS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BC80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5431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9F89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2C67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38E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7BFC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67BB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746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  <w:tr w:rsidR="009A71C3" w:rsidRPr="00F01152" w14:paraId="1BB72C49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5E524B6A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SON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1623FC19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7D8B15B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5BCCBDA8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5894CE71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5FC09AEB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7B04095A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64E7B5A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2831DB4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  <w:tr w:rsidR="008163D6" w:rsidRPr="00F01152" w14:paraId="3820D53B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5D2AA40A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VER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0453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530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7E87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F4CF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751A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405C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E210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551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</w:t>
            </w:r>
          </w:p>
        </w:tc>
      </w:tr>
      <w:tr w:rsidR="009A71C3" w:rsidRPr="00F01152" w14:paraId="0AE7F0EB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5EA100AA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TLAX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61A3577E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52605F87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563DA751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1648B023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7D99DCCB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12B84CCA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43668A5E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4FD71FB3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  <w:tr w:rsidR="008163D6" w:rsidRPr="00F01152" w14:paraId="147C40AB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7F122782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GTO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92A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BDDA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1C0D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FFFC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1154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B8DA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6E4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1646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9A71C3" w:rsidRPr="00F01152" w14:paraId="36818BCC" w14:textId="77777777" w:rsidTr="00A12AB9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7DC98D4D" w14:textId="77777777" w:rsidR="00F01152" w:rsidRPr="00F01152" w:rsidRDefault="00F01152" w:rsidP="00F0115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QROO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383EB11E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581DA656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0483144D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33AE8665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4966A1EA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015E63F4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1D2D483B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C2C0"/>
            <w:noWrap/>
            <w:vAlign w:val="center"/>
            <w:hideMark/>
          </w:tcPr>
          <w:p w14:paraId="6D38C8F0" w14:textId="77777777" w:rsidR="00F01152" w:rsidRPr="00F01152" w:rsidRDefault="00F01152" w:rsidP="00F01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1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</w:t>
            </w:r>
          </w:p>
        </w:tc>
      </w:tr>
    </w:tbl>
    <w:p w14:paraId="039EEAA8" w14:textId="5A86E95B" w:rsidR="00BA310C" w:rsidRPr="000E5724" w:rsidRDefault="00BA310C" w:rsidP="00BA310C">
      <w:pPr>
        <w:pStyle w:val="Default"/>
        <w:spacing w:after="10"/>
        <w:ind w:left="-567"/>
        <w:jc w:val="center"/>
        <w:rPr>
          <w:b/>
          <w:bCs/>
          <w:i/>
          <w:iCs/>
          <w:color w:val="4472C4" w:themeColor="accent1"/>
          <w:sz w:val="20"/>
          <w:highlight w:val="yellow"/>
        </w:rPr>
      </w:pPr>
    </w:p>
    <w:p w14:paraId="6F5B1D0B" w14:textId="64ECABE1" w:rsidR="00C303DB" w:rsidRDefault="00BA310C" w:rsidP="0022440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21419">
        <w:rPr>
          <w:rFonts w:ascii="Arial" w:hAnsi="Arial" w:cs="Arial"/>
          <w:sz w:val="16"/>
          <w:szCs w:val="16"/>
        </w:rPr>
        <w:t xml:space="preserve">Nota: </w:t>
      </w:r>
      <w:r w:rsidR="0005527A" w:rsidRPr="00F21419">
        <w:rPr>
          <w:rFonts w:ascii="Arial" w:hAnsi="Arial" w:cs="Arial"/>
          <w:sz w:val="16"/>
          <w:szCs w:val="16"/>
        </w:rPr>
        <w:t>no se incluye</w:t>
      </w:r>
      <w:r w:rsidR="00EF1F24">
        <w:rPr>
          <w:rFonts w:ascii="Arial" w:hAnsi="Arial" w:cs="Arial"/>
          <w:sz w:val="16"/>
          <w:szCs w:val="16"/>
        </w:rPr>
        <w:t xml:space="preserve"> información de Baja California, </w:t>
      </w:r>
      <w:r w:rsidR="00B00476">
        <w:rPr>
          <w:rFonts w:ascii="Arial" w:hAnsi="Arial" w:cs="Arial"/>
          <w:sz w:val="16"/>
          <w:szCs w:val="16"/>
        </w:rPr>
        <w:t>B</w:t>
      </w:r>
      <w:r w:rsidR="00EF1F24">
        <w:rPr>
          <w:rFonts w:ascii="Arial" w:hAnsi="Arial" w:cs="Arial"/>
          <w:sz w:val="16"/>
          <w:szCs w:val="16"/>
        </w:rPr>
        <w:t xml:space="preserve">aja California Sur, Ciudad de México, </w:t>
      </w:r>
      <w:r w:rsidR="00EB270C">
        <w:rPr>
          <w:rFonts w:ascii="Arial" w:hAnsi="Arial" w:cs="Arial"/>
          <w:sz w:val="16"/>
          <w:szCs w:val="16"/>
        </w:rPr>
        <w:t xml:space="preserve">Guerrero, </w:t>
      </w:r>
      <w:r w:rsidR="00EF1F24">
        <w:rPr>
          <w:rFonts w:ascii="Arial" w:hAnsi="Arial" w:cs="Arial"/>
          <w:sz w:val="16"/>
          <w:szCs w:val="16"/>
        </w:rPr>
        <w:t>Jalisco</w:t>
      </w:r>
      <w:r w:rsidR="00EB270C">
        <w:rPr>
          <w:rFonts w:ascii="Arial" w:hAnsi="Arial" w:cs="Arial"/>
          <w:sz w:val="16"/>
          <w:szCs w:val="16"/>
        </w:rPr>
        <w:t xml:space="preserve">, Querétaro, </w:t>
      </w:r>
      <w:r w:rsidR="00EF1F24">
        <w:rPr>
          <w:rFonts w:ascii="Arial" w:hAnsi="Arial" w:cs="Arial"/>
          <w:sz w:val="16"/>
          <w:szCs w:val="16"/>
        </w:rPr>
        <w:t>San Luis Potosí</w:t>
      </w:r>
      <w:r w:rsidR="00EB270C">
        <w:rPr>
          <w:rFonts w:ascii="Arial" w:hAnsi="Arial" w:cs="Arial"/>
          <w:sz w:val="16"/>
          <w:szCs w:val="16"/>
        </w:rPr>
        <w:t xml:space="preserve"> y Zacatecas,</w:t>
      </w:r>
      <w:r w:rsidR="00EF1F24">
        <w:rPr>
          <w:rFonts w:ascii="Arial" w:hAnsi="Arial" w:cs="Arial"/>
          <w:sz w:val="16"/>
          <w:szCs w:val="16"/>
        </w:rPr>
        <w:t xml:space="preserve"> debido a que no contaron con datos o elementos para responder</w:t>
      </w:r>
      <w:r w:rsidR="00EB270C">
        <w:rPr>
          <w:rFonts w:ascii="Arial" w:hAnsi="Arial" w:cs="Arial"/>
          <w:sz w:val="16"/>
          <w:szCs w:val="16"/>
        </w:rPr>
        <w:t xml:space="preserve">, o bien, reportaron que el Poder Judicial de la entidad no publicó en el sitio </w:t>
      </w:r>
      <w:r w:rsidR="00EB270C" w:rsidRPr="00486DAC">
        <w:rPr>
          <w:rFonts w:ascii="Arial" w:hAnsi="Arial" w:cs="Arial"/>
          <w:i/>
          <w:iCs/>
          <w:sz w:val="16"/>
          <w:szCs w:val="16"/>
        </w:rPr>
        <w:t>web</w:t>
      </w:r>
      <w:r w:rsidR="00EB270C">
        <w:rPr>
          <w:rFonts w:ascii="Arial" w:hAnsi="Arial" w:cs="Arial"/>
          <w:sz w:val="16"/>
          <w:szCs w:val="16"/>
        </w:rPr>
        <w:t xml:space="preserve"> las sentencias en las distintas materias. </w:t>
      </w:r>
    </w:p>
    <w:p w14:paraId="668ABCDD" w14:textId="4E22D218" w:rsidR="0022440A" w:rsidRDefault="0022440A" w:rsidP="0022440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(-): no contó con datos o elementos para responder. </w:t>
      </w:r>
    </w:p>
    <w:p w14:paraId="28E2BEF5" w14:textId="089BCE00" w:rsidR="0022440A" w:rsidRPr="000E5724" w:rsidRDefault="0022440A" w:rsidP="0022440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  <w:r>
        <w:rPr>
          <w:rFonts w:ascii="Arial" w:hAnsi="Arial" w:cs="Arial"/>
          <w:sz w:val="16"/>
          <w:szCs w:val="16"/>
        </w:rPr>
        <w:t>NA: no aplica.</w:t>
      </w:r>
    </w:p>
    <w:p w14:paraId="0573345D" w14:textId="4DBB8DBF" w:rsidR="00BA310C" w:rsidRPr="00616F7F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16F7F">
        <w:rPr>
          <w:rFonts w:ascii="Arial" w:hAnsi="Arial" w:cs="Arial"/>
          <w:b/>
          <w:color w:val="000000"/>
          <w:sz w:val="24"/>
          <w:szCs w:val="24"/>
        </w:rPr>
        <w:lastRenderedPageBreak/>
        <w:t>Defensoría Pública o de Oficio</w:t>
      </w:r>
      <w:r w:rsidR="005C11F1">
        <w:rPr>
          <w:rStyle w:val="Refdenotaalpie"/>
          <w:rFonts w:ascii="Arial" w:hAnsi="Arial" w:cs="Arial"/>
          <w:b/>
          <w:color w:val="000000"/>
          <w:sz w:val="24"/>
          <w:szCs w:val="24"/>
        </w:rPr>
        <w:footnoteReference w:id="10"/>
      </w:r>
    </w:p>
    <w:p w14:paraId="2FAC7E45" w14:textId="77777777" w:rsidR="00BA310C" w:rsidRPr="00616F7F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41E33B3" w14:textId="4F41F27F" w:rsidR="000279B2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616F7F">
        <w:rPr>
          <w:rFonts w:ascii="Arial" w:hAnsi="Arial" w:cs="Arial"/>
          <w:color w:val="000000"/>
          <w:sz w:val="24"/>
          <w:szCs w:val="24"/>
        </w:rPr>
        <w:t>Al cierre de 20</w:t>
      </w:r>
      <w:r w:rsidR="00066EF8" w:rsidRPr="00616F7F">
        <w:rPr>
          <w:rFonts w:ascii="Arial" w:hAnsi="Arial" w:cs="Arial"/>
          <w:color w:val="000000"/>
          <w:sz w:val="24"/>
          <w:szCs w:val="24"/>
        </w:rPr>
        <w:t>20</w:t>
      </w:r>
      <w:r w:rsidRPr="00616F7F">
        <w:rPr>
          <w:rFonts w:ascii="Arial" w:hAnsi="Arial" w:cs="Arial"/>
          <w:color w:val="000000"/>
          <w:sz w:val="24"/>
          <w:szCs w:val="24"/>
        </w:rPr>
        <w:t xml:space="preserve">, la Defensoría Pública o de Oficio </w:t>
      </w:r>
      <w:r w:rsidR="00DE6A64" w:rsidRPr="00616F7F">
        <w:rPr>
          <w:rFonts w:ascii="Arial" w:hAnsi="Arial" w:cs="Arial"/>
          <w:color w:val="000000"/>
          <w:sz w:val="24"/>
          <w:szCs w:val="24"/>
        </w:rPr>
        <w:t xml:space="preserve">a cargo de los </w:t>
      </w:r>
      <w:r w:rsidR="00040B38" w:rsidRPr="00616F7F">
        <w:rPr>
          <w:rFonts w:ascii="Arial" w:hAnsi="Arial" w:cs="Arial"/>
          <w:color w:val="000000"/>
          <w:sz w:val="24"/>
          <w:szCs w:val="24"/>
        </w:rPr>
        <w:t>poderes judiciales estatales</w:t>
      </w:r>
      <w:r w:rsidR="00DE6A64" w:rsidRPr="00616F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6F7F">
        <w:rPr>
          <w:rFonts w:ascii="Arial" w:hAnsi="Arial" w:cs="Arial"/>
          <w:color w:val="000000"/>
          <w:sz w:val="24"/>
          <w:szCs w:val="24"/>
        </w:rPr>
        <w:t xml:space="preserve">contó con </w:t>
      </w:r>
      <w:r w:rsidR="000279B2" w:rsidRPr="00616F7F">
        <w:rPr>
          <w:rFonts w:ascii="Arial" w:hAnsi="Arial" w:cs="Arial"/>
          <w:color w:val="000000"/>
          <w:sz w:val="24"/>
          <w:szCs w:val="24"/>
        </w:rPr>
        <w:t>837</w:t>
      </w:r>
      <w:r w:rsidRPr="00616F7F">
        <w:rPr>
          <w:rFonts w:ascii="Arial" w:hAnsi="Arial" w:cs="Arial"/>
          <w:color w:val="000000"/>
          <w:sz w:val="24"/>
          <w:szCs w:val="24"/>
        </w:rPr>
        <w:t xml:space="preserve"> servidoras y servidores públicos, de los cuales</w:t>
      </w:r>
      <w:r w:rsidR="005C11F1">
        <w:rPr>
          <w:rFonts w:ascii="Arial" w:hAnsi="Arial" w:cs="Arial"/>
          <w:color w:val="000000"/>
          <w:sz w:val="24"/>
          <w:szCs w:val="24"/>
        </w:rPr>
        <w:t>,</w:t>
      </w:r>
      <w:r w:rsidR="00616F7F">
        <w:rPr>
          <w:rFonts w:ascii="Arial" w:hAnsi="Arial" w:cs="Arial"/>
          <w:color w:val="000000"/>
          <w:sz w:val="24"/>
          <w:szCs w:val="24"/>
        </w:rPr>
        <w:t xml:space="preserve"> </w:t>
      </w:r>
      <w:r w:rsidR="005D73F4">
        <w:rPr>
          <w:rFonts w:ascii="Arial" w:hAnsi="Arial" w:cs="Arial"/>
          <w:color w:val="000000"/>
          <w:sz w:val="24"/>
          <w:szCs w:val="24"/>
        </w:rPr>
        <w:t xml:space="preserve">55.2% (462) fueron mujeres y 44.8% (375) hombres. Del total, </w:t>
      </w:r>
      <w:r w:rsidR="000279B2" w:rsidRPr="00616F7F">
        <w:rPr>
          <w:rFonts w:ascii="Arial" w:hAnsi="Arial" w:cs="Arial"/>
          <w:color w:val="000000"/>
          <w:sz w:val="24"/>
          <w:szCs w:val="24"/>
        </w:rPr>
        <w:t>621</w:t>
      </w:r>
      <w:r w:rsidRPr="00616F7F">
        <w:rPr>
          <w:rFonts w:ascii="Arial" w:hAnsi="Arial" w:cs="Arial"/>
          <w:color w:val="000000"/>
          <w:sz w:val="24"/>
          <w:szCs w:val="24"/>
        </w:rPr>
        <w:t xml:space="preserve"> se desempeñaron como defensores públicos y asesores jurídicos</w:t>
      </w:r>
      <w:r w:rsidR="00506F7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16F7F">
        <w:rPr>
          <w:rFonts w:ascii="Arial" w:hAnsi="Arial" w:cs="Arial"/>
          <w:color w:val="000000"/>
          <w:sz w:val="24"/>
          <w:szCs w:val="24"/>
        </w:rPr>
        <w:t xml:space="preserve">cifra que representó </w:t>
      </w:r>
      <w:r w:rsidR="000279B2" w:rsidRPr="00616F7F">
        <w:rPr>
          <w:rFonts w:ascii="Arial" w:hAnsi="Arial" w:cs="Arial"/>
          <w:color w:val="000000"/>
          <w:sz w:val="24"/>
          <w:szCs w:val="24"/>
        </w:rPr>
        <w:t>74.2</w:t>
      </w:r>
      <w:r w:rsidRPr="00616F7F">
        <w:rPr>
          <w:rFonts w:ascii="Arial" w:hAnsi="Arial" w:cs="Arial"/>
          <w:color w:val="000000"/>
          <w:sz w:val="24"/>
          <w:szCs w:val="24"/>
        </w:rPr>
        <w:t xml:space="preserve">% del total. </w:t>
      </w:r>
      <w:r w:rsidR="000279B2" w:rsidRPr="00616F7F">
        <w:rPr>
          <w:rFonts w:ascii="Arial" w:hAnsi="Arial" w:cs="Arial"/>
          <w:color w:val="000000"/>
          <w:sz w:val="24"/>
          <w:szCs w:val="24"/>
        </w:rPr>
        <w:t xml:space="preserve">La cantidad de defensores y asesores </w:t>
      </w:r>
      <w:r w:rsidR="00FC3CE5">
        <w:rPr>
          <w:rFonts w:ascii="Arial" w:hAnsi="Arial" w:cs="Arial"/>
          <w:color w:val="000000"/>
          <w:sz w:val="24"/>
          <w:szCs w:val="24"/>
        </w:rPr>
        <w:t>aumentó</w:t>
      </w:r>
      <w:r w:rsidR="000279B2" w:rsidRPr="00616F7F">
        <w:rPr>
          <w:rFonts w:ascii="Arial" w:hAnsi="Arial" w:cs="Arial"/>
          <w:color w:val="000000"/>
          <w:sz w:val="24"/>
          <w:szCs w:val="24"/>
        </w:rPr>
        <w:t xml:space="preserve"> </w:t>
      </w:r>
      <w:r w:rsidR="00FC3CE5">
        <w:rPr>
          <w:rFonts w:ascii="Arial" w:hAnsi="Arial" w:cs="Arial"/>
          <w:color w:val="000000"/>
          <w:sz w:val="24"/>
          <w:szCs w:val="24"/>
        </w:rPr>
        <w:t>1.1</w:t>
      </w:r>
      <w:r w:rsidR="000279B2" w:rsidRPr="00616F7F">
        <w:rPr>
          <w:rFonts w:ascii="Arial" w:hAnsi="Arial" w:cs="Arial"/>
          <w:color w:val="000000"/>
          <w:sz w:val="24"/>
          <w:szCs w:val="24"/>
        </w:rPr>
        <w:t xml:space="preserve">% con respecto a 2019. </w:t>
      </w:r>
    </w:p>
    <w:p w14:paraId="0F8236FF" w14:textId="77777777" w:rsidR="005C11F1" w:rsidRDefault="005C11F1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B105C75" w14:textId="3CE40377" w:rsidR="005C11F1" w:rsidRPr="00DF3C14" w:rsidRDefault="005C11F1" w:rsidP="000105D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</w:rPr>
      </w:pPr>
      <w:r w:rsidRPr="00DF3C14">
        <w:rPr>
          <w:b/>
          <w:bCs/>
          <w:i/>
          <w:iCs/>
          <w:color w:val="414C1C"/>
          <w:sz w:val="18"/>
        </w:rPr>
        <w:t>Gráfica 1</w:t>
      </w:r>
      <w:r w:rsidR="00A12AB9">
        <w:rPr>
          <w:b/>
          <w:bCs/>
          <w:i/>
          <w:iCs/>
          <w:color w:val="414C1C"/>
          <w:sz w:val="18"/>
        </w:rPr>
        <w:t>1</w:t>
      </w:r>
      <w:r w:rsidRPr="00DF3C14">
        <w:rPr>
          <w:b/>
          <w:bCs/>
          <w:i/>
          <w:iCs/>
          <w:color w:val="414C1C"/>
          <w:sz w:val="18"/>
        </w:rPr>
        <w:t>.</w:t>
      </w:r>
      <w:r w:rsidRPr="00DF3C14">
        <w:rPr>
          <w:sz w:val="22"/>
        </w:rPr>
        <w:t xml:space="preserve"> </w:t>
      </w:r>
      <w:r w:rsidR="000105DC">
        <w:rPr>
          <w:b/>
          <w:bCs/>
          <w:i/>
          <w:iCs/>
          <w:color w:val="414C1C"/>
          <w:sz w:val="18"/>
        </w:rPr>
        <w:t>Defensores públicos y asesores jurídicos, 20</w:t>
      </w:r>
      <w:r w:rsidR="005778C8">
        <w:rPr>
          <w:b/>
          <w:bCs/>
          <w:i/>
          <w:iCs/>
          <w:color w:val="414C1C"/>
          <w:sz w:val="18"/>
        </w:rPr>
        <w:t>13</w:t>
      </w:r>
      <w:r w:rsidR="000105DC">
        <w:rPr>
          <w:b/>
          <w:bCs/>
          <w:i/>
          <w:iCs/>
          <w:color w:val="414C1C"/>
          <w:sz w:val="18"/>
        </w:rPr>
        <w:t xml:space="preserve"> a 2020</w:t>
      </w:r>
      <w:r w:rsidRPr="00DF3C14">
        <w:rPr>
          <w:b/>
          <w:bCs/>
          <w:i/>
          <w:iCs/>
          <w:color w:val="414C1C"/>
          <w:sz w:val="18"/>
        </w:rPr>
        <w:t xml:space="preserve"> </w:t>
      </w:r>
    </w:p>
    <w:p w14:paraId="24FC88D2" w14:textId="75460FAD" w:rsidR="005C11F1" w:rsidRDefault="005778C8" w:rsidP="005778C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BD44561" wp14:editId="35947AB0">
            <wp:extent cx="5446395" cy="2282025"/>
            <wp:effectExtent l="0" t="0" r="1905" b="444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004F5F7-E393-4A73-B0F2-0AD844E2D5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7BE790A1" w14:textId="77777777" w:rsidR="005C11F1" w:rsidRPr="00616F7F" w:rsidRDefault="005C11F1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EDEAFF1" w14:textId="77777777" w:rsidR="000279B2" w:rsidRDefault="000279B2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0774F689" w14:textId="181C3B21" w:rsidR="00BA310C" w:rsidRPr="003A24D2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Cs/>
          <w:sz w:val="24"/>
          <w:szCs w:val="24"/>
        </w:rPr>
      </w:pPr>
      <w:r w:rsidRPr="00DF3C14">
        <w:rPr>
          <w:rFonts w:ascii="Arial" w:hAnsi="Arial" w:cs="Arial"/>
          <w:bCs/>
          <w:sz w:val="24"/>
          <w:szCs w:val="24"/>
        </w:rPr>
        <w:t xml:space="preserve">En el mismo periodo se atendieron </w:t>
      </w:r>
      <w:r w:rsidR="00DF3C14" w:rsidRPr="00DF3C14">
        <w:rPr>
          <w:rFonts w:ascii="Arial" w:hAnsi="Arial" w:cs="Arial"/>
          <w:bCs/>
          <w:sz w:val="24"/>
          <w:szCs w:val="24"/>
        </w:rPr>
        <w:t>207 984</w:t>
      </w:r>
      <w:r w:rsidRPr="00DF3C14">
        <w:rPr>
          <w:rFonts w:ascii="Arial" w:hAnsi="Arial" w:cs="Arial"/>
          <w:bCs/>
          <w:sz w:val="24"/>
          <w:szCs w:val="24"/>
        </w:rPr>
        <w:t xml:space="preserve"> asuntos y servicios y se concluyeron </w:t>
      </w:r>
      <w:r w:rsidR="00DF3C14" w:rsidRPr="00DF3C14">
        <w:rPr>
          <w:rFonts w:ascii="Arial" w:hAnsi="Arial" w:cs="Arial"/>
          <w:bCs/>
          <w:sz w:val="24"/>
          <w:szCs w:val="24"/>
        </w:rPr>
        <w:t>70 882</w:t>
      </w:r>
      <w:r w:rsidR="006F5A19">
        <w:rPr>
          <w:rFonts w:ascii="Arial" w:hAnsi="Arial" w:cs="Arial"/>
          <w:bCs/>
          <w:sz w:val="24"/>
          <w:szCs w:val="24"/>
        </w:rPr>
        <w:t xml:space="preserve">; </w:t>
      </w:r>
      <w:r w:rsidR="00DF3C14">
        <w:rPr>
          <w:rFonts w:ascii="Arial" w:hAnsi="Arial" w:cs="Arial"/>
          <w:bCs/>
          <w:sz w:val="24"/>
          <w:szCs w:val="24"/>
        </w:rPr>
        <w:t xml:space="preserve">en </w:t>
      </w:r>
      <w:r w:rsidR="00DF3C14" w:rsidRPr="003A24D2">
        <w:rPr>
          <w:rFonts w:ascii="Arial" w:hAnsi="Arial" w:cs="Arial"/>
          <w:bCs/>
          <w:sz w:val="24"/>
          <w:szCs w:val="24"/>
        </w:rPr>
        <w:t>comparación con 2019,</w:t>
      </w:r>
      <w:r w:rsidR="006F5A19">
        <w:rPr>
          <w:rFonts w:ascii="Arial" w:hAnsi="Arial" w:cs="Arial"/>
          <w:bCs/>
          <w:sz w:val="24"/>
          <w:szCs w:val="24"/>
        </w:rPr>
        <w:t xml:space="preserve"> estas cifras</w:t>
      </w:r>
      <w:r w:rsidR="00DF3C14" w:rsidRPr="003A24D2">
        <w:rPr>
          <w:rFonts w:ascii="Arial" w:hAnsi="Arial" w:cs="Arial"/>
          <w:bCs/>
          <w:sz w:val="24"/>
          <w:szCs w:val="24"/>
        </w:rPr>
        <w:t xml:space="preserve"> present</w:t>
      </w:r>
      <w:r w:rsidR="006F5A19">
        <w:rPr>
          <w:rFonts w:ascii="Arial" w:hAnsi="Arial" w:cs="Arial"/>
          <w:bCs/>
          <w:sz w:val="24"/>
          <w:szCs w:val="24"/>
        </w:rPr>
        <w:t>aron</w:t>
      </w:r>
      <w:r w:rsidR="00DF3C14" w:rsidRPr="003A24D2">
        <w:rPr>
          <w:rFonts w:ascii="Arial" w:hAnsi="Arial" w:cs="Arial"/>
          <w:bCs/>
          <w:sz w:val="24"/>
          <w:szCs w:val="24"/>
        </w:rPr>
        <w:t xml:space="preserve"> una disminución de 41.8% y 38.8%, respectivamente. </w:t>
      </w:r>
      <w:r w:rsidRPr="003A24D2">
        <w:rPr>
          <w:rFonts w:ascii="Arial" w:hAnsi="Arial" w:cs="Arial"/>
          <w:bCs/>
          <w:sz w:val="24"/>
          <w:szCs w:val="24"/>
        </w:rPr>
        <w:t>En</w:t>
      </w:r>
      <w:r w:rsidR="003C6AAC" w:rsidRPr="003A24D2">
        <w:rPr>
          <w:rFonts w:ascii="Arial" w:hAnsi="Arial" w:cs="Arial"/>
          <w:bCs/>
          <w:sz w:val="24"/>
          <w:szCs w:val="24"/>
        </w:rPr>
        <w:t xml:space="preserve"> los asuntos y servicios</w:t>
      </w:r>
      <w:r w:rsidRPr="003A24D2">
        <w:rPr>
          <w:rFonts w:ascii="Arial" w:hAnsi="Arial" w:cs="Arial"/>
          <w:bCs/>
          <w:sz w:val="24"/>
          <w:szCs w:val="24"/>
        </w:rPr>
        <w:t xml:space="preserve"> estuvieron involucradas </w:t>
      </w:r>
      <w:r w:rsidR="00F51551" w:rsidRPr="003A24D2">
        <w:rPr>
          <w:rFonts w:ascii="Arial" w:hAnsi="Arial" w:cs="Arial"/>
          <w:bCs/>
          <w:sz w:val="24"/>
          <w:szCs w:val="24"/>
        </w:rPr>
        <w:t xml:space="preserve">201 709 </w:t>
      </w:r>
      <w:r w:rsidRPr="003A24D2">
        <w:rPr>
          <w:rFonts w:ascii="Arial" w:hAnsi="Arial" w:cs="Arial"/>
          <w:bCs/>
          <w:sz w:val="24"/>
          <w:szCs w:val="24"/>
        </w:rPr>
        <w:t>personas</w:t>
      </w:r>
      <w:r w:rsidRPr="003A24D2">
        <w:rPr>
          <w:rStyle w:val="Refdenotaalpie"/>
          <w:rFonts w:ascii="Arial" w:hAnsi="Arial" w:cs="Arial"/>
          <w:bCs/>
          <w:sz w:val="24"/>
          <w:szCs w:val="24"/>
        </w:rPr>
        <w:footnoteReference w:id="11"/>
      </w:r>
      <w:r w:rsidRPr="003A24D2">
        <w:rPr>
          <w:rFonts w:ascii="Arial" w:hAnsi="Arial" w:cs="Arial"/>
          <w:bCs/>
          <w:sz w:val="24"/>
          <w:szCs w:val="24"/>
        </w:rPr>
        <w:t>, de las cuales</w:t>
      </w:r>
      <w:r w:rsidR="000105DC">
        <w:rPr>
          <w:rFonts w:ascii="Arial" w:hAnsi="Arial" w:cs="Arial"/>
          <w:bCs/>
          <w:sz w:val="24"/>
          <w:szCs w:val="24"/>
        </w:rPr>
        <w:t>,</w:t>
      </w:r>
      <w:r w:rsidRPr="003A24D2">
        <w:rPr>
          <w:rFonts w:ascii="Arial" w:hAnsi="Arial" w:cs="Arial"/>
          <w:bCs/>
          <w:sz w:val="24"/>
          <w:szCs w:val="24"/>
        </w:rPr>
        <w:t xml:space="preserve"> </w:t>
      </w:r>
      <w:r w:rsidR="003A24D2" w:rsidRPr="003A24D2">
        <w:rPr>
          <w:rFonts w:ascii="Arial" w:hAnsi="Arial" w:cs="Arial"/>
          <w:bCs/>
          <w:sz w:val="24"/>
          <w:szCs w:val="24"/>
        </w:rPr>
        <w:t>32.3% eran hombres, 22.0% mujeres y en 45.7% no se especificó el sexo.</w:t>
      </w:r>
    </w:p>
    <w:p w14:paraId="2D22949A" w14:textId="1E36C464" w:rsidR="00BA310C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3618DFFC" w14:textId="77777777" w:rsidR="003A24D2" w:rsidRPr="000E5724" w:rsidRDefault="003A24D2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22AB9F94" w14:textId="65BCEE96" w:rsidR="00BA310C" w:rsidRPr="00DF3C14" w:rsidRDefault="00BA310C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</w:rPr>
      </w:pPr>
      <w:r w:rsidRPr="00DF3C14">
        <w:rPr>
          <w:b/>
          <w:bCs/>
          <w:i/>
          <w:iCs/>
          <w:color w:val="414C1C"/>
          <w:sz w:val="18"/>
        </w:rPr>
        <w:t xml:space="preserve">Gráfica </w:t>
      </w:r>
      <w:r w:rsidR="00506F79" w:rsidRPr="00DF3C14">
        <w:rPr>
          <w:b/>
          <w:bCs/>
          <w:i/>
          <w:iCs/>
          <w:color w:val="414C1C"/>
          <w:sz w:val="18"/>
        </w:rPr>
        <w:t>1</w:t>
      </w:r>
      <w:r w:rsidR="00A12AB9">
        <w:rPr>
          <w:b/>
          <w:bCs/>
          <w:i/>
          <w:iCs/>
          <w:color w:val="414C1C"/>
          <w:sz w:val="18"/>
        </w:rPr>
        <w:t>2</w:t>
      </w:r>
      <w:r w:rsidRPr="00DF3C14">
        <w:rPr>
          <w:b/>
          <w:bCs/>
          <w:i/>
          <w:iCs/>
          <w:color w:val="414C1C"/>
          <w:sz w:val="18"/>
        </w:rPr>
        <w:t>.</w:t>
      </w:r>
      <w:r w:rsidRPr="00DF3C14">
        <w:rPr>
          <w:sz w:val="22"/>
        </w:rPr>
        <w:t xml:space="preserve"> </w:t>
      </w:r>
      <w:r w:rsidRPr="00DF3C14">
        <w:rPr>
          <w:b/>
          <w:bCs/>
          <w:i/>
          <w:iCs/>
          <w:color w:val="414C1C"/>
          <w:sz w:val="18"/>
        </w:rPr>
        <w:t>Asuntos y servicios conocidos por los defensores públicos y asesores jurídicos,</w:t>
      </w:r>
    </w:p>
    <w:p w14:paraId="2D15BD1E" w14:textId="0892BCBE" w:rsidR="00BA310C" w:rsidRPr="00DF3C14" w:rsidRDefault="00BA310C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</w:rPr>
      </w:pPr>
      <w:r w:rsidRPr="00DF3C14">
        <w:rPr>
          <w:b/>
          <w:bCs/>
          <w:i/>
          <w:iCs/>
          <w:color w:val="414C1C"/>
          <w:sz w:val="18"/>
        </w:rPr>
        <w:t xml:space="preserve"> por estatus, 2019</w:t>
      </w:r>
      <w:r w:rsidR="00DF3C14" w:rsidRPr="00DF3C14">
        <w:rPr>
          <w:b/>
          <w:bCs/>
          <w:i/>
          <w:iCs/>
          <w:color w:val="414C1C"/>
          <w:sz w:val="18"/>
        </w:rPr>
        <w:t xml:space="preserve"> a 2020</w:t>
      </w:r>
      <w:r w:rsidRPr="00DF3C14">
        <w:rPr>
          <w:b/>
          <w:bCs/>
          <w:i/>
          <w:iCs/>
          <w:color w:val="414C1C"/>
          <w:sz w:val="18"/>
        </w:rPr>
        <w:t xml:space="preserve"> </w:t>
      </w:r>
    </w:p>
    <w:p w14:paraId="36050543" w14:textId="77777777" w:rsidR="00BA310C" w:rsidRPr="000E5724" w:rsidRDefault="00BA310C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472C4" w:themeColor="accent1"/>
          <w:sz w:val="18"/>
          <w:highlight w:val="yellow"/>
        </w:rPr>
      </w:pPr>
    </w:p>
    <w:p w14:paraId="79A79B40" w14:textId="4D5EB0F9" w:rsidR="00BA310C" w:rsidRPr="000E5724" w:rsidRDefault="00506F79" w:rsidP="00BA310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44B8278F" wp14:editId="46F88EF9">
            <wp:extent cx="5166995" cy="1844703"/>
            <wp:effectExtent l="0" t="0" r="0" b="317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F1480A8-160F-423E-B5D2-36776B5EB0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43C54F57" w14:textId="42518366" w:rsidR="00BA310C" w:rsidRPr="003A24D2" w:rsidRDefault="00BA310C" w:rsidP="005778C8">
      <w:pPr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 w:rsidRPr="003A24D2">
        <w:rPr>
          <w:rFonts w:ascii="Arial" w:hAnsi="Arial" w:cs="Arial"/>
          <w:b/>
          <w:bCs/>
          <w:sz w:val="24"/>
          <w:szCs w:val="24"/>
        </w:rPr>
        <w:lastRenderedPageBreak/>
        <w:t>Impartición de justicia</w:t>
      </w:r>
    </w:p>
    <w:p w14:paraId="1FBA0AF7" w14:textId="4A650002" w:rsidR="00BA310C" w:rsidRPr="003A24D2" w:rsidRDefault="00C7381F" w:rsidP="00BA310C">
      <w:pPr>
        <w:spacing w:after="0"/>
        <w:ind w:left="-567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Asuntos </w:t>
      </w:r>
      <w:r>
        <w:rPr>
          <w:rFonts w:ascii="Arial" w:hAnsi="Arial" w:cs="Arial"/>
          <w:b/>
          <w:bCs/>
          <w:i/>
          <w:sz w:val="24"/>
          <w:szCs w:val="24"/>
        </w:rPr>
        <w:t>i</w:t>
      </w:r>
      <w:r w:rsidR="00BA310C" w:rsidRPr="003A24D2">
        <w:rPr>
          <w:rFonts w:ascii="Arial" w:hAnsi="Arial" w:cs="Arial"/>
          <w:b/>
          <w:bCs/>
          <w:i/>
          <w:sz w:val="24"/>
          <w:szCs w:val="24"/>
        </w:rPr>
        <w:t>ngresados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y concluidos</w:t>
      </w:r>
    </w:p>
    <w:p w14:paraId="3F43644C" w14:textId="77777777" w:rsidR="00BA310C" w:rsidRPr="000E4FA4" w:rsidRDefault="00BA310C" w:rsidP="00BA310C">
      <w:pPr>
        <w:spacing w:after="0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AB43CF4" w14:textId="752A8B87" w:rsidR="000105DC" w:rsidRDefault="00BA310C" w:rsidP="005512B3">
      <w:pPr>
        <w:spacing w:after="0"/>
        <w:ind w:left="-567"/>
        <w:jc w:val="both"/>
        <w:rPr>
          <w:rFonts w:ascii="Arial" w:hAnsi="Arial" w:cs="Arial"/>
          <w:spacing w:val="-2"/>
          <w:sz w:val="24"/>
          <w:szCs w:val="24"/>
        </w:rPr>
      </w:pPr>
      <w:r w:rsidRPr="000E4FA4">
        <w:rPr>
          <w:rFonts w:ascii="Arial" w:hAnsi="Arial" w:cs="Arial"/>
          <w:sz w:val="24"/>
          <w:szCs w:val="24"/>
        </w:rPr>
        <w:t>D</w:t>
      </w:r>
      <w:r w:rsidRPr="000E4FA4">
        <w:rPr>
          <w:rFonts w:ascii="Arial" w:hAnsi="Arial" w:cs="Arial"/>
          <w:spacing w:val="-2"/>
          <w:sz w:val="24"/>
          <w:szCs w:val="24"/>
        </w:rPr>
        <w:t>urante 20</w:t>
      </w:r>
      <w:r w:rsidR="003A24D2" w:rsidRPr="000E4FA4">
        <w:rPr>
          <w:rFonts w:ascii="Arial" w:hAnsi="Arial" w:cs="Arial"/>
          <w:spacing w:val="-2"/>
          <w:sz w:val="24"/>
          <w:szCs w:val="24"/>
        </w:rPr>
        <w:t>20</w:t>
      </w:r>
      <w:r w:rsidRPr="000E4FA4">
        <w:rPr>
          <w:rFonts w:ascii="Arial" w:hAnsi="Arial" w:cs="Arial"/>
          <w:spacing w:val="-2"/>
          <w:sz w:val="24"/>
          <w:szCs w:val="24"/>
        </w:rPr>
        <w:t xml:space="preserve">, </w:t>
      </w:r>
      <w:r w:rsidR="00C7381F">
        <w:rPr>
          <w:rFonts w:ascii="Arial" w:hAnsi="Arial" w:cs="Arial"/>
          <w:spacing w:val="-2"/>
          <w:sz w:val="24"/>
          <w:szCs w:val="24"/>
        </w:rPr>
        <w:t xml:space="preserve">a nivel nacional </w:t>
      </w:r>
      <w:r w:rsidRPr="000E4FA4">
        <w:rPr>
          <w:rFonts w:ascii="Arial" w:hAnsi="Arial" w:cs="Arial"/>
          <w:spacing w:val="-2"/>
          <w:sz w:val="24"/>
          <w:szCs w:val="24"/>
        </w:rPr>
        <w:t xml:space="preserve">se reportaron </w:t>
      </w:r>
      <w:r w:rsidR="000E4FA4" w:rsidRPr="000E4FA4">
        <w:rPr>
          <w:rFonts w:ascii="Arial" w:hAnsi="Arial" w:cs="Arial"/>
          <w:spacing w:val="-2"/>
          <w:sz w:val="24"/>
          <w:szCs w:val="24"/>
        </w:rPr>
        <w:t xml:space="preserve">1 577 327 </w:t>
      </w:r>
      <w:r w:rsidR="001100A7" w:rsidRPr="000E4FA4">
        <w:rPr>
          <w:rFonts w:ascii="Arial" w:hAnsi="Arial" w:cs="Arial"/>
          <w:spacing w:val="-2"/>
          <w:sz w:val="24"/>
          <w:szCs w:val="24"/>
        </w:rPr>
        <w:t>asuntos</w:t>
      </w:r>
      <w:r w:rsidRPr="000E4FA4">
        <w:rPr>
          <w:rFonts w:ascii="Arial" w:hAnsi="Arial" w:cs="Arial"/>
          <w:spacing w:val="-2"/>
          <w:sz w:val="24"/>
          <w:szCs w:val="24"/>
        </w:rPr>
        <w:t xml:space="preserve"> ingresados </w:t>
      </w:r>
      <w:r w:rsidR="00C7381F">
        <w:rPr>
          <w:rFonts w:ascii="Arial" w:hAnsi="Arial" w:cs="Arial"/>
          <w:spacing w:val="-2"/>
          <w:sz w:val="24"/>
          <w:szCs w:val="24"/>
        </w:rPr>
        <w:t>y</w:t>
      </w:r>
      <w:r w:rsidR="00325C46">
        <w:rPr>
          <w:rFonts w:ascii="Arial" w:hAnsi="Arial" w:cs="Arial"/>
          <w:spacing w:val="-2"/>
          <w:sz w:val="24"/>
          <w:szCs w:val="24"/>
        </w:rPr>
        <w:t xml:space="preserve"> 871 054</w:t>
      </w:r>
      <w:r w:rsidR="00C7381F">
        <w:rPr>
          <w:rFonts w:ascii="Arial" w:hAnsi="Arial" w:cs="Arial"/>
          <w:spacing w:val="-2"/>
          <w:sz w:val="24"/>
          <w:szCs w:val="24"/>
        </w:rPr>
        <w:t xml:space="preserve"> concluidos</w:t>
      </w:r>
      <w:r w:rsidR="00325C46">
        <w:rPr>
          <w:rStyle w:val="Refdenotaalpie"/>
          <w:rFonts w:ascii="Arial" w:hAnsi="Arial" w:cs="Arial"/>
          <w:spacing w:val="-2"/>
          <w:sz w:val="24"/>
          <w:szCs w:val="24"/>
        </w:rPr>
        <w:footnoteReference w:id="12"/>
      </w:r>
      <w:r w:rsidR="00C7381F">
        <w:rPr>
          <w:rFonts w:ascii="Arial" w:hAnsi="Arial" w:cs="Arial"/>
          <w:spacing w:val="-2"/>
          <w:sz w:val="24"/>
          <w:szCs w:val="24"/>
        </w:rPr>
        <w:t xml:space="preserve"> por</w:t>
      </w:r>
      <w:r w:rsidRPr="000E4FA4">
        <w:rPr>
          <w:rFonts w:ascii="Arial" w:hAnsi="Arial" w:cs="Arial"/>
          <w:spacing w:val="-2"/>
          <w:sz w:val="24"/>
          <w:szCs w:val="24"/>
        </w:rPr>
        <w:t xml:space="preserve"> los órganos jurisdiccionales de los </w:t>
      </w:r>
      <w:r w:rsidR="00040B38" w:rsidRPr="000E4FA4">
        <w:rPr>
          <w:rFonts w:ascii="Arial" w:hAnsi="Arial" w:cs="Arial"/>
          <w:spacing w:val="-2"/>
          <w:sz w:val="24"/>
          <w:szCs w:val="24"/>
        </w:rPr>
        <w:t>poderes judiciales estatales</w:t>
      </w:r>
      <w:r w:rsidR="00E1253C" w:rsidRPr="000E4FA4">
        <w:rPr>
          <w:rFonts w:ascii="Arial" w:hAnsi="Arial" w:cs="Arial"/>
          <w:spacing w:val="-2"/>
          <w:sz w:val="24"/>
          <w:szCs w:val="24"/>
        </w:rPr>
        <w:t xml:space="preserve"> en todas las materias</w:t>
      </w:r>
      <w:r w:rsidR="00C303DB" w:rsidRPr="000E4FA4">
        <w:rPr>
          <w:rFonts w:ascii="Arial" w:hAnsi="Arial" w:cs="Arial"/>
          <w:spacing w:val="-2"/>
          <w:sz w:val="24"/>
          <w:szCs w:val="24"/>
        </w:rPr>
        <w:t xml:space="preserve">. </w:t>
      </w:r>
      <w:r w:rsidR="000105DC">
        <w:rPr>
          <w:rFonts w:ascii="Arial" w:hAnsi="Arial" w:cs="Arial"/>
          <w:spacing w:val="-2"/>
          <w:sz w:val="24"/>
          <w:szCs w:val="24"/>
        </w:rPr>
        <w:t xml:space="preserve">En comparación con 2019, </w:t>
      </w:r>
      <w:r w:rsidR="00C7381F">
        <w:rPr>
          <w:rFonts w:ascii="Arial" w:hAnsi="Arial" w:cs="Arial"/>
          <w:spacing w:val="-2"/>
          <w:sz w:val="24"/>
          <w:szCs w:val="24"/>
        </w:rPr>
        <w:t>se observa</w:t>
      </w:r>
      <w:r w:rsidR="000105DC">
        <w:rPr>
          <w:rFonts w:ascii="Arial" w:hAnsi="Arial" w:cs="Arial"/>
          <w:spacing w:val="-2"/>
          <w:sz w:val="24"/>
          <w:szCs w:val="24"/>
        </w:rPr>
        <w:t xml:space="preserve"> una disminución de 30.8% en la cantidad total de asuntos ingresados </w:t>
      </w:r>
      <w:r w:rsidR="00C7381F">
        <w:rPr>
          <w:rFonts w:ascii="Arial" w:hAnsi="Arial" w:cs="Arial"/>
          <w:spacing w:val="-2"/>
          <w:sz w:val="24"/>
          <w:szCs w:val="24"/>
        </w:rPr>
        <w:t xml:space="preserve">y una disminución de </w:t>
      </w:r>
      <w:r w:rsidR="00325C46">
        <w:rPr>
          <w:rFonts w:ascii="Arial" w:hAnsi="Arial" w:cs="Arial"/>
          <w:spacing w:val="-2"/>
          <w:sz w:val="24"/>
          <w:szCs w:val="24"/>
        </w:rPr>
        <w:t>34.6</w:t>
      </w:r>
      <w:r w:rsidR="00C7381F">
        <w:rPr>
          <w:rFonts w:ascii="Arial" w:hAnsi="Arial" w:cs="Arial"/>
          <w:spacing w:val="-2"/>
          <w:sz w:val="24"/>
          <w:szCs w:val="24"/>
        </w:rPr>
        <w:t>% en los asuntos concluidos</w:t>
      </w:r>
      <w:r w:rsidR="000105DC">
        <w:rPr>
          <w:rFonts w:ascii="Arial" w:hAnsi="Arial" w:cs="Arial"/>
          <w:spacing w:val="-2"/>
          <w:sz w:val="24"/>
          <w:szCs w:val="24"/>
        </w:rPr>
        <w:t>.</w:t>
      </w:r>
    </w:p>
    <w:p w14:paraId="1D45EB4E" w14:textId="77777777" w:rsidR="005512B3" w:rsidRDefault="005512B3" w:rsidP="005512B3">
      <w:pPr>
        <w:spacing w:after="0"/>
        <w:ind w:left="-567"/>
        <w:jc w:val="both"/>
        <w:rPr>
          <w:rFonts w:ascii="Arial" w:hAnsi="Arial" w:cs="Arial"/>
          <w:spacing w:val="-2"/>
          <w:sz w:val="24"/>
          <w:szCs w:val="24"/>
        </w:rPr>
      </w:pPr>
    </w:p>
    <w:p w14:paraId="37B5DCE1" w14:textId="77777777" w:rsidR="005512B3" w:rsidRPr="005512B3" w:rsidRDefault="005512B3" w:rsidP="005512B3">
      <w:pPr>
        <w:spacing w:after="0"/>
        <w:ind w:left="-567"/>
        <w:jc w:val="both"/>
        <w:rPr>
          <w:rFonts w:ascii="Arial" w:hAnsi="Arial" w:cs="Arial"/>
          <w:spacing w:val="-2"/>
          <w:sz w:val="2"/>
          <w:szCs w:val="2"/>
        </w:rPr>
      </w:pPr>
    </w:p>
    <w:p w14:paraId="680F84F4" w14:textId="2A16EFA1" w:rsidR="00C7381F" w:rsidRPr="007303B8" w:rsidRDefault="00C7381F" w:rsidP="00C7381F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</w:rPr>
      </w:pPr>
      <w:r w:rsidRPr="007303B8">
        <w:rPr>
          <w:b/>
          <w:bCs/>
          <w:i/>
          <w:iCs/>
          <w:color w:val="414C1C"/>
          <w:sz w:val="18"/>
        </w:rPr>
        <w:t>Gráfica 1</w:t>
      </w:r>
      <w:r w:rsidR="00A12AB9">
        <w:rPr>
          <w:b/>
          <w:bCs/>
          <w:i/>
          <w:iCs/>
          <w:color w:val="414C1C"/>
          <w:sz w:val="18"/>
        </w:rPr>
        <w:t>3</w:t>
      </w:r>
      <w:r w:rsidRPr="007303B8">
        <w:rPr>
          <w:b/>
          <w:bCs/>
          <w:i/>
          <w:iCs/>
          <w:color w:val="414C1C"/>
          <w:sz w:val="18"/>
        </w:rPr>
        <w:t xml:space="preserve">. Asuntos </w:t>
      </w:r>
      <w:r>
        <w:rPr>
          <w:b/>
          <w:bCs/>
          <w:i/>
          <w:iCs/>
          <w:color w:val="414C1C"/>
          <w:sz w:val="18"/>
        </w:rPr>
        <w:t>ingresados y concluidos</w:t>
      </w:r>
      <w:r w:rsidRPr="007303B8">
        <w:rPr>
          <w:b/>
          <w:bCs/>
          <w:i/>
          <w:iCs/>
          <w:color w:val="414C1C"/>
          <w:sz w:val="18"/>
        </w:rPr>
        <w:t>, 201</w:t>
      </w:r>
      <w:r w:rsidR="0054163D">
        <w:rPr>
          <w:b/>
          <w:bCs/>
          <w:i/>
          <w:iCs/>
          <w:color w:val="414C1C"/>
          <w:sz w:val="18"/>
        </w:rPr>
        <w:t>1</w:t>
      </w:r>
      <w:r w:rsidRPr="007303B8">
        <w:rPr>
          <w:b/>
          <w:bCs/>
          <w:i/>
          <w:iCs/>
          <w:color w:val="414C1C"/>
          <w:sz w:val="18"/>
        </w:rPr>
        <w:t xml:space="preserve"> a 2020</w:t>
      </w:r>
    </w:p>
    <w:p w14:paraId="4CA100BD" w14:textId="7E78102B" w:rsidR="000105DC" w:rsidRDefault="0054163D" w:rsidP="00BA310C">
      <w:pPr>
        <w:ind w:left="-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noProof/>
        </w:rPr>
        <w:drawing>
          <wp:inline distT="0" distB="0" distL="0" distR="0" wp14:anchorId="5F114917" wp14:editId="6F6D2F31">
            <wp:extent cx="6236335" cy="2001328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8036330A-AE64-45DB-A296-82855D705F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551172C6" w14:textId="77777777" w:rsidR="00325C46" w:rsidRPr="005512B3" w:rsidRDefault="00325C46" w:rsidP="00BA310C">
      <w:pPr>
        <w:ind w:left="-567"/>
        <w:jc w:val="both"/>
        <w:rPr>
          <w:rFonts w:ascii="Arial" w:hAnsi="Arial" w:cs="Arial"/>
          <w:spacing w:val="-2"/>
          <w:sz w:val="12"/>
          <w:szCs w:val="12"/>
        </w:rPr>
      </w:pPr>
    </w:p>
    <w:p w14:paraId="176B84CA" w14:textId="160EC66A" w:rsidR="00BA310C" w:rsidRPr="00254AFF" w:rsidRDefault="00C303DB" w:rsidP="00BA310C">
      <w:pPr>
        <w:ind w:left="-567"/>
        <w:jc w:val="both"/>
        <w:rPr>
          <w:rFonts w:ascii="Arial" w:hAnsi="Arial" w:cs="Arial"/>
          <w:spacing w:val="-6"/>
          <w:sz w:val="24"/>
          <w:szCs w:val="24"/>
        </w:rPr>
      </w:pPr>
      <w:r w:rsidRPr="00254AFF">
        <w:rPr>
          <w:rFonts w:ascii="Arial" w:hAnsi="Arial" w:cs="Arial"/>
          <w:spacing w:val="-6"/>
          <w:sz w:val="24"/>
          <w:szCs w:val="24"/>
        </w:rPr>
        <w:t>D</w:t>
      </w:r>
      <w:r w:rsidR="00BA310C" w:rsidRPr="00254AFF">
        <w:rPr>
          <w:rFonts w:ascii="Arial" w:hAnsi="Arial" w:cs="Arial"/>
          <w:spacing w:val="-6"/>
          <w:sz w:val="24"/>
          <w:szCs w:val="24"/>
        </w:rPr>
        <w:t>e</w:t>
      </w:r>
      <w:r w:rsidR="00C7381F" w:rsidRPr="00254AFF">
        <w:rPr>
          <w:rFonts w:ascii="Arial" w:hAnsi="Arial" w:cs="Arial"/>
          <w:spacing w:val="-6"/>
          <w:sz w:val="24"/>
          <w:szCs w:val="24"/>
        </w:rPr>
        <w:t>l total de asuntos ingresados</w:t>
      </w:r>
      <w:r w:rsidR="00BA310C" w:rsidRPr="00254AFF">
        <w:rPr>
          <w:rFonts w:ascii="Arial" w:hAnsi="Arial" w:cs="Arial"/>
          <w:spacing w:val="-6"/>
          <w:sz w:val="24"/>
          <w:szCs w:val="24"/>
        </w:rPr>
        <w:t>,</w:t>
      </w:r>
      <w:r w:rsidR="007303B8" w:rsidRPr="00254AFF">
        <w:rPr>
          <w:rFonts w:ascii="Arial" w:hAnsi="Arial" w:cs="Arial"/>
          <w:spacing w:val="-6"/>
          <w:sz w:val="24"/>
          <w:szCs w:val="24"/>
        </w:rPr>
        <w:t xml:space="preserve"> </w:t>
      </w:r>
      <w:r w:rsidR="005F0CE2" w:rsidRPr="00254AFF">
        <w:rPr>
          <w:rFonts w:ascii="Arial" w:hAnsi="Arial" w:cs="Arial"/>
          <w:spacing w:val="-6"/>
          <w:sz w:val="24"/>
          <w:szCs w:val="24"/>
        </w:rPr>
        <w:t>38.7% correspondió a la materia familiar, seguida de la materia civil con 25.3%</w:t>
      </w:r>
      <w:r w:rsidR="002B2CCE" w:rsidRPr="00254AFF">
        <w:rPr>
          <w:rFonts w:ascii="Arial" w:hAnsi="Arial" w:cs="Arial"/>
          <w:spacing w:val="-6"/>
          <w:sz w:val="24"/>
          <w:szCs w:val="24"/>
        </w:rPr>
        <w:t xml:space="preserve"> y mercantil con 22.2%, </w:t>
      </w:r>
      <w:r w:rsidR="00BA310C" w:rsidRPr="00254AFF">
        <w:rPr>
          <w:rFonts w:ascii="Arial" w:hAnsi="Arial" w:cs="Arial"/>
          <w:spacing w:val="-6"/>
          <w:sz w:val="24"/>
          <w:szCs w:val="24"/>
        </w:rPr>
        <w:t xml:space="preserve">mientras que </w:t>
      </w:r>
      <w:r w:rsidR="007303B8" w:rsidRPr="00254AFF">
        <w:rPr>
          <w:rFonts w:ascii="Arial" w:hAnsi="Arial" w:cs="Arial"/>
          <w:spacing w:val="-6"/>
          <w:sz w:val="24"/>
          <w:szCs w:val="24"/>
        </w:rPr>
        <w:t xml:space="preserve">10.9% (172 066) </w:t>
      </w:r>
      <w:r w:rsidR="00EC03A1" w:rsidRPr="00254AFF">
        <w:rPr>
          <w:rFonts w:ascii="Arial" w:hAnsi="Arial" w:cs="Arial"/>
          <w:spacing w:val="-6"/>
          <w:sz w:val="24"/>
          <w:szCs w:val="24"/>
        </w:rPr>
        <w:t>correspondió</w:t>
      </w:r>
      <w:r w:rsidR="00BA310C" w:rsidRPr="00254AFF">
        <w:rPr>
          <w:rFonts w:ascii="Arial" w:hAnsi="Arial" w:cs="Arial"/>
          <w:spacing w:val="-6"/>
          <w:sz w:val="24"/>
          <w:szCs w:val="24"/>
        </w:rPr>
        <w:t xml:space="preserve"> a causas penales (</w:t>
      </w:r>
      <w:r w:rsidR="00EC03A1" w:rsidRPr="00254AFF">
        <w:rPr>
          <w:rFonts w:ascii="Arial" w:hAnsi="Arial" w:cs="Arial"/>
          <w:spacing w:val="-6"/>
          <w:sz w:val="24"/>
          <w:szCs w:val="24"/>
        </w:rPr>
        <w:t>materia penal y justicia para adolescentes</w:t>
      </w:r>
      <w:r w:rsidR="00BA310C" w:rsidRPr="00254AFF">
        <w:rPr>
          <w:rFonts w:ascii="Arial" w:hAnsi="Arial" w:cs="Arial"/>
          <w:spacing w:val="-6"/>
          <w:sz w:val="24"/>
          <w:szCs w:val="24"/>
        </w:rPr>
        <w:t xml:space="preserve">). </w:t>
      </w:r>
      <w:r w:rsidR="00EB635C" w:rsidRPr="00254AFF">
        <w:rPr>
          <w:rFonts w:ascii="Arial" w:hAnsi="Arial" w:cs="Arial"/>
          <w:spacing w:val="-6"/>
          <w:sz w:val="24"/>
          <w:szCs w:val="24"/>
        </w:rPr>
        <w:t>Para los asuntos concluidos</w:t>
      </w:r>
      <w:r w:rsidR="00DE5988" w:rsidRPr="00254AFF">
        <w:rPr>
          <w:rFonts w:ascii="Arial" w:hAnsi="Arial" w:cs="Arial"/>
          <w:spacing w:val="-6"/>
          <w:sz w:val="24"/>
          <w:szCs w:val="24"/>
        </w:rPr>
        <w:t>, l</w:t>
      </w:r>
      <w:r w:rsidR="00BA310C" w:rsidRPr="00254AFF">
        <w:rPr>
          <w:rFonts w:ascii="Arial" w:hAnsi="Arial" w:cs="Arial"/>
          <w:spacing w:val="-6"/>
          <w:sz w:val="24"/>
          <w:szCs w:val="24"/>
        </w:rPr>
        <w:t xml:space="preserve">a mayoría de los expedientes se registró en materia familiar con </w:t>
      </w:r>
      <w:r w:rsidR="00DE5988" w:rsidRPr="00254AFF">
        <w:rPr>
          <w:rFonts w:ascii="Arial" w:hAnsi="Arial" w:cs="Arial"/>
          <w:spacing w:val="-6"/>
          <w:sz w:val="24"/>
          <w:szCs w:val="24"/>
        </w:rPr>
        <w:t>34.3</w:t>
      </w:r>
      <w:r w:rsidR="00BA310C" w:rsidRPr="00254AFF">
        <w:rPr>
          <w:rFonts w:ascii="Arial" w:hAnsi="Arial" w:cs="Arial"/>
          <w:spacing w:val="-6"/>
          <w:sz w:val="24"/>
          <w:szCs w:val="24"/>
        </w:rPr>
        <w:t xml:space="preserve">%, seguida de la materia </w:t>
      </w:r>
      <w:r w:rsidR="002B2CCE" w:rsidRPr="00254AFF">
        <w:rPr>
          <w:rFonts w:ascii="Arial" w:hAnsi="Arial" w:cs="Arial"/>
          <w:spacing w:val="-6"/>
          <w:sz w:val="24"/>
          <w:szCs w:val="24"/>
        </w:rPr>
        <w:t>mercantil con 26.9%</w:t>
      </w:r>
      <w:r w:rsidR="00254AFF">
        <w:rPr>
          <w:rFonts w:ascii="Arial" w:hAnsi="Arial" w:cs="Arial"/>
          <w:spacing w:val="-6"/>
          <w:sz w:val="24"/>
          <w:szCs w:val="24"/>
        </w:rPr>
        <w:t xml:space="preserve"> </w:t>
      </w:r>
      <w:r w:rsidR="002B2CCE" w:rsidRPr="00254AFF">
        <w:rPr>
          <w:rFonts w:ascii="Arial" w:hAnsi="Arial" w:cs="Arial"/>
          <w:spacing w:val="-6"/>
          <w:sz w:val="24"/>
          <w:szCs w:val="24"/>
        </w:rPr>
        <w:t xml:space="preserve">y la materia </w:t>
      </w:r>
      <w:r w:rsidR="00BA310C" w:rsidRPr="00254AFF">
        <w:rPr>
          <w:rFonts w:ascii="Arial" w:hAnsi="Arial" w:cs="Arial"/>
          <w:spacing w:val="-6"/>
          <w:sz w:val="24"/>
          <w:szCs w:val="24"/>
        </w:rPr>
        <w:t xml:space="preserve">civil con </w:t>
      </w:r>
      <w:r w:rsidR="00DE5988" w:rsidRPr="00254AFF">
        <w:rPr>
          <w:rFonts w:ascii="Arial" w:hAnsi="Arial" w:cs="Arial"/>
          <w:spacing w:val="-6"/>
          <w:sz w:val="24"/>
          <w:szCs w:val="24"/>
        </w:rPr>
        <w:t>23.2</w:t>
      </w:r>
      <w:r w:rsidR="002B2CCE" w:rsidRPr="00254AFF">
        <w:rPr>
          <w:rFonts w:ascii="Arial" w:hAnsi="Arial" w:cs="Arial"/>
          <w:spacing w:val="-6"/>
          <w:sz w:val="24"/>
          <w:szCs w:val="24"/>
        </w:rPr>
        <w:t>%, en tanto que para las causas penales el porcentaje fue de 12.5</w:t>
      </w:r>
      <w:r w:rsidR="00BA310C" w:rsidRPr="00254AFF">
        <w:rPr>
          <w:rFonts w:ascii="Arial" w:hAnsi="Arial" w:cs="Arial"/>
          <w:spacing w:val="-6"/>
          <w:sz w:val="24"/>
          <w:szCs w:val="24"/>
        </w:rPr>
        <w:t>.</w:t>
      </w:r>
      <w:r w:rsidR="007303B8" w:rsidRPr="00254AFF">
        <w:rPr>
          <w:rFonts w:ascii="Arial" w:hAnsi="Arial" w:cs="Arial"/>
          <w:spacing w:val="-6"/>
          <w:sz w:val="24"/>
          <w:szCs w:val="24"/>
        </w:rPr>
        <w:t xml:space="preserve"> </w:t>
      </w:r>
    </w:p>
    <w:p w14:paraId="74BF9CF4" w14:textId="77777777" w:rsidR="00527D84" w:rsidRDefault="00527D84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</w:rPr>
      </w:pPr>
    </w:p>
    <w:p w14:paraId="1AFCBFA6" w14:textId="4074DD0D" w:rsidR="00BA310C" w:rsidRDefault="00BA310C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</w:rPr>
      </w:pPr>
      <w:r w:rsidRPr="007303B8">
        <w:rPr>
          <w:b/>
          <w:bCs/>
          <w:i/>
          <w:iCs/>
          <w:color w:val="414C1C"/>
          <w:sz w:val="18"/>
        </w:rPr>
        <w:t>Gráfica 1</w:t>
      </w:r>
      <w:r w:rsidR="00A12AB9">
        <w:rPr>
          <w:b/>
          <w:bCs/>
          <w:i/>
          <w:iCs/>
          <w:color w:val="414C1C"/>
          <w:sz w:val="18"/>
        </w:rPr>
        <w:t>4</w:t>
      </w:r>
      <w:r w:rsidRPr="007303B8">
        <w:rPr>
          <w:b/>
          <w:bCs/>
          <w:i/>
          <w:iCs/>
          <w:color w:val="414C1C"/>
          <w:sz w:val="18"/>
        </w:rPr>
        <w:t>.</w:t>
      </w:r>
      <w:r w:rsidR="007303B8" w:rsidRPr="007303B8">
        <w:rPr>
          <w:b/>
          <w:bCs/>
          <w:i/>
          <w:iCs/>
          <w:color w:val="414C1C"/>
          <w:sz w:val="18"/>
        </w:rPr>
        <w:t xml:space="preserve"> A</w:t>
      </w:r>
      <w:r w:rsidR="00E96987" w:rsidRPr="007303B8">
        <w:rPr>
          <w:b/>
          <w:bCs/>
          <w:i/>
          <w:iCs/>
          <w:color w:val="414C1C"/>
          <w:sz w:val="18"/>
        </w:rPr>
        <w:t>suntos</w:t>
      </w:r>
      <w:r w:rsidRPr="007303B8">
        <w:rPr>
          <w:b/>
          <w:bCs/>
          <w:i/>
          <w:iCs/>
          <w:color w:val="414C1C"/>
          <w:sz w:val="18"/>
        </w:rPr>
        <w:t xml:space="preserve"> ingresados </w:t>
      </w:r>
      <w:r w:rsidR="00EB635C">
        <w:rPr>
          <w:b/>
          <w:bCs/>
          <w:i/>
          <w:iCs/>
          <w:color w:val="414C1C"/>
          <w:sz w:val="18"/>
        </w:rPr>
        <w:t>y concluidos por</w:t>
      </w:r>
      <w:r w:rsidRPr="007303B8">
        <w:rPr>
          <w:b/>
          <w:bCs/>
          <w:i/>
          <w:iCs/>
          <w:color w:val="414C1C"/>
          <w:sz w:val="18"/>
        </w:rPr>
        <w:t xml:space="preserve"> los órganos jurisdiccionales, por materia, </w:t>
      </w:r>
      <w:r w:rsidR="007303B8" w:rsidRPr="007303B8">
        <w:rPr>
          <w:b/>
          <w:bCs/>
          <w:i/>
          <w:iCs/>
          <w:color w:val="414C1C"/>
          <w:sz w:val="18"/>
        </w:rPr>
        <w:t>2020</w:t>
      </w:r>
    </w:p>
    <w:p w14:paraId="7E73F53A" w14:textId="0C49F961" w:rsidR="00325C46" w:rsidRDefault="00325C46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</w:rPr>
      </w:pPr>
    </w:p>
    <w:p w14:paraId="3ECEB088" w14:textId="44FC71B9" w:rsidR="00325C46" w:rsidRDefault="00325C46" w:rsidP="00325C46">
      <w:pPr>
        <w:pStyle w:val="Default"/>
        <w:spacing w:after="10"/>
        <w:ind w:left="-284" w:right="709"/>
        <w:jc w:val="center"/>
        <w:rPr>
          <w:b/>
          <w:bCs/>
          <w:i/>
          <w:iCs/>
          <w:color w:val="414C1C"/>
          <w:sz w:val="18"/>
        </w:rPr>
      </w:pPr>
      <w:r>
        <w:rPr>
          <w:noProof/>
        </w:rPr>
        <w:drawing>
          <wp:inline distT="0" distB="0" distL="0" distR="0" wp14:anchorId="23A3ACA3" wp14:editId="3E24D8F9">
            <wp:extent cx="6127115" cy="1781175"/>
            <wp:effectExtent l="0" t="0" r="6985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822A3E3D-FECA-4700-8950-42178DD2A4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565D2539" w14:textId="46F2D4D5" w:rsidR="00BA310C" w:rsidRPr="009774EA" w:rsidRDefault="00BA310C" w:rsidP="009774EA">
      <w:pPr>
        <w:ind w:left="-284"/>
        <w:jc w:val="center"/>
        <w:rPr>
          <w:b/>
          <w:bCs/>
          <w:i/>
          <w:iCs/>
          <w:sz w:val="20"/>
          <w:szCs w:val="20"/>
          <w:highlight w:val="yellow"/>
        </w:rPr>
      </w:pPr>
      <w:r w:rsidRPr="00461DC2">
        <w:rPr>
          <w:rFonts w:ascii="Arial" w:hAnsi="Arial" w:cs="Arial"/>
          <w:sz w:val="16"/>
          <w:szCs w:val="16"/>
        </w:rPr>
        <w:t xml:space="preserve">Nota: para los sistemas Penal Acusatorio e Integral de Justicia Penal para Adolescentes solo se incluyen las causas penales ingresadas en los </w:t>
      </w:r>
      <w:r w:rsidR="008768AA">
        <w:rPr>
          <w:rFonts w:ascii="Arial" w:hAnsi="Arial" w:cs="Arial"/>
          <w:sz w:val="16"/>
          <w:szCs w:val="16"/>
        </w:rPr>
        <w:t>j</w:t>
      </w:r>
      <w:r w:rsidR="008768AA" w:rsidRPr="00074A8D">
        <w:rPr>
          <w:rFonts w:ascii="Arial" w:hAnsi="Arial" w:cs="Arial"/>
          <w:sz w:val="16"/>
          <w:szCs w:val="16"/>
        </w:rPr>
        <w:t>uzgado</w:t>
      </w:r>
      <w:r w:rsidR="008768AA">
        <w:rPr>
          <w:rFonts w:ascii="Arial" w:hAnsi="Arial" w:cs="Arial"/>
          <w:sz w:val="16"/>
          <w:szCs w:val="16"/>
        </w:rPr>
        <w:t>s</w:t>
      </w:r>
      <w:r w:rsidR="008768AA" w:rsidRPr="00074A8D">
        <w:rPr>
          <w:rFonts w:ascii="Arial" w:hAnsi="Arial" w:cs="Arial"/>
          <w:sz w:val="16"/>
          <w:szCs w:val="16"/>
        </w:rPr>
        <w:t xml:space="preserve"> de </w:t>
      </w:r>
      <w:r w:rsidR="008768AA">
        <w:rPr>
          <w:rFonts w:ascii="Arial" w:hAnsi="Arial" w:cs="Arial"/>
          <w:sz w:val="16"/>
          <w:szCs w:val="16"/>
        </w:rPr>
        <w:t>c</w:t>
      </w:r>
      <w:r w:rsidR="008768AA" w:rsidRPr="00074A8D">
        <w:rPr>
          <w:rFonts w:ascii="Arial" w:hAnsi="Arial" w:cs="Arial"/>
          <w:sz w:val="16"/>
          <w:szCs w:val="16"/>
        </w:rPr>
        <w:t xml:space="preserve">ontrol </w:t>
      </w:r>
      <w:r w:rsidR="008768AA">
        <w:rPr>
          <w:rFonts w:ascii="Arial" w:hAnsi="Arial" w:cs="Arial"/>
          <w:sz w:val="16"/>
          <w:szCs w:val="16"/>
        </w:rPr>
        <w:t>o</w:t>
      </w:r>
      <w:r w:rsidR="008768AA" w:rsidRPr="00074A8D">
        <w:rPr>
          <w:rFonts w:ascii="Arial" w:hAnsi="Arial" w:cs="Arial"/>
          <w:sz w:val="16"/>
          <w:szCs w:val="16"/>
        </w:rPr>
        <w:t xml:space="preserve"> </w:t>
      </w:r>
      <w:r w:rsidR="008768AA">
        <w:rPr>
          <w:rFonts w:ascii="Arial" w:hAnsi="Arial" w:cs="Arial"/>
          <w:sz w:val="16"/>
          <w:szCs w:val="16"/>
        </w:rPr>
        <w:t>g</w:t>
      </w:r>
      <w:r w:rsidR="008768AA" w:rsidRPr="00074A8D">
        <w:rPr>
          <w:rFonts w:ascii="Arial" w:hAnsi="Arial" w:cs="Arial"/>
          <w:sz w:val="16"/>
          <w:szCs w:val="16"/>
        </w:rPr>
        <w:t>arantías</w:t>
      </w:r>
      <w:r w:rsidRPr="00461DC2">
        <w:rPr>
          <w:rFonts w:ascii="Arial" w:hAnsi="Arial" w:cs="Arial"/>
          <w:sz w:val="16"/>
          <w:szCs w:val="16"/>
        </w:rPr>
        <w:t xml:space="preserve">. Los ingresos </w:t>
      </w:r>
      <w:r w:rsidR="00461DC2" w:rsidRPr="00461DC2">
        <w:rPr>
          <w:rFonts w:ascii="Arial" w:hAnsi="Arial" w:cs="Arial"/>
          <w:sz w:val="16"/>
          <w:szCs w:val="16"/>
        </w:rPr>
        <w:t xml:space="preserve">para las materias penal y justicia para Adolescentes </w:t>
      </w:r>
      <w:r w:rsidRPr="00461DC2">
        <w:rPr>
          <w:rFonts w:ascii="Arial" w:hAnsi="Arial" w:cs="Arial"/>
          <w:sz w:val="16"/>
          <w:szCs w:val="16"/>
        </w:rPr>
        <w:t>solo consideran las causas penales y/o consignaciones competentes.</w:t>
      </w:r>
    </w:p>
    <w:p w14:paraId="12668CA4" w14:textId="77777777" w:rsidR="00EC6879" w:rsidRDefault="00EC6879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4EF8EEF0" w14:textId="26A4914A" w:rsidR="00CC4F8E" w:rsidRDefault="00CC4F8E" w:rsidP="00BA310C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entidad federativa, los </w:t>
      </w:r>
      <w:r w:rsidR="002C47D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oderes </w:t>
      </w:r>
      <w:r w:rsidR="002C47D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udiciales de la Ciudad de México y el estado de México concentraron </w:t>
      </w:r>
      <w:r w:rsidR="000C11A1">
        <w:rPr>
          <w:rFonts w:ascii="Arial" w:hAnsi="Arial" w:cs="Arial"/>
          <w:sz w:val="24"/>
          <w:szCs w:val="24"/>
        </w:rPr>
        <w:t>21.8%</w:t>
      </w:r>
      <w:r>
        <w:rPr>
          <w:rFonts w:ascii="Arial" w:hAnsi="Arial" w:cs="Arial"/>
          <w:sz w:val="24"/>
          <w:szCs w:val="24"/>
        </w:rPr>
        <w:t xml:space="preserve"> de los asuntos ingresados y </w:t>
      </w:r>
      <w:r w:rsidR="000C11A1">
        <w:rPr>
          <w:rFonts w:ascii="Arial" w:hAnsi="Arial" w:cs="Arial"/>
          <w:sz w:val="24"/>
          <w:szCs w:val="24"/>
        </w:rPr>
        <w:t>18.0</w:t>
      </w:r>
      <w:r>
        <w:rPr>
          <w:rFonts w:ascii="Arial" w:hAnsi="Arial" w:cs="Arial"/>
          <w:sz w:val="24"/>
          <w:szCs w:val="24"/>
        </w:rPr>
        <w:t xml:space="preserve">% de los asuntos concluidos. </w:t>
      </w:r>
    </w:p>
    <w:p w14:paraId="6525001B" w14:textId="2325D992" w:rsidR="00CC4F8E" w:rsidRDefault="00CC4F8E" w:rsidP="00CC4F8E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6"/>
          <w:szCs w:val="12"/>
        </w:rPr>
      </w:pPr>
    </w:p>
    <w:p w14:paraId="7E186A7C" w14:textId="09BA1CF3" w:rsidR="006E2726" w:rsidRDefault="006E2726" w:rsidP="00CC4F8E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6"/>
          <w:szCs w:val="12"/>
        </w:rPr>
      </w:pPr>
    </w:p>
    <w:p w14:paraId="43F53A2B" w14:textId="77777777" w:rsidR="006E2726" w:rsidRPr="00A12AB9" w:rsidRDefault="006E2726" w:rsidP="00CC4F8E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6"/>
          <w:szCs w:val="12"/>
        </w:rPr>
      </w:pPr>
    </w:p>
    <w:p w14:paraId="5781FAEB" w14:textId="6844BD9D" w:rsidR="00CC4F8E" w:rsidRDefault="00CC4F8E" w:rsidP="00CC4F8E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</w:rPr>
      </w:pPr>
      <w:r>
        <w:rPr>
          <w:b/>
          <w:bCs/>
          <w:i/>
          <w:iCs/>
          <w:color w:val="414C1C"/>
          <w:sz w:val="18"/>
        </w:rPr>
        <w:t>Cuadro</w:t>
      </w:r>
      <w:r w:rsidRPr="007303B8">
        <w:rPr>
          <w:b/>
          <w:bCs/>
          <w:i/>
          <w:iCs/>
          <w:color w:val="414C1C"/>
          <w:sz w:val="18"/>
        </w:rPr>
        <w:t xml:space="preserve"> </w:t>
      </w:r>
      <w:r w:rsidR="000C11A1">
        <w:rPr>
          <w:b/>
          <w:bCs/>
          <w:i/>
          <w:iCs/>
          <w:color w:val="414C1C"/>
          <w:sz w:val="18"/>
        </w:rPr>
        <w:t>2</w:t>
      </w:r>
      <w:r w:rsidRPr="007303B8">
        <w:rPr>
          <w:b/>
          <w:bCs/>
          <w:i/>
          <w:iCs/>
          <w:color w:val="414C1C"/>
          <w:sz w:val="18"/>
        </w:rPr>
        <w:t xml:space="preserve">. Asuntos ingresados </w:t>
      </w:r>
      <w:r>
        <w:rPr>
          <w:b/>
          <w:bCs/>
          <w:i/>
          <w:iCs/>
          <w:color w:val="414C1C"/>
          <w:sz w:val="18"/>
        </w:rPr>
        <w:t>y concluidos por</w:t>
      </w:r>
      <w:r w:rsidRPr="007303B8">
        <w:rPr>
          <w:b/>
          <w:bCs/>
          <w:i/>
          <w:iCs/>
          <w:color w:val="414C1C"/>
          <w:sz w:val="18"/>
        </w:rPr>
        <w:t xml:space="preserve"> los órganos jurisdiccionales, por </w:t>
      </w:r>
      <w:r>
        <w:rPr>
          <w:b/>
          <w:bCs/>
          <w:i/>
          <w:iCs/>
          <w:color w:val="414C1C"/>
          <w:sz w:val="18"/>
        </w:rPr>
        <w:t>entidad</w:t>
      </w:r>
      <w:r w:rsidR="00A12AB9">
        <w:rPr>
          <w:b/>
          <w:bCs/>
          <w:i/>
          <w:iCs/>
          <w:color w:val="414C1C"/>
          <w:sz w:val="18"/>
        </w:rPr>
        <w:t xml:space="preserve"> f</w:t>
      </w:r>
      <w:r>
        <w:rPr>
          <w:b/>
          <w:bCs/>
          <w:i/>
          <w:iCs/>
          <w:color w:val="414C1C"/>
          <w:sz w:val="18"/>
        </w:rPr>
        <w:t>ederativa</w:t>
      </w:r>
      <w:r w:rsidRPr="007303B8">
        <w:rPr>
          <w:b/>
          <w:bCs/>
          <w:i/>
          <w:iCs/>
          <w:color w:val="414C1C"/>
          <w:sz w:val="18"/>
        </w:rPr>
        <w:t>, 2020</w:t>
      </w:r>
    </w:p>
    <w:p w14:paraId="2035A5C9" w14:textId="31C55DB0" w:rsidR="000C11A1" w:rsidRDefault="000C11A1" w:rsidP="00CC4F8E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</w:rPr>
      </w:pPr>
    </w:p>
    <w:p w14:paraId="7BA7E926" w14:textId="77777777" w:rsidR="006E2726" w:rsidRPr="007303B8" w:rsidRDefault="006E2726" w:rsidP="00CC4F8E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</w:rPr>
      </w:pPr>
    </w:p>
    <w:tbl>
      <w:tblPr>
        <w:tblW w:w="5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1812"/>
        <w:gridCol w:w="1812"/>
      </w:tblGrid>
      <w:tr w:rsidR="000C11A1" w:rsidRPr="000C11A1" w14:paraId="15A5226B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vAlign w:val="center"/>
            <w:hideMark/>
          </w:tcPr>
          <w:p w14:paraId="79AE8130" w14:textId="148A183A" w:rsidR="000C11A1" w:rsidRPr="00A12AB9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12AB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 xml:space="preserve">Entidad </w:t>
            </w:r>
            <w:r w:rsidRPr="00A12AB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federativa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369F0F64" w14:textId="4C6B110A" w:rsidR="000C11A1" w:rsidRPr="00A12AB9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12AB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In</w:t>
            </w:r>
            <w:r w:rsidR="00341928" w:rsidRPr="00A12AB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gresados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0F1E3A09" w14:textId="65594342" w:rsidR="000C11A1" w:rsidRPr="00A12AB9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A12AB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Conclu</w:t>
            </w:r>
            <w:r w:rsidR="00341928" w:rsidRPr="00A12AB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idos</w:t>
            </w:r>
          </w:p>
        </w:tc>
      </w:tr>
      <w:tr w:rsidR="000C11A1" w:rsidRPr="000C11A1" w14:paraId="1FB03A75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7B2630B8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CDMX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F87C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185,580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676B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58,462</w:t>
            </w:r>
          </w:p>
        </w:tc>
      </w:tr>
      <w:tr w:rsidR="000C11A1" w:rsidRPr="000C11A1" w14:paraId="5D53F2B3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46BF6907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MEX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382D192B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159,020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352B687A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98,484</w:t>
            </w:r>
          </w:p>
        </w:tc>
      </w:tr>
      <w:tr w:rsidR="000C11A1" w:rsidRPr="000C11A1" w14:paraId="3A4FC11B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7892A9D2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GTO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D39A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139,494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8D98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105,129</w:t>
            </w:r>
          </w:p>
        </w:tc>
      </w:tr>
      <w:tr w:rsidR="000C11A1" w:rsidRPr="000C11A1" w14:paraId="6E693811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20B00E30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NL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1D1D1810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137,279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0030E260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116,573</w:t>
            </w:r>
          </w:p>
        </w:tc>
      </w:tr>
      <w:tr w:rsidR="000C11A1" w:rsidRPr="000C11A1" w14:paraId="0CB57A15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5598D10C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JAL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9EBC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99,629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8949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41,452</w:t>
            </w:r>
          </w:p>
        </w:tc>
      </w:tr>
      <w:tr w:rsidR="000C11A1" w:rsidRPr="000C11A1" w14:paraId="6C4D7003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291932D3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COAH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46BF8F29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61,039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3DE3EED0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31,221</w:t>
            </w:r>
          </w:p>
        </w:tc>
      </w:tr>
      <w:tr w:rsidR="000C11A1" w:rsidRPr="000C11A1" w14:paraId="6DAC525A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71CF03BF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QRO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9C84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59,263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3D9C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28,860</w:t>
            </w:r>
          </w:p>
        </w:tc>
      </w:tr>
      <w:tr w:rsidR="000C11A1" w:rsidRPr="000C11A1" w14:paraId="0061040B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06E027E2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BC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6066ACD7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58,314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5E01A698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24,889</w:t>
            </w:r>
          </w:p>
        </w:tc>
      </w:tr>
      <w:tr w:rsidR="000C11A1" w:rsidRPr="000C11A1" w14:paraId="0319F970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24E4BFE9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CHIH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2409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57,877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660D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46,494</w:t>
            </w:r>
          </w:p>
        </w:tc>
      </w:tr>
      <w:tr w:rsidR="000C11A1" w:rsidRPr="000C11A1" w14:paraId="5AF912C9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1682E2C8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VER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3642C2C3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53,691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3A3694D9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34,928</w:t>
            </w:r>
          </w:p>
        </w:tc>
      </w:tr>
      <w:tr w:rsidR="000C11A1" w:rsidRPr="000C11A1" w14:paraId="70FA76E4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20528D93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PUE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111A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46,114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DDFA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15,712</w:t>
            </w:r>
          </w:p>
        </w:tc>
      </w:tr>
      <w:tr w:rsidR="000C11A1" w:rsidRPr="000C11A1" w14:paraId="6B65393C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53AFF613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SON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20800A73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44,265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6B1DA58E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23,391</w:t>
            </w:r>
          </w:p>
        </w:tc>
      </w:tr>
      <w:tr w:rsidR="000C11A1" w:rsidRPr="000C11A1" w14:paraId="0F68B7EC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2551AE5B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TAMPS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A0C4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42,956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5286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28,973</w:t>
            </w:r>
          </w:p>
        </w:tc>
      </w:tr>
      <w:tr w:rsidR="000C11A1" w:rsidRPr="000C11A1" w14:paraId="6D29BB53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3F649906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HGO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114F4F2D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40,205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2A9D3C94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23,859</w:t>
            </w:r>
          </w:p>
        </w:tc>
      </w:tr>
      <w:tr w:rsidR="000C11A1" w:rsidRPr="000C11A1" w14:paraId="557C8D56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75045CE1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AGS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1C26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38,740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B3C0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25,428</w:t>
            </w:r>
          </w:p>
        </w:tc>
      </w:tr>
      <w:tr w:rsidR="000C11A1" w:rsidRPr="000C11A1" w14:paraId="1EC38DA0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26470C1D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MICH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0EA86F48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6EC1E037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24,107</w:t>
            </w:r>
          </w:p>
        </w:tc>
      </w:tr>
      <w:tr w:rsidR="000C11A1" w:rsidRPr="000C11A1" w14:paraId="05CC0FEE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4F1CFF7A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SIN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C8AF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34,642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A17D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26,108</w:t>
            </w:r>
          </w:p>
        </w:tc>
      </w:tr>
      <w:tr w:rsidR="000C11A1" w:rsidRPr="000C11A1" w14:paraId="11CCEC03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008BD6EF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DGO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0FC14E84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29,209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05EDE092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14,263</w:t>
            </w:r>
          </w:p>
        </w:tc>
      </w:tr>
      <w:tr w:rsidR="000C11A1" w:rsidRPr="000C11A1" w14:paraId="613AFE04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7D86FC4D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TAB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09ED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27,147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9333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5,495</w:t>
            </w:r>
          </w:p>
        </w:tc>
      </w:tr>
      <w:tr w:rsidR="000C11A1" w:rsidRPr="000C11A1" w14:paraId="63272AD6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2F2FCE46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CHIS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58091FB5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24,730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71123925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7,818</w:t>
            </w:r>
          </w:p>
        </w:tc>
      </w:tr>
      <w:tr w:rsidR="000C11A1" w:rsidRPr="000C11A1" w14:paraId="34B367C5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70A3513F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SLP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C13E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24,332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3BF8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9,649</w:t>
            </w:r>
          </w:p>
        </w:tc>
      </w:tr>
      <w:tr w:rsidR="000C11A1" w:rsidRPr="000C11A1" w14:paraId="3BD5F2EA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61A0BFC4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NAY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6EE99BD1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18,810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130B840F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4,800</w:t>
            </w:r>
          </w:p>
        </w:tc>
      </w:tr>
      <w:tr w:rsidR="000C11A1" w:rsidRPr="000C11A1" w14:paraId="3A85CC3A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19D4CF14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MOR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0477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06AD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8,475</w:t>
            </w:r>
          </w:p>
        </w:tc>
      </w:tr>
      <w:tr w:rsidR="000C11A1" w:rsidRPr="000C11A1" w14:paraId="3FDD9721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39F89B72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GRO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11703E1B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1A0B558C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6,246</w:t>
            </w:r>
          </w:p>
        </w:tc>
      </w:tr>
      <w:tr w:rsidR="000C11A1" w:rsidRPr="000C11A1" w14:paraId="3FF96C49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32FB9A77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ZAC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9A06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CD5E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11,703</w:t>
            </w:r>
          </w:p>
        </w:tc>
      </w:tr>
      <w:tr w:rsidR="000C11A1" w:rsidRPr="000C11A1" w14:paraId="2DF5D47C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5EBBFDE4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QROO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6D07F7B5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17,661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65B6B976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6,591</w:t>
            </w:r>
          </w:p>
        </w:tc>
      </w:tr>
      <w:tr w:rsidR="000C11A1" w:rsidRPr="000C11A1" w14:paraId="6D67C2A4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4AE5731C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YUC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DFBF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17,615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95C6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12,177</w:t>
            </w:r>
          </w:p>
        </w:tc>
      </w:tr>
      <w:tr w:rsidR="000C11A1" w:rsidRPr="000C11A1" w14:paraId="6C7867E3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40A2F534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COL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46A5ADD2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5D0A3AA3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5,933</w:t>
            </w:r>
          </w:p>
        </w:tc>
      </w:tr>
      <w:tr w:rsidR="000C11A1" w:rsidRPr="000C11A1" w14:paraId="33903831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62366626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OAX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B537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14,743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F106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2,235</w:t>
            </w:r>
          </w:p>
        </w:tc>
      </w:tr>
      <w:tr w:rsidR="000C11A1" w:rsidRPr="000C11A1" w14:paraId="30965233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3EC86E71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BCS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2A41B932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13,841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366A8C54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3,649</w:t>
            </w:r>
          </w:p>
        </w:tc>
      </w:tr>
      <w:tr w:rsidR="000C11A1" w:rsidRPr="000C11A1" w14:paraId="09A2E0C7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11DC46A5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CAMP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F2CB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13,473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4131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11,615</w:t>
            </w:r>
          </w:p>
        </w:tc>
      </w:tr>
      <w:tr w:rsidR="000C11A1" w:rsidRPr="000C11A1" w14:paraId="49EE95E3" w14:textId="77777777" w:rsidTr="00A12AB9">
        <w:trPr>
          <w:trHeight w:val="227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7053"/>
            <w:noWrap/>
            <w:vAlign w:val="center"/>
            <w:hideMark/>
          </w:tcPr>
          <w:p w14:paraId="4895DBF4" w14:textId="77777777" w:rsidR="000C11A1" w:rsidRPr="000C11A1" w:rsidRDefault="000C11A1" w:rsidP="000C11A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TLAX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3823F92E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BF9D"/>
            <w:noWrap/>
            <w:vAlign w:val="center"/>
            <w:hideMark/>
          </w:tcPr>
          <w:p w14:paraId="571B35DF" w14:textId="77777777" w:rsidR="000C11A1" w:rsidRPr="000C11A1" w:rsidRDefault="000C11A1" w:rsidP="000C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C11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6,335</w:t>
            </w:r>
          </w:p>
        </w:tc>
      </w:tr>
    </w:tbl>
    <w:p w14:paraId="3220708A" w14:textId="5EA3537D" w:rsidR="00CC4F8E" w:rsidRDefault="00CC4F8E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5B374C41" w14:textId="636CBD04" w:rsidR="00DC5E78" w:rsidRDefault="00DC5E78" w:rsidP="00CC4F8E">
      <w:pPr>
        <w:spacing w:after="0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5D9C220F" w14:textId="49D390F6" w:rsidR="00A12AB9" w:rsidRDefault="00A12AB9" w:rsidP="00CC4F8E">
      <w:pPr>
        <w:spacing w:after="0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546CFC57" w14:textId="741980AD" w:rsidR="00A12AB9" w:rsidRDefault="00A12AB9" w:rsidP="00CC4F8E">
      <w:pPr>
        <w:spacing w:after="0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116A5C58" w14:textId="38655A3C" w:rsidR="00A12AB9" w:rsidRDefault="00A12AB9" w:rsidP="00CC4F8E">
      <w:pPr>
        <w:spacing w:after="0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3438777" w14:textId="70B0A7A2" w:rsidR="00A12AB9" w:rsidRDefault="00A12AB9" w:rsidP="00CC4F8E">
      <w:pPr>
        <w:spacing w:after="0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41BF606" w14:textId="7FBA2DE6" w:rsidR="00A12AB9" w:rsidRDefault="00A12AB9" w:rsidP="00CC4F8E">
      <w:pPr>
        <w:spacing w:after="0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47FDC13" w14:textId="582A80C5" w:rsidR="00A12AB9" w:rsidRDefault="00A12AB9" w:rsidP="00CC4F8E">
      <w:pPr>
        <w:spacing w:after="0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719AE46C" w14:textId="5E3A01C9" w:rsidR="00A12AB9" w:rsidRDefault="00A12AB9" w:rsidP="00CC4F8E">
      <w:pPr>
        <w:spacing w:after="0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72637447" w14:textId="6C70B616" w:rsidR="00A12AB9" w:rsidRDefault="00A12AB9" w:rsidP="00CC4F8E">
      <w:pPr>
        <w:spacing w:after="0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96FF75E" w14:textId="77777777" w:rsidR="00154B9A" w:rsidRDefault="00154B9A" w:rsidP="00CC4F8E">
      <w:pPr>
        <w:spacing w:after="0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F74E10C" w14:textId="4F2C16B5" w:rsidR="00CC4F8E" w:rsidRPr="003A24D2" w:rsidRDefault="00CC4F8E" w:rsidP="00CC4F8E">
      <w:pPr>
        <w:spacing w:after="0"/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 w:rsidRPr="003A24D2">
        <w:rPr>
          <w:rFonts w:ascii="Arial" w:hAnsi="Arial" w:cs="Arial"/>
          <w:b/>
          <w:bCs/>
          <w:sz w:val="24"/>
          <w:szCs w:val="24"/>
        </w:rPr>
        <w:t>Impartición de justicia</w:t>
      </w:r>
      <w:r>
        <w:rPr>
          <w:rFonts w:ascii="Arial" w:hAnsi="Arial" w:cs="Arial"/>
          <w:b/>
          <w:bCs/>
          <w:sz w:val="24"/>
          <w:szCs w:val="24"/>
        </w:rPr>
        <w:t xml:space="preserve"> penal</w:t>
      </w:r>
    </w:p>
    <w:p w14:paraId="5A18064E" w14:textId="77777777" w:rsidR="00CC4F8E" w:rsidRDefault="00CC4F8E" w:rsidP="006E272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14:paraId="69FB69FC" w14:textId="04F6E5E6" w:rsidR="00CC4F8E" w:rsidRPr="00265533" w:rsidRDefault="00BA310C" w:rsidP="006E272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265533">
        <w:rPr>
          <w:rFonts w:ascii="Arial" w:hAnsi="Arial" w:cs="Arial"/>
          <w:sz w:val="24"/>
          <w:szCs w:val="24"/>
        </w:rPr>
        <w:t>De las</w:t>
      </w:r>
      <w:r w:rsidRPr="00265533">
        <w:t xml:space="preserve"> </w:t>
      </w:r>
      <w:r w:rsidR="00527D84" w:rsidRPr="00265533">
        <w:rPr>
          <w:rFonts w:ascii="Arial" w:hAnsi="Arial" w:cs="Arial"/>
          <w:sz w:val="24"/>
          <w:szCs w:val="24"/>
        </w:rPr>
        <w:t xml:space="preserve">172 066 </w:t>
      </w:r>
      <w:r w:rsidRPr="00265533">
        <w:rPr>
          <w:rFonts w:ascii="Arial" w:hAnsi="Arial" w:cs="Arial"/>
          <w:sz w:val="24"/>
          <w:szCs w:val="24"/>
        </w:rPr>
        <w:t>causas penales ingresadas</w:t>
      </w:r>
      <w:r w:rsidR="00CC4F8E" w:rsidRPr="00265533">
        <w:rPr>
          <w:rFonts w:ascii="Arial" w:hAnsi="Arial" w:cs="Arial"/>
          <w:sz w:val="24"/>
          <w:szCs w:val="24"/>
        </w:rPr>
        <w:t xml:space="preserve"> a nivel nacional durante 2020</w:t>
      </w:r>
      <w:r w:rsidRPr="00265533">
        <w:rPr>
          <w:rFonts w:ascii="Arial" w:hAnsi="Arial" w:cs="Arial"/>
          <w:sz w:val="24"/>
          <w:szCs w:val="24"/>
        </w:rPr>
        <w:t xml:space="preserve">, </w:t>
      </w:r>
      <w:r w:rsidR="00D167D3" w:rsidRPr="00265533">
        <w:rPr>
          <w:rFonts w:ascii="Arial" w:hAnsi="Arial" w:cs="Arial"/>
          <w:sz w:val="24"/>
          <w:szCs w:val="24"/>
        </w:rPr>
        <w:t>96.9</w:t>
      </w:r>
      <w:r w:rsidRPr="00265533">
        <w:rPr>
          <w:rFonts w:ascii="Arial" w:hAnsi="Arial" w:cs="Arial"/>
          <w:sz w:val="24"/>
          <w:szCs w:val="24"/>
        </w:rPr>
        <w:t>% (</w:t>
      </w:r>
      <w:r w:rsidR="00D167D3" w:rsidRPr="00265533">
        <w:rPr>
          <w:rFonts w:ascii="Arial" w:hAnsi="Arial" w:cs="Arial"/>
          <w:sz w:val="24"/>
          <w:szCs w:val="24"/>
        </w:rPr>
        <w:t>166 712</w:t>
      </w:r>
      <w:r w:rsidRPr="00265533">
        <w:rPr>
          <w:rFonts w:ascii="Arial" w:hAnsi="Arial" w:cs="Arial"/>
          <w:sz w:val="24"/>
          <w:szCs w:val="24"/>
        </w:rPr>
        <w:t xml:space="preserve">) correspondió a adultos y </w:t>
      </w:r>
      <w:r w:rsidR="00D167D3" w:rsidRPr="00265533">
        <w:rPr>
          <w:rFonts w:ascii="Arial" w:hAnsi="Arial" w:cs="Arial"/>
          <w:sz w:val="24"/>
          <w:szCs w:val="24"/>
        </w:rPr>
        <w:t>3.1</w:t>
      </w:r>
      <w:r w:rsidRPr="00265533">
        <w:rPr>
          <w:rFonts w:ascii="Arial" w:hAnsi="Arial" w:cs="Arial"/>
          <w:sz w:val="24"/>
          <w:szCs w:val="24"/>
        </w:rPr>
        <w:t>% (</w:t>
      </w:r>
      <w:r w:rsidR="00D167D3" w:rsidRPr="00265533">
        <w:rPr>
          <w:rFonts w:ascii="Arial" w:hAnsi="Arial" w:cs="Arial"/>
          <w:sz w:val="24"/>
          <w:szCs w:val="24"/>
        </w:rPr>
        <w:t>5 354</w:t>
      </w:r>
      <w:r w:rsidRPr="00265533">
        <w:rPr>
          <w:rFonts w:ascii="Arial" w:hAnsi="Arial" w:cs="Arial"/>
          <w:sz w:val="24"/>
          <w:szCs w:val="24"/>
        </w:rPr>
        <w:t xml:space="preserve">) a adolescentes. </w:t>
      </w:r>
      <w:r w:rsidR="00CC4F8E" w:rsidRPr="00265533">
        <w:rPr>
          <w:rFonts w:ascii="Arial" w:hAnsi="Arial" w:cs="Arial"/>
          <w:sz w:val="24"/>
          <w:szCs w:val="24"/>
        </w:rPr>
        <w:t xml:space="preserve">En contraste con 2019, el total de causas penales disminuyó 11.7% en 2020. En materia penal (adultos) se observa una disminución de 12.0%, mientras </w:t>
      </w:r>
      <w:proofErr w:type="gramStart"/>
      <w:r w:rsidR="00CC4F8E" w:rsidRPr="00265533">
        <w:rPr>
          <w:rFonts w:ascii="Arial" w:hAnsi="Arial" w:cs="Arial"/>
          <w:sz w:val="24"/>
          <w:szCs w:val="24"/>
        </w:rPr>
        <w:t>que</w:t>
      </w:r>
      <w:proofErr w:type="gramEnd"/>
      <w:r w:rsidR="00CC4F8E" w:rsidRPr="00265533">
        <w:rPr>
          <w:rFonts w:ascii="Arial" w:hAnsi="Arial" w:cs="Arial"/>
          <w:sz w:val="24"/>
          <w:szCs w:val="24"/>
        </w:rPr>
        <w:t xml:space="preserve"> en materia de justicia para adolescentes, la disminución fue de 1.6</w:t>
      </w:r>
      <w:r w:rsidR="00684BD7" w:rsidRPr="00265533">
        <w:rPr>
          <w:rFonts w:ascii="Arial" w:hAnsi="Arial" w:cs="Arial"/>
          <w:sz w:val="24"/>
          <w:szCs w:val="24"/>
        </w:rPr>
        <w:t xml:space="preserve"> por ciento</w:t>
      </w:r>
      <w:r w:rsidR="00CC4F8E" w:rsidRPr="00265533">
        <w:rPr>
          <w:rFonts w:ascii="Arial" w:hAnsi="Arial" w:cs="Arial"/>
          <w:sz w:val="24"/>
          <w:szCs w:val="24"/>
        </w:rPr>
        <w:t>.</w:t>
      </w:r>
    </w:p>
    <w:p w14:paraId="7235BF0D" w14:textId="45D1AECD" w:rsidR="006E2726" w:rsidRDefault="006E2726" w:rsidP="00CC4F8E">
      <w:pPr>
        <w:pStyle w:val="Default"/>
        <w:spacing w:after="10"/>
        <w:ind w:left="-567"/>
        <w:jc w:val="center"/>
        <w:rPr>
          <w:b/>
          <w:bCs/>
          <w:i/>
          <w:iCs/>
          <w:color w:val="414C1C"/>
          <w:sz w:val="18"/>
        </w:rPr>
      </w:pPr>
    </w:p>
    <w:p w14:paraId="182BD188" w14:textId="77777777" w:rsidR="00265533" w:rsidRDefault="00265533" w:rsidP="00CC4F8E">
      <w:pPr>
        <w:pStyle w:val="Default"/>
        <w:spacing w:after="10"/>
        <w:ind w:left="-567"/>
        <w:jc w:val="center"/>
        <w:rPr>
          <w:b/>
          <w:bCs/>
          <w:i/>
          <w:iCs/>
          <w:color w:val="414C1C"/>
          <w:sz w:val="18"/>
        </w:rPr>
      </w:pPr>
    </w:p>
    <w:p w14:paraId="39C0D285" w14:textId="4C3678A7" w:rsidR="00CC4F8E" w:rsidRDefault="00CC4F8E" w:rsidP="00CC4F8E">
      <w:pPr>
        <w:pStyle w:val="Default"/>
        <w:spacing w:after="10"/>
        <w:ind w:left="-567"/>
        <w:jc w:val="center"/>
        <w:rPr>
          <w:b/>
          <w:bCs/>
          <w:i/>
          <w:iCs/>
          <w:color w:val="414C1C"/>
          <w:sz w:val="18"/>
        </w:rPr>
      </w:pPr>
      <w:r w:rsidRPr="00001B48">
        <w:rPr>
          <w:b/>
          <w:bCs/>
          <w:i/>
          <w:iCs/>
          <w:color w:val="414C1C"/>
          <w:sz w:val="18"/>
        </w:rPr>
        <w:t>Gráfica 1</w:t>
      </w:r>
      <w:r w:rsidR="00A32C10">
        <w:rPr>
          <w:b/>
          <w:bCs/>
          <w:i/>
          <w:iCs/>
          <w:color w:val="414C1C"/>
          <w:sz w:val="18"/>
        </w:rPr>
        <w:t>5</w:t>
      </w:r>
      <w:r w:rsidRPr="00001B48">
        <w:rPr>
          <w:b/>
          <w:bCs/>
          <w:i/>
          <w:iCs/>
          <w:color w:val="414C1C"/>
          <w:sz w:val="18"/>
        </w:rPr>
        <w:t>.</w:t>
      </w:r>
      <w:r w:rsidRPr="00001B48">
        <w:rPr>
          <w:sz w:val="22"/>
        </w:rPr>
        <w:t xml:space="preserve"> </w:t>
      </w:r>
      <w:r>
        <w:rPr>
          <w:b/>
          <w:bCs/>
          <w:i/>
          <w:iCs/>
          <w:color w:val="414C1C"/>
          <w:sz w:val="18"/>
        </w:rPr>
        <w:t>C</w:t>
      </w:r>
      <w:r w:rsidRPr="00001B48">
        <w:rPr>
          <w:b/>
          <w:bCs/>
          <w:i/>
          <w:iCs/>
          <w:color w:val="414C1C"/>
          <w:sz w:val="18"/>
        </w:rPr>
        <w:t>ausas penales ingresadas</w:t>
      </w:r>
      <w:r>
        <w:rPr>
          <w:b/>
          <w:bCs/>
          <w:i/>
          <w:iCs/>
          <w:color w:val="414C1C"/>
          <w:sz w:val="18"/>
        </w:rPr>
        <w:t xml:space="preserve"> a los órganos jurisdiccionales de los poderes judiciales estatales</w:t>
      </w:r>
      <w:r w:rsidRPr="00001B48">
        <w:rPr>
          <w:b/>
          <w:bCs/>
          <w:i/>
          <w:iCs/>
          <w:color w:val="414C1C"/>
          <w:sz w:val="18"/>
        </w:rPr>
        <w:t xml:space="preserve">, </w:t>
      </w:r>
    </w:p>
    <w:p w14:paraId="35590F89" w14:textId="77777777" w:rsidR="00CC4F8E" w:rsidRDefault="00CC4F8E" w:rsidP="00CC4F8E">
      <w:pPr>
        <w:pStyle w:val="Default"/>
        <w:spacing w:after="10"/>
        <w:ind w:left="-567"/>
        <w:jc w:val="center"/>
        <w:rPr>
          <w:b/>
          <w:bCs/>
          <w:i/>
          <w:iCs/>
          <w:color w:val="414C1C"/>
          <w:sz w:val="18"/>
        </w:rPr>
      </w:pPr>
      <w:r>
        <w:rPr>
          <w:b/>
          <w:bCs/>
          <w:i/>
          <w:iCs/>
          <w:color w:val="414C1C"/>
          <w:sz w:val="18"/>
        </w:rPr>
        <w:t>2010 a 2020</w:t>
      </w:r>
    </w:p>
    <w:p w14:paraId="3B62DC1C" w14:textId="77777777" w:rsidR="00CC4F8E" w:rsidRDefault="00CC4F8E" w:rsidP="00CC4F8E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55CC771" wp14:editId="46433899">
            <wp:extent cx="6621145" cy="2881223"/>
            <wp:effectExtent l="0" t="0" r="8255" b="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33AD871A-8EE4-4B0B-A69C-BF221F7050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57E55081" w14:textId="77777777" w:rsidR="00265533" w:rsidRDefault="00265533" w:rsidP="00CC4F8E">
      <w:pPr>
        <w:ind w:left="-567"/>
        <w:jc w:val="center"/>
        <w:rPr>
          <w:rFonts w:ascii="Arial" w:hAnsi="Arial" w:cs="Arial"/>
          <w:sz w:val="16"/>
          <w:szCs w:val="16"/>
        </w:rPr>
      </w:pPr>
    </w:p>
    <w:p w14:paraId="5AA2DF49" w14:textId="1BDF12EA" w:rsidR="00CC4F8E" w:rsidRDefault="00CC4F8E" w:rsidP="00CC4F8E">
      <w:pPr>
        <w:ind w:left="-567"/>
        <w:jc w:val="center"/>
        <w:rPr>
          <w:rFonts w:ascii="Arial" w:hAnsi="Arial" w:cs="Arial"/>
          <w:sz w:val="16"/>
          <w:szCs w:val="16"/>
        </w:rPr>
      </w:pPr>
      <w:r w:rsidRPr="00074A8D">
        <w:rPr>
          <w:rFonts w:ascii="Arial" w:hAnsi="Arial" w:cs="Arial"/>
          <w:sz w:val="16"/>
          <w:szCs w:val="16"/>
        </w:rPr>
        <w:t>Nota: en materia penal (adultos) se incluye el Sistema Tradicional y Sistema Penal Acusatorio (</w:t>
      </w:r>
      <w:r>
        <w:rPr>
          <w:rFonts w:ascii="Arial" w:hAnsi="Arial" w:cs="Arial"/>
          <w:sz w:val="16"/>
          <w:szCs w:val="16"/>
        </w:rPr>
        <w:t>j</w:t>
      </w:r>
      <w:r w:rsidRPr="00074A8D">
        <w:rPr>
          <w:rFonts w:ascii="Arial" w:hAnsi="Arial" w:cs="Arial"/>
          <w:sz w:val="16"/>
          <w:szCs w:val="16"/>
        </w:rPr>
        <w:t>uzgado</w:t>
      </w:r>
      <w:r>
        <w:rPr>
          <w:rFonts w:ascii="Arial" w:hAnsi="Arial" w:cs="Arial"/>
          <w:sz w:val="16"/>
          <w:szCs w:val="16"/>
        </w:rPr>
        <w:t>s</w:t>
      </w:r>
      <w:r w:rsidRPr="00074A8D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c</w:t>
      </w:r>
      <w:r w:rsidRPr="00074A8D">
        <w:rPr>
          <w:rFonts w:ascii="Arial" w:hAnsi="Arial" w:cs="Arial"/>
          <w:sz w:val="16"/>
          <w:szCs w:val="16"/>
        </w:rPr>
        <w:t xml:space="preserve">ontrol </w:t>
      </w:r>
      <w:r>
        <w:rPr>
          <w:rFonts w:ascii="Arial" w:hAnsi="Arial" w:cs="Arial"/>
          <w:sz w:val="16"/>
          <w:szCs w:val="16"/>
        </w:rPr>
        <w:t>o</w:t>
      </w:r>
      <w:r w:rsidRPr="00074A8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</w:t>
      </w:r>
      <w:r w:rsidRPr="00074A8D">
        <w:rPr>
          <w:rFonts w:ascii="Arial" w:hAnsi="Arial" w:cs="Arial"/>
          <w:sz w:val="16"/>
          <w:szCs w:val="16"/>
        </w:rPr>
        <w:t>arantías), en materia de justicia para adolescentes se incluye el Sistema Escrito o Mixto y Sistema Oral, así como el Sistema Integral de Justicia Penal para Adolescentes (</w:t>
      </w:r>
      <w:r>
        <w:rPr>
          <w:rFonts w:ascii="Arial" w:hAnsi="Arial" w:cs="Arial"/>
          <w:sz w:val="16"/>
          <w:szCs w:val="16"/>
        </w:rPr>
        <w:t>j</w:t>
      </w:r>
      <w:r w:rsidRPr="00074A8D">
        <w:rPr>
          <w:rFonts w:ascii="Arial" w:hAnsi="Arial" w:cs="Arial"/>
          <w:sz w:val="16"/>
          <w:szCs w:val="16"/>
        </w:rPr>
        <w:t>uzgado</w:t>
      </w:r>
      <w:r>
        <w:rPr>
          <w:rFonts w:ascii="Arial" w:hAnsi="Arial" w:cs="Arial"/>
          <w:sz w:val="16"/>
          <w:szCs w:val="16"/>
        </w:rPr>
        <w:t>s</w:t>
      </w:r>
      <w:r w:rsidRPr="00074A8D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c</w:t>
      </w:r>
      <w:r w:rsidRPr="00074A8D">
        <w:rPr>
          <w:rFonts w:ascii="Arial" w:hAnsi="Arial" w:cs="Arial"/>
          <w:sz w:val="16"/>
          <w:szCs w:val="16"/>
        </w:rPr>
        <w:t xml:space="preserve">ontrol </w:t>
      </w:r>
      <w:r>
        <w:rPr>
          <w:rFonts w:ascii="Arial" w:hAnsi="Arial" w:cs="Arial"/>
          <w:sz w:val="16"/>
          <w:szCs w:val="16"/>
        </w:rPr>
        <w:t>o</w:t>
      </w:r>
      <w:r w:rsidRPr="00074A8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</w:t>
      </w:r>
      <w:r w:rsidRPr="00074A8D">
        <w:rPr>
          <w:rFonts w:ascii="Arial" w:hAnsi="Arial" w:cs="Arial"/>
          <w:sz w:val="16"/>
          <w:szCs w:val="16"/>
        </w:rPr>
        <w:t>arantías).</w:t>
      </w:r>
    </w:p>
    <w:p w14:paraId="229CC43D" w14:textId="77777777" w:rsidR="00265533" w:rsidRDefault="00265533" w:rsidP="00CC4F8E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5AF28265" w14:textId="77777777" w:rsidR="00265533" w:rsidRDefault="00265533" w:rsidP="00CC4F8E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0F68AACD" w14:textId="77777777" w:rsidR="00265533" w:rsidRDefault="00265533" w:rsidP="00CC4F8E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21A24847" w14:textId="77777777" w:rsidR="00265533" w:rsidRDefault="00265533" w:rsidP="00CC4F8E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5BB4AD37" w14:textId="77777777" w:rsidR="00265533" w:rsidRDefault="00265533" w:rsidP="00CC4F8E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0E7D8FCE" w14:textId="77777777" w:rsidR="00265533" w:rsidRDefault="00265533" w:rsidP="00CC4F8E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359321CE" w14:textId="77777777" w:rsidR="00265533" w:rsidRDefault="00265533" w:rsidP="00CC4F8E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448B69EC" w14:textId="77777777" w:rsidR="00265533" w:rsidRDefault="00265533" w:rsidP="00CC4F8E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3804EE00" w14:textId="77777777" w:rsidR="00265533" w:rsidRDefault="00265533" w:rsidP="00CC4F8E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0530447C" w14:textId="77777777" w:rsidR="00265533" w:rsidRDefault="00265533" w:rsidP="00CC4F8E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4AD495DD" w14:textId="733A92DC" w:rsidR="00940395" w:rsidRDefault="00D74052" w:rsidP="00CC4F8E">
      <w:pPr>
        <w:ind w:left="-567"/>
        <w:jc w:val="both"/>
        <w:rPr>
          <w:rFonts w:ascii="Arial" w:hAnsi="Arial" w:cs="Arial"/>
          <w:sz w:val="24"/>
          <w:szCs w:val="24"/>
        </w:rPr>
      </w:pPr>
      <w:r w:rsidRPr="00D74052">
        <w:rPr>
          <w:rFonts w:ascii="Arial" w:hAnsi="Arial" w:cs="Arial"/>
          <w:sz w:val="24"/>
          <w:szCs w:val="24"/>
        </w:rPr>
        <w:lastRenderedPageBreak/>
        <w:t>La distribución por entidad federativa muestra que</w:t>
      </w:r>
      <w:r>
        <w:rPr>
          <w:rFonts w:ascii="Arial" w:hAnsi="Arial" w:cs="Arial"/>
          <w:sz w:val="24"/>
          <w:szCs w:val="24"/>
        </w:rPr>
        <w:t xml:space="preserve"> la </w:t>
      </w:r>
      <w:r w:rsidR="00BA310C" w:rsidRPr="00940395">
        <w:rPr>
          <w:rFonts w:ascii="Arial" w:hAnsi="Arial" w:cs="Arial"/>
          <w:sz w:val="24"/>
          <w:szCs w:val="24"/>
        </w:rPr>
        <w:t xml:space="preserve">Ciudad de México concentró la mayor cantidad con </w:t>
      </w:r>
      <w:r w:rsidR="00940395" w:rsidRPr="00940395">
        <w:rPr>
          <w:rFonts w:ascii="Arial" w:hAnsi="Arial" w:cs="Arial"/>
          <w:sz w:val="24"/>
          <w:szCs w:val="24"/>
        </w:rPr>
        <w:t>20</w:t>
      </w:r>
      <w:r w:rsidR="009906D1">
        <w:rPr>
          <w:rFonts w:ascii="Arial" w:hAnsi="Arial" w:cs="Arial"/>
          <w:sz w:val="24"/>
          <w:szCs w:val="24"/>
        </w:rPr>
        <w:t xml:space="preserve"> </w:t>
      </w:r>
      <w:r w:rsidR="00940395" w:rsidRPr="00940395">
        <w:rPr>
          <w:rFonts w:ascii="Arial" w:hAnsi="Arial" w:cs="Arial"/>
          <w:sz w:val="24"/>
          <w:szCs w:val="24"/>
        </w:rPr>
        <w:t>280</w:t>
      </w:r>
      <w:r w:rsidR="00BA310C" w:rsidRPr="00940395">
        <w:rPr>
          <w:rFonts w:ascii="Arial" w:hAnsi="Arial" w:cs="Arial"/>
          <w:sz w:val="24"/>
          <w:szCs w:val="24"/>
        </w:rPr>
        <w:t xml:space="preserve">. </w:t>
      </w:r>
    </w:p>
    <w:p w14:paraId="1959BC47" w14:textId="77777777" w:rsidR="00265533" w:rsidRDefault="00940395" w:rsidP="006E2726">
      <w:pPr>
        <w:pStyle w:val="Default"/>
        <w:spacing w:after="10"/>
        <w:ind w:left="-567" w:right="-518"/>
        <w:jc w:val="center"/>
        <w:rPr>
          <w:b/>
          <w:bCs/>
          <w:i/>
          <w:iCs/>
          <w:color w:val="414C1C"/>
          <w:sz w:val="18"/>
        </w:rPr>
      </w:pPr>
      <w:r w:rsidRPr="00940395">
        <w:rPr>
          <w:b/>
          <w:bCs/>
          <w:i/>
          <w:iCs/>
          <w:color w:val="414C1C"/>
          <w:sz w:val="18"/>
          <w:szCs w:val="18"/>
        </w:rPr>
        <w:t xml:space="preserve">Mapa 2. </w:t>
      </w:r>
      <w:r w:rsidR="00BA310C" w:rsidRPr="00940395">
        <w:rPr>
          <w:b/>
          <w:bCs/>
          <w:i/>
          <w:iCs/>
          <w:color w:val="414C1C"/>
          <w:sz w:val="18"/>
        </w:rPr>
        <w:t>Causas penales ingresadas a los órganos jurisdiccionales</w:t>
      </w:r>
      <w:r w:rsidR="00785E0F">
        <w:rPr>
          <w:b/>
          <w:bCs/>
          <w:i/>
          <w:iCs/>
          <w:color w:val="414C1C"/>
          <w:sz w:val="18"/>
        </w:rPr>
        <w:t xml:space="preserve"> </w:t>
      </w:r>
    </w:p>
    <w:p w14:paraId="55EA1038" w14:textId="2298B687" w:rsidR="00940395" w:rsidRDefault="00785E0F" w:rsidP="006E2726">
      <w:pPr>
        <w:pStyle w:val="Default"/>
        <w:spacing w:after="10"/>
        <w:ind w:left="-567" w:right="-518"/>
        <w:jc w:val="center"/>
        <w:rPr>
          <w:b/>
          <w:bCs/>
          <w:i/>
          <w:iCs/>
          <w:color w:val="414C1C"/>
          <w:sz w:val="18"/>
        </w:rPr>
      </w:pPr>
      <w:r>
        <w:rPr>
          <w:b/>
          <w:bCs/>
          <w:i/>
          <w:iCs/>
          <w:color w:val="414C1C"/>
          <w:sz w:val="18"/>
        </w:rPr>
        <w:t>de los poderes judiciales estatales</w:t>
      </w:r>
      <w:r w:rsidR="00BA310C" w:rsidRPr="00940395">
        <w:rPr>
          <w:b/>
          <w:bCs/>
          <w:i/>
          <w:iCs/>
          <w:color w:val="414C1C"/>
          <w:sz w:val="18"/>
        </w:rPr>
        <w:t>,</w:t>
      </w:r>
      <w:r w:rsidR="006E2726">
        <w:rPr>
          <w:b/>
          <w:bCs/>
          <w:i/>
          <w:iCs/>
          <w:color w:val="414C1C"/>
          <w:sz w:val="18"/>
        </w:rPr>
        <w:t xml:space="preserve"> </w:t>
      </w:r>
      <w:r w:rsidR="00BA310C" w:rsidRPr="00940395">
        <w:rPr>
          <w:b/>
          <w:bCs/>
          <w:i/>
          <w:iCs/>
          <w:color w:val="414C1C"/>
          <w:sz w:val="18"/>
        </w:rPr>
        <w:t>20</w:t>
      </w:r>
      <w:r w:rsidR="006E2726">
        <w:rPr>
          <w:b/>
          <w:bCs/>
          <w:i/>
          <w:iCs/>
          <w:color w:val="414C1C"/>
          <w:sz w:val="18"/>
        </w:rPr>
        <w:t>20</w:t>
      </w:r>
    </w:p>
    <w:p w14:paraId="579F1E80" w14:textId="77777777" w:rsidR="00265533" w:rsidRDefault="00265533" w:rsidP="006E2726">
      <w:pPr>
        <w:pStyle w:val="Default"/>
        <w:spacing w:after="10"/>
        <w:ind w:left="-567" w:right="-518"/>
        <w:jc w:val="center"/>
        <w:rPr>
          <w:b/>
          <w:bCs/>
          <w:i/>
          <w:iCs/>
          <w:color w:val="414C1C"/>
          <w:sz w:val="18"/>
        </w:rPr>
      </w:pPr>
    </w:p>
    <w:p w14:paraId="02A00ED4" w14:textId="4F88C09C" w:rsidR="00BA310C" w:rsidRPr="00940395" w:rsidRDefault="00677195" w:rsidP="00940395">
      <w:pPr>
        <w:pStyle w:val="Default"/>
        <w:spacing w:after="10"/>
        <w:ind w:left="-567" w:right="-518"/>
        <w:jc w:val="center"/>
        <w:rPr>
          <w:b/>
          <w:bCs/>
          <w:i/>
          <w:iCs/>
          <w:color w:val="414C1C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95E89D" wp14:editId="0660D16D">
                <wp:simplePos x="0" y="0"/>
                <wp:positionH relativeFrom="column">
                  <wp:posOffset>3681351</wp:posOffset>
                </wp:positionH>
                <wp:positionV relativeFrom="paragraph">
                  <wp:posOffset>304869</wp:posOffset>
                </wp:positionV>
                <wp:extent cx="2024281" cy="597949"/>
                <wp:effectExtent l="0" t="0" r="0" b="0"/>
                <wp:wrapNone/>
                <wp:docPr id="9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281" cy="597949"/>
                          <a:chOff x="0" y="0"/>
                          <a:chExt cx="2114979" cy="724123"/>
                        </a:xfrm>
                      </wpg:grpSpPr>
                      <wps:wsp>
                        <wps:cNvPr id="97" name="Rectángulo: esquinas redondeadas 97"/>
                        <wps:cNvSpPr/>
                        <wps:spPr>
                          <a:xfrm>
                            <a:off x="0" y="206790"/>
                            <a:ext cx="150815" cy="139430"/>
                          </a:xfrm>
                          <a:prstGeom prst="roundRect">
                            <a:avLst/>
                          </a:prstGeom>
                          <a:solidFill>
                            <a:srgbClr val="BCBF9D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98" name="Rectángulo: esquinas redondeadas 98"/>
                        <wps:cNvSpPr/>
                        <wps:spPr>
                          <a:xfrm>
                            <a:off x="3510" y="46225"/>
                            <a:ext cx="150472" cy="139430"/>
                          </a:xfrm>
                          <a:prstGeom prst="roundRect">
                            <a:avLst/>
                          </a:prstGeom>
                          <a:solidFill>
                            <a:srgbClr val="677053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99" name="Rectángulo: esquinas redondeadas 99"/>
                        <wps:cNvSpPr/>
                        <wps:spPr>
                          <a:xfrm>
                            <a:off x="802" y="369455"/>
                            <a:ext cx="150814" cy="139430"/>
                          </a:xfrm>
                          <a:prstGeom prst="roundRect">
                            <a:avLst/>
                          </a:prstGeom>
                          <a:solidFill>
                            <a:srgbClr val="B2A499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100" name="Rectángulo: esquinas redondeadas 100"/>
                        <wps:cNvSpPr/>
                        <wps:spPr>
                          <a:xfrm>
                            <a:off x="3108" y="533278"/>
                            <a:ext cx="149297" cy="138693"/>
                          </a:xfrm>
                          <a:prstGeom prst="roundRect">
                            <a:avLst/>
                          </a:prstGeom>
                          <a:solidFill>
                            <a:srgbClr val="56402E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101" name="Rectángulo 101"/>
                        <wps:cNvSpPr/>
                        <wps:spPr>
                          <a:xfrm>
                            <a:off x="110129" y="486633"/>
                            <a:ext cx="1651635" cy="237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4B918A" w14:textId="77777777" w:rsidR="00DB7E89" w:rsidRDefault="00DB7E89" w:rsidP="00677195">
                              <w:pPr>
                                <w:overflowPunct w:val="0"/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  <w:t>De 1 a 2,000 (9 entidades)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2" name="Rectángulo 102"/>
                        <wps:cNvSpPr/>
                        <wps:spPr>
                          <a:xfrm>
                            <a:off x="110284" y="318704"/>
                            <a:ext cx="2004695" cy="237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1B2098" w14:textId="77777777" w:rsidR="00DB7E89" w:rsidRDefault="00DB7E89" w:rsidP="00677195">
                              <w:pPr>
                                <w:overflowPunct w:val="0"/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  <w:t>De 2,001 a 5,000 (12 entidades)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3" name="Rectángulo 103"/>
                        <wps:cNvSpPr/>
                        <wps:spPr>
                          <a:xfrm>
                            <a:off x="110285" y="159412"/>
                            <a:ext cx="1934210" cy="237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BE294E" w14:textId="77777777" w:rsidR="00DB7E89" w:rsidRDefault="00DB7E89" w:rsidP="00677195">
                              <w:pPr>
                                <w:overflowPunct w:val="0"/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  <w:t>De 5,001 a 10,000 (6 entidades)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4" name="Rectángulo 104"/>
                        <wps:cNvSpPr/>
                        <wps:spPr>
                          <a:xfrm>
                            <a:off x="116920" y="0"/>
                            <a:ext cx="1729105" cy="237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43771F" w14:textId="77777777" w:rsidR="00DB7E89" w:rsidRDefault="00DB7E89" w:rsidP="00677195">
                              <w:pPr>
                                <w:overflowPunct w:val="0"/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  <w:t>Más de 10,000 (5 entidades)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5E89D" id="_x0000_s1035" style="position:absolute;left:0;text-align:left;margin-left:289.85pt;margin-top:24pt;width:159.4pt;height:47.1pt;z-index:251673600" coordsize="21149,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">
                <v:roundrect id="Rectángulo: esquinas redondeadas 97" o:spid="_x0000_s1036" style="position:absolute;top:2067;width:1508;height:13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" fillcolor="#bcbf9d" stroked="f" strokeweight="2pt">
                  <v:textbox inset="0,0,0,0"/>
                </v:roundrect>
                <v:roundrect id="Rectángulo: esquinas redondeadas 98" o:spid="_x0000_s1037" style="position:absolute;left:35;top:462;width:1504;height:1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" fillcolor="#677053" stroked="f" strokeweight="2pt">
                  <v:textbox inset="0,0,0,0"/>
                </v:roundrect>
                <v:roundrect id="Rectángulo: esquinas redondeadas 99" o:spid="_x0000_s1038" style="position:absolute;left:8;top:3694;width:1508;height:1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" fillcolor="#b2a499" stroked="f" strokeweight="2pt">
                  <v:textbox inset="0,0,0,0"/>
                </v:roundrect>
                <v:roundrect id="Rectángulo: esquinas redondeadas 100" o:spid="_x0000_s1039" style="position:absolute;left:31;top:5332;width:1493;height:1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" fillcolor="#56402e" stroked="f" strokeweight="2pt">
                  <v:textbox inset="0,0,0,0"/>
                </v:roundrect>
                <v:rect id="Rectángulo 101" o:spid="_x0000_s1040" style="position:absolute;left:1101;top:4866;width:1651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" filled="f" stroked="f">
                  <v:textbox>
                    <w:txbxContent>
                      <w:p w14:paraId="1B4B918A" w14:textId="77777777" w:rsidR="00DB7E89" w:rsidRDefault="00DB7E89" w:rsidP="00677195">
                        <w:pPr>
                          <w:overflowPunct w:val="0"/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  <w:t>De 1 a 2,000 (9 entidades)</w:t>
                        </w:r>
                      </w:p>
                    </w:txbxContent>
                  </v:textbox>
                </v:rect>
                <v:rect id="Rectángulo 102" o:spid="_x0000_s1041" style="position:absolute;left:1102;top:3187;width:2004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" filled="f" stroked="f">
                  <v:textbox>
                    <w:txbxContent>
                      <w:p w14:paraId="3D1B2098" w14:textId="77777777" w:rsidR="00DB7E89" w:rsidRDefault="00DB7E89" w:rsidP="00677195">
                        <w:pPr>
                          <w:overflowPunct w:val="0"/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  <w:t>De 2,001 a 5,000 (12 entidades)</w:t>
                        </w:r>
                      </w:p>
                    </w:txbxContent>
                  </v:textbox>
                </v:rect>
                <v:rect id="Rectángulo 103" o:spid="_x0000_s1042" style="position:absolute;left:1102;top:1594;width:193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VlwwAAANwAAAAPAAAAZHJzL2Rvd25yZXYueG1sRE/basJA&#10;EH0X+g/LFPoiumkF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3qAFZcMAAADcAAAADwAA&#10;AAAAAAAAAAAAAAAHAgAAZHJzL2Rvd25yZXYueG1sUEsFBgAAAAADAAMAtwAAAPcCAAAAAA==&#10;" filled="f" stroked="f">
                  <v:textbox>
                    <w:txbxContent>
                      <w:p w14:paraId="54BE294E" w14:textId="77777777" w:rsidR="00DB7E89" w:rsidRDefault="00DB7E89" w:rsidP="00677195">
                        <w:pPr>
                          <w:overflowPunct w:val="0"/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  <w:t>De 5,001 a 10,000 (6 entidades)</w:t>
                        </w:r>
                      </w:p>
                    </w:txbxContent>
                  </v:textbox>
                </v:rect>
                <v:rect id="Rectángulo 104" o:spid="_x0000_s1043" style="position:absolute;left:1169;width:1729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0RwwAAANwAAAAPAAAAZHJzL2Rvd25yZXYueG1sRE/basJA&#10;EH0X+g/LFPoiumkR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UUmdEcMAAADcAAAADwAA&#10;AAAAAAAAAAAAAAAHAgAAZHJzL2Rvd25yZXYueG1sUEsFBgAAAAADAAMAtwAAAPcCAAAAAA==&#10;" filled="f" stroked="f">
                  <v:textbox>
                    <w:txbxContent>
                      <w:p w14:paraId="1E43771F" w14:textId="77777777" w:rsidR="00DB7E89" w:rsidRDefault="00DB7E89" w:rsidP="00677195">
                        <w:pPr>
                          <w:overflowPunct w:val="0"/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  <w:t>Más de 10,000 (5 entidades)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310C" w:rsidRPr="00940395">
        <w:rPr>
          <w:b/>
          <w:bCs/>
          <w:i/>
          <w:iCs/>
          <w:color w:val="414C1C"/>
          <w:sz w:val="18"/>
        </w:rPr>
        <w:t xml:space="preserve"> </w:t>
      </w:r>
      <w:r>
        <w:rPr>
          <w:b/>
          <w:bCs/>
          <w:i/>
          <w:iCs/>
          <w:noProof/>
          <w:color w:val="414C1C"/>
          <w:sz w:val="18"/>
        </w:rPr>
        <w:t xml:space="preserve"> </w:t>
      </w:r>
      <w:r>
        <w:rPr>
          <w:b/>
          <w:bCs/>
          <w:i/>
          <w:iCs/>
          <w:noProof/>
          <w:color w:val="414C1C"/>
          <w:sz w:val="18"/>
        </w:rPr>
        <w:drawing>
          <wp:inline distT="0" distB="0" distL="0" distR="0" wp14:anchorId="1F983666" wp14:editId="0C391980">
            <wp:extent cx="5593717" cy="3603600"/>
            <wp:effectExtent l="0" t="0" r="6985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7" cy="36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C83E3" w14:textId="0796BC03" w:rsidR="00BA310C" w:rsidRPr="006E2726" w:rsidRDefault="00BA310C" w:rsidP="00234EC1">
      <w:pPr>
        <w:spacing w:after="0"/>
        <w:ind w:left="-567"/>
        <w:jc w:val="center"/>
        <w:rPr>
          <w:rFonts w:ascii="Arial" w:hAnsi="Arial" w:cs="Arial"/>
          <w:spacing w:val="-2"/>
          <w:sz w:val="16"/>
          <w:szCs w:val="16"/>
          <w:highlight w:val="yellow"/>
        </w:rPr>
      </w:pPr>
      <w:r w:rsidRPr="006E2726">
        <w:rPr>
          <w:rFonts w:ascii="Arial" w:hAnsi="Arial" w:cs="Arial"/>
          <w:spacing w:val="-2"/>
          <w:sz w:val="16"/>
          <w:szCs w:val="16"/>
        </w:rPr>
        <w:t xml:space="preserve">Nota: para los sistemas Penal Acusatorio e Integral de Justicia Penal para Adolescentes solo se incluyen las causas penales ingresadas en los </w:t>
      </w:r>
      <w:r w:rsidR="008768AA" w:rsidRPr="006E2726">
        <w:rPr>
          <w:rFonts w:ascii="Arial" w:hAnsi="Arial" w:cs="Arial"/>
          <w:spacing w:val="-2"/>
          <w:sz w:val="16"/>
          <w:szCs w:val="16"/>
        </w:rPr>
        <w:t>juzgados de control o garantías</w:t>
      </w:r>
      <w:r w:rsidRPr="006E2726">
        <w:rPr>
          <w:rFonts w:ascii="Arial" w:hAnsi="Arial" w:cs="Arial"/>
          <w:spacing w:val="-2"/>
          <w:sz w:val="16"/>
          <w:szCs w:val="16"/>
        </w:rPr>
        <w:t xml:space="preserve">. Los ingresos </w:t>
      </w:r>
      <w:r w:rsidR="00CF312C" w:rsidRPr="006E2726">
        <w:rPr>
          <w:rFonts w:ascii="Arial" w:hAnsi="Arial" w:cs="Arial"/>
          <w:spacing w:val="-2"/>
          <w:sz w:val="16"/>
          <w:szCs w:val="16"/>
        </w:rPr>
        <w:t xml:space="preserve">para las materias penal y justicia para </w:t>
      </w:r>
      <w:r w:rsidR="006E2726" w:rsidRPr="006E2726">
        <w:rPr>
          <w:rFonts w:ascii="Arial" w:hAnsi="Arial" w:cs="Arial"/>
          <w:spacing w:val="-2"/>
          <w:sz w:val="16"/>
          <w:szCs w:val="16"/>
        </w:rPr>
        <w:t>a</w:t>
      </w:r>
      <w:r w:rsidR="00CF312C" w:rsidRPr="006E2726">
        <w:rPr>
          <w:rFonts w:ascii="Arial" w:hAnsi="Arial" w:cs="Arial"/>
          <w:spacing w:val="-2"/>
          <w:sz w:val="16"/>
          <w:szCs w:val="16"/>
        </w:rPr>
        <w:t>dolescentes solo consideran las causas penales y/o consignaciones competentes.</w:t>
      </w:r>
    </w:p>
    <w:p w14:paraId="0BD8852F" w14:textId="0B485B7F" w:rsidR="00001B48" w:rsidRDefault="00001B48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71EAC703" w14:textId="77777777" w:rsidR="00265533" w:rsidRDefault="00265533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5EEC10CA" w14:textId="1B5C8DF4" w:rsidR="00BA310C" w:rsidRPr="00001B48" w:rsidRDefault="00BA310C" w:rsidP="00BA310C">
      <w:pPr>
        <w:ind w:left="-567"/>
        <w:jc w:val="both"/>
        <w:rPr>
          <w:rFonts w:ascii="Arial" w:hAnsi="Arial" w:cs="Arial"/>
          <w:sz w:val="24"/>
          <w:szCs w:val="24"/>
        </w:rPr>
      </w:pPr>
      <w:r w:rsidRPr="00001B48">
        <w:rPr>
          <w:rFonts w:ascii="Arial" w:hAnsi="Arial" w:cs="Arial"/>
          <w:sz w:val="24"/>
          <w:szCs w:val="24"/>
        </w:rPr>
        <w:t>Durante 2</w:t>
      </w:r>
      <w:r w:rsidR="00733DED" w:rsidRPr="00001B48">
        <w:rPr>
          <w:rFonts w:ascii="Arial" w:hAnsi="Arial" w:cs="Arial"/>
          <w:sz w:val="24"/>
          <w:szCs w:val="24"/>
        </w:rPr>
        <w:t>020</w:t>
      </w:r>
      <w:r w:rsidRPr="00001B48">
        <w:rPr>
          <w:rFonts w:ascii="Arial" w:hAnsi="Arial" w:cs="Arial"/>
          <w:sz w:val="24"/>
          <w:szCs w:val="24"/>
        </w:rPr>
        <w:t xml:space="preserve">, </w:t>
      </w:r>
      <w:bookmarkStart w:id="6" w:name="_Hlk53436606"/>
      <w:r w:rsidR="0031693B">
        <w:rPr>
          <w:rFonts w:ascii="Arial" w:hAnsi="Arial" w:cs="Arial"/>
          <w:sz w:val="24"/>
          <w:szCs w:val="24"/>
        </w:rPr>
        <w:t xml:space="preserve">a nivel nacional se registró que </w:t>
      </w:r>
      <w:r w:rsidR="00CC4F8E">
        <w:rPr>
          <w:rFonts w:ascii="Arial" w:hAnsi="Arial" w:cs="Arial"/>
          <w:sz w:val="24"/>
          <w:szCs w:val="24"/>
        </w:rPr>
        <w:t xml:space="preserve">5.2% </w:t>
      </w:r>
      <w:r w:rsidRPr="00001B48">
        <w:rPr>
          <w:rFonts w:ascii="Arial" w:hAnsi="Arial" w:cs="Arial"/>
          <w:sz w:val="24"/>
          <w:szCs w:val="24"/>
        </w:rPr>
        <w:t xml:space="preserve">de </w:t>
      </w:r>
      <w:r w:rsidR="0031693B">
        <w:rPr>
          <w:rFonts w:ascii="Arial" w:hAnsi="Arial" w:cs="Arial"/>
          <w:sz w:val="24"/>
          <w:szCs w:val="24"/>
        </w:rPr>
        <w:t xml:space="preserve">las </w:t>
      </w:r>
      <w:r w:rsidRPr="00001B48">
        <w:rPr>
          <w:rFonts w:ascii="Arial" w:hAnsi="Arial" w:cs="Arial"/>
          <w:sz w:val="24"/>
          <w:szCs w:val="24"/>
        </w:rPr>
        <w:t>causas penales</w:t>
      </w:r>
      <w:r w:rsidR="0031693B">
        <w:rPr>
          <w:rFonts w:ascii="Arial" w:hAnsi="Arial" w:cs="Arial"/>
          <w:sz w:val="24"/>
          <w:szCs w:val="24"/>
        </w:rPr>
        <w:t xml:space="preserve"> fueron</w:t>
      </w:r>
      <w:r w:rsidRPr="00001B48">
        <w:rPr>
          <w:rFonts w:ascii="Arial" w:hAnsi="Arial" w:cs="Arial"/>
          <w:sz w:val="24"/>
          <w:szCs w:val="24"/>
        </w:rPr>
        <w:t xml:space="preserve"> ingresadas en los </w:t>
      </w:r>
      <w:r w:rsidR="008768AA" w:rsidRPr="008768AA">
        <w:rPr>
          <w:rFonts w:ascii="Arial" w:hAnsi="Arial" w:cs="Arial"/>
          <w:sz w:val="24"/>
          <w:szCs w:val="24"/>
        </w:rPr>
        <w:t>tribunales de enjuiciamiento o juzgados de juicio oral</w:t>
      </w:r>
      <w:r w:rsidRPr="00001B48">
        <w:rPr>
          <w:rFonts w:ascii="Arial" w:hAnsi="Arial" w:cs="Arial"/>
          <w:sz w:val="24"/>
          <w:szCs w:val="24"/>
        </w:rPr>
        <w:t xml:space="preserve"> con respecto a los </w:t>
      </w:r>
      <w:r w:rsidR="008768AA">
        <w:rPr>
          <w:rFonts w:ascii="Arial" w:hAnsi="Arial" w:cs="Arial"/>
          <w:sz w:val="24"/>
          <w:szCs w:val="24"/>
        </w:rPr>
        <w:t>j</w:t>
      </w:r>
      <w:r w:rsidR="008768AA" w:rsidRPr="008768AA">
        <w:rPr>
          <w:rFonts w:ascii="Arial" w:hAnsi="Arial" w:cs="Arial"/>
          <w:sz w:val="24"/>
          <w:szCs w:val="24"/>
        </w:rPr>
        <w:t>uzgados de control o garantías</w:t>
      </w:r>
      <w:r w:rsidRPr="00001B48">
        <w:rPr>
          <w:rFonts w:ascii="Arial" w:hAnsi="Arial" w:cs="Arial"/>
          <w:sz w:val="24"/>
          <w:szCs w:val="24"/>
        </w:rPr>
        <w:t xml:space="preserve">. </w:t>
      </w:r>
      <w:bookmarkEnd w:id="6"/>
      <w:r w:rsidRPr="00001B48">
        <w:rPr>
          <w:rFonts w:ascii="Arial" w:hAnsi="Arial" w:cs="Arial"/>
          <w:sz w:val="24"/>
          <w:szCs w:val="24"/>
        </w:rPr>
        <w:t>La</w:t>
      </w:r>
      <w:r w:rsidR="00001B48" w:rsidRPr="00001B48">
        <w:rPr>
          <w:rFonts w:ascii="Arial" w:hAnsi="Arial" w:cs="Arial"/>
          <w:sz w:val="24"/>
          <w:szCs w:val="24"/>
        </w:rPr>
        <w:t xml:space="preserve"> </w:t>
      </w:r>
      <w:r w:rsidRPr="00001B48">
        <w:rPr>
          <w:rFonts w:ascii="Arial" w:hAnsi="Arial" w:cs="Arial"/>
          <w:sz w:val="24"/>
          <w:szCs w:val="24"/>
        </w:rPr>
        <w:t>entida</w:t>
      </w:r>
      <w:r w:rsidR="00001B48" w:rsidRPr="00001B48">
        <w:rPr>
          <w:rFonts w:ascii="Arial" w:hAnsi="Arial" w:cs="Arial"/>
          <w:sz w:val="24"/>
          <w:szCs w:val="24"/>
        </w:rPr>
        <w:t>d</w:t>
      </w:r>
      <w:r w:rsidRPr="00001B48">
        <w:rPr>
          <w:rFonts w:ascii="Arial" w:hAnsi="Arial" w:cs="Arial"/>
          <w:sz w:val="24"/>
          <w:szCs w:val="24"/>
        </w:rPr>
        <w:t xml:space="preserve"> federativa que registr</w:t>
      </w:r>
      <w:r w:rsidR="00001B48" w:rsidRPr="00001B48">
        <w:rPr>
          <w:rFonts w:ascii="Arial" w:hAnsi="Arial" w:cs="Arial"/>
          <w:sz w:val="24"/>
          <w:szCs w:val="24"/>
        </w:rPr>
        <w:t>ó</w:t>
      </w:r>
      <w:r w:rsidRPr="00001B48">
        <w:rPr>
          <w:rFonts w:ascii="Arial" w:hAnsi="Arial" w:cs="Arial"/>
          <w:sz w:val="24"/>
          <w:szCs w:val="24"/>
        </w:rPr>
        <w:t xml:space="preserve"> el mayor porcentaje fue</w:t>
      </w:r>
      <w:r w:rsidR="00001B48" w:rsidRPr="00001B48">
        <w:rPr>
          <w:rFonts w:ascii="Arial" w:hAnsi="Arial" w:cs="Arial"/>
          <w:sz w:val="24"/>
          <w:szCs w:val="24"/>
        </w:rPr>
        <w:t xml:space="preserve"> </w:t>
      </w:r>
      <w:r w:rsidR="00AA0F0E" w:rsidRPr="00001B48">
        <w:rPr>
          <w:rFonts w:ascii="Arial" w:hAnsi="Arial" w:cs="Arial"/>
          <w:sz w:val="24"/>
          <w:szCs w:val="24"/>
        </w:rPr>
        <w:t>México</w:t>
      </w:r>
      <w:r w:rsidRPr="00001B48">
        <w:rPr>
          <w:rFonts w:ascii="Arial" w:hAnsi="Arial" w:cs="Arial"/>
          <w:sz w:val="24"/>
          <w:szCs w:val="24"/>
        </w:rPr>
        <w:t xml:space="preserve"> con 27</w:t>
      </w:r>
      <w:r w:rsidR="00001B48" w:rsidRPr="00001B48">
        <w:rPr>
          <w:rFonts w:ascii="Arial" w:hAnsi="Arial" w:cs="Arial"/>
          <w:sz w:val="24"/>
          <w:szCs w:val="24"/>
        </w:rPr>
        <w:t>.0</w:t>
      </w:r>
      <w:r w:rsidR="0031693B">
        <w:rPr>
          <w:rFonts w:ascii="Arial" w:hAnsi="Arial" w:cs="Arial"/>
          <w:sz w:val="24"/>
          <w:szCs w:val="24"/>
        </w:rPr>
        <w:t xml:space="preserve"> por ciento</w:t>
      </w:r>
      <w:r w:rsidR="00326467">
        <w:rPr>
          <w:rFonts w:ascii="Arial" w:hAnsi="Arial" w:cs="Arial"/>
          <w:sz w:val="24"/>
          <w:szCs w:val="24"/>
        </w:rPr>
        <w:t>.</w:t>
      </w:r>
      <w:r w:rsidRPr="00001B48">
        <w:rPr>
          <w:rFonts w:ascii="Arial" w:hAnsi="Arial" w:cs="Arial"/>
          <w:sz w:val="24"/>
          <w:szCs w:val="24"/>
        </w:rPr>
        <w:t xml:space="preserve">  </w:t>
      </w:r>
    </w:p>
    <w:p w14:paraId="73799709" w14:textId="77777777" w:rsidR="00DC5E78" w:rsidRDefault="00DC5E78" w:rsidP="00001B48">
      <w:pPr>
        <w:pStyle w:val="Default"/>
        <w:spacing w:after="10"/>
        <w:ind w:left="-567"/>
        <w:jc w:val="center"/>
        <w:rPr>
          <w:b/>
          <w:bCs/>
          <w:i/>
          <w:iCs/>
          <w:color w:val="414C1C"/>
          <w:sz w:val="18"/>
        </w:rPr>
      </w:pPr>
    </w:p>
    <w:p w14:paraId="06A3A123" w14:textId="2C034A76" w:rsidR="00BA310C" w:rsidRDefault="00BA310C" w:rsidP="00001B48">
      <w:pPr>
        <w:pStyle w:val="Default"/>
        <w:spacing w:after="10"/>
        <w:ind w:left="-567"/>
        <w:jc w:val="center"/>
        <w:rPr>
          <w:b/>
          <w:bCs/>
          <w:i/>
          <w:iCs/>
          <w:color w:val="414C1C"/>
          <w:sz w:val="18"/>
        </w:rPr>
      </w:pPr>
      <w:r w:rsidRPr="00001B48">
        <w:rPr>
          <w:b/>
          <w:bCs/>
          <w:i/>
          <w:iCs/>
          <w:color w:val="414C1C"/>
          <w:sz w:val="18"/>
        </w:rPr>
        <w:t>Gráfica 1</w:t>
      </w:r>
      <w:r w:rsidR="00A32C10">
        <w:rPr>
          <w:b/>
          <w:bCs/>
          <w:i/>
          <w:iCs/>
          <w:color w:val="414C1C"/>
          <w:sz w:val="18"/>
        </w:rPr>
        <w:t>6</w:t>
      </w:r>
      <w:r w:rsidRPr="00001B48">
        <w:rPr>
          <w:b/>
          <w:bCs/>
          <w:i/>
          <w:iCs/>
          <w:color w:val="414C1C"/>
          <w:sz w:val="18"/>
        </w:rPr>
        <w:t>.</w:t>
      </w:r>
      <w:r w:rsidRPr="00001B48">
        <w:rPr>
          <w:sz w:val="22"/>
        </w:rPr>
        <w:t xml:space="preserve"> </w:t>
      </w:r>
      <w:r w:rsidR="00001B48" w:rsidRPr="00001B48">
        <w:rPr>
          <w:b/>
          <w:bCs/>
          <w:i/>
          <w:iCs/>
          <w:color w:val="414C1C"/>
          <w:sz w:val="18"/>
        </w:rPr>
        <w:t>Porcentaje</w:t>
      </w:r>
      <w:r w:rsidRPr="00001B48">
        <w:rPr>
          <w:b/>
          <w:bCs/>
          <w:i/>
          <w:iCs/>
          <w:color w:val="414C1C"/>
          <w:sz w:val="18"/>
        </w:rPr>
        <w:t xml:space="preserve"> de causas penales ingresadas a los </w:t>
      </w:r>
      <w:r w:rsidR="006C7E12" w:rsidRPr="006C7E12">
        <w:rPr>
          <w:b/>
          <w:bCs/>
          <w:i/>
          <w:iCs/>
          <w:color w:val="414C1C"/>
          <w:sz w:val="18"/>
        </w:rPr>
        <w:t xml:space="preserve">tribunales de enjuiciamiento o juzgados de juicio oral </w:t>
      </w:r>
      <w:r w:rsidRPr="00001B48">
        <w:rPr>
          <w:b/>
          <w:bCs/>
          <w:i/>
          <w:iCs/>
          <w:color w:val="414C1C"/>
          <w:sz w:val="18"/>
        </w:rPr>
        <w:t xml:space="preserve">con respecto a los </w:t>
      </w:r>
      <w:r w:rsidR="006C7E12" w:rsidRPr="006C7E12">
        <w:rPr>
          <w:b/>
          <w:bCs/>
          <w:i/>
          <w:iCs/>
          <w:color w:val="414C1C"/>
          <w:sz w:val="18"/>
        </w:rPr>
        <w:t>juzgados de control o garantías</w:t>
      </w:r>
      <w:r w:rsidRPr="00001B48">
        <w:rPr>
          <w:b/>
          <w:bCs/>
          <w:i/>
          <w:iCs/>
          <w:color w:val="414C1C"/>
          <w:sz w:val="18"/>
        </w:rPr>
        <w:t>, por entidad federativa, 20</w:t>
      </w:r>
      <w:r w:rsidR="006C7E12">
        <w:rPr>
          <w:b/>
          <w:bCs/>
          <w:i/>
          <w:iCs/>
          <w:color w:val="414C1C"/>
          <w:sz w:val="18"/>
        </w:rPr>
        <w:t>20</w:t>
      </w:r>
    </w:p>
    <w:p w14:paraId="2B6E88E4" w14:textId="77777777" w:rsidR="004B011A" w:rsidRPr="00001B48" w:rsidRDefault="004B011A" w:rsidP="00001B48">
      <w:pPr>
        <w:pStyle w:val="Default"/>
        <w:spacing w:after="10"/>
        <w:ind w:left="-567"/>
        <w:jc w:val="center"/>
        <w:rPr>
          <w:b/>
          <w:bCs/>
          <w:i/>
          <w:iCs/>
          <w:color w:val="414C1C"/>
          <w:sz w:val="18"/>
        </w:rPr>
      </w:pPr>
    </w:p>
    <w:p w14:paraId="4E696ED1" w14:textId="1A9D7A93" w:rsidR="00BA310C" w:rsidRPr="000E5724" w:rsidRDefault="00001B48" w:rsidP="006C7E12">
      <w:pPr>
        <w:spacing w:after="0"/>
        <w:ind w:left="-567"/>
        <w:jc w:val="center"/>
        <w:rPr>
          <w:rFonts w:ascii="Arial" w:hAnsi="Arial" w:cs="Arial"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2674205C" wp14:editId="7B51C6E6">
            <wp:extent cx="6028055" cy="1345721"/>
            <wp:effectExtent l="0" t="0" r="0" b="6985"/>
            <wp:docPr id="72" name="Gráfico 72">
              <a:extLst xmlns:a="http://schemas.openxmlformats.org/drawingml/2006/main">
                <a:ext uri="{FF2B5EF4-FFF2-40B4-BE49-F238E27FC236}">
                  <a16:creationId xmlns:a16="http://schemas.microsoft.com/office/drawing/2014/main" id="{2240C9A6-6D0E-43A4-92F4-D40D870821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3DCD1D1F" w14:textId="5BE2402A" w:rsidR="00BA310C" w:rsidRPr="00A942B5" w:rsidRDefault="00A942B5" w:rsidP="00A32C10">
      <w:pPr>
        <w:ind w:left="-567"/>
        <w:jc w:val="center"/>
        <w:rPr>
          <w:rFonts w:ascii="Arial" w:hAnsi="Arial" w:cs="Arial"/>
          <w:sz w:val="16"/>
          <w:szCs w:val="16"/>
        </w:rPr>
      </w:pPr>
      <w:r w:rsidRPr="00A942B5">
        <w:rPr>
          <w:rFonts w:ascii="Arial" w:hAnsi="Arial" w:cs="Arial"/>
          <w:sz w:val="16"/>
          <w:szCs w:val="16"/>
        </w:rPr>
        <w:t xml:space="preserve">Nota: no se incluye información correspondiente a Campeche, toda vez que reportó que no se realizaron ingresos a los </w:t>
      </w:r>
      <w:r w:rsidR="00597444" w:rsidRPr="00597444">
        <w:rPr>
          <w:rFonts w:ascii="Arial" w:hAnsi="Arial" w:cs="Arial"/>
          <w:sz w:val="16"/>
          <w:szCs w:val="16"/>
        </w:rPr>
        <w:t>tribunales de enjuiciamiento o juzgados de juicio oral</w:t>
      </w:r>
      <w:r w:rsidRPr="00A942B5">
        <w:rPr>
          <w:rFonts w:ascii="Arial" w:hAnsi="Arial" w:cs="Arial"/>
          <w:sz w:val="16"/>
          <w:szCs w:val="16"/>
        </w:rPr>
        <w:t>.</w:t>
      </w:r>
    </w:p>
    <w:p w14:paraId="6B508910" w14:textId="3D546F4D" w:rsidR="00BA310C" w:rsidRPr="008F0CE1" w:rsidRDefault="00BA310C" w:rsidP="00A32C10">
      <w:pPr>
        <w:ind w:left="-567"/>
        <w:jc w:val="both"/>
        <w:rPr>
          <w:rFonts w:ascii="Arial" w:hAnsi="Arial" w:cs="Arial"/>
          <w:b/>
          <w:i/>
          <w:sz w:val="24"/>
          <w:szCs w:val="24"/>
        </w:rPr>
      </w:pPr>
      <w:r w:rsidRPr="008F0CE1">
        <w:rPr>
          <w:rFonts w:ascii="Arial" w:hAnsi="Arial" w:cs="Arial"/>
          <w:b/>
          <w:i/>
          <w:sz w:val="24"/>
          <w:szCs w:val="24"/>
        </w:rPr>
        <w:lastRenderedPageBreak/>
        <w:t>Conclusiones</w:t>
      </w:r>
      <w:r w:rsidR="00A942B5">
        <w:rPr>
          <w:rFonts w:ascii="Arial" w:hAnsi="Arial" w:cs="Arial"/>
          <w:b/>
          <w:i/>
          <w:sz w:val="24"/>
          <w:szCs w:val="24"/>
        </w:rPr>
        <w:t xml:space="preserve"> en las causas penales</w:t>
      </w:r>
    </w:p>
    <w:p w14:paraId="0BA71451" w14:textId="76464D21" w:rsidR="00BA310C" w:rsidRPr="00E32105" w:rsidRDefault="00BA310C" w:rsidP="00E32105">
      <w:pPr>
        <w:ind w:left="-567"/>
        <w:jc w:val="both"/>
        <w:rPr>
          <w:rFonts w:ascii="Arial" w:hAnsi="Arial" w:cs="Arial"/>
          <w:sz w:val="24"/>
          <w:szCs w:val="24"/>
        </w:rPr>
      </w:pPr>
      <w:r w:rsidRPr="00D931CB">
        <w:rPr>
          <w:rFonts w:ascii="Arial" w:hAnsi="Arial" w:cs="Arial"/>
          <w:sz w:val="24"/>
          <w:szCs w:val="24"/>
        </w:rPr>
        <w:t>En 20</w:t>
      </w:r>
      <w:r w:rsidR="008F0CE1" w:rsidRPr="00D931CB">
        <w:rPr>
          <w:rFonts w:ascii="Arial" w:hAnsi="Arial" w:cs="Arial"/>
          <w:sz w:val="24"/>
          <w:szCs w:val="24"/>
        </w:rPr>
        <w:t>20</w:t>
      </w:r>
      <w:r w:rsidRPr="00D931CB">
        <w:rPr>
          <w:rFonts w:ascii="Arial" w:hAnsi="Arial" w:cs="Arial"/>
          <w:sz w:val="24"/>
          <w:szCs w:val="24"/>
        </w:rPr>
        <w:t xml:space="preserve">, se efectuaron </w:t>
      </w:r>
      <w:r w:rsidR="00F248D0">
        <w:rPr>
          <w:rFonts w:ascii="Arial" w:hAnsi="Arial" w:cs="Arial"/>
          <w:sz w:val="24"/>
          <w:szCs w:val="24"/>
        </w:rPr>
        <w:t>109 30</w:t>
      </w:r>
      <w:r w:rsidR="00237C1B">
        <w:rPr>
          <w:rFonts w:ascii="Arial" w:hAnsi="Arial" w:cs="Arial"/>
          <w:sz w:val="24"/>
          <w:szCs w:val="24"/>
        </w:rPr>
        <w:t>4</w:t>
      </w:r>
      <w:r w:rsidR="00E32105" w:rsidRPr="00D931CB">
        <w:rPr>
          <w:rFonts w:ascii="Arial" w:hAnsi="Arial" w:cs="Arial"/>
          <w:sz w:val="24"/>
          <w:szCs w:val="24"/>
        </w:rPr>
        <w:t xml:space="preserve"> </w:t>
      </w:r>
      <w:r w:rsidRPr="00D931CB">
        <w:rPr>
          <w:rFonts w:ascii="Arial" w:hAnsi="Arial" w:cs="Arial"/>
          <w:sz w:val="24"/>
          <w:szCs w:val="24"/>
        </w:rPr>
        <w:t>conclusiones a las causas penales,</w:t>
      </w:r>
      <w:r w:rsidRPr="00D931CB">
        <w:t xml:space="preserve"> </w:t>
      </w:r>
      <w:r w:rsidR="00E32105" w:rsidRPr="00D931CB">
        <w:rPr>
          <w:rFonts w:ascii="Arial" w:hAnsi="Arial" w:cs="Arial"/>
          <w:sz w:val="24"/>
          <w:szCs w:val="24"/>
        </w:rPr>
        <w:t xml:space="preserve">104 705 </w:t>
      </w:r>
      <w:r w:rsidRPr="00D931CB">
        <w:rPr>
          <w:rFonts w:ascii="Arial" w:hAnsi="Arial" w:cs="Arial"/>
          <w:sz w:val="24"/>
          <w:szCs w:val="24"/>
        </w:rPr>
        <w:t xml:space="preserve">para adultos y </w:t>
      </w:r>
      <w:r w:rsidR="000D2633" w:rsidRPr="00D931CB">
        <w:rPr>
          <w:rFonts w:ascii="Arial" w:hAnsi="Arial" w:cs="Arial"/>
          <w:sz w:val="24"/>
          <w:szCs w:val="24"/>
        </w:rPr>
        <w:t xml:space="preserve">            </w:t>
      </w:r>
      <w:r w:rsidR="00F248D0">
        <w:rPr>
          <w:rFonts w:ascii="Arial" w:hAnsi="Arial" w:cs="Arial"/>
          <w:sz w:val="24"/>
          <w:szCs w:val="24"/>
        </w:rPr>
        <w:t xml:space="preserve">4 </w:t>
      </w:r>
      <w:r w:rsidR="00237C1B">
        <w:rPr>
          <w:rFonts w:ascii="Arial" w:hAnsi="Arial" w:cs="Arial"/>
          <w:sz w:val="24"/>
          <w:szCs w:val="24"/>
        </w:rPr>
        <w:t>599</w:t>
      </w:r>
      <w:r w:rsidR="00E32105" w:rsidRPr="00D931CB">
        <w:rPr>
          <w:rFonts w:ascii="Arial" w:hAnsi="Arial" w:cs="Arial"/>
          <w:sz w:val="24"/>
          <w:szCs w:val="24"/>
        </w:rPr>
        <w:t xml:space="preserve"> </w:t>
      </w:r>
      <w:r w:rsidRPr="00317042">
        <w:rPr>
          <w:rFonts w:ascii="Arial" w:hAnsi="Arial" w:cs="Arial"/>
          <w:sz w:val="24"/>
          <w:szCs w:val="24"/>
        </w:rPr>
        <w:t xml:space="preserve">para adolescentes. </w:t>
      </w:r>
      <w:r w:rsidR="00D931CB" w:rsidRPr="00317042">
        <w:rPr>
          <w:rFonts w:ascii="Arial" w:hAnsi="Arial" w:cs="Arial"/>
          <w:sz w:val="24"/>
          <w:szCs w:val="24"/>
        </w:rPr>
        <w:t>Del total de conclusiones</w:t>
      </w:r>
      <w:r w:rsidRPr="00317042">
        <w:rPr>
          <w:rFonts w:ascii="Arial" w:hAnsi="Arial" w:cs="Arial"/>
          <w:sz w:val="24"/>
          <w:szCs w:val="24"/>
        </w:rPr>
        <w:t xml:space="preserve">, en el Sistema Tradicional se registraron </w:t>
      </w:r>
      <w:r w:rsidR="00F248D0">
        <w:rPr>
          <w:rFonts w:ascii="Arial" w:hAnsi="Arial" w:cs="Arial"/>
          <w:sz w:val="24"/>
          <w:szCs w:val="24"/>
        </w:rPr>
        <w:t xml:space="preserve">              </w:t>
      </w:r>
      <w:r w:rsidR="00D931CB" w:rsidRPr="00317042">
        <w:rPr>
          <w:rFonts w:ascii="Arial" w:hAnsi="Arial" w:cs="Arial"/>
          <w:sz w:val="24"/>
          <w:szCs w:val="24"/>
        </w:rPr>
        <w:t xml:space="preserve">11 158 </w:t>
      </w:r>
      <w:r w:rsidRPr="00317042">
        <w:rPr>
          <w:rFonts w:ascii="Arial" w:hAnsi="Arial" w:cs="Arial"/>
          <w:sz w:val="24"/>
          <w:szCs w:val="24"/>
        </w:rPr>
        <w:t>conclusiones</w:t>
      </w:r>
      <w:r w:rsidR="0031693B">
        <w:rPr>
          <w:rFonts w:ascii="Arial" w:hAnsi="Arial" w:cs="Arial"/>
          <w:sz w:val="24"/>
          <w:szCs w:val="24"/>
        </w:rPr>
        <w:t>;</w:t>
      </w:r>
      <w:r w:rsidRPr="00317042">
        <w:rPr>
          <w:rFonts w:ascii="Arial" w:hAnsi="Arial" w:cs="Arial"/>
          <w:sz w:val="24"/>
          <w:szCs w:val="24"/>
        </w:rPr>
        <w:t xml:space="preserve"> para el Sistema Penal Acusatorio la cifra fue de </w:t>
      </w:r>
      <w:r w:rsidR="00D931CB" w:rsidRPr="00317042">
        <w:rPr>
          <w:rFonts w:ascii="Arial" w:hAnsi="Arial" w:cs="Arial"/>
          <w:sz w:val="24"/>
          <w:szCs w:val="24"/>
        </w:rPr>
        <w:t>93 547</w:t>
      </w:r>
      <w:r w:rsidR="0031693B">
        <w:rPr>
          <w:rFonts w:ascii="Arial" w:hAnsi="Arial" w:cs="Arial"/>
          <w:sz w:val="24"/>
          <w:szCs w:val="24"/>
        </w:rPr>
        <w:t>;</w:t>
      </w:r>
      <w:r w:rsidRPr="00317042">
        <w:rPr>
          <w:rFonts w:ascii="Arial" w:hAnsi="Arial" w:cs="Arial"/>
          <w:sz w:val="24"/>
          <w:szCs w:val="24"/>
        </w:rPr>
        <w:t xml:space="preserve"> en el Sistema Escrito o Mixto y Sistema Oral se registraron </w:t>
      </w:r>
      <w:r w:rsidR="00D931CB" w:rsidRPr="00317042">
        <w:rPr>
          <w:rFonts w:ascii="Arial" w:hAnsi="Arial" w:cs="Arial"/>
          <w:sz w:val="24"/>
          <w:szCs w:val="24"/>
        </w:rPr>
        <w:t>1</w:t>
      </w:r>
      <w:r w:rsidR="00DE7DCA">
        <w:rPr>
          <w:rFonts w:ascii="Arial" w:hAnsi="Arial" w:cs="Arial"/>
          <w:sz w:val="24"/>
          <w:szCs w:val="24"/>
        </w:rPr>
        <w:t>46</w:t>
      </w:r>
      <w:r w:rsidRPr="00317042">
        <w:rPr>
          <w:rFonts w:ascii="Arial" w:hAnsi="Arial" w:cs="Arial"/>
          <w:sz w:val="24"/>
          <w:szCs w:val="24"/>
        </w:rPr>
        <w:t xml:space="preserve"> conclusiones, y en el Sistema Integral de Justicia Penal para Adolescentes</w:t>
      </w:r>
      <w:r w:rsidR="0031693B">
        <w:rPr>
          <w:rFonts w:ascii="Arial" w:hAnsi="Arial" w:cs="Arial"/>
          <w:sz w:val="24"/>
          <w:szCs w:val="24"/>
        </w:rPr>
        <w:t xml:space="preserve"> la cifra fue de 4 453</w:t>
      </w:r>
      <w:r w:rsidRPr="00317042">
        <w:rPr>
          <w:rStyle w:val="Refdenotaalpie"/>
          <w:rFonts w:ascii="Arial" w:hAnsi="Arial" w:cs="Arial"/>
          <w:sz w:val="24"/>
          <w:szCs w:val="24"/>
        </w:rPr>
        <w:footnoteReference w:id="13"/>
      </w:r>
      <w:r w:rsidRPr="00317042">
        <w:rPr>
          <w:rFonts w:ascii="Arial" w:hAnsi="Arial" w:cs="Arial"/>
          <w:sz w:val="24"/>
          <w:szCs w:val="24"/>
        </w:rPr>
        <w:t xml:space="preserve">. </w:t>
      </w:r>
      <w:r w:rsidR="00423456">
        <w:rPr>
          <w:rFonts w:ascii="Arial" w:hAnsi="Arial" w:cs="Arial"/>
          <w:sz w:val="24"/>
          <w:szCs w:val="24"/>
        </w:rPr>
        <w:t xml:space="preserve">En contraste con 2019, la cantidad de conclusiones </w:t>
      </w:r>
      <w:r w:rsidR="00427AB3">
        <w:rPr>
          <w:rFonts w:ascii="Arial" w:hAnsi="Arial" w:cs="Arial"/>
          <w:sz w:val="24"/>
          <w:szCs w:val="24"/>
        </w:rPr>
        <w:t>para adultos disminuyó 7.1%</w:t>
      </w:r>
      <w:r w:rsidR="00F248D0">
        <w:rPr>
          <w:rFonts w:ascii="Arial" w:hAnsi="Arial" w:cs="Arial"/>
          <w:sz w:val="24"/>
          <w:szCs w:val="24"/>
        </w:rPr>
        <w:t xml:space="preserve"> y para los </w:t>
      </w:r>
      <w:r w:rsidR="00427AB3">
        <w:rPr>
          <w:rFonts w:ascii="Arial" w:hAnsi="Arial" w:cs="Arial"/>
          <w:sz w:val="24"/>
          <w:szCs w:val="24"/>
        </w:rPr>
        <w:t xml:space="preserve">adolescentes </w:t>
      </w:r>
      <w:r w:rsidR="008D7C44">
        <w:rPr>
          <w:rFonts w:ascii="Arial" w:hAnsi="Arial" w:cs="Arial"/>
          <w:sz w:val="24"/>
          <w:szCs w:val="24"/>
        </w:rPr>
        <w:t>1.</w:t>
      </w:r>
      <w:r w:rsidR="00237C1B">
        <w:rPr>
          <w:rFonts w:ascii="Arial" w:hAnsi="Arial" w:cs="Arial"/>
          <w:sz w:val="24"/>
          <w:szCs w:val="24"/>
        </w:rPr>
        <w:t>5</w:t>
      </w:r>
      <w:r w:rsidR="00427AB3">
        <w:rPr>
          <w:rFonts w:ascii="Arial" w:hAnsi="Arial" w:cs="Arial"/>
          <w:sz w:val="24"/>
          <w:szCs w:val="24"/>
        </w:rPr>
        <w:t xml:space="preserve">%. </w:t>
      </w:r>
      <w:r w:rsidRPr="00EA598F">
        <w:rPr>
          <w:rFonts w:ascii="Arial" w:hAnsi="Arial" w:cs="Arial"/>
          <w:sz w:val="24"/>
          <w:szCs w:val="24"/>
        </w:rPr>
        <w:t>A continuación, se presentan las distribuciones por sistema en cada materia.</w:t>
      </w:r>
      <w:r w:rsidRPr="00317042">
        <w:rPr>
          <w:rFonts w:ascii="Arial" w:hAnsi="Arial" w:cs="Arial"/>
          <w:sz w:val="24"/>
          <w:szCs w:val="24"/>
        </w:rPr>
        <w:t xml:space="preserve"> </w:t>
      </w:r>
    </w:p>
    <w:p w14:paraId="64B9FD6A" w14:textId="77777777" w:rsidR="00CB6630" w:rsidRDefault="00CB6630" w:rsidP="00CB6630">
      <w:pPr>
        <w:pStyle w:val="Default"/>
        <w:spacing w:after="10"/>
        <w:ind w:left="-567" w:right="142"/>
        <w:jc w:val="center"/>
        <w:rPr>
          <w:b/>
          <w:bCs/>
          <w:i/>
          <w:iCs/>
          <w:color w:val="414C1C"/>
          <w:sz w:val="18"/>
          <w:szCs w:val="22"/>
        </w:rPr>
      </w:pPr>
    </w:p>
    <w:p w14:paraId="0D7BF226" w14:textId="2D64AD6C" w:rsidR="00BA310C" w:rsidRPr="00EA598F" w:rsidRDefault="00BA310C" w:rsidP="00CB6630">
      <w:pPr>
        <w:pStyle w:val="Default"/>
        <w:spacing w:after="10"/>
        <w:ind w:left="-567" w:right="142"/>
        <w:jc w:val="center"/>
        <w:rPr>
          <w:b/>
          <w:bCs/>
          <w:i/>
          <w:iCs/>
          <w:color w:val="414C1C"/>
          <w:sz w:val="18"/>
          <w:szCs w:val="22"/>
        </w:rPr>
      </w:pPr>
      <w:r w:rsidRPr="00EA598F">
        <w:rPr>
          <w:b/>
          <w:bCs/>
          <w:i/>
          <w:iCs/>
          <w:color w:val="414C1C"/>
          <w:sz w:val="18"/>
          <w:szCs w:val="22"/>
        </w:rPr>
        <w:t>Gráfica 1</w:t>
      </w:r>
      <w:r w:rsidR="00A32C10">
        <w:rPr>
          <w:b/>
          <w:bCs/>
          <w:i/>
          <w:iCs/>
          <w:color w:val="414C1C"/>
          <w:sz w:val="18"/>
          <w:szCs w:val="22"/>
        </w:rPr>
        <w:t>7</w:t>
      </w:r>
      <w:r w:rsidRPr="00EA598F">
        <w:rPr>
          <w:b/>
          <w:bCs/>
          <w:i/>
          <w:iCs/>
          <w:color w:val="414C1C"/>
          <w:sz w:val="18"/>
          <w:szCs w:val="22"/>
        </w:rPr>
        <w:t>.</w:t>
      </w:r>
      <w:r w:rsidRPr="00EA598F">
        <w:rPr>
          <w:sz w:val="22"/>
          <w:szCs w:val="22"/>
        </w:rPr>
        <w:t xml:space="preserve"> </w:t>
      </w:r>
      <w:r w:rsidRPr="00EA598F">
        <w:rPr>
          <w:b/>
          <w:bCs/>
          <w:i/>
          <w:iCs/>
          <w:color w:val="414C1C"/>
          <w:sz w:val="18"/>
          <w:szCs w:val="22"/>
        </w:rPr>
        <w:t xml:space="preserve">Conclusiones efectuadas a las causas penales </w:t>
      </w:r>
      <w:r w:rsidR="00CB6630">
        <w:rPr>
          <w:b/>
          <w:bCs/>
          <w:i/>
          <w:iCs/>
          <w:color w:val="414C1C"/>
          <w:sz w:val="18"/>
          <w:szCs w:val="22"/>
        </w:rPr>
        <w:t>para adultos y adolescentes</w:t>
      </w:r>
      <w:r w:rsidRPr="00EA598F">
        <w:rPr>
          <w:b/>
          <w:bCs/>
          <w:i/>
          <w:iCs/>
          <w:color w:val="414C1C"/>
          <w:sz w:val="18"/>
          <w:szCs w:val="22"/>
        </w:rPr>
        <w:t xml:space="preserve">, por sistema, </w:t>
      </w:r>
      <w:r w:rsidR="00CB6630">
        <w:rPr>
          <w:b/>
          <w:bCs/>
          <w:i/>
          <w:iCs/>
          <w:color w:val="414C1C"/>
          <w:sz w:val="18"/>
          <w:szCs w:val="22"/>
        </w:rPr>
        <w:t>2</w:t>
      </w:r>
      <w:r w:rsidRPr="00EA598F">
        <w:rPr>
          <w:b/>
          <w:bCs/>
          <w:i/>
          <w:iCs/>
          <w:color w:val="414C1C"/>
          <w:sz w:val="18"/>
          <w:szCs w:val="22"/>
        </w:rPr>
        <w:t xml:space="preserve">019 </w:t>
      </w:r>
      <w:r w:rsidR="00EA598F" w:rsidRPr="00EA598F">
        <w:rPr>
          <w:b/>
          <w:bCs/>
          <w:i/>
          <w:iCs/>
          <w:color w:val="414C1C"/>
          <w:sz w:val="18"/>
          <w:szCs w:val="22"/>
        </w:rPr>
        <w:t>a 2020</w:t>
      </w:r>
    </w:p>
    <w:p w14:paraId="547EED6D" w14:textId="77777777" w:rsidR="00EA598F" w:rsidRPr="00317042" w:rsidRDefault="00EA598F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22"/>
          <w:highlight w:val="yellow"/>
        </w:rPr>
      </w:pPr>
    </w:p>
    <w:p w14:paraId="6705453D" w14:textId="3915835A" w:rsidR="00BA310C" w:rsidRPr="000E5724" w:rsidRDefault="00CB6630" w:rsidP="00BA310C">
      <w:pPr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095CF807" wp14:editId="0B36021E">
            <wp:extent cx="5474335" cy="1794294"/>
            <wp:effectExtent l="0" t="0" r="0" b="0"/>
            <wp:docPr id="34" name="Gráfico 34">
              <a:extLst xmlns:a="http://schemas.openxmlformats.org/drawingml/2006/main">
                <a:ext uri="{FF2B5EF4-FFF2-40B4-BE49-F238E27FC236}">
                  <a16:creationId xmlns:a16="http://schemas.microsoft.com/office/drawing/2014/main" id="{B73DE05A-C766-4A88-A473-5B64C16D2F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5593A873" w14:textId="77777777" w:rsidR="002248B5" w:rsidRDefault="002248B5" w:rsidP="00A32C10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28183704" w14:textId="1C39197E" w:rsidR="00A32C10" w:rsidRDefault="00BA310C" w:rsidP="00A32C10">
      <w:pPr>
        <w:ind w:left="-567"/>
        <w:jc w:val="both"/>
        <w:rPr>
          <w:rFonts w:ascii="Arial" w:hAnsi="Arial" w:cs="Arial"/>
          <w:sz w:val="24"/>
          <w:szCs w:val="24"/>
        </w:rPr>
      </w:pPr>
      <w:r w:rsidRPr="003E0BD7">
        <w:rPr>
          <w:rFonts w:ascii="Arial" w:hAnsi="Arial" w:cs="Arial"/>
          <w:sz w:val="24"/>
          <w:szCs w:val="24"/>
        </w:rPr>
        <w:t xml:space="preserve">De las </w:t>
      </w:r>
      <w:r w:rsidR="00EA598F" w:rsidRPr="003E0BD7">
        <w:rPr>
          <w:rFonts w:ascii="Arial" w:hAnsi="Arial" w:cs="Arial"/>
          <w:sz w:val="24"/>
          <w:szCs w:val="24"/>
        </w:rPr>
        <w:t>11</w:t>
      </w:r>
      <w:r w:rsidR="003D0F6F" w:rsidRPr="003E0BD7">
        <w:rPr>
          <w:rFonts w:ascii="Arial" w:hAnsi="Arial" w:cs="Arial"/>
          <w:sz w:val="24"/>
          <w:szCs w:val="24"/>
        </w:rPr>
        <w:t xml:space="preserve"> </w:t>
      </w:r>
      <w:r w:rsidR="00EA598F" w:rsidRPr="003E0BD7">
        <w:rPr>
          <w:rFonts w:ascii="Arial" w:hAnsi="Arial" w:cs="Arial"/>
          <w:sz w:val="24"/>
          <w:szCs w:val="24"/>
        </w:rPr>
        <w:t>3</w:t>
      </w:r>
      <w:r w:rsidR="00BC4629" w:rsidRPr="003E0BD7">
        <w:rPr>
          <w:rFonts w:ascii="Arial" w:hAnsi="Arial" w:cs="Arial"/>
          <w:sz w:val="24"/>
          <w:szCs w:val="24"/>
        </w:rPr>
        <w:t>04</w:t>
      </w:r>
      <w:r w:rsidR="00EA598F" w:rsidRPr="003E0BD7">
        <w:rPr>
          <w:rFonts w:ascii="Arial" w:hAnsi="Arial" w:cs="Arial"/>
          <w:sz w:val="24"/>
          <w:szCs w:val="24"/>
        </w:rPr>
        <w:t xml:space="preserve"> </w:t>
      </w:r>
      <w:r w:rsidRPr="003E0BD7">
        <w:rPr>
          <w:rFonts w:ascii="Arial" w:hAnsi="Arial" w:cs="Arial"/>
          <w:sz w:val="24"/>
          <w:szCs w:val="24"/>
        </w:rPr>
        <w:t xml:space="preserve">conclusiones efectuadas a las causas penales en el Sistema Tradicional, Sistema Escrito o Mixto y Sistema Oral, </w:t>
      </w:r>
      <w:r w:rsidR="00E64FEE" w:rsidRPr="003E0BD7">
        <w:rPr>
          <w:rFonts w:ascii="Arial" w:hAnsi="Arial" w:cs="Arial"/>
          <w:sz w:val="24"/>
          <w:szCs w:val="24"/>
        </w:rPr>
        <w:t>56.9</w:t>
      </w:r>
      <w:r w:rsidRPr="003E0BD7">
        <w:rPr>
          <w:rFonts w:ascii="Arial" w:hAnsi="Arial" w:cs="Arial"/>
          <w:sz w:val="24"/>
          <w:szCs w:val="24"/>
        </w:rPr>
        <w:t>% (</w:t>
      </w:r>
      <w:r w:rsidR="00E64FEE" w:rsidRPr="003E0BD7">
        <w:rPr>
          <w:rFonts w:ascii="Arial" w:hAnsi="Arial" w:cs="Arial"/>
          <w:sz w:val="24"/>
          <w:szCs w:val="24"/>
        </w:rPr>
        <w:t>6 427</w:t>
      </w:r>
      <w:r w:rsidRPr="003E0BD7">
        <w:rPr>
          <w:rFonts w:ascii="Arial" w:hAnsi="Arial" w:cs="Arial"/>
          <w:sz w:val="24"/>
          <w:szCs w:val="24"/>
        </w:rPr>
        <w:t xml:space="preserve">) </w:t>
      </w:r>
      <w:r w:rsidR="00CB6630">
        <w:rPr>
          <w:rFonts w:ascii="Arial" w:hAnsi="Arial" w:cs="Arial"/>
          <w:sz w:val="24"/>
          <w:szCs w:val="24"/>
        </w:rPr>
        <w:t xml:space="preserve">correspondió a </w:t>
      </w:r>
      <w:r w:rsidRPr="003E0BD7">
        <w:rPr>
          <w:rFonts w:ascii="Arial" w:hAnsi="Arial" w:cs="Arial"/>
          <w:sz w:val="24"/>
          <w:szCs w:val="24"/>
        </w:rPr>
        <w:t xml:space="preserve">sobreseimiento, </w:t>
      </w:r>
      <w:r w:rsidR="00E64FEE" w:rsidRPr="003E0BD7">
        <w:rPr>
          <w:rFonts w:ascii="Arial" w:hAnsi="Arial" w:cs="Arial"/>
          <w:sz w:val="24"/>
          <w:szCs w:val="24"/>
        </w:rPr>
        <w:t>28.4</w:t>
      </w:r>
      <w:r w:rsidRPr="003E0BD7">
        <w:rPr>
          <w:rFonts w:ascii="Arial" w:hAnsi="Arial" w:cs="Arial"/>
          <w:sz w:val="24"/>
          <w:szCs w:val="24"/>
        </w:rPr>
        <w:t xml:space="preserve">%                </w:t>
      </w:r>
      <w:proofErr w:type="gramStart"/>
      <w:r w:rsidRPr="003E0BD7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3E0BD7" w:rsidRPr="003E0BD7">
        <w:rPr>
          <w:rFonts w:ascii="Arial" w:hAnsi="Arial" w:cs="Arial"/>
          <w:sz w:val="24"/>
          <w:szCs w:val="24"/>
        </w:rPr>
        <w:t>3 211</w:t>
      </w:r>
      <w:r w:rsidRPr="003E0BD7">
        <w:rPr>
          <w:rFonts w:ascii="Arial" w:hAnsi="Arial" w:cs="Arial"/>
          <w:sz w:val="24"/>
          <w:szCs w:val="24"/>
        </w:rPr>
        <w:t xml:space="preserve">) </w:t>
      </w:r>
      <w:r w:rsidR="00874453">
        <w:rPr>
          <w:rFonts w:ascii="Arial" w:hAnsi="Arial" w:cs="Arial"/>
          <w:sz w:val="24"/>
          <w:szCs w:val="24"/>
        </w:rPr>
        <w:t>a</w:t>
      </w:r>
      <w:r w:rsidRPr="003E0BD7">
        <w:rPr>
          <w:rFonts w:ascii="Arial" w:hAnsi="Arial" w:cs="Arial"/>
          <w:sz w:val="24"/>
          <w:szCs w:val="24"/>
        </w:rPr>
        <w:t xml:space="preserve"> sentencia y </w:t>
      </w:r>
      <w:r w:rsidR="003E0BD7" w:rsidRPr="003E0BD7">
        <w:rPr>
          <w:rFonts w:ascii="Arial" w:hAnsi="Arial" w:cs="Arial"/>
          <w:sz w:val="24"/>
          <w:szCs w:val="24"/>
        </w:rPr>
        <w:t>14.7</w:t>
      </w:r>
      <w:r w:rsidRPr="003E0BD7">
        <w:rPr>
          <w:rFonts w:ascii="Arial" w:hAnsi="Arial" w:cs="Arial"/>
          <w:sz w:val="24"/>
          <w:szCs w:val="24"/>
        </w:rPr>
        <w:t xml:space="preserve">% (1 </w:t>
      </w:r>
      <w:r w:rsidR="003E0BD7" w:rsidRPr="003E0BD7">
        <w:rPr>
          <w:rFonts w:ascii="Arial" w:hAnsi="Arial" w:cs="Arial"/>
          <w:sz w:val="24"/>
          <w:szCs w:val="24"/>
        </w:rPr>
        <w:t>666</w:t>
      </w:r>
      <w:r w:rsidRPr="003E0BD7">
        <w:rPr>
          <w:rFonts w:ascii="Arial" w:hAnsi="Arial" w:cs="Arial"/>
          <w:sz w:val="24"/>
          <w:szCs w:val="24"/>
        </w:rPr>
        <w:t xml:space="preserve">) </w:t>
      </w:r>
      <w:r w:rsidR="00874453">
        <w:rPr>
          <w:rFonts w:ascii="Arial" w:hAnsi="Arial" w:cs="Arial"/>
          <w:sz w:val="24"/>
          <w:szCs w:val="24"/>
        </w:rPr>
        <w:t>a otro tipo de conclusión</w:t>
      </w:r>
      <w:r w:rsidRPr="003E0BD7">
        <w:rPr>
          <w:rFonts w:ascii="Arial" w:hAnsi="Arial" w:cs="Arial"/>
          <w:sz w:val="24"/>
          <w:szCs w:val="24"/>
        </w:rPr>
        <w:t>.</w:t>
      </w:r>
      <w:r w:rsidR="003E0BD7" w:rsidRPr="003E0BD7">
        <w:rPr>
          <w:rFonts w:ascii="Arial" w:hAnsi="Arial" w:cs="Arial"/>
          <w:sz w:val="24"/>
          <w:szCs w:val="24"/>
        </w:rPr>
        <w:t xml:space="preserve"> En comparación con lo reportado en 2019, las conclusiones en dichos sistemas disminuyeron 48.8 por ciento.</w:t>
      </w:r>
    </w:p>
    <w:p w14:paraId="014D95E7" w14:textId="77777777" w:rsidR="00A32C10" w:rsidRPr="002248B5" w:rsidRDefault="00A32C10" w:rsidP="00A32C10">
      <w:pPr>
        <w:spacing w:after="0"/>
        <w:ind w:left="-567"/>
        <w:jc w:val="both"/>
        <w:rPr>
          <w:rFonts w:ascii="Arial" w:hAnsi="Arial" w:cs="Arial"/>
        </w:rPr>
      </w:pPr>
    </w:p>
    <w:p w14:paraId="4B3C16BD" w14:textId="18EA69FD" w:rsidR="00BA310C" w:rsidRPr="00BC4629" w:rsidRDefault="00BA310C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</w:rPr>
      </w:pPr>
      <w:r w:rsidRPr="00BC4629">
        <w:rPr>
          <w:b/>
          <w:bCs/>
          <w:i/>
          <w:iCs/>
          <w:color w:val="414C1C"/>
          <w:sz w:val="18"/>
          <w:szCs w:val="18"/>
        </w:rPr>
        <w:t xml:space="preserve">Gráfica </w:t>
      </w:r>
      <w:r w:rsidR="00A32C10">
        <w:rPr>
          <w:b/>
          <w:bCs/>
          <w:i/>
          <w:iCs/>
          <w:color w:val="414C1C"/>
          <w:sz w:val="18"/>
          <w:szCs w:val="18"/>
        </w:rPr>
        <w:t>18</w:t>
      </w:r>
      <w:r w:rsidRPr="00BC4629">
        <w:rPr>
          <w:b/>
          <w:bCs/>
          <w:i/>
          <w:iCs/>
          <w:color w:val="414C1C"/>
          <w:sz w:val="18"/>
          <w:szCs w:val="18"/>
        </w:rPr>
        <w:t>.</w:t>
      </w:r>
      <w:r w:rsidRPr="00BC4629">
        <w:rPr>
          <w:sz w:val="18"/>
          <w:szCs w:val="18"/>
        </w:rPr>
        <w:t xml:space="preserve"> </w:t>
      </w:r>
      <w:r w:rsidR="00EC6879" w:rsidRPr="00EC6879">
        <w:rPr>
          <w:b/>
          <w:bCs/>
          <w:i/>
          <w:iCs/>
          <w:color w:val="414C1C"/>
          <w:sz w:val="18"/>
          <w:szCs w:val="18"/>
        </w:rPr>
        <w:t>C</w:t>
      </w:r>
      <w:r w:rsidRPr="00BC4629">
        <w:rPr>
          <w:b/>
          <w:bCs/>
          <w:i/>
          <w:iCs/>
          <w:color w:val="414C1C"/>
          <w:sz w:val="18"/>
          <w:szCs w:val="18"/>
        </w:rPr>
        <w:t xml:space="preserve">onclusiones efectuadas a las causas penales en el Sistema Tradicional, Sistema Escrito o Mixto y Sistema Oral, por tipo, 2019 </w:t>
      </w:r>
      <w:r w:rsidR="00BC4629" w:rsidRPr="00BC4629">
        <w:rPr>
          <w:b/>
          <w:bCs/>
          <w:i/>
          <w:iCs/>
          <w:color w:val="414C1C"/>
          <w:sz w:val="18"/>
          <w:szCs w:val="18"/>
        </w:rPr>
        <w:t>a 2020</w:t>
      </w:r>
    </w:p>
    <w:p w14:paraId="5B41204F" w14:textId="77777777" w:rsidR="00BA310C" w:rsidRPr="000E5724" w:rsidRDefault="00BA310C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20"/>
          <w:highlight w:val="yellow"/>
        </w:rPr>
      </w:pPr>
    </w:p>
    <w:p w14:paraId="6C8153C2" w14:textId="4BA61ECC" w:rsidR="00BA310C" w:rsidRPr="000E5724" w:rsidRDefault="003E0BD7" w:rsidP="00BA310C">
      <w:pPr>
        <w:ind w:left="-567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3EF84848" wp14:editId="7091F1B6">
            <wp:extent cx="5941060" cy="1957705"/>
            <wp:effectExtent l="0" t="0" r="2540" b="4445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CB19E08F-C6E8-465A-B01E-6E1EF5C87D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68C199BE" w14:textId="0FB1AF1A" w:rsidR="00C32A02" w:rsidRPr="00634779" w:rsidRDefault="00BA310C" w:rsidP="00C303DB">
      <w:pPr>
        <w:spacing w:after="0" w:line="240" w:lineRule="auto"/>
        <w:ind w:left="-567"/>
        <w:jc w:val="both"/>
        <w:rPr>
          <w:rFonts w:ascii="Arial" w:hAnsi="Arial" w:cs="Arial"/>
          <w:spacing w:val="-2"/>
          <w:sz w:val="24"/>
          <w:szCs w:val="24"/>
        </w:rPr>
      </w:pPr>
      <w:r w:rsidRPr="00634779">
        <w:rPr>
          <w:rFonts w:ascii="Arial" w:hAnsi="Arial" w:cs="Arial"/>
          <w:spacing w:val="-2"/>
          <w:sz w:val="24"/>
          <w:szCs w:val="24"/>
        </w:rPr>
        <w:lastRenderedPageBreak/>
        <w:t>Respecto a</w:t>
      </w:r>
      <w:r w:rsidR="00C32A02" w:rsidRPr="00634779">
        <w:rPr>
          <w:rFonts w:ascii="Arial" w:hAnsi="Arial" w:cs="Arial"/>
          <w:spacing w:val="-2"/>
          <w:sz w:val="24"/>
          <w:szCs w:val="24"/>
        </w:rPr>
        <w:t xml:space="preserve"> las </w:t>
      </w:r>
      <w:r w:rsidR="004F2158" w:rsidRPr="004F2158">
        <w:rPr>
          <w:rFonts w:ascii="Arial" w:hAnsi="Arial" w:cs="Arial"/>
          <w:spacing w:val="-2"/>
          <w:sz w:val="24"/>
          <w:szCs w:val="24"/>
        </w:rPr>
        <w:t>91</w:t>
      </w:r>
      <w:r w:rsidR="004F2158">
        <w:rPr>
          <w:rFonts w:ascii="Arial" w:hAnsi="Arial" w:cs="Arial"/>
          <w:spacing w:val="-2"/>
          <w:sz w:val="24"/>
          <w:szCs w:val="24"/>
        </w:rPr>
        <w:t xml:space="preserve"> </w:t>
      </w:r>
      <w:r w:rsidR="004F2158" w:rsidRPr="004F2158">
        <w:rPr>
          <w:rFonts w:ascii="Arial" w:hAnsi="Arial" w:cs="Arial"/>
          <w:spacing w:val="-2"/>
          <w:sz w:val="24"/>
          <w:szCs w:val="24"/>
        </w:rPr>
        <w:t xml:space="preserve">295 </w:t>
      </w:r>
      <w:r w:rsidR="00C32A02" w:rsidRPr="00634779">
        <w:rPr>
          <w:rFonts w:ascii="Arial" w:hAnsi="Arial" w:cs="Arial"/>
          <w:spacing w:val="-2"/>
          <w:sz w:val="24"/>
          <w:szCs w:val="24"/>
        </w:rPr>
        <w:t>conclusiones en</w:t>
      </w:r>
      <w:r w:rsidRPr="00634779">
        <w:rPr>
          <w:rFonts w:ascii="Arial" w:hAnsi="Arial" w:cs="Arial"/>
          <w:spacing w:val="-2"/>
          <w:sz w:val="24"/>
          <w:szCs w:val="24"/>
        </w:rPr>
        <w:t xml:space="preserve"> los </w:t>
      </w:r>
      <w:r w:rsidR="00C32A02" w:rsidRPr="00634779">
        <w:rPr>
          <w:rFonts w:ascii="Arial" w:hAnsi="Arial" w:cs="Arial"/>
          <w:spacing w:val="-2"/>
          <w:sz w:val="24"/>
          <w:szCs w:val="24"/>
        </w:rPr>
        <w:t>j</w:t>
      </w:r>
      <w:r w:rsidRPr="00634779">
        <w:rPr>
          <w:rFonts w:ascii="Arial" w:hAnsi="Arial" w:cs="Arial"/>
          <w:spacing w:val="-2"/>
          <w:sz w:val="24"/>
          <w:szCs w:val="24"/>
        </w:rPr>
        <w:t xml:space="preserve">uzgados de </w:t>
      </w:r>
      <w:r w:rsidR="00C32A02" w:rsidRPr="00634779">
        <w:rPr>
          <w:rFonts w:ascii="Arial" w:hAnsi="Arial" w:cs="Arial"/>
          <w:spacing w:val="-2"/>
          <w:sz w:val="24"/>
          <w:szCs w:val="24"/>
        </w:rPr>
        <w:t>c</w:t>
      </w:r>
      <w:r w:rsidRPr="00634779">
        <w:rPr>
          <w:rFonts w:ascii="Arial" w:hAnsi="Arial" w:cs="Arial"/>
          <w:spacing w:val="-2"/>
          <w:sz w:val="24"/>
          <w:szCs w:val="24"/>
        </w:rPr>
        <w:t xml:space="preserve">ontrol o </w:t>
      </w:r>
      <w:r w:rsidR="00C32A02" w:rsidRPr="00634779">
        <w:rPr>
          <w:rFonts w:ascii="Arial" w:hAnsi="Arial" w:cs="Arial"/>
          <w:spacing w:val="-2"/>
          <w:sz w:val="24"/>
          <w:szCs w:val="24"/>
        </w:rPr>
        <w:t>g</w:t>
      </w:r>
      <w:r w:rsidRPr="00634779">
        <w:rPr>
          <w:rFonts w:ascii="Arial" w:hAnsi="Arial" w:cs="Arial"/>
          <w:spacing w:val="-2"/>
          <w:sz w:val="24"/>
          <w:szCs w:val="24"/>
        </w:rPr>
        <w:t>arantías en el Sistema Penal Acusatorio y en el Sistema Integral de Justicia Penal para Adolescentes,</w:t>
      </w:r>
      <w:r w:rsidR="00C32A02" w:rsidRPr="00634779">
        <w:rPr>
          <w:rFonts w:ascii="Arial" w:hAnsi="Arial" w:cs="Arial"/>
          <w:spacing w:val="-2"/>
          <w:sz w:val="24"/>
          <w:szCs w:val="24"/>
        </w:rPr>
        <w:t xml:space="preserve"> se reportó un aumento de 7.6% con respecto a 2019.</w:t>
      </w:r>
      <w:r w:rsidR="0030634A" w:rsidRPr="00634779">
        <w:rPr>
          <w:rFonts w:ascii="Arial" w:hAnsi="Arial" w:cs="Arial"/>
          <w:spacing w:val="-2"/>
          <w:sz w:val="24"/>
          <w:szCs w:val="24"/>
        </w:rPr>
        <w:t xml:space="preserve"> </w:t>
      </w:r>
      <w:r w:rsidR="004F2158">
        <w:rPr>
          <w:rFonts w:ascii="Arial" w:hAnsi="Arial" w:cs="Arial"/>
          <w:spacing w:val="-2"/>
          <w:sz w:val="24"/>
          <w:szCs w:val="24"/>
        </w:rPr>
        <w:t>D</w:t>
      </w:r>
      <w:r w:rsidR="00441B45">
        <w:rPr>
          <w:rFonts w:ascii="Arial" w:hAnsi="Arial" w:cs="Arial"/>
          <w:spacing w:val="-2"/>
          <w:sz w:val="24"/>
          <w:szCs w:val="24"/>
        </w:rPr>
        <w:t>el total</w:t>
      </w:r>
      <w:r w:rsidR="004F2158">
        <w:rPr>
          <w:rFonts w:ascii="Arial" w:hAnsi="Arial" w:cs="Arial"/>
          <w:spacing w:val="-2"/>
          <w:sz w:val="24"/>
          <w:szCs w:val="24"/>
        </w:rPr>
        <w:t>,</w:t>
      </w:r>
      <w:r w:rsidR="000A276A" w:rsidRPr="00634779">
        <w:rPr>
          <w:rFonts w:ascii="Arial" w:hAnsi="Arial" w:cs="Arial"/>
          <w:spacing w:val="-2"/>
          <w:sz w:val="24"/>
          <w:szCs w:val="24"/>
        </w:rPr>
        <w:t xml:space="preserve"> 17.5% (15 9</w:t>
      </w:r>
      <w:r w:rsidR="00CA2DD7">
        <w:rPr>
          <w:rFonts w:ascii="Arial" w:hAnsi="Arial" w:cs="Arial"/>
          <w:spacing w:val="-2"/>
          <w:sz w:val="24"/>
          <w:szCs w:val="24"/>
        </w:rPr>
        <w:t>60</w:t>
      </w:r>
      <w:r w:rsidR="000A276A" w:rsidRPr="00634779">
        <w:rPr>
          <w:rFonts w:ascii="Arial" w:hAnsi="Arial" w:cs="Arial"/>
          <w:spacing w:val="-2"/>
          <w:sz w:val="24"/>
          <w:szCs w:val="24"/>
        </w:rPr>
        <w:t>)</w:t>
      </w:r>
      <w:r w:rsidR="0031693B">
        <w:rPr>
          <w:rFonts w:ascii="Arial" w:hAnsi="Arial" w:cs="Arial"/>
          <w:spacing w:val="-2"/>
          <w:sz w:val="24"/>
          <w:szCs w:val="24"/>
        </w:rPr>
        <w:t xml:space="preserve"> de las</w:t>
      </w:r>
      <w:r w:rsidR="000A276A" w:rsidRPr="00634779">
        <w:rPr>
          <w:rFonts w:ascii="Arial" w:hAnsi="Arial" w:cs="Arial"/>
          <w:spacing w:val="-2"/>
          <w:sz w:val="24"/>
          <w:szCs w:val="24"/>
        </w:rPr>
        <w:t xml:space="preserve"> </w:t>
      </w:r>
      <w:r w:rsidR="004F2158">
        <w:rPr>
          <w:rFonts w:ascii="Arial" w:hAnsi="Arial" w:cs="Arial"/>
          <w:spacing w:val="-2"/>
          <w:sz w:val="24"/>
          <w:szCs w:val="24"/>
        </w:rPr>
        <w:t>conclusiones correspondi</w:t>
      </w:r>
      <w:r w:rsidR="0031693B">
        <w:rPr>
          <w:rFonts w:ascii="Arial" w:hAnsi="Arial" w:cs="Arial"/>
          <w:spacing w:val="-2"/>
          <w:sz w:val="24"/>
          <w:szCs w:val="24"/>
        </w:rPr>
        <w:t>ó</w:t>
      </w:r>
      <w:r w:rsidR="004F2158">
        <w:rPr>
          <w:rFonts w:ascii="Arial" w:hAnsi="Arial" w:cs="Arial"/>
          <w:spacing w:val="-2"/>
          <w:sz w:val="24"/>
          <w:szCs w:val="24"/>
        </w:rPr>
        <w:t xml:space="preserve"> a</w:t>
      </w:r>
      <w:r w:rsidR="000A276A" w:rsidRPr="00634779">
        <w:rPr>
          <w:rFonts w:ascii="Arial" w:hAnsi="Arial" w:cs="Arial"/>
          <w:spacing w:val="-2"/>
          <w:sz w:val="24"/>
          <w:szCs w:val="24"/>
        </w:rPr>
        <w:t xml:space="preserve"> sentencias definitivas </w:t>
      </w:r>
      <w:r w:rsidR="00B351FF" w:rsidRPr="00634779">
        <w:rPr>
          <w:rFonts w:ascii="Arial" w:hAnsi="Arial" w:cs="Arial"/>
          <w:spacing w:val="-2"/>
          <w:sz w:val="24"/>
          <w:szCs w:val="24"/>
        </w:rPr>
        <w:t>en</w:t>
      </w:r>
      <w:r w:rsidR="000A276A" w:rsidRPr="00634779">
        <w:rPr>
          <w:rFonts w:ascii="Arial" w:hAnsi="Arial" w:cs="Arial"/>
          <w:spacing w:val="-2"/>
          <w:sz w:val="24"/>
          <w:szCs w:val="24"/>
        </w:rPr>
        <w:t xml:space="preserve"> procedimiento abreviado, 14.8% (13</w:t>
      </w:r>
      <w:r w:rsidR="00B351FF" w:rsidRPr="00634779">
        <w:rPr>
          <w:rFonts w:ascii="Arial" w:hAnsi="Arial" w:cs="Arial"/>
          <w:spacing w:val="-2"/>
          <w:sz w:val="24"/>
          <w:szCs w:val="24"/>
        </w:rPr>
        <w:t xml:space="preserve"> </w:t>
      </w:r>
      <w:r w:rsidR="000A276A" w:rsidRPr="00634779">
        <w:rPr>
          <w:rFonts w:ascii="Arial" w:hAnsi="Arial" w:cs="Arial"/>
          <w:spacing w:val="-2"/>
          <w:sz w:val="24"/>
          <w:szCs w:val="24"/>
        </w:rPr>
        <w:t xml:space="preserve">457) </w:t>
      </w:r>
      <w:r w:rsidR="004F2158">
        <w:rPr>
          <w:rFonts w:ascii="Arial" w:hAnsi="Arial" w:cs="Arial"/>
          <w:spacing w:val="-2"/>
          <w:sz w:val="24"/>
          <w:szCs w:val="24"/>
        </w:rPr>
        <w:t>a</w:t>
      </w:r>
      <w:r w:rsidR="000A276A" w:rsidRPr="00634779">
        <w:rPr>
          <w:rFonts w:ascii="Arial" w:hAnsi="Arial" w:cs="Arial"/>
          <w:spacing w:val="-2"/>
          <w:sz w:val="24"/>
          <w:szCs w:val="24"/>
        </w:rPr>
        <w:t xml:space="preserve"> soluciones alternas, 7.8% (7 144) </w:t>
      </w:r>
      <w:r w:rsidR="004F2158">
        <w:rPr>
          <w:rFonts w:ascii="Arial" w:hAnsi="Arial" w:cs="Arial"/>
          <w:spacing w:val="-2"/>
          <w:sz w:val="24"/>
          <w:szCs w:val="24"/>
        </w:rPr>
        <w:t>a</w:t>
      </w:r>
      <w:r w:rsidR="004C57B7" w:rsidRPr="00634779">
        <w:rPr>
          <w:rFonts w:ascii="Arial" w:hAnsi="Arial" w:cs="Arial"/>
          <w:spacing w:val="-2"/>
          <w:sz w:val="24"/>
          <w:szCs w:val="24"/>
        </w:rPr>
        <w:t xml:space="preserve"> sobreseimiento, 7.2% (6</w:t>
      </w:r>
      <w:r w:rsidR="00CA2DD7">
        <w:rPr>
          <w:rFonts w:ascii="Arial" w:hAnsi="Arial" w:cs="Arial"/>
          <w:spacing w:val="-2"/>
          <w:sz w:val="24"/>
          <w:szCs w:val="24"/>
        </w:rPr>
        <w:t xml:space="preserve"> </w:t>
      </w:r>
      <w:r w:rsidR="004C57B7" w:rsidRPr="00634779">
        <w:rPr>
          <w:rFonts w:ascii="Arial" w:hAnsi="Arial" w:cs="Arial"/>
          <w:spacing w:val="-2"/>
          <w:sz w:val="24"/>
          <w:szCs w:val="24"/>
        </w:rPr>
        <w:t xml:space="preserve">614) </w:t>
      </w:r>
      <w:r w:rsidR="00AF0CC4">
        <w:rPr>
          <w:rFonts w:ascii="Arial" w:hAnsi="Arial" w:cs="Arial"/>
          <w:spacing w:val="-2"/>
          <w:sz w:val="24"/>
          <w:szCs w:val="24"/>
        </w:rPr>
        <w:t>a</w:t>
      </w:r>
      <w:r w:rsidR="004C57B7" w:rsidRPr="00634779">
        <w:rPr>
          <w:rFonts w:ascii="Arial" w:hAnsi="Arial" w:cs="Arial"/>
          <w:spacing w:val="-2"/>
          <w:sz w:val="24"/>
          <w:szCs w:val="24"/>
        </w:rPr>
        <w:t xml:space="preserve"> apertura de juicio oral</w:t>
      </w:r>
      <w:r w:rsidR="00B351FF" w:rsidRPr="00634779">
        <w:rPr>
          <w:rFonts w:ascii="Arial" w:hAnsi="Arial" w:cs="Arial"/>
          <w:spacing w:val="-2"/>
          <w:sz w:val="24"/>
          <w:szCs w:val="24"/>
        </w:rPr>
        <w:t xml:space="preserve">, </w:t>
      </w:r>
      <w:r w:rsidR="00441B45">
        <w:rPr>
          <w:rFonts w:ascii="Arial" w:hAnsi="Arial" w:cs="Arial"/>
          <w:spacing w:val="-2"/>
          <w:sz w:val="24"/>
          <w:szCs w:val="24"/>
        </w:rPr>
        <w:t xml:space="preserve">en </w:t>
      </w:r>
      <w:r w:rsidR="00B351FF" w:rsidRPr="00634779">
        <w:rPr>
          <w:rFonts w:ascii="Arial" w:hAnsi="Arial" w:cs="Arial"/>
          <w:spacing w:val="-2"/>
          <w:sz w:val="24"/>
          <w:szCs w:val="24"/>
        </w:rPr>
        <w:t xml:space="preserve">37.9% (34 584) </w:t>
      </w:r>
      <w:r w:rsidR="00441B45">
        <w:rPr>
          <w:rFonts w:ascii="Arial" w:hAnsi="Arial" w:cs="Arial"/>
          <w:spacing w:val="-2"/>
          <w:sz w:val="24"/>
          <w:szCs w:val="24"/>
        </w:rPr>
        <w:t xml:space="preserve">se reportó </w:t>
      </w:r>
      <w:r w:rsidR="00B351FF" w:rsidRPr="00634779">
        <w:rPr>
          <w:rFonts w:ascii="Arial" w:hAnsi="Arial" w:cs="Arial"/>
          <w:spacing w:val="-2"/>
          <w:sz w:val="24"/>
          <w:szCs w:val="24"/>
        </w:rPr>
        <w:t xml:space="preserve">otro tipo y para 14.8% (13 536) no se especificó el tipo de resolución. </w:t>
      </w:r>
    </w:p>
    <w:p w14:paraId="693AD8E9" w14:textId="798E4422" w:rsidR="00B351FF" w:rsidRDefault="00B351FF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highlight w:val="yellow"/>
        </w:rPr>
      </w:pPr>
    </w:p>
    <w:p w14:paraId="61D8D59E" w14:textId="77777777" w:rsidR="00441B45" w:rsidRDefault="00441B45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highlight w:val="yellow"/>
        </w:rPr>
      </w:pPr>
    </w:p>
    <w:p w14:paraId="6331F6E2" w14:textId="5DD3ADE2" w:rsidR="00BA310C" w:rsidRDefault="00BA310C" w:rsidP="00573821">
      <w:pPr>
        <w:pStyle w:val="Default"/>
        <w:spacing w:after="10"/>
        <w:ind w:left="-426"/>
        <w:jc w:val="center"/>
        <w:rPr>
          <w:b/>
          <w:bCs/>
          <w:i/>
          <w:iCs/>
          <w:color w:val="414C1C"/>
          <w:sz w:val="18"/>
        </w:rPr>
      </w:pPr>
      <w:r w:rsidRPr="00B42ECA">
        <w:rPr>
          <w:b/>
          <w:bCs/>
          <w:i/>
          <w:iCs/>
          <w:color w:val="414C1C"/>
          <w:sz w:val="18"/>
        </w:rPr>
        <w:t xml:space="preserve">Gráfica </w:t>
      </w:r>
      <w:r w:rsidR="00A32C10">
        <w:rPr>
          <w:b/>
          <w:bCs/>
          <w:i/>
          <w:iCs/>
          <w:color w:val="414C1C"/>
          <w:sz w:val="18"/>
        </w:rPr>
        <w:t>19</w:t>
      </w:r>
      <w:r w:rsidRPr="00B42ECA">
        <w:rPr>
          <w:b/>
          <w:bCs/>
          <w:i/>
          <w:iCs/>
          <w:color w:val="414C1C"/>
          <w:sz w:val="18"/>
        </w:rPr>
        <w:t>.</w:t>
      </w:r>
      <w:r w:rsidR="00B42ECA" w:rsidRPr="00B42ECA">
        <w:rPr>
          <w:b/>
          <w:bCs/>
          <w:i/>
          <w:iCs/>
          <w:color w:val="414C1C"/>
          <w:sz w:val="18"/>
        </w:rPr>
        <w:t xml:space="preserve"> Co</w:t>
      </w:r>
      <w:r w:rsidRPr="00B42ECA">
        <w:rPr>
          <w:b/>
          <w:bCs/>
          <w:i/>
          <w:iCs/>
          <w:color w:val="414C1C"/>
          <w:sz w:val="18"/>
        </w:rPr>
        <w:t>nclusiones efectuadas a las causas penales en el Sistema Penal Acusatorio y Sistema Integral de Justicia Penal para Adolescentes (</w:t>
      </w:r>
      <w:r w:rsidR="00441B45">
        <w:rPr>
          <w:b/>
          <w:bCs/>
          <w:i/>
          <w:iCs/>
          <w:color w:val="414C1C"/>
          <w:sz w:val="18"/>
        </w:rPr>
        <w:t>j</w:t>
      </w:r>
      <w:r w:rsidRPr="00B42ECA">
        <w:rPr>
          <w:b/>
          <w:bCs/>
          <w:i/>
          <w:iCs/>
          <w:color w:val="414C1C"/>
          <w:sz w:val="18"/>
        </w:rPr>
        <w:t xml:space="preserve">uzgados de </w:t>
      </w:r>
      <w:r w:rsidR="00441B45">
        <w:rPr>
          <w:b/>
          <w:bCs/>
          <w:i/>
          <w:iCs/>
          <w:color w:val="414C1C"/>
          <w:sz w:val="18"/>
        </w:rPr>
        <w:t>c</w:t>
      </w:r>
      <w:r w:rsidRPr="00B42ECA">
        <w:rPr>
          <w:b/>
          <w:bCs/>
          <w:i/>
          <w:iCs/>
          <w:color w:val="414C1C"/>
          <w:sz w:val="18"/>
        </w:rPr>
        <w:t xml:space="preserve">ontrol o </w:t>
      </w:r>
      <w:r w:rsidR="00441B45">
        <w:rPr>
          <w:b/>
          <w:bCs/>
          <w:i/>
          <w:iCs/>
          <w:color w:val="414C1C"/>
          <w:sz w:val="18"/>
        </w:rPr>
        <w:t>g</w:t>
      </w:r>
      <w:r w:rsidRPr="00B42ECA">
        <w:rPr>
          <w:b/>
          <w:bCs/>
          <w:i/>
          <w:iCs/>
          <w:color w:val="414C1C"/>
          <w:sz w:val="18"/>
        </w:rPr>
        <w:t xml:space="preserve">arantías), por tipo, 2019 </w:t>
      </w:r>
      <w:r w:rsidR="00573821">
        <w:rPr>
          <w:b/>
          <w:bCs/>
          <w:i/>
          <w:iCs/>
          <w:color w:val="414C1C"/>
          <w:sz w:val="18"/>
        </w:rPr>
        <w:t>a 2020</w:t>
      </w:r>
    </w:p>
    <w:p w14:paraId="56123FD8" w14:textId="77777777" w:rsidR="0082320E" w:rsidRPr="00B42ECA" w:rsidRDefault="0082320E" w:rsidP="00573821">
      <w:pPr>
        <w:pStyle w:val="Default"/>
        <w:spacing w:after="10"/>
        <w:ind w:left="-426"/>
        <w:jc w:val="center"/>
        <w:rPr>
          <w:b/>
          <w:bCs/>
          <w:i/>
          <w:iCs/>
          <w:color w:val="414C1C"/>
          <w:sz w:val="18"/>
        </w:rPr>
      </w:pPr>
    </w:p>
    <w:p w14:paraId="0ED92C1F" w14:textId="4CDA834F" w:rsidR="00BA310C" w:rsidRDefault="00B351FF" w:rsidP="00BA310C">
      <w:pPr>
        <w:pStyle w:val="Default"/>
        <w:spacing w:after="10"/>
        <w:ind w:left="-993"/>
        <w:rPr>
          <w:b/>
          <w:bCs/>
          <w:i/>
          <w:iCs/>
          <w:sz w:val="20"/>
          <w:szCs w:val="20"/>
          <w:highlight w:val="yellow"/>
          <w:lang w:val="es-ES_tradnl"/>
        </w:rPr>
      </w:pPr>
      <w:r>
        <w:rPr>
          <w:noProof/>
        </w:rPr>
        <w:drawing>
          <wp:inline distT="0" distB="0" distL="0" distR="0" wp14:anchorId="75EC534D" wp14:editId="06195170">
            <wp:extent cx="6910705" cy="2530549"/>
            <wp:effectExtent l="0" t="0" r="4445" b="3175"/>
            <wp:docPr id="30" name="Gráfico 30">
              <a:extLst xmlns:a="http://schemas.openxmlformats.org/drawingml/2006/main">
                <a:ext uri="{FF2B5EF4-FFF2-40B4-BE49-F238E27FC236}">
                  <a16:creationId xmlns:a16="http://schemas.microsoft.com/office/drawing/2014/main" id="{8F2B898A-329F-4EC1-8E8A-8D33997DD6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7BD1F4EA" w14:textId="19C95C19" w:rsidR="006B3BBF" w:rsidRDefault="006B3BBF" w:rsidP="00BA310C">
      <w:pPr>
        <w:pStyle w:val="Default"/>
        <w:spacing w:after="10"/>
        <w:ind w:left="-993"/>
        <w:rPr>
          <w:b/>
          <w:bCs/>
          <w:i/>
          <w:iCs/>
          <w:sz w:val="20"/>
          <w:szCs w:val="20"/>
          <w:highlight w:val="yellow"/>
          <w:lang w:val="es-ES_tradnl"/>
        </w:rPr>
      </w:pPr>
    </w:p>
    <w:p w14:paraId="5CDEF449" w14:textId="77777777" w:rsidR="00441B45" w:rsidRPr="000E5724" w:rsidRDefault="00441B45" w:rsidP="00BA310C">
      <w:pPr>
        <w:pStyle w:val="Default"/>
        <w:spacing w:after="10"/>
        <w:ind w:left="-993"/>
        <w:rPr>
          <w:b/>
          <w:bCs/>
          <w:i/>
          <w:iCs/>
          <w:sz w:val="20"/>
          <w:szCs w:val="20"/>
          <w:highlight w:val="yellow"/>
          <w:lang w:val="es-ES_tradnl"/>
        </w:rPr>
      </w:pPr>
    </w:p>
    <w:p w14:paraId="33E119D6" w14:textId="5688059C" w:rsidR="00C303DB" w:rsidRDefault="00C303DB" w:rsidP="00BA310C">
      <w:pPr>
        <w:ind w:left="-56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B6EAD53" w14:textId="7717ACBA" w:rsidR="00BA310C" w:rsidRDefault="00BA310C" w:rsidP="00B43513">
      <w:pPr>
        <w:spacing w:after="0"/>
        <w:ind w:left="-567"/>
        <w:jc w:val="both"/>
        <w:rPr>
          <w:rFonts w:ascii="Arial" w:hAnsi="Arial" w:cs="Arial"/>
          <w:spacing w:val="-4"/>
          <w:sz w:val="24"/>
          <w:szCs w:val="24"/>
        </w:rPr>
      </w:pPr>
      <w:r w:rsidRPr="00A32C10">
        <w:rPr>
          <w:rFonts w:ascii="Arial" w:hAnsi="Arial" w:cs="Arial"/>
          <w:spacing w:val="-4"/>
          <w:sz w:val="24"/>
          <w:szCs w:val="24"/>
        </w:rPr>
        <w:t xml:space="preserve">En cuanto a los </w:t>
      </w:r>
      <w:r w:rsidR="002612D4" w:rsidRPr="00A32C10">
        <w:rPr>
          <w:rFonts w:ascii="Arial" w:hAnsi="Arial" w:cs="Arial"/>
          <w:spacing w:val="-4"/>
          <w:sz w:val="24"/>
          <w:szCs w:val="24"/>
        </w:rPr>
        <w:t>t</w:t>
      </w:r>
      <w:r w:rsidRPr="00A32C10">
        <w:rPr>
          <w:rFonts w:ascii="Arial" w:hAnsi="Arial" w:cs="Arial"/>
          <w:spacing w:val="-4"/>
          <w:sz w:val="24"/>
          <w:szCs w:val="24"/>
        </w:rPr>
        <w:t xml:space="preserve">ribunales de </w:t>
      </w:r>
      <w:r w:rsidR="002612D4" w:rsidRPr="00A32C10">
        <w:rPr>
          <w:rFonts w:ascii="Arial" w:hAnsi="Arial" w:cs="Arial"/>
          <w:spacing w:val="-4"/>
          <w:sz w:val="24"/>
          <w:szCs w:val="24"/>
        </w:rPr>
        <w:t>e</w:t>
      </w:r>
      <w:r w:rsidRPr="00A32C10">
        <w:rPr>
          <w:rFonts w:ascii="Arial" w:hAnsi="Arial" w:cs="Arial"/>
          <w:spacing w:val="-4"/>
          <w:sz w:val="24"/>
          <w:szCs w:val="24"/>
        </w:rPr>
        <w:t>njuiciamiento</w:t>
      </w:r>
      <w:r w:rsidR="00F8056C" w:rsidRPr="00A32C10">
        <w:rPr>
          <w:rFonts w:ascii="Arial" w:hAnsi="Arial" w:cs="Arial"/>
          <w:spacing w:val="-4"/>
          <w:sz w:val="24"/>
          <w:szCs w:val="24"/>
        </w:rPr>
        <w:t xml:space="preserve"> o </w:t>
      </w:r>
      <w:r w:rsidR="002612D4" w:rsidRPr="00A32C10">
        <w:rPr>
          <w:rFonts w:ascii="Arial" w:hAnsi="Arial" w:cs="Arial"/>
          <w:spacing w:val="-4"/>
          <w:sz w:val="24"/>
          <w:szCs w:val="24"/>
        </w:rPr>
        <w:t>j</w:t>
      </w:r>
      <w:r w:rsidR="00F8056C" w:rsidRPr="00A32C10">
        <w:rPr>
          <w:rFonts w:ascii="Arial" w:hAnsi="Arial" w:cs="Arial"/>
          <w:spacing w:val="-4"/>
          <w:sz w:val="24"/>
          <w:szCs w:val="24"/>
        </w:rPr>
        <w:t xml:space="preserve">uicio </w:t>
      </w:r>
      <w:r w:rsidR="002612D4" w:rsidRPr="00A32C10">
        <w:rPr>
          <w:rFonts w:ascii="Arial" w:hAnsi="Arial" w:cs="Arial"/>
          <w:spacing w:val="-4"/>
          <w:sz w:val="24"/>
          <w:szCs w:val="24"/>
        </w:rPr>
        <w:t>o</w:t>
      </w:r>
      <w:r w:rsidR="00F8056C" w:rsidRPr="00A32C10">
        <w:rPr>
          <w:rFonts w:ascii="Arial" w:hAnsi="Arial" w:cs="Arial"/>
          <w:spacing w:val="-4"/>
          <w:sz w:val="24"/>
          <w:szCs w:val="24"/>
        </w:rPr>
        <w:t>ral</w:t>
      </w:r>
      <w:r w:rsidRPr="00A32C10">
        <w:rPr>
          <w:rFonts w:ascii="Arial" w:hAnsi="Arial" w:cs="Arial"/>
          <w:spacing w:val="-4"/>
          <w:sz w:val="24"/>
          <w:szCs w:val="24"/>
        </w:rPr>
        <w:t>,</w:t>
      </w:r>
      <w:r w:rsidR="002612D4" w:rsidRPr="00A32C10">
        <w:rPr>
          <w:rFonts w:ascii="Arial" w:hAnsi="Arial" w:cs="Arial"/>
          <w:spacing w:val="-4"/>
          <w:sz w:val="24"/>
          <w:szCs w:val="24"/>
        </w:rPr>
        <w:t xml:space="preserve"> el total de conclusiones </w:t>
      </w:r>
      <w:r w:rsidR="00441B45" w:rsidRPr="00A32C10">
        <w:rPr>
          <w:rFonts w:ascii="Arial" w:hAnsi="Arial" w:cs="Arial"/>
          <w:spacing w:val="-4"/>
          <w:sz w:val="24"/>
          <w:szCs w:val="24"/>
        </w:rPr>
        <w:t xml:space="preserve">reportadas </w:t>
      </w:r>
      <w:r w:rsidR="002612D4" w:rsidRPr="00A32C10">
        <w:rPr>
          <w:rFonts w:ascii="Arial" w:hAnsi="Arial" w:cs="Arial"/>
          <w:spacing w:val="-4"/>
          <w:sz w:val="24"/>
          <w:szCs w:val="24"/>
        </w:rPr>
        <w:t>fue de 6 705.</w:t>
      </w:r>
      <w:r w:rsidRPr="00A32C10">
        <w:rPr>
          <w:rFonts w:ascii="Arial" w:hAnsi="Arial" w:cs="Arial"/>
          <w:spacing w:val="-4"/>
          <w:sz w:val="24"/>
          <w:szCs w:val="24"/>
        </w:rPr>
        <w:t xml:space="preserve"> </w:t>
      </w:r>
      <w:r w:rsidR="002612D4" w:rsidRPr="00A32C10">
        <w:rPr>
          <w:rFonts w:ascii="Arial" w:hAnsi="Arial" w:cs="Arial"/>
          <w:spacing w:val="-4"/>
          <w:sz w:val="24"/>
          <w:szCs w:val="24"/>
        </w:rPr>
        <w:t>De las cuales, en 76.2% (5 112) el tipo de conclusión fue sentencias definitivas, 1.9</w:t>
      </w:r>
      <w:r w:rsidRPr="00A32C10">
        <w:rPr>
          <w:rFonts w:ascii="Arial" w:hAnsi="Arial" w:cs="Arial"/>
          <w:spacing w:val="-4"/>
          <w:sz w:val="24"/>
          <w:szCs w:val="24"/>
        </w:rPr>
        <w:t>%</w:t>
      </w:r>
      <w:r w:rsidR="002612D4" w:rsidRPr="00A32C10">
        <w:rPr>
          <w:rFonts w:ascii="Arial" w:hAnsi="Arial" w:cs="Arial"/>
          <w:spacing w:val="-4"/>
          <w:sz w:val="24"/>
          <w:szCs w:val="24"/>
        </w:rPr>
        <w:t xml:space="preserve"> (127) se concluyó por sobreseimiento, en 9.7% (651) se reportó otro tipo de conclusión y para 12.2%</w:t>
      </w:r>
      <w:r w:rsidRPr="00A32C10">
        <w:rPr>
          <w:rFonts w:ascii="Arial" w:hAnsi="Arial" w:cs="Arial"/>
          <w:spacing w:val="-4"/>
          <w:sz w:val="24"/>
          <w:szCs w:val="24"/>
        </w:rPr>
        <w:t xml:space="preserve"> </w:t>
      </w:r>
      <w:r w:rsidR="00B43513">
        <w:rPr>
          <w:rFonts w:ascii="Arial" w:hAnsi="Arial" w:cs="Arial"/>
          <w:spacing w:val="-4"/>
          <w:sz w:val="24"/>
          <w:szCs w:val="24"/>
        </w:rPr>
        <w:t xml:space="preserve">(815) </w:t>
      </w:r>
      <w:r w:rsidR="002612D4" w:rsidRPr="00A32C10">
        <w:rPr>
          <w:rFonts w:ascii="Arial" w:hAnsi="Arial" w:cs="Arial"/>
          <w:spacing w:val="-4"/>
          <w:sz w:val="24"/>
          <w:szCs w:val="24"/>
        </w:rPr>
        <w:t xml:space="preserve">no se especificó el tipo de </w:t>
      </w:r>
      <w:r w:rsidRPr="00A32C10">
        <w:rPr>
          <w:rFonts w:ascii="Arial" w:hAnsi="Arial" w:cs="Arial"/>
          <w:spacing w:val="-4"/>
          <w:sz w:val="24"/>
          <w:szCs w:val="24"/>
        </w:rPr>
        <w:t xml:space="preserve">conclusión. </w:t>
      </w:r>
      <w:r w:rsidR="005D74E9" w:rsidRPr="00A32C10">
        <w:rPr>
          <w:rFonts w:ascii="Arial" w:hAnsi="Arial" w:cs="Arial"/>
          <w:spacing w:val="-4"/>
          <w:sz w:val="24"/>
          <w:szCs w:val="24"/>
        </w:rPr>
        <w:t>Con respecto a lo reportado en 2019, la cantidad de conclusiones en los tribunales de enjuiciamiento o juicio oral disminuy</w:t>
      </w:r>
      <w:r w:rsidR="00352466" w:rsidRPr="00A32C10">
        <w:rPr>
          <w:rFonts w:ascii="Arial" w:hAnsi="Arial" w:cs="Arial"/>
          <w:spacing w:val="-4"/>
          <w:sz w:val="24"/>
          <w:szCs w:val="24"/>
        </w:rPr>
        <w:t>ó</w:t>
      </w:r>
      <w:r w:rsidR="005D74E9" w:rsidRPr="00A32C10">
        <w:rPr>
          <w:rFonts w:ascii="Arial" w:hAnsi="Arial" w:cs="Arial"/>
          <w:spacing w:val="-4"/>
          <w:sz w:val="24"/>
          <w:szCs w:val="24"/>
        </w:rPr>
        <w:t xml:space="preserve"> 35.9 por ciento.</w:t>
      </w:r>
    </w:p>
    <w:p w14:paraId="42E91A08" w14:textId="77777777" w:rsidR="00265533" w:rsidRPr="00A32C10" w:rsidRDefault="00265533" w:rsidP="00B43513">
      <w:pPr>
        <w:spacing w:after="0"/>
        <w:ind w:left="-567"/>
        <w:jc w:val="both"/>
        <w:rPr>
          <w:rFonts w:ascii="Arial" w:hAnsi="Arial" w:cs="Arial"/>
          <w:spacing w:val="-4"/>
          <w:sz w:val="24"/>
          <w:szCs w:val="24"/>
          <w:highlight w:val="yellow"/>
        </w:rPr>
      </w:pPr>
    </w:p>
    <w:p w14:paraId="597D9D80" w14:textId="711989E2" w:rsidR="00BA310C" w:rsidRPr="00441B45" w:rsidRDefault="00BA310C" w:rsidP="00441B45">
      <w:pPr>
        <w:pStyle w:val="Default"/>
        <w:spacing w:after="10"/>
        <w:ind w:left="-567"/>
        <w:jc w:val="center"/>
        <w:rPr>
          <w:b/>
          <w:bCs/>
          <w:i/>
          <w:iCs/>
          <w:color w:val="414C1C"/>
          <w:sz w:val="18"/>
        </w:rPr>
      </w:pPr>
      <w:r w:rsidRPr="00441B45">
        <w:rPr>
          <w:b/>
          <w:bCs/>
          <w:i/>
          <w:iCs/>
          <w:color w:val="414C1C"/>
          <w:sz w:val="18"/>
        </w:rPr>
        <w:t xml:space="preserve">Gráfica </w:t>
      </w:r>
      <w:r w:rsidR="00441B45" w:rsidRPr="00441B45">
        <w:rPr>
          <w:b/>
          <w:bCs/>
          <w:i/>
          <w:iCs/>
          <w:color w:val="414C1C"/>
          <w:sz w:val="18"/>
        </w:rPr>
        <w:t>2</w:t>
      </w:r>
      <w:r w:rsidR="00A32C10">
        <w:rPr>
          <w:b/>
          <w:bCs/>
          <w:i/>
          <w:iCs/>
          <w:color w:val="414C1C"/>
          <w:sz w:val="18"/>
        </w:rPr>
        <w:t>0</w:t>
      </w:r>
      <w:r w:rsidRPr="00441B45">
        <w:rPr>
          <w:b/>
          <w:bCs/>
          <w:i/>
          <w:iCs/>
          <w:color w:val="414C1C"/>
          <w:sz w:val="18"/>
        </w:rPr>
        <w:t>.</w:t>
      </w:r>
      <w:r w:rsidRPr="00441B45">
        <w:rPr>
          <w:sz w:val="22"/>
        </w:rPr>
        <w:t xml:space="preserve"> </w:t>
      </w:r>
      <w:r w:rsidR="00441B45" w:rsidRPr="00441B45">
        <w:rPr>
          <w:b/>
          <w:bCs/>
          <w:i/>
          <w:iCs/>
          <w:color w:val="414C1C"/>
          <w:sz w:val="18"/>
        </w:rPr>
        <w:t>C</w:t>
      </w:r>
      <w:r w:rsidRPr="00441B45">
        <w:rPr>
          <w:b/>
          <w:bCs/>
          <w:i/>
          <w:iCs/>
          <w:color w:val="414C1C"/>
          <w:sz w:val="18"/>
        </w:rPr>
        <w:t>onclusiones efectuadas a las causas penales en el Sistema Penal Acusatorio y Sistema Integral de Justicia Penal para Adolescentes (</w:t>
      </w:r>
      <w:r w:rsidR="00441B45" w:rsidRPr="00441B45">
        <w:rPr>
          <w:b/>
          <w:bCs/>
          <w:i/>
          <w:iCs/>
          <w:color w:val="414C1C"/>
          <w:sz w:val="18"/>
        </w:rPr>
        <w:t>t</w:t>
      </w:r>
      <w:r w:rsidRPr="00441B45">
        <w:rPr>
          <w:b/>
          <w:bCs/>
          <w:i/>
          <w:iCs/>
          <w:color w:val="414C1C"/>
          <w:sz w:val="18"/>
        </w:rPr>
        <w:t>ribunal</w:t>
      </w:r>
      <w:r w:rsidR="00441B45" w:rsidRPr="00441B45">
        <w:rPr>
          <w:b/>
          <w:bCs/>
          <w:i/>
          <w:iCs/>
          <w:color w:val="414C1C"/>
          <w:sz w:val="18"/>
        </w:rPr>
        <w:t>es</w:t>
      </w:r>
      <w:r w:rsidRPr="00441B45">
        <w:rPr>
          <w:b/>
          <w:bCs/>
          <w:i/>
          <w:iCs/>
          <w:color w:val="414C1C"/>
          <w:sz w:val="18"/>
        </w:rPr>
        <w:t xml:space="preserve"> de </w:t>
      </w:r>
      <w:r w:rsidR="00441B45" w:rsidRPr="00441B45">
        <w:rPr>
          <w:b/>
          <w:bCs/>
          <w:i/>
          <w:iCs/>
          <w:color w:val="414C1C"/>
          <w:sz w:val="18"/>
        </w:rPr>
        <w:t>e</w:t>
      </w:r>
      <w:r w:rsidRPr="00441B45">
        <w:rPr>
          <w:b/>
          <w:bCs/>
          <w:i/>
          <w:iCs/>
          <w:color w:val="414C1C"/>
          <w:sz w:val="18"/>
        </w:rPr>
        <w:t>njuiciamiento</w:t>
      </w:r>
      <w:r w:rsidR="00F8056C" w:rsidRPr="00441B45">
        <w:rPr>
          <w:b/>
          <w:bCs/>
          <w:i/>
          <w:iCs/>
          <w:color w:val="414C1C"/>
          <w:sz w:val="18"/>
        </w:rPr>
        <w:t xml:space="preserve"> o </w:t>
      </w:r>
      <w:r w:rsidR="00441B45" w:rsidRPr="00441B45">
        <w:rPr>
          <w:b/>
          <w:bCs/>
          <w:i/>
          <w:iCs/>
          <w:color w:val="414C1C"/>
          <w:sz w:val="18"/>
        </w:rPr>
        <w:t>j</w:t>
      </w:r>
      <w:r w:rsidR="00F8056C" w:rsidRPr="00441B45">
        <w:rPr>
          <w:b/>
          <w:bCs/>
          <w:i/>
          <w:iCs/>
          <w:color w:val="414C1C"/>
          <w:sz w:val="18"/>
        </w:rPr>
        <w:t xml:space="preserve">uicio </w:t>
      </w:r>
      <w:r w:rsidR="00441B45" w:rsidRPr="00441B45">
        <w:rPr>
          <w:b/>
          <w:bCs/>
          <w:i/>
          <w:iCs/>
          <w:color w:val="414C1C"/>
          <w:sz w:val="18"/>
        </w:rPr>
        <w:t>o</w:t>
      </w:r>
      <w:r w:rsidR="00F8056C" w:rsidRPr="00441B45">
        <w:rPr>
          <w:b/>
          <w:bCs/>
          <w:i/>
          <w:iCs/>
          <w:color w:val="414C1C"/>
          <w:sz w:val="18"/>
        </w:rPr>
        <w:t>ral</w:t>
      </w:r>
      <w:r w:rsidRPr="00441B45">
        <w:rPr>
          <w:b/>
          <w:bCs/>
          <w:i/>
          <w:iCs/>
          <w:color w:val="414C1C"/>
          <w:sz w:val="18"/>
        </w:rPr>
        <w:t xml:space="preserve">), por tipo, 2019 </w:t>
      </w:r>
      <w:r w:rsidR="00441B45" w:rsidRPr="00441B45">
        <w:rPr>
          <w:b/>
          <w:bCs/>
          <w:i/>
          <w:iCs/>
          <w:color w:val="414C1C"/>
          <w:sz w:val="18"/>
        </w:rPr>
        <w:t>a 2020</w:t>
      </w:r>
    </w:p>
    <w:p w14:paraId="43100A5F" w14:textId="6CE92844" w:rsidR="00BA310C" w:rsidRPr="00A32C10" w:rsidRDefault="00BA310C" w:rsidP="00A32C10">
      <w:pPr>
        <w:spacing w:after="0"/>
        <w:ind w:left="-567"/>
        <w:jc w:val="center"/>
        <w:rPr>
          <w:noProof/>
          <w:sz w:val="12"/>
          <w:szCs w:val="12"/>
          <w:lang w:eastAsia="es-MX"/>
        </w:rPr>
      </w:pPr>
    </w:p>
    <w:p w14:paraId="47BA98D6" w14:textId="481EB7FC" w:rsidR="00441B45" w:rsidRPr="000E5724" w:rsidRDefault="00441B45" w:rsidP="00BA310C">
      <w:pPr>
        <w:ind w:left="-567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5D852C9D" wp14:editId="1F41202C">
            <wp:extent cx="5941060" cy="1785668"/>
            <wp:effectExtent l="0" t="0" r="2540" b="5080"/>
            <wp:docPr id="50" name="Gráfico 50">
              <a:extLst xmlns:a="http://schemas.openxmlformats.org/drawingml/2006/main">
                <a:ext uri="{FF2B5EF4-FFF2-40B4-BE49-F238E27FC236}">
                  <a16:creationId xmlns:a16="http://schemas.microsoft.com/office/drawing/2014/main" id="{E2A2B44B-F607-42A9-BE0E-A8086ED4B7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2DB2B08B" w14:textId="77777777" w:rsidR="00265533" w:rsidRDefault="00265533" w:rsidP="00B9006A">
      <w:pPr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14:paraId="029EE429" w14:textId="3B2B8EAD" w:rsidR="00B9006A" w:rsidRPr="008761B7" w:rsidRDefault="00BA310C" w:rsidP="00B9006A">
      <w:pPr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 w:rsidRPr="008761B7">
        <w:rPr>
          <w:rFonts w:ascii="Arial" w:hAnsi="Arial" w:cs="Arial"/>
          <w:b/>
          <w:bCs/>
          <w:sz w:val="24"/>
          <w:szCs w:val="24"/>
        </w:rPr>
        <w:t>Delitos</w:t>
      </w:r>
    </w:p>
    <w:p w14:paraId="55797E5F" w14:textId="6D6F6227" w:rsidR="000975C4" w:rsidRDefault="00E46804" w:rsidP="00BA310C">
      <w:pPr>
        <w:ind w:left="-567"/>
        <w:jc w:val="both"/>
        <w:rPr>
          <w:rFonts w:ascii="Arial" w:hAnsi="Arial" w:cs="Arial"/>
          <w:sz w:val="24"/>
          <w:szCs w:val="24"/>
        </w:rPr>
      </w:pPr>
      <w:r w:rsidRPr="003E612A">
        <w:rPr>
          <w:rFonts w:ascii="Arial" w:hAnsi="Arial" w:cs="Arial"/>
          <w:sz w:val="24"/>
          <w:szCs w:val="24"/>
        </w:rPr>
        <w:t xml:space="preserve">En 2020 se registraron 204 012 </w:t>
      </w:r>
      <w:r w:rsidR="00BA310C" w:rsidRPr="003E612A">
        <w:rPr>
          <w:rFonts w:ascii="Arial" w:hAnsi="Arial" w:cs="Arial"/>
          <w:sz w:val="24"/>
          <w:szCs w:val="24"/>
        </w:rPr>
        <w:t xml:space="preserve">delitos </w:t>
      </w:r>
      <w:r w:rsidRPr="003E612A">
        <w:rPr>
          <w:rFonts w:ascii="Arial" w:hAnsi="Arial" w:cs="Arial"/>
          <w:sz w:val="24"/>
          <w:szCs w:val="24"/>
        </w:rPr>
        <w:t>e</w:t>
      </w:r>
      <w:r w:rsidR="00BA310C" w:rsidRPr="003E612A">
        <w:rPr>
          <w:rFonts w:ascii="Arial" w:hAnsi="Arial" w:cs="Arial"/>
          <w:sz w:val="24"/>
          <w:szCs w:val="24"/>
        </w:rPr>
        <w:t>n las causas penales ingresadas</w:t>
      </w:r>
      <w:r w:rsidR="0098591D">
        <w:rPr>
          <w:rStyle w:val="Refdenotaalpie"/>
          <w:rFonts w:ascii="Arial" w:hAnsi="Arial" w:cs="Arial"/>
          <w:sz w:val="24"/>
          <w:szCs w:val="24"/>
        </w:rPr>
        <w:footnoteReference w:id="14"/>
      </w:r>
      <w:r w:rsidR="00BA310C" w:rsidRPr="003E612A">
        <w:rPr>
          <w:rFonts w:ascii="Arial" w:hAnsi="Arial" w:cs="Arial"/>
          <w:sz w:val="24"/>
          <w:szCs w:val="24"/>
        </w:rPr>
        <w:t>,</w:t>
      </w:r>
      <w:r w:rsidRPr="003E612A">
        <w:rPr>
          <w:rFonts w:ascii="Arial" w:hAnsi="Arial" w:cs="Arial"/>
          <w:sz w:val="24"/>
          <w:szCs w:val="24"/>
        </w:rPr>
        <w:t xml:space="preserve"> cifra que representó una disminución de 10.2% con respecto a lo reportado</w:t>
      </w:r>
      <w:r w:rsidR="00BA310C" w:rsidRPr="003E612A">
        <w:rPr>
          <w:rFonts w:ascii="Arial" w:hAnsi="Arial" w:cs="Arial"/>
          <w:sz w:val="24"/>
          <w:szCs w:val="24"/>
        </w:rPr>
        <w:t xml:space="preserve"> en 2019</w:t>
      </w:r>
      <w:r w:rsidRPr="003E612A">
        <w:rPr>
          <w:rStyle w:val="Refdenotaalpie"/>
          <w:rFonts w:ascii="Arial" w:hAnsi="Arial" w:cs="Arial"/>
          <w:sz w:val="24"/>
          <w:szCs w:val="24"/>
        </w:rPr>
        <w:footnoteReference w:id="15"/>
      </w:r>
      <w:r w:rsidRPr="003E612A">
        <w:rPr>
          <w:rFonts w:ascii="Arial" w:hAnsi="Arial" w:cs="Arial"/>
          <w:sz w:val="24"/>
          <w:szCs w:val="24"/>
        </w:rPr>
        <w:t>.</w:t>
      </w:r>
      <w:r w:rsidR="00BA310C" w:rsidRPr="003E612A">
        <w:rPr>
          <w:rFonts w:ascii="Arial" w:hAnsi="Arial" w:cs="Arial"/>
          <w:sz w:val="24"/>
          <w:szCs w:val="24"/>
        </w:rPr>
        <w:t xml:space="preserve"> </w:t>
      </w:r>
      <w:r w:rsidR="00C25F5E" w:rsidRPr="003E612A">
        <w:rPr>
          <w:rFonts w:ascii="Arial" w:hAnsi="Arial" w:cs="Arial"/>
          <w:sz w:val="24"/>
          <w:szCs w:val="24"/>
        </w:rPr>
        <w:t>Del total</w:t>
      </w:r>
      <w:r w:rsidR="005C5E9B">
        <w:rPr>
          <w:rFonts w:ascii="Arial" w:hAnsi="Arial" w:cs="Arial"/>
          <w:sz w:val="24"/>
          <w:szCs w:val="24"/>
        </w:rPr>
        <w:t xml:space="preserve"> de delitos, </w:t>
      </w:r>
      <w:r w:rsidR="00C25F5E" w:rsidRPr="003E612A">
        <w:rPr>
          <w:rFonts w:ascii="Arial" w:hAnsi="Arial" w:cs="Arial"/>
          <w:sz w:val="24"/>
          <w:szCs w:val="24"/>
        </w:rPr>
        <w:t>198 132 (97.1%) se cometieron por adultos y 5</w:t>
      </w:r>
      <w:r w:rsidR="00B9006A">
        <w:rPr>
          <w:rFonts w:ascii="Arial" w:hAnsi="Arial" w:cs="Arial"/>
          <w:sz w:val="24"/>
          <w:szCs w:val="24"/>
        </w:rPr>
        <w:t xml:space="preserve"> </w:t>
      </w:r>
      <w:r w:rsidR="00C25F5E" w:rsidRPr="003E612A">
        <w:rPr>
          <w:rFonts w:ascii="Arial" w:hAnsi="Arial" w:cs="Arial"/>
          <w:sz w:val="24"/>
          <w:szCs w:val="24"/>
        </w:rPr>
        <w:t>880 (2.9%) por adolescentes.</w:t>
      </w:r>
      <w:r w:rsidR="00352466">
        <w:rPr>
          <w:rFonts w:ascii="Arial" w:hAnsi="Arial" w:cs="Arial"/>
          <w:sz w:val="24"/>
          <w:szCs w:val="24"/>
        </w:rPr>
        <w:t xml:space="preserve"> Por entidad federativa, los poderes judiciales de la Ciudad de México y Nuevo León registraron el mayor número de delitos en las causas penales.</w:t>
      </w:r>
    </w:p>
    <w:p w14:paraId="546B056B" w14:textId="30660924" w:rsidR="00BA310C" w:rsidRPr="00A32C10" w:rsidRDefault="00C25F5E" w:rsidP="00A32C10">
      <w:pPr>
        <w:spacing w:after="0"/>
        <w:ind w:left="-567"/>
        <w:jc w:val="both"/>
        <w:rPr>
          <w:rFonts w:ascii="Arial" w:hAnsi="Arial" w:cs="Arial"/>
          <w:sz w:val="12"/>
          <w:szCs w:val="12"/>
        </w:rPr>
      </w:pPr>
      <w:r w:rsidRPr="003E612A">
        <w:rPr>
          <w:rFonts w:ascii="Arial" w:hAnsi="Arial" w:cs="Arial"/>
          <w:sz w:val="24"/>
          <w:szCs w:val="24"/>
        </w:rPr>
        <w:t xml:space="preserve"> </w:t>
      </w:r>
    </w:p>
    <w:p w14:paraId="32787E5D" w14:textId="65ADEB23" w:rsidR="00265533" w:rsidRDefault="0098591D" w:rsidP="00A32C10">
      <w:pPr>
        <w:pStyle w:val="Default"/>
        <w:spacing w:after="10"/>
        <w:ind w:left="-567" w:right="-518"/>
        <w:jc w:val="center"/>
        <w:rPr>
          <w:noProof/>
        </w:rPr>
      </w:pPr>
      <w:r w:rsidRPr="0098591D">
        <w:rPr>
          <w:b/>
          <w:bCs/>
          <w:i/>
          <w:iCs/>
          <w:color w:val="414C1C"/>
          <w:sz w:val="18"/>
          <w:szCs w:val="18"/>
        </w:rPr>
        <w:t xml:space="preserve">Mapa </w:t>
      </w:r>
      <w:r w:rsidR="00677195">
        <w:rPr>
          <w:b/>
          <w:bCs/>
          <w:i/>
          <w:iCs/>
          <w:color w:val="414C1C"/>
          <w:sz w:val="18"/>
          <w:szCs w:val="18"/>
        </w:rPr>
        <w:t>3</w:t>
      </w:r>
      <w:r w:rsidRPr="0098591D">
        <w:rPr>
          <w:b/>
          <w:bCs/>
          <w:i/>
          <w:iCs/>
          <w:color w:val="414C1C"/>
          <w:sz w:val="18"/>
          <w:szCs w:val="18"/>
        </w:rPr>
        <w:t xml:space="preserve">. </w:t>
      </w:r>
      <w:r w:rsidR="00BA310C" w:rsidRPr="0098591D">
        <w:rPr>
          <w:b/>
          <w:bCs/>
          <w:i/>
          <w:iCs/>
          <w:color w:val="414C1C"/>
          <w:sz w:val="18"/>
        </w:rPr>
        <w:t xml:space="preserve">Delitos registrados en las causas penales ingresadas, </w:t>
      </w:r>
      <w:r w:rsidRPr="0098591D">
        <w:rPr>
          <w:b/>
          <w:bCs/>
          <w:i/>
          <w:iCs/>
          <w:color w:val="414C1C"/>
          <w:sz w:val="18"/>
        </w:rPr>
        <w:t>2020</w:t>
      </w:r>
      <w:r w:rsidR="00A32C10">
        <w:rPr>
          <w:b/>
          <w:bCs/>
          <w:i/>
          <w:iCs/>
          <w:color w:val="414C1C"/>
          <w:sz w:val="18"/>
        </w:rPr>
        <w:t xml:space="preserve"> </w:t>
      </w:r>
      <w:r w:rsidR="00677195" w:rsidRPr="00677195">
        <w:rPr>
          <w:noProof/>
        </w:rPr>
        <w:t xml:space="preserve"> </w:t>
      </w:r>
    </w:p>
    <w:p w14:paraId="04204CC5" w14:textId="6184F67B" w:rsidR="00265533" w:rsidRDefault="00265533" w:rsidP="00A32C10">
      <w:pPr>
        <w:pStyle w:val="Default"/>
        <w:spacing w:after="10"/>
        <w:ind w:left="-567" w:right="-518"/>
        <w:jc w:val="center"/>
        <w:rPr>
          <w:noProof/>
        </w:rPr>
      </w:pPr>
    </w:p>
    <w:p w14:paraId="247B4C4F" w14:textId="6D79B1C3" w:rsidR="00B9006A" w:rsidRPr="00677195" w:rsidRDefault="00265533" w:rsidP="00A32C10">
      <w:pPr>
        <w:pStyle w:val="Default"/>
        <w:spacing w:after="10"/>
        <w:ind w:left="-567" w:right="-51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C0AC7F" wp14:editId="4D81D988">
                <wp:simplePos x="0" y="0"/>
                <wp:positionH relativeFrom="column">
                  <wp:posOffset>3491769</wp:posOffset>
                </wp:positionH>
                <wp:positionV relativeFrom="paragraph">
                  <wp:posOffset>420559</wp:posOffset>
                </wp:positionV>
                <wp:extent cx="2026522" cy="597949"/>
                <wp:effectExtent l="0" t="0" r="0" b="0"/>
                <wp:wrapNone/>
                <wp:docPr id="10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522" cy="597949"/>
                          <a:chOff x="0" y="0"/>
                          <a:chExt cx="2114979" cy="724123"/>
                        </a:xfrm>
                      </wpg:grpSpPr>
                      <wps:wsp>
                        <wps:cNvPr id="107" name="Rectángulo: esquinas redondeadas 107"/>
                        <wps:cNvSpPr/>
                        <wps:spPr>
                          <a:xfrm>
                            <a:off x="0" y="206790"/>
                            <a:ext cx="150815" cy="139430"/>
                          </a:xfrm>
                          <a:prstGeom prst="roundRect">
                            <a:avLst/>
                          </a:prstGeom>
                          <a:solidFill>
                            <a:srgbClr val="BCBF9D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108" name="Rectángulo: esquinas redondeadas 108"/>
                        <wps:cNvSpPr/>
                        <wps:spPr>
                          <a:xfrm>
                            <a:off x="3510" y="46225"/>
                            <a:ext cx="150472" cy="139430"/>
                          </a:xfrm>
                          <a:prstGeom prst="roundRect">
                            <a:avLst/>
                          </a:prstGeom>
                          <a:solidFill>
                            <a:srgbClr val="677053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109" name="Rectángulo: esquinas redondeadas 109"/>
                        <wps:cNvSpPr/>
                        <wps:spPr>
                          <a:xfrm>
                            <a:off x="802" y="369455"/>
                            <a:ext cx="150814" cy="139430"/>
                          </a:xfrm>
                          <a:prstGeom prst="roundRect">
                            <a:avLst/>
                          </a:prstGeom>
                          <a:solidFill>
                            <a:srgbClr val="B2A499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110" name="Rectángulo: esquinas redondeadas 110"/>
                        <wps:cNvSpPr/>
                        <wps:spPr>
                          <a:xfrm>
                            <a:off x="3108" y="533278"/>
                            <a:ext cx="149297" cy="138693"/>
                          </a:xfrm>
                          <a:prstGeom prst="roundRect">
                            <a:avLst/>
                          </a:prstGeom>
                          <a:solidFill>
                            <a:srgbClr val="56402E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111" name="Rectángulo 111"/>
                        <wps:cNvSpPr/>
                        <wps:spPr>
                          <a:xfrm>
                            <a:off x="110129" y="486633"/>
                            <a:ext cx="1651635" cy="237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8588" w14:textId="77777777" w:rsidR="00DB7E89" w:rsidRDefault="00DB7E89" w:rsidP="00265533">
                              <w:pPr>
                                <w:overflowPunct w:val="0"/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  <w:t>De 1 a 2,000 (5 entidades)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2" name="Rectángulo 112"/>
                        <wps:cNvSpPr/>
                        <wps:spPr>
                          <a:xfrm>
                            <a:off x="110284" y="318704"/>
                            <a:ext cx="2004695" cy="237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B97E4E" w14:textId="77777777" w:rsidR="00DB7E89" w:rsidRDefault="00DB7E89" w:rsidP="00265533">
                              <w:pPr>
                                <w:overflowPunct w:val="0"/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  <w:t>De 2,001 a 5,000 (14 entidades)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3" name="Rectángulo 113"/>
                        <wps:cNvSpPr/>
                        <wps:spPr>
                          <a:xfrm>
                            <a:off x="110285" y="159412"/>
                            <a:ext cx="1934210" cy="237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2F769D" w14:textId="77777777" w:rsidR="00DB7E89" w:rsidRDefault="00DB7E89" w:rsidP="00265533">
                              <w:pPr>
                                <w:overflowPunct w:val="0"/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  <w:t>De 5,001 a 10,000 (7 entidades)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4" name="Rectángulo 114"/>
                        <wps:cNvSpPr/>
                        <wps:spPr>
                          <a:xfrm>
                            <a:off x="116920" y="0"/>
                            <a:ext cx="1729105" cy="237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E63DAD" w14:textId="77777777" w:rsidR="00DB7E89" w:rsidRDefault="00DB7E89" w:rsidP="00265533">
                              <w:pPr>
                                <w:overflowPunct w:val="0"/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Helvetica Neue Medium" w:hAnsi="Arial"/>
                                  <w:color w:val="000000"/>
                                  <w:sz w:val="16"/>
                                  <w:szCs w:val="16"/>
                                </w:rPr>
                                <w:t>Más de 10,000 (6 entidades)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0AC7F" id="_x0000_s1044" style="position:absolute;left:0;text-align:left;margin-left:274.95pt;margin-top:33.1pt;width:159.55pt;height:47.1pt;z-index:251675648" coordsize="21149,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">
                <v:roundrect id="Rectángulo: esquinas redondeadas 107" o:spid="_x0000_s1045" style="position:absolute;top:2067;width:1508;height:13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" fillcolor="#bcbf9d" stroked="f" strokeweight="2pt">
                  <v:textbox inset="0,0,0,0"/>
                </v:roundrect>
                <v:roundrect id="Rectángulo: esquinas redondeadas 108" o:spid="_x0000_s1046" style="position:absolute;left:35;top:462;width:1504;height:1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" fillcolor="#677053" stroked="f" strokeweight="2pt">
                  <v:textbox inset="0,0,0,0"/>
                </v:roundrect>
                <v:roundrect id="Rectángulo: esquinas redondeadas 109" o:spid="_x0000_s1047" style="position:absolute;left:8;top:3694;width:1508;height:1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" fillcolor="#b2a499" stroked="f" strokeweight="2pt">
                  <v:textbox inset="0,0,0,0"/>
                </v:roundrect>
                <v:roundrect id="Rectángulo: esquinas redondeadas 110" o:spid="_x0000_s1048" style="position:absolute;left:31;top:5332;width:1493;height:1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" fillcolor="#56402e" stroked="f" strokeweight="2pt">
                  <v:textbox inset="0,0,0,0"/>
                </v:roundrect>
                <v:rect id="Rectángulo 111" o:spid="_x0000_s1049" style="position:absolute;left:1101;top:4866;width:1651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" filled="f" stroked="f">
                  <v:textbox>
                    <w:txbxContent>
                      <w:p w14:paraId="36B28588" w14:textId="77777777" w:rsidR="00DB7E89" w:rsidRDefault="00DB7E89" w:rsidP="00265533">
                        <w:pPr>
                          <w:overflowPunct w:val="0"/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  <w:t>De 1 a 2,000 (5 entidades)</w:t>
                        </w:r>
                      </w:p>
                    </w:txbxContent>
                  </v:textbox>
                </v:rect>
                <v:rect id="Rectángulo 112" o:spid="_x0000_s1050" style="position:absolute;left:1102;top:3187;width:2004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" filled="f" stroked="f">
                  <v:textbox>
                    <w:txbxContent>
                      <w:p w14:paraId="79B97E4E" w14:textId="77777777" w:rsidR="00DB7E89" w:rsidRDefault="00DB7E89" w:rsidP="00265533">
                        <w:pPr>
                          <w:overflowPunct w:val="0"/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  <w:t>De 2,001 a 5,000 (14 entidades)</w:t>
                        </w:r>
                      </w:p>
                    </w:txbxContent>
                  </v:textbox>
                </v:rect>
                <v:rect id="Rectángulo 113" o:spid="_x0000_s1051" style="position:absolute;left:1102;top:1594;width:193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O4wgAAANwAAAAPAAAAZHJzL2Rvd25yZXYueG1sRE9Na8JA&#10;EL0X/A/LCL2UulFB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BbeZO4wgAAANwAAAAPAAAA&#10;AAAAAAAAAAAAAAcCAABkcnMvZG93bnJldi54bWxQSwUGAAAAAAMAAwC3AAAA9gIAAAAA&#10;" filled="f" stroked="f">
                  <v:textbox>
                    <w:txbxContent>
                      <w:p w14:paraId="5C2F769D" w14:textId="77777777" w:rsidR="00DB7E89" w:rsidRDefault="00DB7E89" w:rsidP="00265533">
                        <w:pPr>
                          <w:overflowPunct w:val="0"/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  <w:t>De 5,001 a 10,000 (7 entidades)</w:t>
                        </w:r>
                      </w:p>
                    </w:txbxContent>
                  </v:textbox>
                </v:rect>
                <v:rect id="Rectángulo 114" o:spid="_x0000_s1052" style="position:absolute;left:1169;width:1729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vMwgAAANwAAAAPAAAAZHJzL2Rvd25yZXYueG1sRE9Na8JA&#10;EL0X/A/LCL2UulFE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DUkAvMwgAAANwAAAAPAAAA&#10;AAAAAAAAAAAAAAcCAABkcnMvZG93bnJldi54bWxQSwUGAAAAAAMAAwC3AAAA9gIAAAAA&#10;" filled="f" stroked="f">
                  <v:textbox>
                    <w:txbxContent>
                      <w:p w14:paraId="23E63DAD" w14:textId="77777777" w:rsidR="00DB7E89" w:rsidRDefault="00DB7E89" w:rsidP="00265533">
                        <w:pPr>
                          <w:overflowPunct w:val="0"/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Helvetica Neue Medium" w:hAnsi="Arial"/>
                            <w:color w:val="000000"/>
                            <w:sz w:val="16"/>
                            <w:szCs w:val="16"/>
                          </w:rPr>
                          <w:t>Más de 10,000 (6 entidades)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66EB767" w14:textId="3A1A9093" w:rsidR="00265533" w:rsidRDefault="00B43513" w:rsidP="00B43513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284D7E" wp14:editId="54B9B474">
            <wp:extent cx="5504395" cy="3603600"/>
            <wp:effectExtent l="0" t="0" r="127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95" cy="36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48F69" w14:textId="77777777" w:rsidR="00265533" w:rsidRDefault="00265533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595525C1" w14:textId="77777777" w:rsidR="00265533" w:rsidRDefault="00265533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4B563751" w14:textId="77777777" w:rsidR="00265533" w:rsidRDefault="00265533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7EA63EA4" w14:textId="77777777" w:rsidR="00265533" w:rsidRDefault="00265533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7740DE3C" w14:textId="77777777" w:rsidR="00265533" w:rsidRDefault="00265533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5BA11C32" w14:textId="77777777" w:rsidR="00265533" w:rsidRDefault="00265533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3D4D104E" w14:textId="77777777" w:rsidR="00265533" w:rsidRDefault="00265533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1948637E" w14:textId="4FDE87CE" w:rsidR="00BA310C" w:rsidRPr="00607968" w:rsidRDefault="00352466" w:rsidP="00BA310C">
      <w:pPr>
        <w:ind w:left="-567"/>
        <w:jc w:val="both"/>
        <w:rPr>
          <w:rFonts w:ascii="Arial" w:hAnsi="Arial" w:cs="Arial"/>
          <w:sz w:val="24"/>
          <w:szCs w:val="24"/>
        </w:rPr>
      </w:pPr>
      <w:r w:rsidRPr="00677195">
        <w:rPr>
          <w:rFonts w:ascii="Arial" w:hAnsi="Arial" w:cs="Arial"/>
          <w:sz w:val="24"/>
          <w:szCs w:val="24"/>
        </w:rPr>
        <w:lastRenderedPageBreak/>
        <w:t xml:space="preserve">En el caso de los adultos, </w:t>
      </w:r>
      <w:r w:rsidR="00216F5D" w:rsidRPr="00677195">
        <w:rPr>
          <w:rFonts w:ascii="Arial" w:hAnsi="Arial" w:cs="Arial"/>
          <w:sz w:val="24"/>
          <w:szCs w:val="24"/>
        </w:rPr>
        <w:t xml:space="preserve">el </w:t>
      </w:r>
      <w:r w:rsidRPr="00677195">
        <w:rPr>
          <w:rFonts w:ascii="Arial" w:hAnsi="Arial" w:cs="Arial"/>
          <w:sz w:val="24"/>
          <w:szCs w:val="24"/>
        </w:rPr>
        <w:t xml:space="preserve">delito de </w:t>
      </w:r>
      <w:r w:rsidR="00BA310C" w:rsidRPr="00677195">
        <w:rPr>
          <w:rFonts w:ascii="Arial" w:hAnsi="Arial" w:cs="Arial"/>
          <w:sz w:val="24"/>
          <w:szCs w:val="24"/>
        </w:rPr>
        <w:t xml:space="preserve">robo registró la mayor </w:t>
      </w:r>
      <w:r w:rsidRPr="00677195">
        <w:rPr>
          <w:rFonts w:ascii="Arial" w:hAnsi="Arial" w:cs="Arial"/>
          <w:sz w:val="24"/>
          <w:szCs w:val="24"/>
        </w:rPr>
        <w:t xml:space="preserve">frecuencia </w:t>
      </w:r>
      <w:r w:rsidR="006629BA" w:rsidRPr="00677195">
        <w:rPr>
          <w:rFonts w:ascii="Arial" w:hAnsi="Arial" w:cs="Arial"/>
          <w:sz w:val="24"/>
          <w:szCs w:val="24"/>
        </w:rPr>
        <w:t>con</w:t>
      </w:r>
      <w:r w:rsidR="00B31BB7" w:rsidRPr="00677195">
        <w:rPr>
          <w:rFonts w:ascii="Arial" w:hAnsi="Arial" w:cs="Arial"/>
          <w:sz w:val="24"/>
          <w:szCs w:val="24"/>
        </w:rPr>
        <w:t xml:space="preserve"> </w:t>
      </w:r>
      <w:r w:rsidR="00533E04" w:rsidRPr="00677195">
        <w:rPr>
          <w:rFonts w:ascii="Arial" w:hAnsi="Arial" w:cs="Arial"/>
          <w:sz w:val="24"/>
          <w:szCs w:val="24"/>
        </w:rPr>
        <w:t>22.0%</w:t>
      </w:r>
      <w:r w:rsidR="006629BA" w:rsidRPr="00677195">
        <w:rPr>
          <w:rFonts w:ascii="Arial" w:hAnsi="Arial" w:cs="Arial"/>
          <w:sz w:val="24"/>
          <w:szCs w:val="24"/>
        </w:rPr>
        <w:t>.</w:t>
      </w:r>
      <w:r w:rsidR="00533E04" w:rsidRPr="00677195">
        <w:rPr>
          <w:rFonts w:ascii="Arial" w:hAnsi="Arial" w:cs="Arial"/>
          <w:sz w:val="24"/>
          <w:szCs w:val="24"/>
        </w:rPr>
        <w:t xml:space="preserve"> </w:t>
      </w:r>
      <w:r w:rsidR="006629BA" w:rsidRPr="00677195">
        <w:rPr>
          <w:rFonts w:ascii="Arial" w:hAnsi="Arial" w:cs="Arial"/>
          <w:sz w:val="24"/>
          <w:szCs w:val="24"/>
        </w:rPr>
        <w:t>E</w:t>
      </w:r>
      <w:r w:rsidR="00533E04" w:rsidRPr="00677195">
        <w:rPr>
          <w:rFonts w:ascii="Arial" w:hAnsi="Arial" w:cs="Arial"/>
          <w:sz w:val="24"/>
          <w:szCs w:val="24"/>
        </w:rPr>
        <w:t>n comparación con lo reportado en 2019</w:t>
      </w:r>
      <w:r w:rsidR="007405DE">
        <w:rPr>
          <w:rFonts w:ascii="Arial" w:hAnsi="Arial" w:cs="Arial"/>
          <w:sz w:val="24"/>
          <w:szCs w:val="24"/>
        </w:rPr>
        <w:t>,</w:t>
      </w:r>
      <w:r w:rsidR="00533E04" w:rsidRPr="00677195">
        <w:rPr>
          <w:rFonts w:ascii="Arial" w:hAnsi="Arial" w:cs="Arial"/>
          <w:sz w:val="24"/>
          <w:szCs w:val="24"/>
        </w:rPr>
        <w:t xml:space="preserve"> </w:t>
      </w:r>
      <w:r w:rsidR="00993CBD" w:rsidRPr="00677195">
        <w:rPr>
          <w:rFonts w:ascii="Arial" w:hAnsi="Arial" w:cs="Arial"/>
          <w:sz w:val="24"/>
          <w:szCs w:val="24"/>
        </w:rPr>
        <w:t xml:space="preserve">dicho delito </w:t>
      </w:r>
      <w:r w:rsidR="00533E04" w:rsidRPr="00677195">
        <w:rPr>
          <w:rFonts w:ascii="Arial" w:hAnsi="Arial" w:cs="Arial"/>
          <w:sz w:val="24"/>
          <w:szCs w:val="24"/>
        </w:rPr>
        <w:t xml:space="preserve">presentó una disminución de 23.2%. </w:t>
      </w:r>
      <w:r w:rsidR="00265533">
        <w:rPr>
          <w:rFonts w:ascii="Arial" w:hAnsi="Arial" w:cs="Arial"/>
          <w:sz w:val="24"/>
          <w:szCs w:val="24"/>
        </w:rPr>
        <w:t xml:space="preserve">                 </w:t>
      </w:r>
      <w:r w:rsidR="00533E04" w:rsidRPr="00677195">
        <w:rPr>
          <w:rFonts w:ascii="Arial" w:hAnsi="Arial" w:cs="Arial"/>
          <w:sz w:val="24"/>
          <w:szCs w:val="24"/>
        </w:rPr>
        <w:t>E</w:t>
      </w:r>
      <w:r w:rsidR="00216F5D" w:rsidRPr="00677195">
        <w:rPr>
          <w:rFonts w:ascii="Arial" w:hAnsi="Arial" w:cs="Arial"/>
          <w:sz w:val="24"/>
          <w:szCs w:val="24"/>
        </w:rPr>
        <w:t>n cuanto a los adolescentes, lo</w:t>
      </w:r>
      <w:r w:rsidR="00607968" w:rsidRPr="00677195">
        <w:rPr>
          <w:rFonts w:ascii="Arial" w:hAnsi="Arial" w:cs="Arial"/>
          <w:sz w:val="24"/>
          <w:szCs w:val="24"/>
        </w:rPr>
        <w:t>s</w:t>
      </w:r>
      <w:r w:rsidR="00216F5D" w:rsidRPr="00677195">
        <w:rPr>
          <w:rFonts w:ascii="Arial" w:hAnsi="Arial" w:cs="Arial"/>
          <w:sz w:val="24"/>
          <w:szCs w:val="24"/>
        </w:rPr>
        <w:t xml:space="preserve"> delitos contra la salud relacionados con narcóticos en su modalidad de narcomenudeo</w:t>
      </w:r>
      <w:r w:rsidR="006629BA" w:rsidRPr="00677195">
        <w:rPr>
          <w:rFonts w:ascii="Arial" w:hAnsi="Arial" w:cs="Arial"/>
          <w:sz w:val="24"/>
          <w:szCs w:val="24"/>
        </w:rPr>
        <w:t xml:space="preserve"> fueron los más frecuentes</w:t>
      </w:r>
      <w:r w:rsidR="006629BA">
        <w:rPr>
          <w:rFonts w:ascii="Arial" w:hAnsi="Arial" w:cs="Arial"/>
          <w:sz w:val="24"/>
          <w:szCs w:val="24"/>
        </w:rPr>
        <w:t xml:space="preserve"> </w:t>
      </w:r>
      <w:r w:rsidR="006629BA" w:rsidRPr="00A87DF9">
        <w:rPr>
          <w:rFonts w:ascii="Arial" w:hAnsi="Arial" w:cs="Arial"/>
          <w:sz w:val="24"/>
          <w:szCs w:val="24"/>
        </w:rPr>
        <w:t xml:space="preserve">con </w:t>
      </w:r>
      <w:r w:rsidR="00216F5D" w:rsidRPr="00A87DF9">
        <w:rPr>
          <w:rFonts w:ascii="Arial" w:hAnsi="Arial" w:cs="Arial"/>
          <w:sz w:val="24"/>
          <w:szCs w:val="24"/>
        </w:rPr>
        <w:t>32.3</w:t>
      </w:r>
      <w:r w:rsidR="006629BA" w:rsidRPr="00A87DF9">
        <w:rPr>
          <w:rFonts w:ascii="Arial" w:hAnsi="Arial" w:cs="Arial"/>
          <w:sz w:val="24"/>
          <w:szCs w:val="24"/>
        </w:rPr>
        <w:t>%</w:t>
      </w:r>
      <w:r w:rsidR="00484E5E">
        <w:rPr>
          <w:rFonts w:ascii="Arial" w:hAnsi="Arial" w:cs="Arial"/>
          <w:sz w:val="24"/>
          <w:szCs w:val="24"/>
        </w:rPr>
        <w:t xml:space="preserve">, los cuales presentaron un aumento de </w:t>
      </w:r>
      <w:r w:rsidR="00E27E3E">
        <w:rPr>
          <w:rFonts w:ascii="Arial" w:hAnsi="Arial" w:cs="Arial"/>
          <w:sz w:val="24"/>
          <w:szCs w:val="24"/>
        </w:rPr>
        <w:t>62.0</w:t>
      </w:r>
      <w:r w:rsidR="00484E5E">
        <w:rPr>
          <w:rFonts w:ascii="Arial" w:hAnsi="Arial" w:cs="Arial"/>
          <w:sz w:val="24"/>
          <w:szCs w:val="24"/>
        </w:rPr>
        <w:t>% con respecto a las cifras de 2019</w:t>
      </w:r>
      <w:r w:rsidR="00254AFF">
        <w:rPr>
          <w:rFonts w:ascii="Arial" w:hAnsi="Arial" w:cs="Arial"/>
          <w:sz w:val="24"/>
          <w:szCs w:val="24"/>
        </w:rPr>
        <w:t>.</w:t>
      </w:r>
    </w:p>
    <w:p w14:paraId="348632A8" w14:textId="77777777" w:rsidR="00265533" w:rsidRDefault="00265533" w:rsidP="00BA310C">
      <w:pPr>
        <w:pStyle w:val="Default"/>
        <w:spacing w:after="10"/>
        <w:ind w:left="-567"/>
        <w:jc w:val="center"/>
        <w:rPr>
          <w:b/>
          <w:bCs/>
          <w:i/>
          <w:iCs/>
          <w:color w:val="414C1C"/>
          <w:sz w:val="18"/>
          <w:szCs w:val="18"/>
        </w:rPr>
      </w:pPr>
    </w:p>
    <w:p w14:paraId="4D97650D" w14:textId="397ABBDF" w:rsidR="00BA310C" w:rsidRPr="00216F5D" w:rsidRDefault="00BA310C" w:rsidP="00BA310C">
      <w:pPr>
        <w:pStyle w:val="Default"/>
        <w:spacing w:after="10"/>
        <w:ind w:left="-567"/>
        <w:jc w:val="center"/>
        <w:rPr>
          <w:b/>
          <w:bCs/>
          <w:i/>
          <w:iCs/>
          <w:color w:val="414C1C"/>
          <w:sz w:val="18"/>
          <w:szCs w:val="18"/>
        </w:rPr>
      </w:pPr>
      <w:r w:rsidRPr="00216F5D">
        <w:rPr>
          <w:b/>
          <w:bCs/>
          <w:i/>
          <w:iCs/>
          <w:color w:val="414C1C"/>
          <w:sz w:val="18"/>
          <w:szCs w:val="18"/>
        </w:rPr>
        <w:t>Gráfica 2</w:t>
      </w:r>
      <w:r w:rsidR="00A32C10">
        <w:rPr>
          <w:b/>
          <w:bCs/>
          <w:i/>
          <w:iCs/>
          <w:color w:val="414C1C"/>
          <w:sz w:val="18"/>
          <w:szCs w:val="18"/>
        </w:rPr>
        <w:t>1</w:t>
      </w:r>
      <w:r w:rsidRPr="00216F5D">
        <w:rPr>
          <w:b/>
          <w:bCs/>
          <w:i/>
          <w:iCs/>
          <w:color w:val="414C1C"/>
          <w:sz w:val="18"/>
          <w:szCs w:val="18"/>
        </w:rPr>
        <w:t>.</w:t>
      </w:r>
      <w:r w:rsidRPr="00216F5D">
        <w:rPr>
          <w:sz w:val="18"/>
          <w:szCs w:val="18"/>
        </w:rPr>
        <w:t xml:space="preserve"> </w:t>
      </w:r>
      <w:r w:rsidRPr="00216F5D">
        <w:rPr>
          <w:b/>
          <w:bCs/>
          <w:i/>
          <w:iCs/>
          <w:color w:val="414C1C"/>
          <w:sz w:val="18"/>
          <w:szCs w:val="18"/>
        </w:rPr>
        <w:t>Principales delitos registrados en las causas penales ingresadas</w:t>
      </w:r>
      <w:r w:rsidR="00216F5D" w:rsidRPr="00216F5D">
        <w:rPr>
          <w:b/>
          <w:bCs/>
          <w:i/>
          <w:iCs/>
          <w:color w:val="414C1C"/>
          <w:sz w:val="18"/>
          <w:szCs w:val="18"/>
        </w:rPr>
        <w:t xml:space="preserve"> (adultos), </w:t>
      </w:r>
      <w:r w:rsidRPr="00216F5D">
        <w:rPr>
          <w:b/>
          <w:bCs/>
          <w:i/>
          <w:iCs/>
          <w:color w:val="414C1C"/>
          <w:sz w:val="18"/>
          <w:szCs w:val="18"/>
        </w:rPr>
        <w:t>por tipo, 2019</w:t>
      </w:r>
      <w:r w:rsidR="00216F5D" w:rsidRPr="00216F5D">
        <w:rPr>
          <w:b/>
          <w:bCs/>
          <w:i/>
          <w:iCs/>
          <w:color w:val="414C1C"/>
          <w:sz w:val="18"/>
          <w:szCs w:val="18"/>
        </w:rPr>
        <w:t xml:space="preserve"> a 2020</w:t>
      </w:r>
    </w:p>
    <w:p w14:paraId="1640B795" w14:textId="77777777" w:rsidR="00BA310C" w:rsidRPr="000E5724" w:rsidRDefault="00BA310C" w:rsidP="00BA310C">
      <w:pPr>
        <w:spacing w:after="0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19CFF885" w14:textId="77777777" w:rsidR="00F30C29" w:rsidRDefault="00F30C29" w:rsidP="000605B5">
      <w:pPr>
        <w:spacing w:after="0"/>
        <w:ind w:left="-567"/>
        <w:rPr>
          <w:rFonts w:ascii="Arial" w:hAnsi="Arial" w:cs="Arial"/>
          <w:b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46AA14FA" wp14:editId="028EC07A">
            <wp:extent cx="6419215" cy="2449902"/>
            <wp:effectExtent l="0" t="0" r="635" b="762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AD0A0086-6E5F-4404-9B8E-1312882250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 w:rsidRPr="000E5724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382D0F16" w14:textId="77777777" w:rsidR="00265533" w:rsidRDefault="00265533" w:rsidP="00F30C29">
      <w:pPr>
        <w:ind w:left="-567"/>
        <w:jc w:val="center"/>
        <w:rPr>
          <w:rFonts w:ascii="Arial" w:hAnsi="Arial" w:cs="Arial"/>
          <w:bCs/>
          <w:sz w:val="16"/>
          <w:szCs w:val="16"/>
        </w:rPr>
      </w:pPr>
    </w:p>
    <w:p w14:paraId="3CCC673A" w14:textId="1B521CF1" w:rsidR="00F30C29" w:rsidRPr="000605B5" w:rsidRDefault="00F30C29" w:rsidP="00F30C29">
      <w:pPr>
        <w:ind w:left="-567"/>
        <w:jc w:val="center"/>
        <w:rPr>
          <w:rFonts w:ascii="Arial" w:hAnsi="Arial" w:cs="Arial"/>
          <w:bCs/>
          <w:sz w:val="16"/>
          <w:szCs w:val="16"/>
        </w:rPr>
      </w:pPr>
      <w:r w:rsidRPr="000605B5">
        <w:rPr>
          <w:rFonts w:ascii="Arial" w:hAnsi="Arial" w:cs="Arial"/>
          <w:bCs/>
          <w:sz w:val="16"/>
          <w:szCs w:val="16"/>
        </w:rPr>
        <w:t>Nota: incluye Sistema Tradicional y Sistema Penal Acusatorio (juzgados de control o garantías).</w:t>
      </w:r>
    </w:p>
    <w:p w14:paraId="1E8025ED" w14:textId="6FFE801E" w:rsidR="00F30C29" w:rsidRDefault="00F30C29" w:rsidP="00F30C29">
      <w:pPr>
        <w:ind w:left="-567"/>
        <w:rPr>
          <w:rFonts w:ascii="Arial" w:hAnsi="Arial" w:cs="Arial"/>
          <w:b/>
          <w:sz w:val="16"/>
          <w:szCs w:val="16"/>
        </w:rPr>
      </w:pPr>
    </w:p>
    <w:p w14:paraId="1185FE6E" w14:textId="5C7E7B6E" w:rsidR="000605B5" w:rsidRDefault="000605B5" w:rsidP="00F30C29">
      <w:pPr>
        <w:ind w:left="-567"/>
        <w:rPr>
          <w:rFonts w:ascii="Arial" w:hAnsi="Arial" w:cs="Arial"/>
          <w:b/>
          <w:sz w:val="16"/>
          <w:szCs w:val="16"/>
        </w:rPr>
      </w:pPr>
    </w:p>
    <w:p w14:paraId="353BC426" w14:textId="1B33F356" w:rsidR="00F30C29" w:rsidRDefault="00F30C29" w:rsidP="00F30C29">
      <w:pPr>
        <w:pStyle w:val="Default"/>
        <w:spacing w:after="10"/>
        <w:ind w:left="-567"/>
        <w:jc w:val="center"/>
        <w:rPr>
          <w:b/>
          <w:bCs/>
          <w:i/>
          <w:iCs/>
          <w:color w:val="414C1C"/>
          <w:sz w:val="18"/>
          <w:szCs w:val="18"/>
        </w:rPr>
      </w:pPr>
      <w:r w:rsidRPr="000605B5">
        <w:rPr>
          <w:b/>
          <w:bCs/>
          <w:i/>
          <w:iCs/>
          <w:color w:val="414C1C"/>
          <w:sz w:val="18"/>
          <w:szCs w:val="18"/>
        </w:rPr>
        <w:t>Gráfica 2</w:t>
      </w:r>
      <w:r w:rsidR="00A32C10">
        <w:rPr>
          <w:b/>
          <w:bCs/>
          <w:i/>
          <w:iCs/>
          <w:color w:val="414C1C"/>
          <w:sz w:val="18"/>
          <w:szCs w:val="18"/>
        </w:rPr>
        <w:t>2</w:t>
      </w:r>
      <w:r w:rsidRPr="000605B5">
        <w:rPr>
          <w:b/>
          <w:bCs/>
          <w:i/>
          <w:iCs/>
          <w:color w:val="414C1C"/>
          <w:sz w:val="18"/>
          <w:szCs w:val="18"/>
        </w:rPr>
        <w:t>.</w:t>
      </w:r>
      <w:r w:rsidRPr="000605B5">
        <w:rPr>
          <w:sz w:val="18"/>
          <w:szCs w:val="18"/>
        </w:rPr>
        <w:t xml:space="preserve"> </w:t>
      </w:r>
      <w:r w:rsidRPr="000605B5">
        <w:rPr>
          <w:b/>
          <w:bCs/>
          <w:i/>
          <w:iCs/>
          <w:color w:val="414C1C"/>
          <w:sz w:val="18"/>
          <w:szCs w:val="18"/>
        </w:rPr>
        <w:t>Principales delitos registrados en las causas penales ingresadas (adolescentes), por tipo, 2019 a 2020</w:t>
      </w:r>
    </w:p>
    <w:p w14:paraId="7A8A05F2" w14:textId="77777777" w:rsidR="000605B5" w:rsidRPr="00216F5D" w:rsidRDefault="000605B5" w:rsidP="00F30C29">
      <w:pPr>
        <w:pStyle w:val="Default"/>
        <w:spacing w:after="10"/>
        <w:ind w:left="-567"/>
        <w:jc w:val="center"/>
        <w:rPr>
          <w:b/>
          <w:bCs/>
          <w:i/>
          <w:iCs/>
          <w:color w:val="414C1C"/>
          <w:sz w:val="18"/>
          <w:szCs w:val="18"/>
        </w:rPr>
      </w:pPr>
    </w:p>
    <w:p w14:paraId="73D4FA57" w14:textId="3D063294" w:rsidR="00BA310C" w:rsidRPr="000E5724" w:rsidRDefault="00F30C29" w:rsidP="000605B5">
      <w:pPr>
        <w:spacing w:after="0"/>
        <w:ind w:left="-567"/>
        <w:rPr>
          <w:rFonts w:ascii="Arial" w:hAnsi="Arial" w:cs="Arial"/>
          <w:b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1988B6A4" wp14:editId="29B9E349">
            <wp:extent cx="6432698" cy="2508885"/>
            <wp:effectExtent l="0" t="0" r="6350" b="571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8B804228-2F6A-4969-BB57-2E0CECCD4F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3963E62B" w14:textId="217A6842" w:rsidR="000605B5" w:rsidRPr="000605B5" w:rsidRDefault="000605B5" w:rsidP="000605B5">
      <w:pPr>
        <w:ind w:left="-567"/>
        <w:jc w:val="center"/>
        <w:rPr>
          <w:rFonts w:ascii="Arial" w:hAnsi="Arial" w:cs="Arial"/>
          <w:bCs/>
          <w:sz w:val="16"/>
          <w:szCs w:val="16"/>
        </w:rPr>
      </w:pPr>
      <w:r w:rsidRPr="000605B5">
        <w:rPr>
          <w:rFonts w:ascii="Arial" w:hAnsi="Arial" w:cs="Arial"/>
          <w:bCs/>
          <w:sz w:val="16"/>
          <w:szCs w:val="16"/>
        </w:rPr>
        <w:t xml:space="preserve">Nota: incluye </w:t>
      </w:r>
      <w:r>
        <w:rPr>
          <w:rFonts w:ascii="Arial" w:hAnsi="Arial" w:cs="Arial"/>
          <w:bCs/>
          <w:sz w:val="16"/>
          <w:szCs w:val="16"/>
        </w:rPr>
        <w:t>Sistema Escrito o Mixto y Sistema Oral, así como el</w:t>
      </w:r>
      <w:r w:rsidRPr="000605B5">
        <w:rPr>
          <w:rFonts w:ascii="Arial" w:hAnsi="Arial" w:cs="Arial"/>
          <w:bCs/>
          <w:sz w:val="16"/>
          <w:szCs w:val="16"/>
        </w:rPr>
        <w:t xml:space="preserve"> Sistema </w:t>
      </w:r>
      <w:r>
        <w:rPr>
          <w:rFonts w:ascii="Arial" w:hAnsi="Arial" w:cs="Arial"/>
          <w:bCs/>
          <w:sz w:val="16"/>
          <w:szCs w:val="16"/>
        </w:rPr>
        <w:t>Integral de Justicia Penal para Adolescentes</w:t>
      </w:r>
      <w:r w:rsidRPr="000605B5">
        <w:rPr>
          <w:rFonts w:ascii="Arial" w:hAnsi="Arial" w:cs="Arial"/>
          <w:bCs/>
          <w:sz w:val="16"/>
          <w:szCs w:val="16"/>
        </w:rPr>
        <w:t xml:space="preserve"> (juzgados de control o garantías).</w:t>
      </w:r>
    </w:p>
    <w:p w14:paraId="63781205" w14:textId="77777777" w:rsidR="00265533" w:rsidRDefault="00265533" w:rsidP="00BA310C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7BCA5558" w14:textId="77777777" w:rsidR="002248B5" w:rsidRDefault="002248B5" w:rsidP="00BA310C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78B47202" w14:textId="77777777" w:rsidR="00904E10" w:rsidRDefault="00904E10" w:rsidP="00BA310C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4C94C1BB" w14:textId="1E2E7E6A" w:rsidR="00BA310C" w:rsidRPr="00C53EEA" w:rsidRDefault="006629BA" w:rsidP="00BA310C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Personas p</w:t>
      </w:r>
      <w:r w:rsidR="00BA310C" w:rsidRPr="00C53EEA">
        <w:rPr>
          <w:rFonts w:ascii="Arial" w:hAnsi="Arial" w:cs="Arial"/>
          <w:b/>
          <w:sz w:val="24"/>
          <w:szCs w:val="24"/>
        </w:rPr>
        <w:t>rocesad</w:t>
      </w:r>
      <w:r>
        <w:rPr>
          <w:rFonts w:ascii="Arial" w:hAnsi="Arial" w:cs="Arial"/>
          <w:b/>
          <w:sz w:val="24"/>
          <w:szCs w:val="24"/>
        </w:rPr>
        <w:t>a</w:t>
      </w:r>
      <w:r w:rsidR="00BA310C" w:rsidRPr="00C53EEA">
        <w:rPr>
          <w:rFonts w:ascii="Arial" w:hAnsi="Arial" w:cs="Arial"/>
          <w:b/>
          <w:sz w:val="24"/>
          <w:szCs w:val="24"/>
        </w:rPr>
        <w:t>s e imputad</w:t>
      </w:r>
      <w:r>
        <w:rPr>
          <w:rFonts w:ascii="Arial" w:hAnsi="Arial" w:cs="Arial"/>
          <w:b/>
          <w:sz w:val="24"/>
          <w:szCs w:val="24"/>
        </w:rPr>
        <w:t>a</w:t>
      </w:r>
      <w:r w:rsidR="00BA310C" w:rsidRPr="00C53EEA">
        <w:rPr>
          <w:rFonts w:ascii="Arial" w:hAnsi="Arial" w:cs="Arial"/>
          <w:b/>
          <w:sz w:val="24"/>
          <w:szCs w:val="24"/>
        </w:rPr>
        <w:t>s</w:t>
      </w:r>
    </w:p>
    <w:p w14:paraId="01D912F5" w14:textId="28236174" w:rsidR="00BA310C" w:rsidRPr="00C53EEA" w:rsidRDefault="00BA310C" w:rsidP="00421474">
      <w:pPr>
        <w:ind w:left="-567"/>
        <w:jc w:val="both"/>
        <w:rPr>
          <w:rFonts w:ascii="Arial" w:hAnsi="Arial" w:cs="Arial"/>
          <w:sz w:val="24"/>
          <w:szCs w:val="24"/>
        </w:rPr>
      </w:pPr>
      <w:bookmarkStart w:id="7" w:name="_Hlk53436414"/>
      <w:r w:rsidRPr="00C53EEA">
        <w:rPr>
          <w:rFonts w:ascii="Arial" w:hAnsi="Arial" w:cs="Arial"/>
          <w:sz w:val="24"/>
          <w:szCs w:val="24"/>
        </w:rPr>
        <w:t xml:space="preserve">En </w:t>
      </w:r>
      <w:r w:rsidR="004B0781" w:rsidRPr="00C53EEA">
        <w:rPr>
          <w:rFonts w:ascii="Arial" w:hAnsi="Arial" w:cs="Arial"/>
          <w:sz w:val="24"/>
          <w:szCs w:val="24"/>
        </w:rPr>
        <w:t xml:space="preserve">2020 se registraron 214 572 </w:t>
      </w:r>
      <w:r w:rsidR="006629BA">
        <w:rPr>
          <w:rFonts w:ascii="Arial" w:hAnsi="Arial" w:cs="Arial"/>
          <w:sz w:val="24"/>
          <w:szCs w:val="24"/>
        </w:rPr>
        <w:t xml:space="preserve">personas </w:t>
      </w:r>
      <w:r w:rsidRPr="00C53EEA">
        <w:rPr>
          <w:rFonts w:ascii="Arial" w:hAnsi="Arial" w:cs="Arial"/>
          <w:sz w:val="24"/>
          <w:szCs w:val="24"/>
        </w:rPr>
        <w:t>procesad</w:t>
      </w:r>
      <w:r w:rsidR="006629BA">
        <w:rPr>
          <w:rFonts w:ascii="Arial" w:hAnsi="Arial" w:cs="Arial"/>
          <w:sz w:val="24"/>
          <w:szCs w:val="24"/>
        </w:rPr>
        <w:t>a</w:t>
      </w:r>
      <w:r w:rsidRPr="00C53EEA">
        <w:rPr>
          <w:rFonts w:ascii="Arial" w:hAnsi="Arial" w:cs="Arial"/>
          <w:sz w:val="24"/>
          <w:szCs w:val="24"/>
        </w:rPr>
        <w:t>s e imputad</w:t>
      </w:r>
      <w:r w:rsidR="006629BA">
        <w:rPr>
          <w:rFonts w:ascii="Arial" w:hAnsi="Arial" w:cs="Arial"/>
          <w:sz w:val="24"/>
          <w:szCs w:val="24"/>
        </w:rPr>
        <w:t>a</w:t>
      </w:r>
      <w:r w:rsidRPr="00C53EEA">
        <w:rPr>
          <w:rFonts w:ascii="Arial" w:hAnsi="Arial" w:cs="Arial"/>
          <w:sz w:val="24"/>
          <w:szCs w:val="24"/>
        </w:rPr>
        <w:t>s en las causas penales ingresada</w:t>
      </w:r>
      <w:r w:rsidR="00421474" w:rsidRPr="00C53EEA">
        <w:rPr>
          <w:rFonts w:ascii="Arial" w:hAnsi="Arial" w:cs="Arial"/>
          <w:sz w:val="24"/>
          <w:szCs w:val="24"/>
        </w:rPr>
        <w:t>s</w:t>
      </w:r>
      <w:r w:rsidR="00C53EEA" w:rsidRPr="00C53EEA">
        <w:rPr>
          <w:rStyle w:val="Refdenotaalpie"/>
          <w:rFonts w:ascii="Arial" w:hAnsi="Arial" w:cs="Arial"/>
          <w:sz w:val="24"/>
          <w:szCs w:val="24"/>
        </w:rPr>
        <w:footnoteReference w:id="16"/>
      </w:r>
      <w:r w:rsidR="00421474" w:rsidRPr="00C53EEA">
        <w:rPr>
          <w:rFonts w:ascii="Arial" w:hAnsi="Arial" w:cs="Arial"/>
          <w:sz w:val="24"/>
          <w:szCs w:val="24"/>
        </w:rPr>
        <w:t>, de las cuales</w:t>
      </w:r>
      <w:r w:rsidR="006629BA">
        <w:rPr>
          <w:rFonts w:ascii="Arial" w:hAnsi="Arial" w:cs="Arial"/>
          <w:sz w:val="24"/>
          <w:szCs w:val="24"/>
        </w:rPr>
        <w:t>,</w:t>
      </w:r>
      <w:r w:rsidR="00421474" w:rsidRPr="00C53EEA">
        <w:rPr>
          <w:rFonts w:ascii="Arial" w:hAnsi="Arial" w:cs="Arial"/>
          <w:sz w:val="24"/>
          <w:szCs w:val="24"/>
        </w:rPr>
        <w:t xml:space="preserve"> 208 705 </w:t>
      </w:r>
      <w:r w:rsidR="001D5181">
        <w:rPr>
          <w:rFonts w:ascii="Arial" w:hAnsi="Arial" w:cs="Arial"/>
          <w:sz w:val="24"/>
          <w:szCs w:val="24"/>
        </w:rPr>
        <w:t xml:space="preserve">(97.3%) </w:t>
      </w:r>
      <w:r w:rsidR="00421474" w:rsidRPr="00C53EEA">
        <w:rPr>
          <w:rFonts w:ascii="Arial" w:hAnsi="Arial" w:cs="Arial"/>
          <w:sz w:val="24"/>
          <w:szCs w:val="24"/>
        </w:rPr>
        <w:t>eran adultos y 5 867</w:t>
      </w:r>
      <w:r w:rsidR="001D5181">
        <w:rPr>
          <w:rFonts w:ascii="Arial" w:hAnsi="Arial" w:cs="Arial"/>
          <w:sz w:val="24"/>
          <w:szCs w:val="24"/>
        </w:rPr>
        <w:t xml:space="preserve"> (2.7%)</w:t>
      </w:r>
      <w:r w:rsidR="00421474" w:rsidRPr="00C53EEA">
        <w:rPr>
          <w:rFonts w:ascii="Arial" w:hAnsi="Arial" w:cs="Arial"/>
          <w:sz w:val="24"/>
          <w:szCs w:val="24"/>
        </w:rPr>
        <w:t xml:space="preserve"> adolescentes. </w:t>
      </w:r>
      <w:r w:rsidR="00A20776" w:rsidRPr="00C53EEA">
        <w:rPr>
          <w:rFonts w:ascii="Arial" w:hAnsi="Arial" w:cs="Arial"/>
          <w:sz w:val="24"/>
          <w:szCs w:val="24"/>
        </w:rPr>
        <w:t>D</w:t>
      </w:r>
      <w:r w:rsidRPr="00C53EEA">
        <w:rPr>
          <w:rFonts w:ascii="Arial" w:hAnsi="Arial" w:cs="Arial"/>
          <w:sz w:val="24"/>
          <w:szCs w:val="24"/>
        </w:rPr>
        <w:t>e</w:t>
      </w:r>
      <w:r w:rsidR="00421474" w:rsidRPr="00C53EEA">
        <w:rPr>
          <w:rFonts w:ascii="Arial" w:hAnsi="Arial" w:cs="Arial"/>
          <w:sz w:val="24"/>
          <w:szCs w:val="24"/>
        </w:rPr>
        <w:t>l total</w:t>
      </w:r>
      <w:r w:rsidR="00C53EEA" w:rsidRPr="00C53EEA">
        <w:rPr>
          <w:rFonts w:ascii="Arial" w:hAnsi="Arial" w:cs="Arial"/>
          <w:sz w:val="24"/>
          <w:szCs w:val="24"/>
        </w:rPr>
        <w:t xml:space="preserve">, </w:t>
      </w:r>
      <w:r w:rsidR="00421474" w:rsidRPr="00C53EEA">
        <w:rPr>
          <w:rFonts w:ascii="Arial" w:hAnsi="Arial" w:cs="Arial"/>
          <w:sz w:val="24"/>
          <w:szCs w:val="24"/>
        </w:rPr>
        <w:t>80.1% eran hombres,</w:t>
      </w:r>
      <w:r w:rsidR="00C53EEA" w:rsidRPr="00C53EEA">
        <w:rPr>
          <w:rFonts w:ascii="Arial" w:hAnsi="Arial" w:cs="Arial"/>
          <w:sz w:val="24"/>
          <w:szCs w:val="24"/>
        </w:rPr>
        <w:t xml:space="preserve"> 9.5% mujeres y para 10.4% no se identificó el</w:t>
      </w:r>
      <w:r w:rsidRPr="00C53EEA">
        <w:rPr>
          <w:rFonts w:ascii="Arial" w:hAnsi="Arial" w:cs="Arial"/>
          <w:sz w:val="24"/>
          <w:szCs w:val="24"/>
        </w:rPr>
        <w:t xml:space="preserve"> sexo</w:t>
      </w:r>
      <w:r w:rsidRPr="00C53EEA">
        <w:rPr>
          <w:rStyle w:val="Refdenotaalpie"/>
          <w:rFonts w:ascii="Arial" w:hAnsi="Arial" w:cs="Arial"/>
          <w:sz w:val="24"/>
          <w:szCs w:val="24"/>
        </w:rPr>
        <w:footnoteReference w:id="17"/>
      </w:r>
      <w:r w:rsidRPr="00C53EEA">
        <w:rPr>
          <w:rFonts w:ascii="Arial" w:hAnsi="Arial" w:cs="Arial"/>
          <w:sz w:val="24"/>
          <w:szCs w:val="24"/>
        </w:rPr>
        <w:t xml:space="preserve">. </w:t>
      </w:r>
      <w:r w:rsidR="002522EA">
        <w:rPr>
          <w:rFonts w:ascii="Arial" w:hAnsi="Arial" w:cs="Arial"/>
          <w:sz w:val="24"/>
          <w:szCs w:val="24"/>
        </w:rPr>
        <w:t>En contraste con lo reportado en 2019</w:t>
      </w:r>
      <w:r w:rsidR="00152FCB">
        <w:rPr>
          <w:rStyle w:val="Refdenotaalpie"/>
          <w:rFonts w:ascii="Arial" w:hAnsi="Arial" w:cs="Arial"/>
          <w:sz w:val="24"/>
          <w:szCs w:val="24"/>
        </w:rPr>
        <w:footnoteReference w:id="18"/>
      </w:r>
      <w:r w:rsidR="002522EA">
        <w:rPr>
          <w:rFonts w:ascii="Arial" w:hAnsi="Arial" w:cs="Arial"/>
          <w:sz w:val="24"/>
          <w:szCs w:val="24"/>
        </w:rPr>
        <w:t>, la cantidad de procesados e imputados disminuyó 8.3 por ciento.</w:t>
      </w:r>
    </w:p>
    <w:bookmarkEnd w:id="7"/>
    <w:p w14:paraId="500C8B72" w14:textId="77777777" w:rsidR="00BA310C" w:rsidRPr="000E5724" w:rsidRDefault="00BA310C" w:rsidP="00BA310C">
      <w:pPr>
        <w:pStyle w:val="Default"/>
        <w:spacing w:after="10"/>
        <w:ind w:left="-567"/>
        <w:jc w:val="both"/>
        <w:rPr>
          <w:b/>
          <w:bCs/>
          <w:i/>
          <w:iCs/>
          <w:color w:val="4472C4" w:themeColor="accent1"/>
          <w:sz w:val="20"/>
          <w:highlight w:val="yellow"/>
        </w:rPr>
      </w:pPr>
    </w:p>
    <w:p w14:paraId="730CFDC7" w14:textId="20F78A99" w:rsidR="00EF47FC" w:rsidRDefault="00BA310C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</w:rPr>
      </w:pPr>
      <w:r w:rsidRPr="00EF47FC">
        <w:rPr>
          <w:b/>
          <w:bCs/>
          <w:i/>
          <w:iCs/>
          <w:color w:val="414C1C"/>
          <w:sz w:val="18"/>
        </w:rPr>
        <w:t>Gráfica 2</w:t>
      </w:r>
      <w:r w:rsidR="00A32C10">
        <w:rPr>
          <w:b/>
          <w:bCs/>
          <w:i/>
          <w:iCs/>
          <w:color w:val="414C1C"/>
          <w:sz w:val="18"/>
        </w:rPr>
        <w:t>3</w:t>
      </w:r>
      <w:r w:rsidRPr="00EF47FC">
        <w:rPr>
          <w:b/>
          <w:bCs/>
          <w:i/>
          <w:iCs/>
          <w:color w:val="414C1C"/>
          <w:sz w:val="18"/>
        </w:rPr>
        <w:t>.</w:t>
      </w:r>
      <w:r w:rsidRPr="00EF47FC">
        <w:rPr>
          <w:sz w:val="22"/>
        </w:rPr>
        <w:t xml:space="preserve"> </w:t>
      </w:r>
      <w:r w:rsidRPr="00EF47FC">
        <w:rPr>
          <w:b/>
          <w:bCs/>
          <w:i/>
          <w:iCs/>
          <w:color w:val="414C1C"/>
          <w:sz w:val="18"/>
        </w:rPr>
        <w:t>P</w:t>
      </w:r>
      <w:r w:rsidR="00B43513">
        <w:rPr>
          <w:b/>
          <w:bCs/>
          <w:i/>
          <w:iCs/>
          <w:color w:val="414C1C"/>
          <w:sz w:val="18"/>
        </w:rPr>
        <w:t>ersonas p</w:t>
      </w:r>
      <w:r w:rsidRPr="00EF47FC">
        <w:rPr>
          <w:b/>
          <w:bCs/>
          <w:i/>
          <w:iCs/>
          <w:color w:val="414C1C"/>
          <w:sz w:val="18"/>
        </w:rPr>
        <w:t>rocesad</w:t>
      </w:r>
      <w:r w:rsidR="00A31D38">
        <w:rPr>
          <w:b/>
          <w:bCs/>
          <w:i/>
          <w:iCs/>
          <w:color w:val="414C1C"/>
          <w:sz w:val="18"/>
        </w:rPr>
        <w:t>a</w:t>
      </w:r>
      <w:r w:rsidRPr="00EF47FC">
        <w:rPr>
          <w:b/>
          <w:bCs/>
          <w:i/>
          <w:iCs/>
          <w:color w:val="414C1C"/>
          <w:sz w:val="18"/>
        </w:rPr>
        <w:t>s y/o imputad</w:t>
      </w:r>
      <w:r w:rsidR="00A31D38">
        <w:rPr>
          <w:b/>
          <w:bCs/>
          <w:i/>
          <w:iCs/>
          <w:color w:val="414C1C"/>
          <w:sz w:val="18"/>
        </w:rPr>
        <w:t>a</w:t>
      </w:r>
      <w:r w:rsidRPr="00EF47FC">
        <w:rPr>
          <w:b/>
          <w:bCs/>
          <w:i/>
          <w:iCs/>
          <w:color w:val="414C1C"/>
          <w:sz w:val="18"/>
        </w:rPr>
        <w:t>s registrados en las causas penales ingresadas en materia penal y justicia para adolescentes, según sexo y tipo de sistema, 20</w:t>
      </w:r>
      <w:r w:rsidR="00EF47FC" w:rsidRPr="00EF47FC">
        <w:rPr>
          <w:b/>
          <w:bCs/>
          <w:i/>
          <w:iCs/>
          <w:color w:val="414C1C"/>
          <w:sz w:val="18"/>
        </w:rPr>
        <w:t>20</w:t>
      </w:r>
    </w:p>
    <w:p w14:paraId="234BF651" w14:textId="77777777" w:rsidR="00B04A69" w:rsidRDefault="00B04A69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</w:rPr>
      </w:pPr>
    </w:p>
    <w:p w14:paraId="0C4E74B3" w14:textId="7905EAC8" w:rsidR="00BA310C" w:rsidRPr="00EF47FC" w:rsidRDefault="00BA310C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</w:rPr>
      </w:pPr>
      <w:r w:rsidRPr="00EF47FC">
        <w:rPr>
          <w:b/>
          <w:bCs/>
          <w:i/>
          <w:iCs/>
          <w:color w:val="414C1C"/>
          <w:sz w:val="18"/>
        </w:rPr>
        <w:t xml:space="preserve"> </w:t>
      </w:r>
    </w:p>
    <w:p w14:paraId="79F5AD81" w14:textId="0512B46B" w:rsidR="00BA310C" w:rsidRPr="00EF47FC" w:rsidRDefault="00EF47FC" w:rsidP="00BA310C">
      <w:pPr>
        <w:pStyle w:val="Default"/>
        <w:spacing w:after="10"/>
        <w:ind w:left="-567"/>
        <w:jc w:val="center"/>
        <w:rPr>
          <w:b/>
          <w:bCs/>
          <w:i/>
          <w:iCs/>
          <w:color w:val="4472C4" w:themeColor="accent1"/>
          <w:sz w:val="20"/>
        </w:rPr>
      </w:pPr>
      <w:r>
        <w:rPr>
          <w:noProof/>
        </w:rPr>
        <w:drawing>
          <wp:inline distT="0" distB="0" distL="0" distR="0" wp14:anchorId="39A02D63" wp14:editId="272DAB5D">
            <wp:extent cx="6078220" cy="2648310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16631122-F9B0-42E7-996E-7ACA0808B7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610E1C4E" w14:textId="21EF6BC3" w:rsidR="00BA310C" w:rsidRPr="00EF47FC" w:rsidRDefault="00BA310C" w:rsidP="00BA310C">
      <w:pPr>
        <w:jc w:val="center"/>
        <w:rPr>
          <w:sz w:val="16"/>
          <w:szCs w:val="16"/>
        </w:rPr>
      </w:pPr>
      <w:r w:rsidRPr="00EF47FC">
        <w:rPr>
          <w:rFonts w:ascii="Arial" w:hAnsi="Arial" w:cs="Arial"/>
          <w:sz w:val="16"/>
          <w:szCs w:val="16"/>
        </w:rPr>
        <w:t>Nota: solo se incluye información de los procesados y/o imputados para los que fue posible identificar el sexo (</w:t>
      </w:r>
      <w:r w:rsidR="00EF47FC" w:rsidRPr="00EF47FC">
        <w:rPr>
          <w:rFonts w:ascii="Arial" w:hAnsi="Arial" w:cs="Arial"/>
          <w:sz w:val="16"/>
          <w:szCs w:val="16"/>
        </w:rPr>
        <w:t>192 386</w:t>
      </w:r>
      <w:r w:rsidRPr="00EF47FC">
        <w:rPr>
          <w:rFonts w:ascii="Arial" w:hAnsi="Arial" w:cs="Arial"/>
          <w:sz w:val="16"/>
          <w:szCs w:val="16"/>
        </w:rPr>
        <w:t>).</w:t>
      </w:r>
    </w:p>
    <w:p w14:paraId="3016A085" w14:textId="1E13D572" w:rsidR="00451759" w:rsidRDefault="00451759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79F034E7" w14:textId="0F2A6E7E" w:rsidR="00B04A69" w:rsidRDefault="00B04A69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69DD92E4" w14:textId="74591ABA" w:rsidR="00B04A69" w:rsidRDefault="00B04A69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196352F9" w14:textId="1272E89C" w:rsidR="00B04A69" w:rsidRDefault="00B04A69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5D526D74" w14:textId="3E3DF19A" w:rsidR="00B04A69" w:rsidRDefault="00B04A69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696A8173" w14:textId="35F5172F" w:rsidR="00B04A69" w:rsidRDefault="00B04A69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168729F6" w14:textId="5A618B92" w:rsidR="00B04A69" w:rsidRDefault="00B04A69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6B344BA2" w14:textId="50467FC2" w:rsidR="00B04A69" w:rsidRDefault="00B04A69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3BA023B2" w14:textId="098644ED" w:rsidR="00B04A69" w:rsidRDefault="00B04A69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753B6D96" w14:textId="77777777" w:rsidR="00904E10" w:rsidRDefault="00904E10" w:rsidP="000B4488">
      <w:pPr>
        <w:ind w:left="-567"/>
        <w:jc w:val="both"/>
        <w:rPr>
          <w:rFonts w:ascii="Arial" w:hAnsi="Arial" w:cs="Arial"/>
          <w:iCs/>
          <w:sz w:val="24"/>
          <w:szCs w:val="24"/>
        </w:rPr>
      </w:pPr>
    </w:p>
    <w:p w14:paraId="14FC2B5B" w14:textId="3D86BE33" w:rsidR="00A20776" w:rsidRDefault="00451759" w:rsidP="000B4488">
      <w:pPr>
        <w:ind w:left="-567"/>
        <w:jc w:val="both"/>
        <w:rPr>
          <w:rFonts w:ascii="Arial" w:hAnsi="Arial" w:cs="Arial"/>
          <w:iCs/>
          <w:sz w:val="24"/>
          <w:szCs w:val="24"/>
        </w:rPr>
      </w:pPr>
      <w:r w:rsidRPr="00451759">
        <w:rPr>
          <w:rFonts w:ascii="Arial" w:hAnsi="Arial" w:cs="Arial"/>
          <w:iCs/>
          <w:sz w:val="24"/>
          <w:szCs w:val="24"/>
        </w:rPr>
        <w:t xml:space="preserve">Durante 2020, </w:t>
      </w:r>
      <w:r w:rsidR="000B4488">
        <w:rPr>
          <w:rFonts w:ascii="Arial" w:hAnsi="Arial" w:cs="Arial"/>
          <w:iCs/>
          <w:sz w:val="24"/>
          <w:szCs w:val="24"/>
        </w:rPr>
        <w:t xml:space="preserve">a 66 758 personas </w:t>
      </w:r>
      <w:r w:rsidR="00DC5E78">
        <w:rPr>
          <w:rFonts w:ascii="Arial" w:hAnsi="Arial" w:cs="Arial"/>
          <w:iCs/>
          <w:sz w:val="24"/>
          <w:szCs w:val="24"/>
        </w:rPr>
        <w:t xml:space="preserve">imputadas </w:t>
      </w:r>
      <w:r w:rsidR="000B4488">
        <w:rPr>
          <w:rFonts w:ascii="Arial" w:hAnsi="Arial" w:cs="Arial"/>
          <w:iCs/>
          <w:sz w:val="24"/>
          <w:szCs w:val="24"/>
        </w:rPr>
        <w:t xml:space="preserve">registradas en las causas penales ingresadas a los juzgados de control o garantías </w:t>
      </w:r>
      <w:r w:rsidR="000B4488" w:rsidRPr="000B4488">
        <w:rPr>
          <w:rFonts w:ascii="Arial" w:hAnsi="Arial" w:cs="Arial"/>
          <w:iCs/>
          <w:sz w:val="24"/>
          <w:szCs w:val="24"/>
        </w:rPr>
        <w:t xml:space="preserve">se les realizó el control de la legalidad de la </w:t>
      </w:r>
      <w:r w:rsidR="00DC5E78">
        <w:rPr>
          <w:rFonts w:ascii="Arial" w:hAnsi="Arial" w:cs="Arial"/>
          <w:iCs/>
          <w:sz w:val="24"/>
          <w:szCs w:val="24"/>
        </w:rPr>
        <w:t>detención</w:t>
      </w:r>
      <w:r w:rsidR="00726955">
        <w:rPr>
          <w:rFonts w:ascii="Arial" w:hAnsi="Arial" w:cs="Arial"/>
          <w:iCs/>
          <w:sz w:val="24"/>
          <w:szCs w:val="24"/>
        </w:rPr>
        <w:t>,</w:t>
      </w:r>
      <w:r w:rsidR="000B4488">
        <w:rPr>
          <w:rFonts w:ascii="Arial" w:hAnsi="Arial" w:cs="Arial"/>
          <w:iCs/>
          <w:sz w:val="24"/>
          <w:szCs w:val="24"/>
        </w:rPr>
        <w:t xml:space="preserve"> de ellas</w:t>
      </w:r>
      <w:r w:rsidR="00DC5E78">
        <w:rPr>
          <w:rFonts w:ascii="Arial" w:hAnsi="Arial" w:cs="Arial"/>
          <w:iCs/>
          <w:sz w:val="24"/>
          <w:szCs w:val="24"/>
        </w:rPr>
        <w:t>,</w:t>
      </w:r>
      <w:r w:rsidR="000B4488">
        <w:rPr>
          <w:rFonts w:ascii="Arial" w:hAnsi="Arial" w:cs="Arial"/>
          <w:iCs/>
          <w:sz w:val="24"/>
          <w:szCs w:val="24"/>
        </w:rPr>
        <w:t xml:space="preserve"> 96.1% (64 184) eran adultos y 3.9% (2 574) adolescentes. Según la calificación de la detención, para 65.4% se ratificó la detención, a 3.5% se </w:t>
      </w:r>
      <w:r w:rsidR="00DC5E78" w:rsidRPr="00605DAB">
        <w:rPr>
          <w:rFonts w:ascii="Arial" w:hAnsi="Arial" w:cs="Arial"/>
          <w:iCs/>
          <w:sz w:val="24"/>
          <w:szCs w:val="24"/>
        </w:rPr>
        <w:t>le dictó</w:t>
      </w:r>
      <w:r w:rsidR="00DC5E78">
        <w:rPr>
          <w:rFonts w:ascii="Arial" w:hAnsi="Arial" w:cs="Arial"/>
          <w:iCs/>
          <w:sz w:val="24"/>
          <w:szCs w:val="24"/>
        </w:rPr>
        <w:t xml:space="preserve"> orden de libertad y para 31.1% no se identificó la calificación. La información por entidad federativa se presenta a continuación:</w:t>
      </w:r>
    </w:p>
    <w:p w14:paraId="2A7CA0AA" w14:textId="031F5227" w:rsidR="00BB6813" w:rsidRDefault="00BB6813" w:rsidP="00BB6813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</w:rPr>
      </w:pPr>
      <w:r>
        <w:rPr>
          <w:b/>
          <w:bCs/>
          <w:i/>
          <w:iCs/>
          <w:color w:val="414C1C"/>
          <w:sz w:val="18"/>
        </w:rPr>
        <w:t>Cuadro</w:t>
      </w:r>
      <w:r w:rsidRPr="007303B8">
        <w:rPr>
          <w:b/>
          <w:bCs/>
          <w:i/>
          <w:iCs/>
          <w:color w:val="414C1C"/>
          <w:sz w:val="18"/>
        </w:rPr>
        <w:t xml:space="preserve"> </w:t>
      </w:r>
      <w:r>
        <w:rPr>
          <w:b/>
          <w:bCs/>
          <w:i/>
          <w:iCs/>
          <w:color w:val="414C1C"/>
          <w:sz w:val="18"/>
        </w:rPr>
        <w:t>3</w:t>
      </w:r>
      <w:r w:rsidRPr="007303B8">
        <w:rPr>
          <w:b/>
          <w:bCs/>
          <w:i/>
          <w:iCs/>
          <w:color w:val="414C1C"/>
          <w:sz w:val="18"/>
        </w:rPr>
        <w:t xml:space="preserve">. </w:t>
      </w:r>
      <w:r>
        <w:rPr>
          <w:b/>
          <w:bCs/>
          <w:i/>
          <w:iCs/>
          <w:color w:val="414C1C"/>
          <w:sz w:val="18"/>
        </w:rPr>
        <w:t xml:space="preserve">Calificaciones de la detención registradas en las causas penales (adultos y adolescentes), </w:t>
      </w:r>
      <w:r w:rsidRPr="007303B8">
        <w:rPr>
          <w:b/>
          <w:bCs/>
          <w:i/>
          <w:iCs/>
          <w:color w:val="414C1C"/>
          <w:sz w:val="18"/>
        </w:rPr>
        <w:t xml:space="preserve">por </w:t>
      </w:r>
      <w:r>
        <w:rPr>
          <w:b/>
          <w:bCs/>
          <w:i/>
          <w:iCs/>
          <w:color w:val="414C1C"/>
          <w:sz w:val="18"/>
        </w:rPr>
        <w:t>entidad federativa y tipo</w:t>
      </w:r>
      <w:r w:rsidRPr="007303B8">
        <w:rPr>
          <w:b/>
          <w:bCs/>
          <w:i/>
          <w:iCs/>
          <w:color w:val="414C1C"/>
          <w:sz w:val="18"/>
        </w:rPr>
        <w:t>, 2020</w:t>
      </w:r>
    </w:p>
    <w:p w14:paraId="6C2F314F" w14:textId="69839942" w:rsidR="00DC5E78" w:rsidRDefault="00DC5E78" w:rsidP="000B4488">
      <w:pPr>
        <w:ind w:left="-567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5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940"/>
        <w:gridCol w:w="1180"/>
        <w:gridCol w:w="1180"/>
        <w:gridCol w:w="1180"/>
      </w:tblGrid>
      <w:tr w:rsidR="00BB6813" w:rsidRPr="00BB6813" w14:paraId="56D11FB8" w14:textId="77777777" w:rsidTr="00265533">
        <w:trPr>
          <w:trHeight w:val="45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vAlign w:val="center"/>
            <w:hideMark/>
          </w:tcPr>
          <w:p w14:paraId="420C424F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 xml:space="preserve">Entidad </w:t>
            </w: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federativa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6B58A358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5A60"/>
            <w:vAlign w:val="center"/>
            <w:hideMark/>
          </w:tcPr>
          <w:p w14:paraId="427F4E38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 xml:space="preserve">Ratificación de </w:t>
            </w: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la detención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5A60"/>
            <w:vAlign w:val="center"/>
            <w:hideMark/>
          </w:tcPr>
          <w:p w14:paraId="28E89FE0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 xml:space="preserve">Orden de </w:t>
            </w: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libertad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5A60"/>
            <w:vAlign w:val="center"/>
            <w:hideMark/>
          </w:tcPr>
          <w:p w14:paraId="7F4A0C91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 xml:space="preserve">No </w:t>
            </w: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identificado</w:t>
            </w:r>
          </w:p>
        </w:tc>
      </w:tr>
      <w:tr w:rsidR="00BB6813" w:rsidRPr="00BB6813" w14:paraId="3BB0E95A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2FBAB83A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CDMX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4F81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D7D0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1923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0DA2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</w:t>
            </w:r>
          </w:p>
        </w:tc>
      </w:tr>
      <w:tr w:rsidR="00BB6813" w:rsidRPr="00BB6813" w14:paraId="51DDFAD0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0CF4F1F2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PUE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2BF298FF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14E43E70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133C1353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02BE1951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6813" w:rsidRPr="00BB6813" w14:paraId="3D3166D3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4BEBD4DB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BC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B77E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1FC3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3E27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2E7D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6813" w:rsidRPr="00BB6813" w14:paraId="38DB9A7D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2B427855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JAL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300F19E4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4E60FE78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7A0F15BC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2FC1CCD3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5,463</w:t>
            </w:r>
          </w:p>
        </w:tc>
      </w:tr>
      <w:tr w:rsidR="00BB6813" w:rsidRPr="00BB6813" w14:paraId="25DCF4E9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5BC26D19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MICH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410E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A248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8916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DE2B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4,981</w:t>
            </w:r>
          </w:p>
        </w:tc>
      </w:tr>
      <w:tr w:rsidR="00BB6813" w:rsidRPr="00BB6813" w14:paraId="572BD7A7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28AC4797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7443477D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541A8C3B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19829D29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42D3ECAF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6813" w:rsidRPr="00BB6813" w14:paraId="649CFA96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47FD18F4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DGO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2913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8EFA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D4D3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91D9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3,573</w:t>
            </w:r>
          </w:p>
        </w:tc>
      </w:tr>
      <w:tr w:rsidR="00BB6813" w:rsidRPr="00BB6813" w14:paraId="1DD2191B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754634A4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BCS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215E63DA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3D2967CE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788019DB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656CE676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2,799</w:t>
            </w:r>
          </w:p>
        </w:tc>
      </w:tr>
      <w:tr w:rsidR="00BB6813" w:rsidRPr="00BB6813" w14:paraId="326B5504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2019EB4A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MOR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3E7E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1BA0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9746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4394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6813" w:rsidRPr="00BB6813" w14:paraId="7554219C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5AA94288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VER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2A6A5192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4BC812AC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55813902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5974EA7A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6813" w:rsidRPr="00BB6813" w14:paraId="1AF75B00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379A4EF7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CHIS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25C9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5182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B8A0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A825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6813" w:rsidRPr="00BB6813" w14:paraId="2D6AEE89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1E6AD463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NAY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03629516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77FE2C87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6CFF3871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16253B91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6813" w:rsidRPr="00BB6813" w14:paraId="764FC517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7A4DD4D5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SLP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F222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B47A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9A05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624C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888</w:t>
            </w:r>
          </w:p>
        </w:tc>
      </w:tr>
      <w:tr w:rsidR="00BB6813" w:rsidRPr="00BB6813" w14:paraId="6A7CC434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6D48E822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CHIH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20FE4608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55D1671D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5D6DA4F1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525D907C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813</w:t>
            </w:r>
          </w:p>
        </w:tc>
      </w:tr>
      <w:tr w:rsidR="00BB6813" w:rsidRPr="00BB6813" w14:paraId="0E10D146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4F7FF2F4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TLAX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6257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8C6E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364C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CF64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782</w:t>
            </w:r>
          </w:p>
        </w:tc>
      </w:tr>
      <w:tr w:rsidR="00BB6813" w:rsidRPr="00BB6813" w14:paraId="3FCEEA38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363928C5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HGO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49DDEC33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61BB4A2D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69197E88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12180D9D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BB6813" w:rsidRPr="00BB6813" w14:paraId="59317D16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7FFC4A4B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TAB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2B4A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7C18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5FC3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9AC7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626</w:t>
            </w:r>
          </w:p>
        </w:tc>
      </w:tr>
      <w:tr w:rsidR="00BB6813" w:rsidRPr="00BB6813" w14:paraId="6B121573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5A98A90E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YUC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2D9A65CA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173FB8D9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02A314BC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455F10BE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6813" w:rsidRPr="00BB6813" w14:paraId="661E8F31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2FCDD81C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SIN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836A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39CC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1B1C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A609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314</w:t>
            </w:r>
          </w:p>
        </w:tc>
      </w:tr>
      <w:tr w:rsidR="00BB6813" w:rsidRPr="00BB6813" w14:paraId="7CE3C3FF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3D68489B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AGS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64B63B2C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3E08F129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78187421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5D2C05B4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BB6813" w:rsidRPr="00BB6813" w14:paraId="11C4F23D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48E30645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QRO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6FFD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1E78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A81A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C45D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6813" w:rsidRPr="00BB6813" w14:paraId="25EFB58B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4B8DC874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NL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194FF01F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2ABB90E8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78B2DE3B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0104885B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399</w:t>
            </w:r>
          </w:p>
        </w:tc>
      </w:tr>
      <w:tr w:rsidR="00BB6813" w:rsidRPr="00BB6813" w14:paraId="60E27C89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78146EF5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GRO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410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A034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D54B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4F06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B6813" w:rsidRPr="00BB6813" w14:paraId="38FAD576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6BD07673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OAX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375CFC16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053F9776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73A23792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9B94"/>
            <w:noWrap/>
            <w:vAlign w:val="center"/>
            <w:hideMark/>
          </w:tcPr>
          <w:p w14:paraId="313AD49A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BB6813" w:rsidRPr="00BB6813" w14:paraId="2D913A7E" w14:textId="77777777" w:rsidTr="00265533">
        <w:trPr>
          <w:trHeight w:val="24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5A60"/>
            <w:noWrap/>
            <w:vAlign w:val="center"/>
            <w:hideMark/>
          </w:tcPr>
          <w:p w14:paraId="09DBEE95" w14:textId="77777777" w:rsidR="00BB6813" w:rsidRPr="00BB6813" w:rsidRDefault="00BB6813" w:rsidP="00BB6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COL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6E05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8FE1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9151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9D73" w14:textId="77777777" w:rsidR="00BB6813" w:rsidRPr="00BB6813" w:rsidRDefault="00BB6813" w:rsidP="00BB6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6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</w:tbl>
    <w:p w14:paraId="789B7907" w14:textId="5D88E385" w:rsidR="00DC5E78" w:rsidRDefault="00DC5E78" w:rsidP="000B4488">
      <w:pPr>
        <w:ind w:left="-567"/>
        <w:jc w:val="both"/>
        <w:rPr>
          <w:rFonts w:ascii="Arial" w:hAnsi="Arial" w:cs="Arial"/>
          <w:iCs/>
          <w:sz w:val="24"/>
          <w:szCs w:val="24"/>
        </w:rPr>
      </w:pPr>
    </w:p>
    <w:p w14:paraId="678D5D6D" w14:textId="391E2ED0" w:rsidR="00C53D3F" w:rsidRPr="00C53D3F" w:rsidRDefault="00C53D3F" w:rsidP="00C53D3F">
      <w:pPr>
        <w:ind w:left="-567"/>
        <w:jc w:val="center"/>
        <w:rPr>
          <w:rFonts w:ascii="Arial" w:hAnsi="Arial" w:cs="Arial"/>
          <w:iCs/>
          <w:sz w:val="16"/>
          <w:szCs w:val="16"/>
        </w:rPr>
      </w:pPr>
      <w:r w:rsidRPr="00C53D3F">
        <w:rPr>
          <w:rFonts w:ascii="Arial" w:hAnsi="Arial" w:cs="Arial"/>
          <w:iCs/>
          <w:sz w:val="16"/>
          <w:szCs w:val="16"/>
        </w:rPr>
        <w:t>Nota: incluye los sistemas Penal Acusatorio y Sistema Integral de Justicia Penal para Adolescentes.</w:t>
      </w:r>
      <w:r w:rsidR="00D96AAE">
        <w:rPr>
          <w:rFonts w:ascii="Arial" w:hAnsi="Arial" w:cs="Arial"/>
          <w:iCs/>
          <w:sz w:val="16"/>
          <w:szCs w:val="16"/>
        </w:rPr>
        <w:t xml:space="preserve"> Las entidades Campeche, Coahuila de Zaragoza, Guanajuato, México, Quintana Roo, Tamaulipas y Zacatecas no contaron con datos o elementos para responder sobre el tema.</w:t>
      </w:r>
    </w:p>
    <w:p w14:paraId="40871CCE" w14:textId="1A68D864" w:rsidR="00451759" w:rsidRDefault="00451759" w:rsidP="00BA310C">
      <w:pPr>
        <w:ind w:left="-567"/>
        <w:rPr>
          <w:rFonts w:ascii="Arial" w:hAnsi="Arial" w:cs="Arial"/>
          <w:iCs/>
          <w:sz w:val="24"/>
          <w:szCs w:val="24"/>
        </w:rPr>
      </w:pPr>
    </w:p>
    <w:p w14:paraId="434227BB" w14:textId="55F6C60A" w:rsidR="00451759" w:rsidRDefault="00451759" w:rsidP="00BA310C">
      <w:pPr>
        <w:ind w:left="-567"/>
        <w:rPr>
          <w:rFonts w:ascii="Arial" w:hAnsi="Arial" w:cs="Arial"/>
          <w:iCs/>
          <w:sz w:val="24"/>
          <w:szCs w:val="24"/>
        </w:rPr>
      </w:pPr>
    </w:p>
    <w:p w14:paraId="77185DB9" w14:textId="7CD07837" w:rsidR="00D96AAE" w:rsidRDefault="00D96AAE" w:rsidP="00BA310C">
      <w:pPr>
        <w:ind w:left="-567"/>
        <w:rPr>
          <w:rFonts w:ascii="Arial" w:hAnsi="Arial" w:cs="Arial"/>
          <w:iCs/>
          <w:sz w:val="24"/>
          <w:szCs w:val="24"/>
        </w:rPr>
      </w:pPr>
    </w:p>
    <w:p w14:paraId="64A0D97A" w14:textId="09C41522" w:rsidR="00D96AAE" w:rsidRDefault="00D96AAE" w:rsidP="00BA310C">
      <w:pPr>
        <w:ind w:left="-567"/>
        <w:rPr>
          <w:rFonts w:ascii="Arial" w:hAnsi="Arial" w:cs="Arial"/>
          <w:iCs/>
          <w:sz w:val="24"/>
          <w:szCs w:val="24"/>
        </w:rPr>
      </w:pPr>
    </w:p>
    <w:p w14:paraId="426B7DD6" w14:textId="30C75555" w:rsidR="00D96AAE" w:rsidRDefault="00D96AAE" w:rsidP="00BA310C">
      <w:pPr>
        <w:ind w:left="-567"/>
        <w:rPr>
          <w:rFonts w:ascii="Arial" w:hAnsi="Arial" w:cs="Arial"/>
          <w:iCs/>
          <w:sz w:val="24"/>
          <w:szCs w:val="24"/>
        </w:rPr>
      </w:pPr>
    </w:p>
    <w:p w14:paraId="1E7DFCE1" w14:textId="5140F63E" w:rsidR="00BA310C" w:rsidRPr="00040377" w:rsidRDefault="00123895" w:rsidP="00BA310C">
      <w:pPr>
        <w:ind w:left="-567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Personas vinculadas</w:t>
      </w:r>
      <w:r w:rsidR="00BA310C" w:rsidRPr="00040377">
        <w:rPr>
          <w:rFonts w:ascii="Arial" w:hAnsi="Arial" w:cs="Arial"/>
          <w:b/>
          <w:bCs/>
          <w:iCs/>
          <w:sz w:val="24"/>
          <w:szCs w:val="24"/>
        </w:rPr>
        <w:t xml:space="preserve"> a proceso</w:t>
      </w:r>
    </w:p>
    <w:p w14:paraId="625AFDCE" w14:textId="7EF9531A" w:rsidR="00BA310C" w:rsidRPr="00040377" w:rsidRDefault="00BA310C" w:rsidP="00BA310C">
      <w:pPr>
        <w:ind w:left="-567"/>
        <w:jc w:val="both"/>
        <w:rPr>
          <w:rFonts w:ascii="Arial" w:hAnsi="Arial" w:cs="Arial"/>
          <w:sz w:val="24"/>
          <w:szCs w:val="24"/>
        </w:rPr>
      </w:pPr>
      <w:r w:rsidRPr="00040377">
        <w:rPr>
          <w:rFonts w:ascii="Arial" w:hAnsi="Arial" w:cs="Arial"/>
          <w:sz w:val="24"/>
          <w:szCs w:val="24"/>
        </w:rPr>
        <w:t>Durante 20</w:t>
      </w:r>
      <w:r w:rsidR="00B442B0" w:rsidRPr="00040377">
        <w:rPr>
          <w:rFonts w:ascii="Arial" w:hAnsi="Arial" w:cs="Arial"/>
          <w:sz w:val="24"/>
          <w:szCs w:val="24"/>
        </w:rPr>
        <w:t>20</w:t>
      </w:r>
      <w:r w:rsidRPr="00040377">
        <w:rPr>
          <w:rFonts w:ascii="Arial" w:hAnsi="Arial" w:cs="Arial"/>
          <w:sz w:val="24"/>
          <w:szCs w:val="24"/>
        </w:rPr>
        <w:t xml:space="preserve">, </w:t>
      </w:r>
      <w:r w:rsidR="003945C2">
        <w:rPr>
          <w:rFonts w:ascii="Arial" w:hAnsi="Arial" w:cs="Arial"/>
          <w:sz w:val="24"/>
          <w:szCs w:val="24"/>
        </w:rPr>
        <w:t>los poderes judiciales estatales</w:t>
      </w:r>
      <w:r w:rsidRPr="00040377">
        <w:rPr>
          <w:rFonts w:ascii="Arial" w:hAnsi="Arial" w:cs="Arial"/>
          <w:sz w:val="24"/>
          <w:szCs w:val="24"/>
        </w:rPr>
        <w:t xml:space="preserve"> </w:t>
      </w:r>
      <w:r w:rsidR="00312784">
        <w:rPr>
          <w:rFonts w:ascii="Arial" w:hAnsi="Arial" w:cs="Arial"/>
          <w:sz w:val="24"/>
          <w:szCs w:val="24"/>
        </w:rPr>
        <w:t xml:space="preserve">reportaron </w:t>
      </w:r>
      <w:r w:rsidR="00B43513">
        <w:rPr>
          <w:rFonts w:ascii="Arial" w:hAnsi="Arial" w:cs="Arial"/>
          <w:sz w:val="24"/>
          <w:szCs w:val="24"/>
        </w:rPr>
        <w:t>68 543</w:t>
      </w:r>
      <w:r w:rsidR="00040377" w:rsidRPr="00040377">
        <w:rPr>
          <w:rFonts w:ascii="Arial" w:hAnsi="Arial" w:cs="Arial"/>
          <w:sz w:val="24"/>
          <w:szCs w:val="24"/>
        </w:rPr>
        <w:t xml:space="preserve"> </w:t>
      </w:r>
      <w:r w:rsidR="00123895">
        <w:rPr>
          <w:rFonts w:ascii="Arial" w:hAnsi="Arial" w:cs="Arial"/>
          <w:sz w:val="24"/>
          <w:szCs w:val="24"/>
        </w:rPr>
        <w:t xml:space="preserve">personas </w:t>
      </w:r>
      <w:r w:rsidRPr="00040377">
        <w:rPr>
          <w:rFonts w:ascii="Arial" w:hAnsi="Arial" w:cs="Arial"/>
          <w:sz w:val="24"/>
          <w:szCs w:val="24"/>
        </w:rPr>
        <w:t>procesad</w:t>
      </w:r>
      <w:r w:rsidR="00123895">
        <w:rPr>
          <w:rFonts w:ascii="Arial" w:hAnsi="Arial" w:cs="Arial"/>
          <w:sz w:val="24"/>
          <w:szCs w:val="24"/>
        </w:rPr>
        <w:t>a</w:t>
      </w:r>
      <w:r w:rsidRPr="00040377">
        <w:rPr>
          <w:rFonts w:ascii="Arial" w:hAnsi="Arial" w:cs="Arial"/>
          <w:sz w:val="24"/>
          <w:szCs w:val="24"/>
        </w:rPr>
        <w:t>s y/o imputad</w:t>
      </w:r>
      <w:r w:rsidR="00123895">
        <w:rPr>
          <w:rFonts w:ascii="Arial" w:hAnsi="Arial" w:cs="Arial"/>
          <w:sz w:val="24"/>
          <w:szCs w:val="24"/>
        </w:rPr>
        <w:t>a</w:t>
      </w:r>
      <w:r w:rsidRPr="00040377">
        <w:rPr>
          <w:rFonts w:ascii="Arial" w:hAnsi="Arial" w:cs="Arial"/>
          <w:sz w:val="24"/>
          <w:szCs w:val="24"/>
        </w:rPr>
        <w:t xml:space="preserve">s a quienes se les determinó </w:t>
      </w:r>
      <w:r w:rsidR="00040377" w:rsidRPr="00040377">
        <w:rPr>
          <w:rFonts w:ascii="Arial" w:hAnsi="Arial" w:cs="Arial"/>
          <w:sz w:val="24"/>
          <w:szCs w:val="24"/>
        </w:rPr>
        <w:t>alguna</w:t>
      </w:r>
      <w:r w:rsidRPr="00040377">
        <w:rPr>
          <w:rFonts w:ascii="Arial" w:hAnsi="Arial" w:cs="Arial"/>
          <w:sz w:val="24"/>
          <w:szCs w:val="24"/>
        </w:rPr>
        <w:t xml:space="preserve"> resolución sobre la vinculación a proceso por parte de los jueces de control o garantías</w:t>
      </w:r>
      <w:r w:rsidR="00040377" w:rsidRPr="00040377">
        <w:rPr>
          <w:rFonts w:ascii="Arial" w:hAnsi="Arial" w:cs="Arial"/>
          <w:sz w:val="24"/>
          <w:szCs w:val="24"/>
        </w:rPr>
        <w:t xml:space="preserve"> en el Sistema Penal Acusatorio y en el Sistema de Justicia Penal para Adolescentes</w:t>
      </w:r>
      <w:r w:rsidRPr="00040377">
        <w:rPr>
          <w:rFonts w:ascii="Arial" w:hAnsi="Arial" w:cs="Arial"/>
          <w:sz w:val="24"/>
          <w:szCs w:val="24"/>
        </w:rPr>
        <w:t>. De</w:t>
      </w:r>
      <w:r w:rsidR="00123895">
        <w:rPr>
          <w:rFonts w:ascii="Arial" w:hAnsi="Arial" w:cs="Arial"/>
          <w:sz w:val="24"/>
          <w:szCs w:val="24"/>
        </w:rPr>
        <w:t>l total</w:t>
      </w:r>
      <w:r w:rsidRPr="00040377">
        <w:rPr>
          <w:rFonts w:ascii="Arial" w:hAnsi="Arial" w:cs="Arial"/>
          <w:sz w:val="24"/>
          <w:szCs w:val="24"/>
        </w:rPr>
        <w:t xml:space="preserve">, </w:t>
      </w:r>
      <w:r w:rsidR="00B43513">
        <w:rPr>
          <w:rFonts w:ascii="Arial" w:hAnsi="Arial" w:cs="Arial"/>
          <w:sz w:val="24"/>
          <w:szCs w:val="24"/>
        </w:rPr>
        <w:t>93.0</w:t>
      </w:r>
      <w:r w:rsidRPr="00040377">
        <w:rPr>
          <w:rFonts w:ascii="Arial" w:hAnsi="Arial" w:cs="Arial"/>
          <w:sz w:val="24"/>
          <w:szCs w:val="24"/>
        </w:rPr>
        <w:t>% fue vinculad</w:t>
      </w:r>
      <w:r w:rsidR="00123895">
        <w:rPr>
          <w:rFonts w:ascii="Arial" w:hAnsi="Arial" w:cs="Arial"/>
          <w:sz w:val="24"/>
          <w:szCs w:val="24"/>
        </w:rPr>
        <w:t>a</w:t>
      </w:r>
      <w:r w:rsidRPr="00040377">
        <w:rPr>
          <w:rFonts w:ascii="Arial" w:hAnsi="Arial" w:cs="Arial"/>
          <w:sz w:val="24"/>
          <w:szCs w:val="24"/>
        </w:rPr>
        <w:t xml:space="preserve"> a proceso</w:t>
      </w:r>
      <w:r w:rsidR="00123895">
        <w:rPr>
          <w:rFonts w:ascii="Arial" w:hAnsi="Arial" w:cs="Arial"/>
          <w:sz w:val="24"/>
          <w:szCs w:val="24"/>
        </w:rPr>
        <w:t xml:space="preserve"> y</w:t>
      </w:r>
      <w:r w:rsidRPr="00040377">
        <w:rPr>
          <w:rFonts w:ascii="Arial" w:hAnsi="Arial" w:cs="Arial"/>
          <w:sz w:val="24"/>
          <w:szCs w:val="24"/>
        </w:rPr>
        <w:t xml:space="preserve"> </w:t>
      </w:r>
      <w:r w:rsidR="00B43513">
        <w:rPr>
          <w:rFonts w:ascii="Arial" w:hAnsi="Arial" w:cs="Arial"/>
          <w:sz w:val="24"/>
          <w:szCs w:val="24"/>
        </w:rPr>
        <w:t>7.0</w:t>
      </w:r>
      <w:r w:rsidRPr="00040377">
        <w:rPr>
          <w:rFonts w:ascii="Arial" w:hAnsi="Arial" w:cs="Arial"/>
          <w:sz w:val="24"/>
          <w:szCs w:val="24"/>
        </w:rPr>
        <w:t>% no fue vinculad</w:t>
      </w:r>
      <w:r w:rsidR="00123895">
        <w:rPr>
          <w:rFonts w:ascii="Arial" w:hAnsi="Arial" w:cs="Arial"/>
          <w:sz w:val="24"/>
          <w:szCs w:val="24"/>
        </w:rPr>
        <w:t>a</w:t>
      </w:r>
      <w:r w:rsidR="00040377" w:rsidRPr="00040377">
        <w:rPr>
          <w:rFonts w:ascii="Arial" w:hAnsi="Arial" w:cs="Arial"/>
          <w:sz w:val="24"/>
          <w:szCs w:val="24"/>
        </w:rPr>
        <w:t xml:space="preserve">. </w:t>
      </w:r>
      <w:r w:rsidR="00312784">
        <w:rPr>
          <w:rFonts w:ascii="Arial" w:hAnsi="Arial" w:cs="Arial"/>
          <w:sz w:val="24"/>
          <w:szCs w:val="24"/>
        </w:rPr>
        <w:t xml:space="preserve">Con respecto a 2019 hubo una disminución de </w:t>
      </w:r>
      <w:r w:rsidR="00B43513">
        <w:rPr>
          <w:rFonts w:ascii="Arial" w:hAnsi="Arial" w:cs="Arial"/>
          <w:sz w:val="24"/>
          <w:szCs w:val="24"/>
        </w:rPr>
        <w:t>26.8</w:t>
      </w:r>
      <w:r w:rsidR="00AA415B">
        <w:rPr>
          <w:rFonts w:ascii="Arial" w:hAnsi="Arial" w:cs="Arial"/>
          <w:sz w:val="24"/>
          <w:szCs w:val="24"/>
        </w:rPr>
        <w:t>%</w:t>
      </w:r>
      <w:r w:rsidR="00123895">
        <w:rPr>
          <w:rFonts w:ascii="Arial" w:hAnsi="Arial" w:cs="Arial"/>
          <w:sz w:val="24"/>
          <w:szCs w:val="24"/>
        </w:rPr>
        <w:t xml:space="preserve"> de personas vinculadas a proceso</w:t>
      </w:r>
      <w:r w:rsidR="00312784">
        <w:rPr>
          <w:rFonts w:ascii="Arial" w:hAnsi="Arial" w:cs="Arial"/>
          <w:sz w:val="24"/>
          <w:szCs w:val="24"/>
        </w:rPr>
        <w:t>.</w:t>
      </w:r>
    </w:p>
    <w:p w14:paraId="57C7BF45" w14:textId="77777777" w:rsidR="00BA310C" w:rsidRPr="00040377" w:rsidRDefault="00BA310C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20"/>
        </w:rPr>
      </w:pPr>
    </w:p>
    <w:p w14:paraId="2A82DF86" w14:textId="4ED867FA" w:rsidR="0017731B" w:rsidRDefault="00BA310C" w:rsidP="00F51F3B">
      <w:pPr>
        <w:pStyle w:val="Default"/>
        <w:spacing w:after="10"/>
        <w:ind w:left="-567" w:right="142"/>
        <w:jc w:val="center"/>
        <w:rPr>
          <w:b/>
          <w:bCs/>
          <w:i/>
          <w:iCs/>
          <w:color w:val="414C1C"/>
          <w:sz w:val="18"/>
        </w:rPr>
      </w:pPr>
      <w:r w:rsidRPr="00040377">
        <w:rPr>
          <w:b/>
          <w:bCs/>
          <w:i/>
          <w:iCs/>
          <w:color w:val="414C1C"/>
          <w:sz w:val="18"/>
        </w:rPr>
        <w:t>Gráfica 2</w:t>
      </w:r>
      <w:r w:rsidR="005512B3">
        <w:rPr>
          <w:b/>
          <w:bCs/>
          <w:i/>
          <w:iCs/>
          <w:color w:val="414C1C"/>
          <w:sz w:val="18"/>
        </w:rPr>
        <w:t>4</w:t>
      </w:r>
      <w:r w:rsidRPr="00040377">
        <w:rPr>
          <w:b/>
          <w:bCs/>
          <w:i/>
          <w:iCs/>
          <w:color w:val="414C1C"/>
          <w:sz w:val="18"/>
        </w:rPr>
        <w:t>.</w:t>
      </w:r>
      <w:r w:rsidRPr="00040377">
        <w:rPr>
          <w:sz w:val="22"/>
        </w:rPr>
        <w:t xml:space="preserve"> </w:t>
      </w:r>
      <w:r w:rsidR="00040377" w:rsidRPr="00040377">
        <w:rPr>
          <w:b/>
          <w:bCs/>
          <w:i/>
          <w:iCs/>
          <w:color w:val="414C1C"/>
          <w:sz w:val="18"/>
        </w:rPr>
        <w:t>P</w:t>
      </w:r>
      <w:r w:rsidR="005D3901">
        <w:rPr>
          <w:b/>
          <w:bCs/>
          <w:i/>
          <w:iCs/>
          <w:color w:val="414C1C"/>
          <w:sz w:val="18"/>
        </w:rPr>
        <w:t>ersonas p</w:t>
      </w:r>
      <w:r w:rsidR="00040377" w:rsidRPr="00040377">
        <w:rPr>
          <w:b/>
          <w:bCs/>
          <w:i/>
          <w:iCs/>
          <w:color w:val="414C1C"/>
          <w:sz w:val="18"/>
        </w:rPr>
        <w:t>rocesad</w:t>
      </w:r>
      <w:r w:rsidR="005D3901">
        <w:rPr>
          <w:b/>
          <w:bCs/>
          <w:i/>
          <w:iCs/>
          <w:color w:val="414C1C"/>
          <w:sz w:val="18"/>
        </w:rPr>
        <w:t>a</w:t>
      </w:r>
      <w:r w:rsidR="00040377" w:rsidRPr="00040377">
        <w:rPr>
          <w:b/>
          <w:bCs/>
          <w:i/>
          <w:iCs/>
          <w:color w:val="414C1C"/>
          <w:sz w:val="18"/>
        </w:rPr>
        <w:t>s</w:t>
      </w:r>
      <w:r w:rsidRPr="00040377">
        <w:rPr>
          <w:b/>
          <w:bCs/>
          <w:i/>
          <w:iCs/>
          <w:color w:val="414C1C"/>
          <w:sz w:val="18"/>
        </w:rPr>
        <w:t xml:space="preserve"> y/o imputad</w:t>
      </w:r>
      <w:r w:rsidR="005D3901">
        <w:rPr>
          <w:b/>
          <w:bCs/>
          <w:i/>
          <w:iCs/>
          <w:color w:val="414C1C"/>
          <w:sz w:val="18"/>
        </w:rPr>
        <w:t>a</w:t>
      </w:r>
      <w:r w:rsidRPr="00040377">
        <w:rPr>
          <w:b/>
          <w:bCs/>
          <w:i/>
          <w:iCs/>
          <w:color w:val="414C1C"/>
          <w:sz w:val="18"/>
        </w:rPr>
        <w:t>s con resoluciones sobre vinculación a proceso</w:t>
      </w:r>
      <w:r w:rsidR="00040377">
        <w:rPr>
          <w:b/>
          <w:bCs/>
          <w:i/>
          <w:iCs/>
          <w:color w:val="414C1C"/>
          <w:sz w:val="18"/>
        </w:rPr>
        <w:t>,</w:t>
      </w:r>
      <w:r w:rsidRPr="00040377">
        <w:rPr>
          <w:b/>
          <w:bCs/>
          <w:i/>
          <w:iCs/>
          <w:color w:val="414C1C"/>
          <w:sz w:val="18"/>
        </w:rPr>
        <w:t xml:space="preserve"> por tipo, </w:t>
      </w:r>
    </w:p>
    <w:p w14:paraId="2501A870" w14:textId="29F15627" w:rsidR="00BA310C" w:rsidRDefault="00BA310C" w:rsidP="00F51F3B">
      <w:pPr>
        <w:pStyle w:val="Default"/>
        <w:spacing w:after="10"/>
        <w:ind w:left="-567" w:right="142"/>
        <w:jc w:val="center"/>
        <w:rPr>
          <w:b/>
          <w:bCs/>
          <w:i/>
          <w:iCs/>
          <w:color w:val="414C1C"/>
          <w:sz w:val="18"/>
        </w:rPr>
      </w:pPr>
      <w:r w:rsidRPr="00040377">
        <w:rPr>
          <w:b/>
          <w:bCs/>
          <w:i/>
          <w:iCs/>
          <w:color w:val="414C1C"/>
          <w:sz w:val="18"/>
        </w:rPr>
        <w:t>201</w:t>
      </w:r>
      <w:r w:rsidR="00F51F3B">
        <w:rPr>
          <w:b/>
          <w:bCs/>
          <w:i/>
          <w:iCs/>
          <w:color w:val="414C1C"/>
          <w:sz w:val="18"/>
        </w:rPr>
        <w:t>9</w:t>
      </w:r>
      <w:r w:rsidRPr="00040377">
        <w:rPr>
          <w:b/>
          <w:bCs/>
          <w:i/>
          <w:iCs/>
          <w:color w:val="414C1C"/>
          <w:sz w:val="18"/>
        </w:rPr>
        <w:t xml:space="preserve"> </w:t>
      </w:r>
      <w:r w:rsidR="00040377" w:rsidRPr="00040377">
        <w:rPr>
          <w:b/>
          <w:bCs/>
          <w:i/>
          <w:iCs/>
          <w:color w:val="414C1C"/>
          <w:sz w:val="18"/>
        </w:rPr>
        <w:t>a 2020</w:t>
      </w:r>
    </w:p>
    <w:p w14:paraId="7FA31614" w14:textId="71E75393" w:rsidR="00560BD6" w:rsidRDefault="00560BD6" w:rsidP="00040377">
      <w:pPr>
        <w:pStyle w:val="Default"/>
        <w:spacing w:after="10"/>
        <w:ind w:left="-567"/>
        <w:jc w:val="center"/>
        <w:rPr>
          <w:noProof/>
        </w:rPr>
      </w:pPr>
    </w:p>
    <w:p w14:paraId="56AE4660" w14:textId="7325A6E6" w:rsidR="00560BD6" w:rsidRDefault="00D37D86" w:rsidP="00040377">
      <w:pPr>
        <w:pStyle w:val="Default"/>
        <w:spacing w:after="10"/>
        <w:ind w:left="-567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680A9D0" wp14:editId="35E93D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6425" cy="2124075"/>
                <wp:effectExtent l="0" t="0" r="0" b="0"/>
                <wp:wrapNone/>
                <wp:docPr id="22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2124075"/>
                          <a:chOff x="0" y="0"/>
                          <a:chExt cx="5686425" cy="2124075"/>
                        </a:xfrm>
                      </wpg:grpSpPr>
                      <wpg:graphicFrame>
                        <wpg:cNvPr id="23" name="Gráfico 23"/>
                        <wpg:cNvFrPr/>
                        <wpg:xfrm>
                          <a:off x="0" y="0"/>
                          <a:ext cx="2827652" cy="21145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3"/>
                          </a:graphicData>
                        </a:graphic>
                      </wpg:graphicFrame>
                      <wpg:graphicFrame>
                        <wpg:cNvPr id="24" name="Gráfico 24"/>
                        <wpg:cNvFrPr/>
                        <wpg:xfrm>
                          <a:off x="2824162" y="9525"/>
                          <a:ext cx="2862263" cy="21145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4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3581F3CA" id="Grupo 4" o:spid="_x0000_s1026" style="position:absolute;margin-left:0;margin-top:-.05pt;width:447.75pt;height:167.25pt;z-index:251677696" coordsize="56864,21240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23" o:spid="_x0000_s1027" type="#_x0000_t75" style="position:absolute;width:28285;height:21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">
                  <v:imagedata r:id="rId55" o:title=""/>
                  <o:lock v:ext="edit" aspectratio="f"/>
                </v:shape>
                <v:shape id="Gráfico 24" o:spid="_x0000_s1028" type="#_x0000_t75" style="position:absolute;left:28224;top:121;width:28651;height:2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">
                  <v:imagedata r:id="rId56" o:title=""/>
                  <o:lock v:ext="edit" aspectratio="f"/>
                </v:shape>
              </v:group>
            </w:pict>
          </mc:Fallback>
        </mc:AlternateContent>
      </w:r>
    </w:p>
    <w:p w14:paraId="74497FB0" w14:textId="77777777" w:rsidR="00560BD6" w:rsidRDefault="00560BD6" w:rsidP="00040377">
      <w:pPr>
        <w:pStyle w:val="Default"/>
        <w:spacing w:after="10"/>
        <w:ind w:left="-567"/>
        <w:jc w:val="center"/>
        <w:rPr>
          <w:noProof/>
        </w:rPr>
      </w:pPr>
    </w:p>
    <w:p w14:paraId="22400C04" w14:textId="77777777" w:rsidR="00560BD6" w:rsidRDefault="00560BD6" w:rsidP="00040377">
      <w:pPr>
        <w:pStyle w:val="Default"/>
        <w:spacing w:after="10"/>
        <w:ind w:left="-567"/>
        <w:jc w:val="center"/>
        <w:rPr>
          <w:noProof/>
        </w:rPr>
      </w:pPr>
    </w:p>
    <w:p w14:paraId="0D46B809" w14:textId="77777777" w:rsidR="00560BD6" w:rsidRDefault="00560BD6" w:rsidP="00040377">
      <w:pPr>
        <w:pStyle w:val="Default"/>
        <w:spacing w:after="10"/>
        <w:ind w:left="-567"/>
        <w:jc w:val="center"/>
        <w:rPr>
          <w:noProof/>
        </w:rPr>
      </w:pPr>
    </w:p>
    <w:p w14:paraId="71784D64" w14:textId="77777777" w:rsidR="00560BD6" w:rsidRDefault="00560BD6" w:rsidP="00040377">
      <w:pPr>
        <w:pStyle w:val="Default"/>
        <w:spacing w:after="10"/>
        <w:ind w:left="-567"/>
        <w:jc w:val="center"/>
        <w:rPr>
          <w:noProof/>
        </w:rPr>
      </w:pPr>
    </w:p>
    <w:p w14:paraId="732A2061" w14:textId="77777777" w:rsidR="00560BD6" w:rsidRDefault="00560BD6" w:rsidP="00040377">
      <w:pPr>
        <w:pStyle w:val="Default"/>
        <w:spacing w:after="10"/>
        <w:ind w:left="-567"/>
        <w:jc w:val="center"/>
        <w:rPr>
          <w:noProof/>
        </w:rPr>
      </w:pPr>
    </w:p>
    <w:p w14:paraId="6FA08BCC" w14:textId="77777777" w:rsidR="00560BD6" w:rsidRDefault="00560BD6" w:rsidP="00040377">
      <w:pPr>
        <w:pStyle w:val="Default"/>
        <w:spacing w:after="10"/>
        <w:ind w:left="-567"/>
        <w:jc w:val="center"/>
        <w:rPr>
          <w:noProof/>
        </w:rPr>
      </w:pPr>
    </w:p>
    <w:p w14:paraId="527B996D" w14:textId="77777777" w:rsidR="00560BD6" w:rsidRDefault="00560BD6" w:rsidP="00040377">
      <w:pPr>
        <w:pStyle w:val="Default"/>
        <w:spacing w:after="10"/>
        <w:ind w:left="-567"/>
        <w:jc w:val="center"/>
        <w:rPr>
          <w:noProof/>
        </w:rPr>
      </w:pPr>
    </w:p>
    <w:p w14:paraId="757DB9AA" w14:textId="77777777" w:rsidR="00560BD6" w:rsidRDefault="00560BD6" w:rsidP="00040377">
      <w:pPr>
        <w:pStyle w:val="Default"/>
        <w:spacing w:after="10"/>
        <w:ind w:left="-567"/>
        <w:jc w:val="center"/>
        <w:rPr>
          <w:noProof/>
        </w:rPr>
      </w:pPr>
    </w:p>
    <w:p w14:paraId="4547B24E" w14:textId="77777777" w:rsidR="00560BD6" w:rsidRDefault="00560BD6" w:rsidP="00040377">
      <w:pPr>
        <w:pStyle w:val="Default"/>
        <w:spacing w:after="10"/>
        <w:ind w:left="-567"/>
        <w:jc w:val="center"/>
        <w:rPr>
          <w:noProof/>
        </w:rPr>
      </w:pPr>
    </w:p>
    <w:p w14:paraId="39EC2B7C" w14:textId="77777777" w:rsidR="00560BD6" w:rsidRDefault="00560BD6" w:rsidP="00040377">
      <w:pPr>
        <w:pStyle w:val="Default"/>
        <w:spacing w:after="10"/>
        <w:ind w:left="-567"/>
        <w:jc w:val="center"/>
        <w:rPr>
          <w:noProof/>
        </w:rPr>
      </w:pPr>
    </w:p>
    <w:p w14:paraId="2D293E7D" w14:textId="77777777" w:rsidR="00337966" w:rsidRDefault="00337966" w:rsidP="00040377">
      <w:pPr>
        <w:ind w:left="-567"/>
        <w:jc w:val="center"/>
        <w:rPr>
          <w:rFonts w:ascii="Arial" w:hAnsi="Arial" w:cs="Arial"/>
          <w:sz w:val="16"/>
          <w:szCs w:val="16"/>
        </w:rPr>
      </w:pPr>
    </w:p>
    <w:p w14:paraId="4B2F2D76" w14:textId="77777777" w:rsidR="00337966" w:rsidRDefault="00337966" w:rsidP="00040377">
      <w:pPr>
        <w:ind w:left="-567"/>
        <w:jc w:val="center"/>
        <w:rPr>
          <w:rFonts w:ascii="Arial" w:hAnsi="Arial" w:cs="Arial"/>
          <w:sz w:val="16"/>
          <w:szCs w:val="16"/>
        </w:rPr>
      </w:pPr>
    </w:p>
    <w:p w14:paraId="4246EA5C" w14:textId="7A7B9DD2" w:rsidR="00BA310C" w:rsidRPr="00040377" w:rsidRDefault="00BA310C" w:rsidP="00040377">
      <w:pPr>
        <w:ind w:left="-56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40377">
        <w:rPr>
          <w:rFonts w:ascii="Arial" w:hAnsi="Arial" w:cs="Arial"/>
          <w:sz w:val="16"/>
          <w:szCs w:val="16"/>
        </w:rPr>
        <w:t>Nota:</w:t>
      </w:r>
      <w:r w:rsidR="00BA406F">
        <w:rPr>
          <w:rFonts w:ascii="Arial" w:hAnsi="Arial" w:cs="Arial"/>
          <w:sz w:val="16"/>
          <w:szCs w:val="16"/>
        </w:rPr>
        <w:t xml:space="preserve"> no se incluye la categoría </w:t>
      </w:r>
      <w:r w:rsidR="00BA406F">
        <w:rPr>
          <w:rFonts w:ascii="Arial" w:hAnsi="Arial" w:cs="Arial"/>
          <w:i/>
          <w:iCs/>
          <w:sz w:val="16"/>
          <w:szCs w:val="16"/>
        </w:rPr>
        <w:t>No especificado</w:t>
      </w:r>
      <w:r w:rsidR="00BA406F">
        <w:rPr>
          <w:rFonts w:ascii="Arial" w:hAnsi="Arial" w:cs="Arial"/>
          <w:sz w:val="16"/>
          <w:szCs w:val="16"/>
        </w:rPr>
        <w:t xml:space="preserve"> que para 2019 registró 11 421</w:t>
      </w:r>
      <w:r w:rsidR="00D66B9F">
        <w:rPr>
          <w:rFonts w:ascii="Arial" w:hAnsi="Arial" w:cs="Arial"/>
          <w:sz w:val="16"/>
          <w:szCs w:val="16"/>
        </w:rPr>
        <w:t xml:space="preserve"> personas</w:t>
      </w:r>
      <w:r w:rsidR="00BA406F">
        <w:rPr>
          <w:rFonts w:ascii="Arial" w:hAnsi="Arial" w:cs="Arial"/>
          <w:sz w:val="16"/>
          <w:szCs w:val="16"/>
        </w:rPr>
        <w:t>. La</w:t>
      </w:r>
      <w:r w:rsidRPr="00040377">
        <w:rPr>
          <w:rFonts w:ascii="Arial" w:hAnsi="Arial" w:cs="Arial"/>
          <w:sz w:val="16"/>
          <w:szCs w:val="16"/>
        </w:rPr>
        <w:t xml:space="preserve"> información </w:t>
      </w:r>
      <w:r w:rsidR="00BA406F">
        <w:rPr>
          <w:rFonts w:ascii="Arial" w:hAnsi="Arial" w:cs="Arial"/>
          <w:sz w:val="16"/>
          <w:szCs w:val="16"/>
        </w:rPr>
        <w:t xml:space="preserve">se refiere </w:t>
      </w:r>
      <w:r w:rsidRPr="00040377">
        <w:rPr>
          <w:rFonts w:ascii="Arial" w:hAnsi="Arial" w:cs="Arial"/>
          <w:sz w:val="16"/>
          <w:szCs w:val="16"/>
        </w:rPr>
        <w:t xml:space="preserve">únicamente </w:t>
      </w:r>
      <w:r w:rsidR="00BA406F">
        <w:rPr>
          <w:rFonts w:ascii="Arial" w:hAnsi="Arial" w:cs="Arial"/>
          <w:sz w:val="16"/>
          <w:szCs w:val="16"/>
        </w:rPr>
        <w:t>a</w:t>
      </w:r>
      <w:r w:rsidRPr="00040377">
        <w:rPr>
          <w:rFonts w:ascii="Arial" w:hAnsi="Arial" w:cs="Arial"/>
          <w:sz w:val="16"/>
          <w:szCs w:val="16"/>
        </w:rPr>
        <w:t xml:space="preserve"> los jueces de control o garantías (Sistema Penal Acusatorio y Sistema Integral de Justicia para Adolescentes).</w:t>
      </w:r>
    </w:p>
    <w:p w14:paraId="583F1013" w14:textId="77777777" w:rsidR="005512B3" w:rsidRDefault="005512B3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68C0BBCD" w14:textId="77777777" w:rsidR="00337966" w:rsidRDefault="00337966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055B8DCB" w14:textId="77777777" w:rsidR="00337966" w:rsidRDefault="00337966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5CA55349" w14:textId="77777777" w:rsidR="00337966" w:rsidRDefault="00337966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379E9C41" w14:textId="77777777" w:rsidR="00337966" w:rsidRDefault="00337966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72FC0722" w14:textId="77777777" w:rsidR="00337966" w:rsidRDefault="00337966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2F85909C" w14:textId="77777777" w:rsidR="00337966" w:rsidRDefault="00337966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33A62EAB" w14:textId="77777777" w:rsidR="00337966" w:rsidRDefault="00337966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3AC04280" w14:textId="77777777" w:rsidR="00337966" w:rsidRDefault="00337966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0652B884" w14:textId="77777777" w:rsidR="00337966" w:rsidRDefault="00337966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17194A1B" w14:textId="77777777" w:rsidR="00337966" w:rsidRDefault="00337966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6FFBCB16" w14:textId="77777777" w:rsidR="00337966" w:rsidRDefault="00337966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5AC6E43B" w14:textId="77777777" w:rsidR="00154B9A" w:rsidRDefault="00154B9A" w:rsidP="00BA310C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12BAAD09" w14:textId="3AF8183E" w:rsidR="00BA310C" w:rsidRPr="004C40F7" w:rsidRDefault="005D6DB6" w:rsidP="00BA310C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Sistema Penal Acusatorio</w:t>
      </w:r>
      <w:r w:rsidR="001773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Guanajuato</w:t>
      </w:r>
      <w:r w:rsidR="003379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Sonora y Sinaloa presentaron el mayor porcentaje de vinculaciones a proceso</w:t>
      </w:r>
      <w:r w:rsidR="00337966">
        <w:rPr>
          <w:rFonts w:ascii="Arial" w:hAnsi="Arial" w:cs="Arial"/>
          <w:sz w:val="24"/>
          <w:szCs w:val="24"/>
        </w:rPr>
        <w:t>.</w:t>
      </w:r>
      <w:r w:rsidR="00BA310C" w:rsidRPr="004C40F7">
        <w:rPr>
          <w:rFonts w:ascii="Arial" w:hAnsi="Arial" w:cs="Arial"/>
          <w:sz w:val="24"/>
          <w:szCs w:val="24"/>
        </w:rPr>
        <w:t xml:space="preserve"> </w:t>
      </w:r>
    </w:p>
    <w:p w14:paraId="1E8CF0FD" w14:textId="77777777" w:rsidR="00BA310C" w:rsidRPr="005512B3" w:rsidRDefault="00BA310C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  <w:highlight w:val="yellow"/>
        </w:rPr>
      </w:pPr>
    </w:p>
    <w:p w14:paraId="2005CEA9" w14:textId="2621F3DA" w:rsidR="00BA310C" w:rsidRPr="00337966" w:rsidRDefault="00BA310C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</w:rPr>
      </w:pPr>
      <w:r w:rsidRPr="00337966">
        <w:rPr>
          <w:b/>
          <w:bCs/>
          <w:i/>
          <w:iCs/>
          <w:color w:val="414C1C"/>
          <w:sz w:val="18"/>
          <w:szCs w:val="18"/>
        </w:rPr>
        <w:t>Gráfica 2</w:t>
      </w:r>
      <w:r w:rsidR="005512B3" w:rsidRPr="00337966">
        <w:rPr>
          <w:b/>
          <w:bCs/>
          <w:i/>
          <w:iCs/>
          <w:color w:val="414C1C"/>
          <w:sz w:val="18"/>
          <w:szCs w:val="18"/>
        </w:rPr>
        <w:t>5</w:t>
      </w:r>
      <w:r w:rsidRPr="00337966">
        <w:rPr>
          <w:b/>
          <w:bCs/>
          <w:i/>
          <w:iCs/>
          <w:color w:val="414C1C"/>
          <w:sz w:val="18"/>
          <w:szCs w:val="18"/>
        </w:rPr>
        <w:t>.</w:t>
      </w:r>
      <w:r w:rsidRPr="00337966">
        <w:rPr>
          <w:sz w:val="18"/>
          <w:szCs w:val="18"/>
        </w:rPr>
        <w:t xml:space="preserve"> </w:t>
      </w:r>
      <w:r w:rsidRPr="00337966">
        <w:rPr>
          <w:b/>
          <w:bCs/>
          <w:i/>
          <w:iCs/>
          <w:color w:val="414C1C"/>
          <w:sz w:val="18"/>
          <w:szCs w:val="18"/>
        </w:rPr>
        <w:t>Distribución porcentual de</w:t>
      </w:r>
      <w:r w:rsidR="00EF48E0">
        <w:rPr>
          <w:b/>
          <w:bCs/>
          <w:i/>
          <w:iCs/>
          <w:color w:val="414C1C"/>
          <w:sz w:val="18"/>
          <w:szCs w:val="18"/>
        </w:rPr>
        <w:t xml:space="preserve"> personas</w:t>
      </w:r>
      <w:r w:rsidRPr="00337966">
        <w:rPr>
          <w:b/>
          <w:bCs/>
          <w:i/>
          <w:iCs/>
          <w:color w:val="414C1C"/>
          <w:sz w:val="18"/>
          <w:szCs w:val="18"/>
        </w:rPr>
        <w:t xml:space="preserve"> procesad</w:t>
      </w:r>
      <w:r w:rsidR="00EF48E0">
        <w:rPr>
          <w:b/>
          <w:bCs/>
          <w:i/>
          <w:iCs/>
          <w:color w:val="414C1C"/>
          <w:sz w:val="18"/>
          <w:szCs w:val="18"/>
        </w:rPr>
        <w:t>a</w:t>
      </w:r>
      <w:r w:rsidRPr="00337966">
        <w:rPr>
          <w:b/>
          <w:bCs/>
          <w:i/>
          <w:iCs/>
          <w:color w:val="414C1C"/>
          <w:sz w:val="18"/>
          <w:szCs w:val="18"/>
        </w:rPr>
        <w:t>s y/o imputad</w:t>
      </w:r>
      <w:r w:rsidR="00EF48E0">
        <w:rPr>
          <w:b/>
          <w:bCs/>
          <w:i/>
          <w:iCs/>
          <w:color w:val="414C1C"/>
          <w:sz w:val="18"/>
          <w:szCs w:val="18"/>
        </w:rPr>
        <w:t>a</w:t>
      </w:r>
      <w:r w:rsidRPr="00337966">
        <w:rPr>
          <w:b/>
          <w:bCs/>
          <w:i/>
          <w:iCs/>
          <w:color w:val="414C1C"/>
          <w:sz w:val="18"/>
          <w:szCs w:val="18"/>
        </w:rPr>
        <w:t>s con resoluciones sobre vinculación a proceso</w:t>
      </w:r>
      <w:r w:rsidR="00337966" w:rsidRPr="00337966">
        <w:rPr>
          <w:b/>
          <w:bCs/>
          <w:i/>
          <w:iCs/>
          <w:color w:val="414C1C"/>
          <w:sz w:val="18"/>
          <w:szCs w:val="18"/>
        </w:rPr>
        <w:t xml:space="preserve"> (Sistema Penal Acusatorio)</w:t>
      </w:r>
      <w:r w:rsidRPr="00337966">
        <w:rPr>
          <w:b/>
          <w:bCs/>
          <w:i/>
          <w:iCs/>
          <w:color w:val="414C1C"/>
          <w:sz w:val="18"/>
          <w:szCs w:val="18"/>
        </w:rPr>
        <w:t xml:space="preserve">, </w:t>
      </w:r>
      <w:r w:rsidR="00337966" w:rsidRPr="00337966">
        <w:rPr>
          <w:b/>
          <w:bCs/>
          <w:i/>
          <w:iCs/>
          <w:color w:val="414C1C"/>
          <w:sz w:val="18"/>
          <w:szCs w:val="18"/>
        </w:rPr>
        <w:t>por</w:t>
      </w:r>
      <w:r w:rsidRPr="00337966">
        <w:rPr>
          <w:b/>
          <w:bCs/>
          <w:i/>
          <w:iCs/>
          <w:color w:val="414C1C"/>
          <w:sz w:val="18"/>
          <w:szCs w:val="18"/>
        </w:rPr>
        <w:t xml:space="preserve"> entidad federativa y tipo, 20</w:t>
      </w:r>
      <w:r w:rsidR="00702527" w:rsidRPr="00337966">
        <w:rPr>
          <w:b/>
          <w:bCs/>
          <w:i/>
          <w:iCs/>
          <w:color w:val="414C1C"/>
          <w:sz w:val="18"/>
          <w:szCs w:val="18"/>
        </w:rPr>
        <w:t>20</w:t>
      </w:r>
      <w:r w:rsidRPr="00337966">
        <w:rPr>
          <w:b/>
          <w:bCs/>
          <w:i/>
          <w:iCs/>
          <w:color w:val="414C1C"/>
          <w:sz w:val="18"/>
          <w:szCs w:val="18"/>
        </w:rPr>
        <w:t xml:space="preserve"> </w:t>
      </w:r>
    </w:p>
    <w:p w14:paraId="19D5FE71" w14:textId="77777777" w:rsidR="00BA310C" w:rsidRPr="00337966" w:rsidRDefault="00BA310C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20"/>
        </w:rPr>
      </w:pPr>
    </w:p>
    <w:p w14:paraId="418EEEBF" w14:textId="4DBB0AE0" w:rsidR="00BA310C" w:rsidRPr="000E5724" w:rsidRDefault="001E22C1" w:rsidP="00BA310C">
      <w:pPr>
        <w:jc w:val="center"/>
        <w:rPr>
          <w:rFonts w:ascii="Arial" w:hAnsi="Arial" w:cs="Arial"/>
          <w:b/>
          <w:bCs/>
          <w:iCs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1B9D1B61" wp14:editId="75301035">
            <wp:extent cx="4233863" cy="4724401"/>
            <wp:effectExtent l="0" t="0" r="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126764FD-6E72-4027-9266-18C6D8271F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41D7DF14" w14:textId="662009A8" w:rsidR="00337966" w:rsidRPr="00040377" w:rsidRDefault="00337966" w:rsidP="00337966">
      <w:pPr>
        <w:ind w:left="-56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40377">
        <w:rPr>
          <w:rFonts w:ascii="Arial" w:hAnsi="Arial" w:cs="Arial"/>
          <w:sz w:val="16"/>
          <w:szCs w:val="16"/>
        </w:rPr>
        <w:t>Nota:</w:t>
      </w:r>
      <w:r>
        <w:rPr>
          <w:rFonts w:ascii="Arial" w:hAnsi="Arial" w:cs="Arial"/>
          <w:sz w:val="16"/>
          <w:szCs w:val="16"/>
        </w:rPr>
        <w:t xml:space="preserve"> la</w:t>
      </w:r>
      <w:r w:rsidRPr="00040377">
        <w:rPr>
          <w:rFonts w:ascii="Arial" w:hAnsi="Arial" w:cs="Arial"/>
          <w:sz w:val="16"/>
          <w:szCs w:val="16"/>
        </w:rPr>
        <w:t xml:space="preserve"> información </w:t>
      </w:r>
      <w:r>
        <w:rPr>
          <w:rFonts w:ascii="Arial" w:hAnsi="Arial" w:cs="Arial"/>
          <w:sz w:val="16"/>
          <w:szCs w:val="16"/>
        </w:rPr>
        <w:t xml:space="preserve">se refiere </w:t>
      </w:r>
      <w:r w:rsidRPr="00040377">
        <w:rPr>
          <w:rFonts w:ascii="Arial" w:hAnsi="Arial" w:cs="Arial"/>
          <w:sz w:val="16"/>
          <w:szCs w:val="16"/>
        </w:rPr>
        <w:t xml:space="preserve">únicamente </w:t>
      </w:r>
      <w:r>
        <w:rPr>
          <w:rFonts w:ascii="Arial" w:hAnsi="Arial" w:cs="Arial"/>
          <w:sz w:val="16"/>
          <w:szCs w:val="16"/>
        </w:rPr>
        <w:t>a</w:t>
      </w:r>
      <w:r w:rsidRPr="00040377">
        <w:rPr>
          <w:rFonts w:ascii="Arial" w:hAnsi="Arial" w:cs="Arial"/>
          <w:sz w:val="16"/>
          <w:szCs w:val="16"/>
        </w:rPr>
        <w:t xml:space="preserve"> los jueces de control o garantías</w:t>
      </w:r>
      <w:r>
        <w:rPr>
          <w:rFonts w:ascii="Arial" w:hAnsi="Arial" w:cs="Arial"/>
          <w:sz w:val="16"/>
          <w:szCs w:val="16"/>
        </w:rPr>
        <w:t>. No se incluye información de Baja California Sur, Colima, Chihuahua, Michoacán de Ocampo, Nayarit, Nuevo León, Oaxaca, San Luis Potosí y Tamaulipas debido a que no contaron con datos o elementos para responder</w:t>
      </w:r>
      <w:r w:rsidR="00E850F2">
        <w:rPr>
          <w:rFonts w:ascii="Arial" w:hAnsi="Arial" w:cs="Arial"/>
          <w:sz w:val="16"/>
          <w:szCs w:val="16"/>
        </w:rPr>
        <w:t xml:space="preserve"> sobre el tema</w:t>
      </w:r>
      <w:r>
        <w:rPr>
          <w:rFonts w:ascii="Arial" w:hAnsi="Arial" w:cs="Arial"/>
          <w:sz w:val="16"/>
          <w:szCs w:val="16"/>
        </w:rPr>
        <w:t>.</w:t>
      </w:r>
      <w:r w:rsidR="001E22C1">
        <w:rPr>
          <w:rFonts w:ascii="Arial" w:hAnsi="Arial" w:cs="Arial"/>
          <w:sz w:val="16"/>
          <w:szCs w:val="16"/>
        </w:rPr>
        <w:t xml:space="preserve"> No se incluyen las entidades México y Zacatecas debido a que la información se encuentra en revisión. </w:t>
      </w:r>
    </w:p>
    <w:p w14:paraId="112E8CAF" w14:textId="77777777" w:rsidR="00337966" w:rsidRDefault="00337966" w:rsidP="00BA310C">
      <w:pPr>
        <w:jc w:val="center"/>
        <w:rPr>
          <w:rFonts w:ascii="Arial" w:hAnsi="Arial" w:cs="Arial"/>
          <w:sz w:val="16"/>
          <w:szCs w:val="16"/>
          <w:highlight w:val="yellow"/>
        </w:rPr>
      </w:pPr>
    </w:p>
    <w:p w14:paraId="20055316" w14:textId="77777777" w:rsidR="00337966" w:rsidRDefault="00337966" w:rsidP="00337966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52B2F36F" w14:textId="77777777" w:rsidR="00337966" w:rsidRDefault="00337966" w:rsidP="00337966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2D893A66" w14:textId="77777777" w:rsidR="00337966" w:rsidRDefault="00337966" w:rsidP="00337966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74553147" w14:textId="77777777" w:rsidR="00337966" w:rsidRDefault="00337966" w:rsidP="00337966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415369A4" w14:textId="77777777" w:rsidR="00337966" w:rsidRDefault="00337966" w:rsidP="00337966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2B9E5044" w14:textId="77777777" w:rsidR="003D4921" w:rsidRDefault="003D4921" w:rsidP="00337966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4292CB32" w14:textId="10EF3384" w:rsidR="00337966" w:rsidRPr="004C40F7" w:rsidRDefault="00337966" w:rsidP="00337966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Sistema Integral de Justicia Penal para Adolescentes, Jalisco, Oaxaca, Querétaro, Quintana Roo y Tamaulipas</w:t>
      </w:r>
      <w:r w:rsidR="00EF48E0">
        <w:rPr>
          <w:rFonts w:ascii="Arial" w:hAnsi="Arial" w:cs="Arial"/>
          <w:sz w:val="24"/>
          <w:szCs w:val="24"/>
        </w:rPr>
        <w:t xml:space="preserve"> </w:t>
      </w:r>
      <w:r w:rsidR="00EF48E0" w:rsidRPr="004C40F7">
        <w:rPr>
          <w:rFonts w:ascii="Arial" w:hAnsi="Arial" w:cs="Arial"/>
          <w:sz w:val="24"/>
          <w:szCs w:val="24"/>
        </w:rPr>
        <w:t>fueron</w:t>
      </w:r>
      <w:r w:rsidRPr="004C40F7">
        <w:rPr>
          <w:rFonts w:ascii="Arial" w:hAnsi="Arial" w:cs="Arial"/>
          <w:sz w:val="24"/>
          <w:szCs w:val="24"/>
        </w:rPr>
        <w:t xml:space="preserve"> las entidades </w:t>
      </w:r>
      <w:r>
        <w:rPr>
          <w:rFonts w:ascii="Arial" w:hAnsi="Arial" w:cs="Arial"/>
          <w:sz w:val="24"/>
          <w:szCs w:val="24"/>
        </w:rPr>
        <w:t>donde 100% de l</w:t>
      </w:r>
      <w:r w:rsidR="0017731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="0017731B">
        <w:rPr>
          <w:rFonts w:ascii="Arial" w:hAnsi="Arial" w:cs="Arial"/>
          <w:sz w:val="24"/>
          <w:szCs w:val="24"/>
        </w:rPr>
        <w:t xml:space="preserve"> personas</w:t>
      </w:r>
      <w:r>
        <w:rPr>
          <w:rFonts w:ascii="Arial" w:hAnsi="Arial" w:cs="Arial"/>
          <w:sz w:val="24"/>
          <w:szCs w:val="24"/>
        </w:rPr>
        <w:t xml:space="preserve"> imputad</w:t>
      </w:r>
      <w:r w:rsidR="0017731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se vincularon a proceso. </w:t>
      </w:r>
    </w:p>
    <w:p w14:paraId="7FA7D753" w14:textId="77777777" w:rsidR="00337966" w:rsidRDefault="00337966" w:rsidP="00337966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</w:rPr>
      </w:pPr>
    </w:p>
    <w:p w14:paraId="23DA2AFF" w14:textId="590A1A9D" w:rsidR="00337966" w:rsidRPr="00337966" w:rsidRDefault="00337966" w:rsidP="00337966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</w:rPr>
      </w:pPr>
      <w:r w:rsidRPr="00337966">
        <w:rPr>
          <w:b/>
          <w:bCs/>
          <w:i/>
          <w:iCs/>
          <w:color w:val="414C1C"/>
          <w:sz w:val="18"/>
          <w:szCs w:val="18"/>
        </w:rPr>
        <w:t>Gráfica 2</w:t>
      </w:r>
      <w:r>
        <w:rPr>
          <w:b/>
          <w:bCs/>
          <w:i/>
          <w:iCs/>
          <w:color w:val="414C1C"/>
          <w:sz w:val="18"/>
          <w:szCs w:val="18"/>
        </w:rPr>
        <w:t>6</w:t>
      </w:r>
      <w:r w:rsidRPr="00337966">
        <w:rPr>
          <w:b/>
          <w:bCs/>
          <w:i/>
          <w:iCs/>
          <w:color w:val="414C1C"/>
          <w:sz w:val="18"/>
          <w:szCs w:val="18"/>
        </w:rPr>
        <w:t>.</w:t>
      </w:r>
      <w:r w:rsidRPr="00337966">
        <w:rPr>
          <w:sz w:val="18"/>
          <w:szCs w:val="18"/>
        </w:rPr>
        <w:t xml:space="preserve"> </w:t>
      </w:r>
      <w:r w:rsidRPr="00337966">
        <w:rPr>
          <w:b/>
          <w:bCs/>
          <w:i/>
          <w:iCs/>
          <w:color w:val="414C1C"/>
          <w:sz w:val="18"/>
          <w:szCs w:val="18"/>
        </w:rPr>
        <w:t xml:space="preserve">Distribución porcentual de procesados y/o imputados con resoluciones sobre vinculación a proceso (Sistema </w:t>
      </w:r>
      <w:r>
        <w:rPr>
          <w:b/>
          <w:bCs/>
          <w:i/>
          <w:iCs/>
          <w:color w:val="414C1C"/>
          <w:sz w:val="18"/>
          <w:szCs w:val="18"/>
        </w:rPr>
        <w:t xml:space="preserve">Integral de Justicia </w:t>
      </w:r>
      <w:r w:rsidR="00E850F2">
        <w:rPr>
          <w:b/>
          <w:bCs/>
          <w:i/>
          <w:iCs/>
          <w:color w:val="414C1C"/>
          <w:sz w:val="18"/>
          <w:szCs w:val="18"/>
        </w:rPr>
        <w:t>Penal para Adolescentes</w:t>
      </w:r>
      <w:r w:rsidRPr="00337966">
        <w:rPr>
          <w:b/>
          <w:bCs/>
          <w:i/>
          <w:iCs/>
          <w:color w:val="414C1C"/>
          <w:sz w:val="18"/>
          <w:szCs w:val="18"/>
        </w:rPr>
        <w:t xml:space="preserve">), por entidad federativa y tipo, 2020 </w:t>
      </w:r>
    </w:p>
    <w:p w14:paraId="21894812" w14:textId="4A755BC4" w:rsidR="00737B1B" w:rsidRDefault="00E850F2" w:rsidP="00E850F2">
      <w:pPr>
        <w:ind w:left="-567"/>
        <w:jc w:val="center"/>
        <w:rPr>
          <w:rFonts w:ascii="Arial" w:hAnsi="Arial" w:cs="Arial"/>
          <w:b/>
          <w:bCs/>
          <w:iCs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134E37F0" wp14:editId="3EDC1D96">
            <wp:extent cx="3676650" cy="4649638"/>
            <wp:effectExtent l="0" t="0" r="0" b="0"/>
            <wp:docPr id="28" name="Gráfico 28">
              <a:extLst xmlns:a="http://schemas.openxmlformats.org/drawingml/2006/main">
                <a:ext uri="{FF2B5EF4-FFF2-40B4-BE49-F238E27FC236}">
                  <a16:creationId xmlns:a16="http://schemas.microsoft.com/office/drawing/2014/main" id="{9D27D711-8DD6-46F1-8F10-2FC713C0AB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0D55ECDB" w14:textId="035CE4FB" w:rsidR="00E850F2" w:rsidRPr="00040377" w:rsidRDefault="00E850F2" w:rsidP="003D4921">
      <w:pPr>
        <w:ind w:left="-56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40377">
        <w:rPr>
          <w:rFonts w:ascii="Arial" w:hAnsi="Arial" w:cs="Arial"/>
          <w:sz w:val="16"/>
          <w:szCs w:val="16"/>
        </w:rPr>
        <w:t>Nota:</w:t>
      </w:r>
      <w:r>
        <w:rPr>
          <w:rFonts w:ascii="Arial" w:hAnsi="Arial" w:cs="Arial"/>
          <w:sz w:val="16"/>
          <w:szCs w:val="16"/>
        </w:rPr>
        <w:t xml:space="preserve"> la</w:t>
      </w:r>
      <w:r w:rsidRPr="00040377">
        <w:rPr>
          <w:rFonts w:ascii="Arial" w:hAnsi="Arial" w:cs="Arial"/>
          <w:sz w:val="16"/>
          <w:szCs w:val="16"/>
        </w:rPr>
        <w:t xml:space="preserve"> información </w:t>
      </w:r>
      <w:r>
        <w:rPr>
          <w:rFonts w:ascii="Arial" w:hAnsi="Arial" w:cs="Arial"/>
          <w:sz w:val="16"/>
          <w:szCs w:val="16"/>
        </w:rPr>
        <w:t xml:space="preserve">se refiere </w:t>
      </w:r>
      <w:r w:rsidRPr="00040377">
        <w:rPr>
          <w:rFonts w:ascii="Arial" w:hAnsi="Arial" w:cs="Arial"/>
          <w:sz w:val="16"/>
          <w:szCs w:val="16"/>
        </w:rPr>
        <w:t xml:space="preserve">únicamente </w:t>
      </w:r>
      <w:r>
        <w:rPr>
          <w:rFonts w:ascii="Arial" w:hAnsi="Arial" w:cs="Arial"/>
          <w:sz w:val="16"/>
          <w:szCs w:val="16"/>
        </w:rPr>
        <w:t>a</w:t>
      </w:r>
      <w:r w:rsidRPr="00040377">
        <w:rPr>
          <w:rFonts w:ascii="Arial" w:hAnsi="Arial" w:cs="Arial"/>
          <w:sz w:val="16"/>
          <w:szCs w:val="16"/>
        </w:rPr>
        <w:t xml:space="preserve"> los jueces de control o garantías</w:t>
      </w:r>
      <w:r>
        <w:rPr>
          <w:rFonts w:ascii="Arial" w:hAnsi="Arial" w:cs="Arial"/>
          <w:sz w:val="16"/>
          <w:szCs w:val="16"/>
        </w:rPr>
        <w:t>. No se incluye información de Baja California Sur, Colima, México, Michoacán de Ocampo, Nayarit y Nuevo León debido a que no contaron con datos o elementos para responder sobre el tema.</w:t>
      </w:r>
    </w:p>
    <w:p w14:paraId="220286E0" w14:textId="55FCF9D1" w:rsidR="00737B1B" w:rsidRDefault="00737B1B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6508BAD7" w14:textId="03C3E0ED" w:rsidR="00737B1B" w:rsidRDefault="00737B1B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0C989CAC" w14:textId="55BF2B47" w:rsidR="00E850F2" w:rsidRDefault="00E850F2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21EC36DC" w14:textId="1B2E7FE1" w:rsidR="00E850F2" w:rsidRDefault="00E850F2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61ECA969" w14:textId="77777777" w:rsidR="00154B9A" w:rsidRDefault="00154B9A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147D67CE" w14:textId="2A0401CF" w:rsidR="00E850F2" w:rsidRDefault="00E850F2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72332F1F" w14:textId="09B95951" w:rsidR="00737B1B" w:rsidRPr="00737B1B" w:rsidRDefault="00F56AED" w:rsidP="00BA310C">
      <w:pPr>
        <w:ind w:left="-567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Personas s</w:t>
      </w:r>
      <w:r w:rsidR="00737B1B" w:rsidRPr="00737B1B">
        <w:rPr>
          <w:rFonts w:ascii="Arial" w:hAnsi="Arial" w:cs="Arial"/>
          <w:b/>
          <w:bCs/>
          <w:iCs/>
          <w:sz w:val="24"/>
          <w:szCs w:val="24"/>
        </w:rPr>
        <w:t>entenciad</w:t>
      </w:r>
      <w:r>
        <w:rPr>
          <w:rFonts w:ascii="Arial" w:hAnsi="Arial" w:cs="Arial"/>
          <w:b/>
          <w:bCs/>
          <w:iCs/>
          <w:sz w:val="24"/>
          <w:szCs w:val="24"/>
        </w:rPr>
        <w:t>a</w:t>
      </w:r>
      <w:r w:rsidR="00737B1B" w:rsidRPr="00737B1B">
        <w:rPr>
          <w:rFonts w:ascii="Arial" w:hAnsi="Arial" w:cs="Arial"/>
          <w:b/>
          <w:bCs/>
          <w:iCs/>
          <w:sz w:val="24"/>
          <w:szCs w:val="24"/>
        </w:rPr>
        <w:t>s</w:t>
      </w:r>
    </w:p>
    <w:p w14:paraId="1253314A" w14:textId="349BC541" w:rsidR="00737B1B" w:rsidRDefault="00EE3EE4" w:rsidP="00EE3EE4">
      <w:pPr>
        <w:ind w:left="-567"/>
        <w:jc w:val="both"/>
        <w:rPr>
          <w:rFonts w:ascii="Arial" w:hAnsi="Arial" w:cs="Arial"/>
          <w:iCs/>
          <w:sz w:val="24"/>
          <w:szCs w:val="24"/>
        </w:rPr>
      </w:pPr>
      <w:r w:rsidRPr="00EE3EE4">
        <w:rPr>
          <w:rFonts w:ascii="Arial" w:hAnsi="Arial" w:cs="Arial"/>
          <w:iCs/>
          <w:sz w:val="24"/>
          <w:szCs w:val="24"/>
        </w:rPr>
        <w:t>En cuanto a l</w:t>
      </w:r>
      <w:r w:rsidR="00723606">
        <w:rPr>
          <w:rFonts w:ascii="Arial" w:hAnsi="Arial" w:cs="Arial"/>
          <w:iCs/>
          <w:sz w:val="24"/>
          <w:szCs w:val="24"/>
        </w:rPr>
        <w:t>as personas</w:t>
      </w:r>
      <w:r w:rsidRPr="00EE3EE4">
        <w:rPr>
          <w:rFonts w:ascii="Arial" w:hAnsi="Arial" w:cs="Arial"/>
          <w:iCs/>
          <w:sz w:val="24"/>
          <w:szCs w:val="24"/>
        </w:rPr>
        <w:t xml:space="preserve"> sentenciad</w:t>
      </w:r>
      <w:r w:rsidR="00723606">
        <w:rPr>
          <w:rFonts w:ascii="Arial" w:hAnsi="Arial" w:cs="Arial"/>
          <w:iCs/>
          <w:sz w:val="24"/>
          <w:szCs w:val="24"/>
        </w:rPr>
        <w:t>a</w:t>
      </w:r>
      <w:r w:rsidRPr="00EE3EE4">
        <w:rPr>
          <w:rFonts w:ascii="Arial" w:hAnsi="Arial" w:cs="Arial"/>
          <w:iCs/>
          <w:sz w:val="24"/>
          <w:szCs w:val="24"/>
        </w:rPr>
        <w:t>s</w:t>
      </w:r>
      <w:r w:rsidR="00423350">
        <w:rPr>
          <w:rFonts w:ascii="Arial" w:hAnsi="Arial" w:cs="Arial"/>
          <w:iCs/>
          <w:sz w:val="24"/>
          <w:szCs w:val="24"/>
        </w:rPr>
        <w:t xml:space="preserve"> en </w:t>
      </w:r>
      <w:r w:rsidRPr="00EE3EE4">
        <w:rPr>
          <w:rFonts w:ascii="Arial" w:hAnsi="Arial" w:cs="Arial"/>
          <w:iCs/>
          <w:sz w:val="24"/>
          <w:szCs w:val="24"/>
        </w:rPr>
        <w:t>2020</w:t>
      </w:r>
      <w:r>
        <w:rPr>
          <w:rFonts w:ascii="Arial" w:hAnsi="Arial" w:cs="Arial"/>
          <w:iCs/>
          <w:sz w:val="24"/>
          <w:szCs w:val="24"/>
        </w:rPr>
        <w:t>,</w:t>
      </w:r>
      <w:r w:rsidRPr="00EE3EE4">
        <w:rPr>
          <w:rFonts w:ascii="Arial" w:hAnsi="Arial" w:cs="Arial"/>
          <w:iCs/>
          <w:sz w:val="24"/>
          <w:szCs w:val="24"/>
        </w:rPr>
        <w:t xml:space="preserve"> </w:t>
      </w:r>
      <w:r w:rsidR="003945C2">
        <w:rPr>
          <w:rFonts w:ascii="Arial" w:hAnsi="Arial" w:cs="Arial"/>
          <w:iCs/>
          <w:sz w:val="24"/>
          <w:szCs w:val="24"/>
        </w:rPr>
        <w:t xml:space="preserve">los poderes judiciales estatales registraron </w:t>
      </w:r>
      <w:r w:rsidR="00423350">
        <w:rPr>
          <w:rFonts w:ascii="Arial" w:hAnsi="Arial" w:cs="Arial"/>
          <w:iCs/>
          <w:sz w:val="24"/>
          <w:szCs w:val="24"/>
        </w:rPr>
        <w:t>un total de</w:t>
      </w:r>
      <w:r w:rsidRPr="00EE3EE4">
        <w:rPr>
          <w:rFonts w:ascii="Arial" w:hAnsi="Arial" w:cs="Arial"/>
          <w:iCs/>
          <w:sz w:val="24"/>
          <w:szCs w:val="24"/>
        </w:rPr>
        <w:t xml:space="preserve"> </w:t>
      </w:r>
      <w:r w:rsidRPr="00F5354D">
        <w:rPr>
          <w:rFonts w:ascii="Arial" w:hAnsi="Arial" w:cs="Arial"/>
          <w:iCs/>
          <w:sz w:val="24"/>
          <w:szCs w:val="24"/>
        </w:rPr>
        <w:t>24 660</w:t>
      </w:r>
      <w:r w:rsidR="00D72E4F" w:rsidRPr="00F5354D">
        <w:rPr>
          <w:rFonts w:ascii="Arial" w:hAnsi="Arial" w:cs="Arial"/>
          <w:iCs/>
          <w:sz w:val="24"/>
          <w:szCs w:val="24"/>
        </w:rPr>
        <w:t xml:space="preserve"> en las causas penales concluidas</w:t>
      </w:r>
      <w:r w:rsidRPr="00F5354D">
        <w:rPr>
          <w:rFonts w:ascii="Arial" w:hAnsi="Arial" w:cs="Arial"/>
          <w:iCs/>
          <w:sz w:val="24"/>
          <w:szCs w:val="24"/>
        </w:rPr>
        <w:t>,</w:t>
      </w:r>
      <w:r w:rsidR="00723606" w:rsidRPr="00F5354D">
        <w:rPr>
          <w:rFonts w:ascii="Arial" w:hAnsi="Arial" w:cs="Arial"/>
          <w:iCs/>
          <w:sz w:val="24"/>
          <w:szCs w:val="24"/>
        </w:rPr>
        <w:t xml:space="preserve"> de las cuales</w:t>
      </w:r>
      <w:r w:rsidR="00F56AED" w:rsidRPr="00F5354D">
        <w:rPr>
          <w:rFonts w:ascii="Arial" w:hAnsi="Arial" w:cs="Arial"/>
          <w:iCs/>
          <w:sz w:val="24"/>
          <w:szCs w:val="24"/>
        </w:rPr>
        <w:t>,</w:t>
      </w:r>
      <w:r w:rsidR="00723606" w:rsidRPr="00F5354D">
        <w:rPr>
          <w:rFonts w:ascii="Arial" w:hAnsi="Arial" w:cs="Arial"/>
          <w:iCs/>
          <w:sz w:val="24"/>
          <w:szCs w:val="24"/>
        </w:rPr>
        <w:t xml:space="preserve"> 23 749 fueron adultos y 911 adolescentes</w:t>
      </w:r>
      <w:r w:rsidR="00D72E4F" w:rsidRPr="00F5354D">
        <w:rPr>
          <w:rStyle w:val="Refdenotaalpie"/>
          <w:rFonts w:ascii="Arial" w:hAnsi="Arial" w:cs="Arial"/>
          <w:iCs/>
          <w:sz w:val="24"/>
          <w:szCs w:val="24"/>
        </w:rPr>
        <w:footnoteReference w:id="19"/>
      </w:r>
      <w:r w:rsidR="00723606" w:rsidRPr="00F5354D">
        <w:rPr>
          <w:rFonts w:ascii="Arial" w:hAnsi="Arial" w:cs="Arial"/>
          <w:iCs/>
          <w:sz w:val="24"/>
          <w:szCs w:val="24"/>
        </w:rPr>
        <w:t xml:space="preserve">. </w:t>
      </w:r>
      <w:r w:rsidR="00EF48E0">
        <w:rPr>
          <w:rFonts w:ascii="Arial" w:hAnsi="Arial" w:cs="Arial"/>
          <w:iCs/>
          <w:sz w:val="24"/>
          <w:szCs w:val="24"/>
        </w:rPr>
        <w:t>Del total de personas sentenciadas</w:t>
      </w:r>
      <w:r w:rsidR="00423350" w:rsidRPr="00F5354D">
        <w:rPr>
          <w:rFonts w:ascii="Arial" w:hAnsi="Arial" w:cs="Arial"/>
          <w:iCs/>
          <w:sz w:val="24"/>
          <w:szCs w:val="24"/>
        </w:rPr>
        <w:t>,</w:t>
      </w:r>
      <w:r w:rsidR="00723606" w:rsidRPr="00F5354D">
        <w:rPr>
          <w:rFonts w:ascii="Arial" w:hAnsi="Arial" w:cs="Arial"/>
          <w:iCs/>
          <w:sz w:val="24"/>
          <w:szCs w:val="24"/>
        </w:rPr>
        <w:t xml:space="preserve"> </w:t>
      </w:r>
      <w:r w:rsidRPr="00F5354D">
        <w:rPr>
          <w:rFonts w:ascii="Arial" w:hAnsi="Arial" w:cs="Arial"/>
          <w:iCs/>
          <w:sz w:val="24"/>
          <w:szCs w:val="24"/>
        </w:rPr>
        <w:t xml:space="preserve">90.4% fueron hombres, 7.6% mujeres y para 2.0% no se </w:t>
      </w:r>
      <w:r w:rsidR="00FB2AD4">
        <w:rPr>
          <w:rFonts w:ascii="Arial" w:hAnsi="Arial" w:cs="Arial"/>
          <w:iCs/>
          <w:sz w:val="24"/>
          <w:szCs w:val="24"/>
        </w:rPr>
        <w:t>identificó</w:t>
      </w:r>
      <w:r w:rsidRPr="00F5354D">
        <w:rPr>
          <w:rFonts w:ascii="Arial" w:hAnsi="Arial" w:cs="Arial"/>
          <w:iCs/>
          <w:sz w:val="24"/>
          <w:szCs w:val="24"/>
        </w:rPr>
        <w:t xml:space="preserve"> el sexo</w:t>
      </w:r>
      <w:r w:rsidR="00FB2AD4">
        <w:rPr>
          <w:rStyle w:val="Refdenotaalpie"/>
          <w:rFonts w:ascii="Arial" w:hAnsi="Arial" w:cs="Arial"/>
          <w:iCs/>
          <w:sz w:val="24"/>
          <w:szCs w:val="24"/>
        </w:rPr>
        <w:footnoteReference w:id="20"/>
      </w:r>
      <w:r w:rsidRPr="00F5354D">
        <w:rPr>
          <w:rFonts w:ascii="Arial" w:hAnsi="Arial" w:cs="Arial"/>
          <w:iCs/>
          <w:sz w:val="24"/>
          <w:szCs w:val="24"/>
        </w:rPr>
        <w:t xml:space="preserve">. </w:t>
      </w:r>
      <w:r w:rsidR="00723606" w:rsidRPr="00F5354D">
        <w:rPr>
          <w:rFonts w:ascii="Arial" w:hAnsi="Arial" w:cs="Arial"/>
          <w:iCs/>
          <w:sz w:val="24"/>
          <w:szCs w:val="24"/>
        </w:rPr>
        <w:t>De acuerdo con el tipo de sentencia para los adultos</w:t>
      </w:r>
      <w:r w:rsidR="00F56AED" w:rsidRPr="00F5354D">
        <w:rPr>
          <w:rFonts w:ascii="Arial" w:hAnsi="Arial" w:cs="Arial"/>
          <w:iCs/>
          <w:sz w:val="24"/>
          <w:szCs w:val="24"/>
        </w:rPr>
        <w:t>,</w:t>
      </w:r>
      <w:r w:rsidR="00723606" w:rsidRPr="00F5354D">
        <w:rPr>
          <w:rFonts w:ascii="Arial" w:hAnsi="Arial" w:cs="Arial"/>
          <w:iCs/>
          <w:sz w:val="24"/>
          <w:szCs w:val="24"/>
        </w:rPr>
        <w:t xml:space="preserve"> 94.5% fue condenatoria, 5.</w:t>
      </w:r>
      <w:r w:rsidR="00723606">
        <w:rPr>
          <w:rFonts w:ascii="Arial" w:hAnsi="Arial" w:cs="Arial"/>
          <w:iCs/>
          <w:sz w:val="24"/>
          <w:szCs w:val="24"/>
        </w:rPr>
        <w:t>1% absolutoria y 0.4% mixta</w:t>
      </w:r>
      <w:r w:rsidR="00723606">
        <w:rPr>
          <w:rStyle w:val="Refdenotaalpie"/>
          <w:rFonts w:ascii="Arial" w:hAnsi="Arial" w:cs="Arial"/>
          <w:iCs/>
          <w:sz w:val="24"/>
          <w:szCs w:val="24"/>
        </w:rPr>
        <w:footnoteReference w:id="21"/>
      </w:r>
      <w:r w:rsidR="00DB238A">
        <w:rPr>
          <w:rFonts w:ascii="Arial" w:hAnsi="Arial" w:cs="Arial"/>
          <w:iCs/>
          <w:sz w:val="24"/>
          <w:szCs w:val="24"/>
        </w:rPr>
        <w:t>.</w:t>
      </w:r>
      <w:r w:rsidR="00D72E4F">
        <w:rPr>
          <w:rFonts w:ascii="Arial" w:hAnsi="Arial" w:cs="Arial"/>
          <w:iCs/>
          <w:sz w:val="24"/>
          <w:szCs w:val="24"/>
        </w:rPr>
        <w:t xml:space="preserve"> </w:t>
      </w:r>
      <w:r w:rsidR="00DB238A">
        <w:rPr>
          <w:rFonts w:ascii="Arial" w:hAnsi="Arial" w:cs="Arial"/>
          <w:iCs/>
          <w:sz w:val="24"/>
          <w:szCs w:val="24"/>
        </w:rPr>
        <w:t>E</w:t>
      </w:r>
      <w:r w:rsidR="00D72E4F">
        <w:rPr>
          <w:rFonts w:ascii="Arial" w:hAnsi="Arial" w:cs="Arial"/>
          <w:iCs/>
          <w:sz w:val="24"/>
          <w:szCs w:val="24"/>
        </w:rPr>
        <w:t>n el caso de los adolescentes</w:t>
      </w:r>
      <w:r w:rsidR="00F56AED">
        <w:rPr>
          <w:rFonts w:ascii="Arial" w:hAnsi="Arial" w:cs="Arial"/>
          <w:iCs/>
          <w:sz w:val="24"/>
          <w:szCs w:val="24"/>
        </w:rPr>
        <w:t>,</w:t>
      </w:r>
      <w:r w:rsidR="00D72E4F">
        <w:rPr>
          <w:rFonts w:ascii="Arial" w:hAnsi="Arial" w:cs="Arial"/>
          <w:iCs/>
          <w:sz w:val="24"/>
          <w:szCs w:val="24"/>
        </w:rPr>
        <w:t xml:space="preserve"> 95.3% correspondió a sentencia sancionatoria, 2.5% a absolutoria y 2.2% fue mixta. </w:t>
      </w:r>
      <w:r w:rsidR="00F56AED">
        <w:rPr>
          <w:rFonts w:ascii="Arial" w:hAnsi="Arial" w:cs="Arial"/>
          <w:iCs/>
          <w:sz w:val="24"/>
          <w:szCs w:val="24"/>
        </w:rPr>
        <w:t xml:space="preserve">Comparado con </w:t>
      </w:r>
      <w:r w:rsidR="00D72E4F">
        <w:rPr>
          <w:rFonts w:ascii="Arial" w:hAnsi="Arial" w:cs="Arial"/>
          <w:iCs/>
          <w:sz w:val="24"/>
          <w:szCs w:val="24"/>
        </w:rPr>
        <w:t xml:space="preserve">la cifra total de personas sentenciadas en 2019, hubo una disminución de 30.6 por ciento. </w:t>
      </w:r>
    </w:p>
    <w:p w14:paraId="69007988" w14:textId="60E07D10" w:rsidR="00423350" w:rsidRDefault="00423350" w:rsidP="00D72E4F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</w:rPr>
      </w:pPr>
    </w:p>
    <w:p w14:paraId="1F2AC08E" w14:textId="77777777" w:rsidR="001941AA" w:rsidRDefault="001941AA" w:rsidP="00D72E4F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</w:rPr>
      </w:pPr>
    </w:p>
    <w:p w14:paraId="28A1F191" w14:textId="5B901A26" w:rsidR="00D72E4F" w:rsidRDefault="00D72E4F" w:rsidP="00D72E4F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</w:rPr>
      </w:pPr>
      <w:r w:rsidRPr="00702527">
        <w:rPr>
          <w:b/>
          <w:bCs/>
          <w:i/>
          <w:iCs/>
          <w:color w:val="414C1C"/>
          <w:sz w:val="18"/>
          <w:szCs w:val="18"/>
        </w:rPr>
        <w:t>Gráfic</w:t>
      </w:r>
      <w:r w:rsidRPr="003D4921">
        <w:rPr>
          <w:b/>
          <w:bCs/>
          <w:i/>
          <w:iCs/>
          <w:color w:val="414C1C"/>
          <w:sz w:val="18"/>
          <w:szCs w:val="18"/>
        </w:rPr>
        <w:t>a 2</w:t>
      </w:r>
      <w:r w:rsidR="003D4921" w:rsidRPr="003D4921">
        <w:rPr>
          <w:b/>
          <w:bCs/>
          <w:i/>
          <w:iCs/>
          <w:color w:val="414C1C"/>
          <w:sz w:val="18"/>
          <w:szCs w:val="18"/>
        </w:rPr>
        <w:t>7</w:t>
      </w:r>
      <w:r w:rsidRPr="00702527">
        <w:rPr>
          <w:b/>
          <w:bCs/>
          <w:i/>
          <w:iCs/>
          <w:color w:val="414C1C"/>
          <w:sz w:val="18"/>
          <w:szCs w:val="18"/>
        </w:rPr>
        <w:t>.</w:t>
      </w:r>
      <w:r w:rsidRPr="00702527">
        <w:rPr>
          <w:sz w:val="18"/>
          <w:szCs w:val="18"/>
        </w:rPr>
        <w:t xml:space="preserve"> </w:t>
      </w:r>
      <w:r>
        <w:rPr>
          <w:b/>
          <w:bCs/>
          <w:i/>
          <w:iCs/>
          <w:color w:val="414C1C"/>
          <w:sz w:val="18"/>
          <w:szCs w:val="18"/>
        </w:rPr>
        <w:t xml:space="preserve">Personas sentenciadas </w:t>
      </w:r>
      <w:r w:rsidR="00423350">
        <w:rPr>
          <w:b/>
          <w:bCs/>
          <w:i/>
          <w:iCs/>
          <w:color w:val="414C1C"/>
          <w:sz w:val="18"/>
          <w:szCs w:val="18"/>
        </w:rPr>
        <w:t xml:space="preserve">registradas en las causas penales concluidas, </w:t>
      </w:r>
      <w:r>
        <w:rPr>
          <w:b/>
          <w:bCs/>
          <w:i/>
          <w:iCs/>
          <w:color w:val="414C1C"/>
          <w:sz w:val="18"/>
          <w:szCs w:val="18"/>
        </w:rPr>
        <w:t>por tipo de sentencia, 2019 a 2020</w:t>
      </w:r>
      <w:r w:rsidRPr="00702527">
        <w:rPr>
          <w:b/>
          <w:bCs/>
          <w:i/>
          <w:iCs/>
          <w:color w:val="414C1C"/>
          <w:sz w:val="18"/>
          <w:szCs w:val="18"/>
        </w:rPr>
        <w:t xml:space="preserve"> </w:t>
      </w:r>
    </w:p>
    <w:p w14:paraId="4E2D361E" w14:textId="77777777" w:rsidR="001941AA" w:rsidRPr="00702527" w:rsidRDefault="001941AA" w:rsidP="00D72E4F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</w:rPr>
      </w:pPr>
    </w:p>
    <w:p w14:paraId="67BD15AD" w14:textId="77777777" w:rsidR="00D72E4F" w:rsidRPr="000E5724" w:rsidRDefault="00D72E4F" w:rsidP="00D72E4F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20"/>
          <w:highlight w:val="yellow"/>
        </w:rPr>
      </w:pPr>
    </w:p>
    <w:p w14:paraId="012BAE05" w14:textId="5714D3D6" w:rsidR="00D72E4F" w:rsidRPr="00EE3EE4" w:rsidRDefault="00924F0C" w:rsidP="00EE3EE4">
      <w:pPr>
        <w:ind w:left="-567"/>
        <w:jc w:val="both"/>
        <w:rPr>
          <w:rFonts w:ascii="Arial" w:hAnsi="Arial" w:cs="Arial"/>
          <w:iCs/>
          <w:sz w:val="24"/>
          <w:szCs w:val="24"/>
        </w:rPr>
      </w:pPr>
      <w:r>
        <w:rPr>
          <w:noProof/>
        </w:rPr>
        <w:drawing>
          <wp:inline distT="0" distB="0" distL="0" distR="0" wp14:anchorId="550F9401" wp14:editId="51ADCD58">
            <wp:extent cx="3248025" cy="2152650"/>
            <wp:effectExtent l="0" t="0" r="0" b="0"/>
            <wp:docPr id="38" name="Gráfico 38">
              <a:extLst xmlns:a="http://schemas.openxmlformats.org/drawingml/2006/main">
                <a:ext uri="{FF2B5EF4-FFF2-40B4-BE49-F238E27FC236}">
                  <a16:creationId xmlns:a16="http://schemas.microsoft.com/office/drawing/2014/main" id="{B0490481-6588-486E-BD1D-799E09BEE2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B80CA" wp14:editId="3578745D">
            <wp:extent cx="2900363" cy="2247900"/>
            <wp:effectExtent l="0" t="0" r="0" b="0"/>
            <wp:docPr id="52" name="Gráfico 52">
              <a:extLst xmlns:a="http://schemas.openxmlformats.org/drawingml/2006/main">
                <a:ext uri="{FF2B5EF4-FFF2-40B4-BE49-F238E27FC236}">
                  <a16:creationId xmlns:a16="http://schemas.microsoft.com/office/drawing/2014/main" id="{D195F6F6-F36E-447E-AE3C-A19D5DC8B2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6EF301C8" w14:textId="77777777" w:rsidR="00EE3EE4" w:rsidRDefault="00EE3EE4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5B16751D" w14:textId="234A92B6" w:rsidR="00737B1B" w:rsidRPr="00924F0C" w:rsidRDefault="00924F0C" w:rsidP="00924F0C">
      <w:pPr>
        <w:ind w:left="-567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706FE7">
        <w:rPr>
          <w:rFonts w:ascii="Arial" w:hAnsi="Arial" w:cs="Arial"/>
          <w:sz w:val="16"/>
          <w:szCs w:val="16"/>
        </w:rPr>
        <w:t xml:space="preserve">Nota: </w:t>
      </w:r>
      <w:r>
        <w:rPr>
          <w:rFonts w:ascii="Arial" w:hAnsi="Arial" w:cs="Arial"/>
          <w:sz w:val="16"/>
          <w:szCs w:val="16"/>
        </w:rPr>
        <w:t xml:space="preserve">no se incluye la categoría </w:t>
      </w:r>
      <w:r>
        <w:rPr>
          <w:rFonts w:ascii="Arial" w:hAnsi="Arial" w:cs="Arial"/>
          <w:i/>
          <w:iCs/>
          <w:sz w:val="16"/>
          <w:szCs w:val="16"/>
        </w:rPr>
        <w:t xml:space="preserve">No especificado </w:t>
      </w:r>
      <w:r>
        <w:rPr>
          <w:rFonts w:ascii="Arial" w:hAnsi="Arial" w:cs="Arial"/>
          <w:sz w:val="16"/>
          <w:szCs w:val="16"/>
        </w:rPr>
        <w:t xml:space="preserve">que para </w:t>
      </w:r>
      <w:r w:rsidR="00AF6FD4">
        <w:rPr>
          <w:rFonts w:ascii="Arial" w:hAnsi="Arial" w:cs="Arial"/>
          <w:sz w:val="16"/>
          <w:szCs w:val="16"/>
        </w:rPr>
        <w:t xml:space="preserve">los adultos en </w:t>
      </w:r>
      <w:r>
        <w:rPr>
          <w:rFonts w:ascii="Arial" w:hAnsi="Arial" w:cs="Arial"/>
          <w:sz w:val="16"/>
          <w:szCs w:val="16"/>
        </w:rPr>
        <w:t xml:space="preserve">2019 reportó 84 personas y para </w:t>
      </w:r>
      <w:r w:rsidR="00AF6FD4">
        <w:rPr>
          <w:rFonts w:ascii="Arial" w:hAnsi="Arial" w:cs="Arial"/>
          <w:sz w:val="16"/>
          <w:szCs w:val="16"/>
        </w:rPr>
        <w:t>2020 reportó 11.</w:t>
      </w:r>
    </w:p>
    <w:p w14:paraId="277E8AEA" w14:textId="3CA40BA6" w:rsidR="00924F0C" w:rsidRDefault="00924F0C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7C5FB492" w14:textId="7E9F3A00" w:rsidR="00924F0C" w:rsidRDefault="00924F0C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3D8100AB" w14:textId="190384E7" w:rsidR="00924F0C" w:rsidRDefault="00924F0C" w:rsidP="00BA310C">
      <w:pPr>
        <w:ind w:left="-567"/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068B5271" w14:textId="49A5A57A" w:rsidR="00B6107B" w:rsidRDefault="00B6107B" w:rsidP="00217C27">
      <w:pPr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72CA02AC" w14:textId="4AD57A05" w:rsidR="00217C27" w:rsidRDefault="00217C27" w:rsidP="00217C27">
      <w:pPr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7AB6DD44" w14:textId="54537688" w:rsidR="00217C27" w:rsidRDefault="00217C27" w:rsidP="00217C27">
      <w:pPr>
        <w:rPr>
          <w:rFonts w:ascii="Arial" w:hAnsi="Arial" w:cs="Arial"/>
          <w:b/>
          <w:bCs/>
          <w:iCs/>
          <w:sz w:val="24"/>
          <w:szCs w:val="24"/>
          <w:highlight w:val="yellow"/>
        </w:rPr>
      </w:pPr>
    </w:p>
    <w:p w14:paraId="4D560F38" w14:textId="5C84C0C3" w:rsidR="00BA310C" w:rsidRPr="00924F0C" w:rsidRDefault="00BA310C" w:rsidP="00BA310C">
      <w:pPr>
        <w:ind w:left="-567"/>
        <w:rPr>
          <w:rFonts w:ascii="Arial" w:hAnsi="Arial" w:cs="Arial"/>
          <w:b/>
          <w:bCs/>
          <w:iCs/>
          <w:sz w:val="24"/>
          <w:szCs w:val="24"/>
        </w:rPr>
      </w:pPr>
      <w:r w:rsidRPr="00924F0C">
        <w:rPr>
          <w:rFonts w:ascii="Arial" w:hAnsi="Arial" w:cs="Arial"/>
          <w:b/>
          <w:bCs/>
          <w:iCs/>
          <w:sz w:val="24"/>
          <w:szCs w:val="24"/>
        </w:rPr>
        <w:lastRenderedPageBreak/>
        <w:t>Justicia alternativa y/o mecanismos alternativos de solución de controversias</w:t>
      </w:r>
    </w:p>
    <w:p w14:paraId="7992BA3F" w14:textId="5C6414C1" w:rsidR="00BA310C" w:rsidRDefault="00F56AED" w:rsidP="00015CAC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2020, l</w:t>
      </w:r>
      <w:r w:rsidR="00BA310C" w:rsidRPr="00A72CBB">
        <w:rPr>
          <w:rFonts w:ascii="Arial" w:hAnsi="Arial" w:cs="Arial"/>
          <w:sz w:val="24"/>
          <w:szCs w:val="24"/>
        </w:rPr>
        <w:t xml:space="preserve">os </w:t>
      </w:r>
      <w:r w:rsidR="00040B38" w:rsidRPr="00A72CBB">
        <w:rPr>
          <w:rFonts w:ascii="Arial" w:hAnsi="Arial" w:cs="Arial"/>
          <w:sz w:val="24"/>
          <w:szCs w:val="24"/>
        </w:rPr>
        <w:t>poderes judiciales estatales</w:t>
      </w:r>
      <w:r w:rsidR="00BA310C" w:rsidRPr="00A72CBB">
        <w:rPr>
          <w:rFonts w:ascii="Arial" w:hAnsi="Arial" w:cs="Arial"/>
          <w:sz w:val="24"/>
          <w:szCs w:val="24"/>
        </w:rPr>
        <w:t xml:space="preserve"> </w:t>
      </w:r>
      <w:r w:rsidR="00D214D5" w:rsidRPr="00A72CBB">
        <w:rPr>
          <w:rFonts w:ascii="Arial" w:hAnsi="Arial" w:cs="Arial"/>
          <w:sz w:val="24"/>
          <w:szCs w:val="24"/>
        </w:rPr>
        <w:t>reportaron</w:t>
      </w:r>
      <w:r w:rsidR="00BA310C" w:rsidRPr="00A72CBB">
        <w:rPr>
          <w:rFonts w:ascii="Arial" w:hAnsi="Arial" w:cs="Arial"/>
          <w:sz w:val="24"/>
          <w:szCs w:val="24"/>
        </w:rPr>
        <w:t xml:space="preserve"> </w:t>
      </w:r>
      <w:r w:rsidR="00D214D5" w:rsidRPr="00A72CBB">
        <w:rPr>
          <w:rFonts w:ascii="Arial" w:hAnsi="Arial" w:cs="Arial"/>
          <w:sz w:val="24"/>
          <w:szCs w:val="24"/>
        </w:rPr>
        <w:t>121 572</w:t>
      </w:r>
      <w:r w:rsidR="00BA310C" w:rsidRPr="00A72CBB">
        <w:rPr>
          <w:rFonts w:ascii="Arial" w:hAnsi="Arial" w:cs="Arial"/>
          <w:sz w:val="24"/>
          <w:szCs w:val="24"/>
        </w:rPr>
        <w:t xml:space="preserve"> expedientes abiertos</w:t>
      </w:r>
      <w:r>
        <w:rPr>
          <w:rFonts w:ascii="Arial" w:hAnsi="Arial" w:cs="Arial"/>
          <w:sz w:val="24"/>
          <w:szCs w:val="24"/>
        </w:rPr>
        <w:t xml:space="preserve"> y</w:t>
      </w:r>
      <w:r w:rsidR="00BA310C" w:rsidRPr="00A72CBB">
        <w:rPr>
          <w:rFonts w:ascii="Arial" w:hAnsi="Arial" w:cs="Arial"/>
          <w:sz w:val="24"/>
          <w:szCs w:val="24"/>
        </w:rPr>
        <w:t xml:space="preserve"> </w:t>
      </w:r>
      <w:r w:rsidR="00217C27">
        <w:rPr>
          <w:rFonts w:ascii="Arial" w:hAnsi="Arial" w:cs="Arial"/>
          <w:sz w:val="24"/>
          <w:szCs w:val="24"/>
        </w:rPr>
        <w:t xml:space="preserve">                     </w:t>
      </w:r>
      <w:r w:rsidRPr="00A72CBB">
        <w:rPr>
          <w:rFonts w:ascii="Arial" w:hAnsi="Arial" w:cs="Arial"/>
          <w:sz w:val="24"/>
          <w:szCs w:val="24"/>
        </w:rPr>
        <w:t>113 961</w:t>
      </w:r>
      <w:r>
        <w:rPr>
          <w:rFonts w:ascii="Arial" w:hAnsi="Arial" w:cs="Arial"/>
          <w:sz w:val="24"/>
          <w:szCs w:val="24"/>
        </w:rPr>
        <w:t xml:space="preserve"> expedientes concluidos </w:t>
      </w:r>
      <w:r w:rsidR="00BA310C" w:rsidRPr="00A72CBB">
        <w:rPr>
          <w:rFonts w:ascii="Arial" w:hAnsi="Arial" w:cs="Arial"/>
          <w:sz w:val="24"/>
          <w:szCs w:val="24"/>
        </w:rPr>
        <w:t>en todas las materias por los órganos o centros encargados de la aplicación de Justicia Alternativa y/o Mecanismos Alternativos de Solución de Controversias.</w:t>
      </w:r>
      <w:r w:rsidR="00A72CBB" w:rsidRPr="00A72CBB">
        <w:rPr>
          <w:rFonts w:ascii="Arial" w:hAnsi="Arial" w:cs="Arial"/>
          <w:sz w:val="24"/>
          <w:szCs w:val="24"/>
        </w:rPr>
        <w:t xml:space="preserve"> Ambas cifras indican que, en contraste con 2019, los expedientes disminuyeron 37.0% y 31.8%, respectivamente. </w:t>
      </w:r>
    </w:p>
    <w:p w14:paraId="067D05C3" w14:textId="77777777" w:rsidR="00015CAC" w:rsidRDefault="00015CAC" w:rsidP="00015CAC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14:paraId="66942C1F" w14:textId="0758DAA8" w:rsidR="005E0738" w:rsidRDefault="00BA310C" w:rsidP="005E0738">
      <w:pPr>
        <w:pStyle w:val="Default"/>
        <w:ind w:left="-567"/>
        <w:jc w:val="center"/>
        <w:rPr>
          <w:b/>
          <w:bCs/>
          <w:i/>
          <w:iCs/>
          <w:color w:val="414C1C"/>
          <w:sz w:val="18"/>
          <w:szCs w:val="18"/>
        </w:rPr>
      </w:pPr>
      <w:r w:rsidRPr="00A72CBB">
        <w:rPr>
          <w:b/>
          <w:bCs/>
          <w:i/>
          <w:iCs/>
          <w:color w:val="414C1C"/>
          <w:sz w:val="18"/>
          <w:szCs w:val="18"/>
        </w:rPr>
        <w:t xml:space="preserve">Gráfica </w:t>
      </w:r>
      <w:r w:rsidRPr="003D4921">
        <w:rPr>
          <w:b/>
          <w:bCs/>
          <w:i/>
          <w:iCs/>
          <w:color w:val="414C1C"/>
          <w:sz w:val="18"/>
          <w:szCs w:val="18"/>
        </w:rPr>
        <w:t>2</w:t>
      </w:r>
      <w:r w:rsidR="003D4921" w:rsidRPr="003D4921">
        <w:rPr>
          <w:b/>
          <w:bCs/>
          <w:i/>
          <w:iCs/>
          <w:color w:val="414C1C"/>
          <w:sz w:val="18"/>
          <w:szCs w:val="18"/>
        </w:rPr>
        <w:t>8</w:t>
      </w:r>
      <w:r w:rsidRPr="00A72CBB">
        <w:rPr>
          <w:b/>
          <w:bCs/>
          <w:i/>
          <w:iCs/>
          <w:color w:val="414C1C"/>
          <w:sz w:val="18"/>
          <w:szCs w:val="18"/>
        </w:rPr>
        <w:t>.</w:t>
      </w:r>
      <w:r w:rsidRPr="00A72CBB">
        <w:rPr>
          <w:sz w:val="18"/>
          <w:szCs w:val="18"/>
        </w:rPr>
        <w:t xml:space="preserve"> </w:t>
      </w:r>
      <w:r w:rsidRPr="00A72CBB">
        <w:rPr>
          <w:b/>
          <w:bCs/>
          <w:i/>
          <w:iCs/>
          <w:color w:val="414C1C"/>
          <w:sz w:val="18"/>
          <w:szCs w:val="18"/>
        </w:rPr>
        <w:t>Expedientes abiertos</w:t>
      </w:r>
      <w:r w:rsidR="00B04147">
        <w:rPr>
          <w:b/>
          <w:bCs/>
          <w:i/>
          <w:iCs/>
          <w:color w:val="414C1C"/>
          <w:sz w:val="18"/>
          <w:szCs w:val="18"/>
        </w:rPr>
        <w:t xml:space="preserve"> y concluidos</w:t>
      </w:r>
      <w:r w:rsidRPr="00A72CBB">
        <w:rPr>
          <w:b/>
          <w:bCs/>
          <w:i/>
          <w:iCs/>
          <w:color w:val="414C1C"/>
          <w:sz w:val="18"/>
          <w:szCs w:val="18"/>
        </w:rPr>
        <w:t xml:space="preserve"> en los</w:t>
      </w:r>
      <w:r w:rsidRPr="00A72CBB">
        <w:rPr>
          <w:sz w:val="18"/>
          <w:szCs w:val="18"/>
        </w:rPr>
        <w:t xml:space="preserve"> </w:t>
      </w:r>
      <w:r w:rsidRPr="00A72CBB">
        <w:rPr>
          <w:b/>
          <w:bCs/>
          <w:i/>
          <w:iCs/>
          <w:color w:val="414C1C"/>
          <w:sz w:val="18"/>
          <w:szCs w:val="18"/>
        </w:rPr>
        <w:t xml:space="preserve">órganos o centros encargados de la aplicación de Justicia Alternativa y/o Mecanismos Alternativos de Solución de Controversias, por </w:t>
      </w:r>
      <w:r w:rsidR="009C312E">
        <w:rPr>
          <w:b/>
          <w:bCs/>
          <w:i/>
          <w:iCs/>
          <w:color w:val="414C1C"/>
          <w:sz w:val="18"/>
          <w:szCs w:val="18"/>
        </w:rPr>
        <w:t>estatus</w:t>
      </w:r>
      <w:r w:rsidRPr="00A72CBB">
        <w:rPr>
          <w:b/>
          <w:bCs/>
          <w:i/>
          <w:iCs/>
          <w:color w:val="414C1C"/>
          <w:sz w:val="18"/>
          <w:szCs w:val="18"/>
        </w:rPr>
        <w:t xml:space="preserve">, </w:t>
      </w:r>
      <w:r w:rsidR="00B04147">
        <w:rPr>
          <w:b/>
          <w:bCs/>
          <w:i/>
          <w:iCs/>
          <w:color w:val="414C1C"/>
          <w:sz w:val="18"/>
          <w:szCs w:val="18"/>
        </w:rPr>
        <w:t xml:space="preserve">2014 a </w:t>
      </w:r>
      <w:r w:rsidRPr="00A72CBB">
        <w:rPr>
          <w:b/>
          <w:bCs/>
          <w:i/>
          <w:iCs/>
          <w:color w:val="414C1C"/>
          <w:sz w:val="18"/>
          <w:szCs w:val="18"/>
        </w:rPr>
        <w:t>20</w:t>
      </w:r>
      <w:r w:rsidR="00A72CBB">
        <w:rPr>
          <w:b/>
          <w:bCs/>
          <w:i/>
          <w:iCs/>
          <w:color w:val="414C1C"/>
          <w:sz w:val="18"/>
          <w:szCs w:val="18"/>
        </w:rPr>
        <w:t>20</w:t>
      </w:r>
    </w:p>
    <w:p w14:paraId="62CF6B9D" w14:textId="64F2868D" w:rsidR="0003061A" w:rsidRDefault="00665A39" w:rsidP="00217C27">
      <w:pPr>
        <w:ind w:left="-567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4720B221" wp14:editId="0F67142F">
            <wp:extent cx="5528945" cy="2018581"/>
            <wp:effectExtent l="0" t="0" r="0" b="127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CF1AC16F-6F48-470A-842B-F5FC7C5148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6A2E9E28" w14:textId="77777777" w:rsidR="0003061A" w:rsidRDefault="0003061A" w:rsidP="00BA310C">
      <w:pPr>
        <w:ind w:left="-567"/>
        <w:rPr>
          <w:rFonts w:ascii="Arial" w:hAnsi="Arial" w:cs="Arial"/>
          <w:sz w:val="24"/>
          <w:szCs w:val="24"/>
          <w:highlight w:val="yellow"/>
        </w:rPr>
      </w:pPr>
    </w:p>
    <w:p w14:paraId="6FF72FE4" w14:textId="53C032C3" w:rsidR="00BA310C" w:rsidRPr="00854C41" w:rsidRDefault="006C0D61" w:rsidP="003442C8">
      <w:pPr>
        <w:ind w:left="-567"/>
        <w:jc w:val="both"/>
        <w:rPr>
          <w:rFonts w:ascii="Arial" w:hAnsi="Arial" w:cs="Arial"/>
          <w:sz w:val="24"/>
          <w:szCs w:val="24"/>
        </w:rPr>
      </w:pPr>
      <w:r w:rsidRPr="006C0D61">
        <w:rPr>
          <w:rFonts w:ascii="Arial" w:hAnsi="Arial" w:cs="Arial"/>
          <w:sz w:val="24"/>
          <w:szCs w:val="24"/>
        </w:rPr>
        <w:t>En los expedientes abiertos en materia penal y justicia para adolescentes, se reportó un total de 10 496 delitos, de los cuales, 10 202 (97.2%) correspondieron a adultos y 294 (2.8%) a adolescentes. La cantidad de delitos en los expedientes abiertos por estos órganos o centros disminuyó 27.5% en comparación con 2019</w:t>
      </w:r>
      <w:r w:rsidR="00854C41">
        <w:rPr>
          <w:rStyle w:val="Refdenotaalpie"/>
          <w:rFonts w:ascii="Arial" w:hAnsi="Arial" w:cs="Arial"/>
          <w:sz w:val="24"/>
          <w:szCs w:val="24"/>
        </w:rPr>
        <w:footnoteReference w:id="22"/>
      </w:r>
      <w:r w:rsidR="00854C41">
        <w:rPr>
          <w:rFonts w:ascii="Arial" w:hAnsi="Arial" w:cs="Arial"/>
          <w:sz w:val="24"/>
          <w:szCs w:val="24"/>
        </w:rPr>
        <w:t xml:space="preserve">. </w:t>
      </w:r>
    </w:p>
    <w:p w14:paraId="5A8F8FE9" w14:textId="77777777" w:rsidR="00ED2B43" w:rsidRDefault="00ED2B43" w:rsidP="00BA310C">
      <w:pPr>
        <w:pStyle w:val="Default"/>
        <w:spacing w:after="10"/>
        <w:ind w:left="284" w:right="709"/>
        <w:jc w:val="center"/>
        <w:rPr>
          <w:b/>
          <w:bCs/>
          <w:i/>
          <w:iCs/>
          <w:color w:val="414C1C"/>
          <w:sz w:val="18"/>
          <w:szCs w:val="18"/>
          <w:highlight w:val="yellow"/>
        </w:rPr>
      </w:pPr>
    </w:p>
    <w:p w14:paraId="00B70BF8" w14:textId="43B84205" w:rsidR="005512B3" w:rsidRDefault="00BA310C" w:rsidP="005512B3">
      <w:pPr>
        <w:pStyle w:val="Default"/>
        <w:spacing w:after="10"/>
        <w:ind w:left="-567" w:right="142"/>
        <w:jc w:val="center"/>
        <w:rPr>
          <w:b/>
          <w:bCs/>
          <w:i/>
          <w:iCs/>
          <w:color w:val="414C1C"/>
          <w:sz w:val="18"/>
          <w:szCs w:val="18"/>
        </w:rPr>
      </w:pPr>
      <w:r w:rsidRPr="003D4921">
        <w:rPr>
          <w:b/>
          <w:bCs/>
          <w:i/>
          <w:iCs/>
          <w:color w:val="414C1C"/>
          <w:sz w:val="18"/>
          <w:szCs w:val="18"/>
        </w:rPr>
        <w:t>Gráfica 2</w:t>
      </w:r>
      <w:r w:rsidR="003D4921" w:rsidRPr="003D4921">
        <w:rPr>
          <w:b/>
          <w:bCs/>
          <w:i/>
          <w:iCs/>
          <w:color w:val="414C1C"/>
          <w:sz w:val="18"/>
          <w:szCs w:val="18"/>
        </w:rPr>
        <w:t>9</w:t>
      </w:r>
      <w:r w:rsidRPr="003D4921">
        <w:rPr>
          <w:b/>
          <w:bCs/>
          <w:i/>
          <w:iCs/>
          <w:color w:val="414C1C"/>
          <w:sz w:val="18"/>
          <w:szCs w:val="18"/>
        </w:rPr>
        <w:t>.</w:t>
      </w:r>
      <w:r w:rsidRPr="00646C05">
        <w:rPr>
          <w:sz w:val="18"/>
          <w:szCs w:val="18"/>
        </w:rPr>
        <w:t xml:space="preserve"> </w:t>
      </w:r>
      <w:r w:rsidRPr="00646C05">
        <w:rPr>
          <w:b/>
          <w:bCs/>
          <w:i/>
          <w:iCs/>
          <w:color w:val="414C1C"/>
          <w:sz w:val="18"/>
          <w:szCs w:val="18"/>
        </w:rPr>
        <w:t>Principales delitos registrados en expedientes abiertos en los</w:t>
      </w:r>
      <w:r w:rsidRPr="00646C05">
        <w:rPr>
          <w:sz w:val="18"/>
          <w:szCs w:val="18"/>
        </w:rPr>
        <w:t xml:space="preserve"> </w:t>
      </w:r>
      <w:r w:rsidRPr="00646C05">
        <w:rPr>
          <w:b/>
          <w:bCs/>
          <w:i/>
          <w:iCs/>
          <w:color w:val="414C1C"/>
          <w:sz w:val="18"/>
          <w:szCs w:val="18"/>
        </w:rPr>
        <w:t xml:space="preserve">órganos o centros encargados </w:t>
      </w:r>
    </w:p>
    <w:p w14:paraId="78F535DC" w14:textId="12068102" w:rsidR="00BA310C" w:rsidRDefault="00BA310C" w:rsidP="005512B3">
      <w:pPr>
        <w:pStyle w:val="Default"/>
        <w:spacing w:after="10"/>
        <w:ind w:left="-567" w:right="142"/>
        <w:jc w:val="center"/>
        <w:rPr>
          <w:b/>
          <w:bCs/>
          <w:i/>
          <w:iCs/>
          <w:color w:val="414C1C"/>
          <w:sz w:val="18"/>
          <w:szCs w:val="18"/>
        </w:rPr>
      </w:pPr>
      <w:r w:rsidRPr="00646C05">
        <w:rPr>
          <w:b/>
          <w:bCs/>
          <w:i/>
          <w:iCs/>
          <w:color w:val="414C1C"/>
          <w:sz w:val="18"/>
          <w:szCs w:val="18"/>
        </w:rPr>
        <w:t>de la aplicación de Justicia Alternativa y/o Mecanismos Alternativos de Solución de Controversias, según tipo, 2019</w:t>
      </w:r>
      <w:r w:rsidR="00ED2B43" w:rsidRPr="00646C05">
        <w:rPr>
          <w:b/>
          <w:bCs/>
          <w:i/>
          <w:iCs/>
          <w:color w:val="414C1C"/>
          <w:sz w:val="18"/>
          <w:szCs w:val="18"/>
        </w:rPr>
        <w:t xml:space="preserve"> a 2020</w:t>
      </w:r>
      <w:r w:rsidRPr="00646C05">
        <w:rPr>
          <w:b/>
          <w:bCs/>
          <w:i/>
          <w:iCs/>
          <w:color w:val="414C1C"/>
          <w:sz w:val="18"/>
          <w:szCs w:val="18"/>
        </w:rPr>
        <w:t xml:space="preserve"> </w:t>
      </w:r>
    </w:p>
    <w:p w14:paraId="1E8FE274" w14:textId="77777777" w:rsidR="00154B9A" w:rsidRPr="00646C05" w:rsidRDefault="00154B9A" w:rsidP="005512B3">
      <w:pPr>
        <w:pStyle w:val="Default"/>
        <w:spacing w:after="10"/>
        <w:ind w:left="-567" w:right="142"/>
        <w:jc w:val="center"/>
        <w:rPr>
          <w:b/>
          <w:bCs/>
          <w:i/>
          <w:iCs/>
          <w:color w:val="414C1C"/>
          <w:sz w:val="18"/>
          <w:szCs w:val="18"/>
        </w:rPr>
      </w:pPr>
    </w:p>
    <w:p w14:paraId="5930D2E3" w14:textId="076CFBE3" w:rsidR="00BA310C" w:rsidRPr="005512B3" w:rsidRDefault="00646C05" w:rsidP="005512B3">
      <w:pPr>
        <w:spacing w:after="0"/>
        <w:ind w:left="-567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0FD10D92" wp14:editId="014C6DA1">
            <wp:extent cx="6080125" cy="2234242"/>
            <wp:effectExtent l="0" t="0" r="0" b="0"/>
            <wp:docPr id="79" name="Gráfico 79">
              <a:extLst xmlns:a="http://schemas.openxmlformats.org/drawingml/2006/main">
                <a:ext uri="{FF2B5EF4-FFF2-40B4-BE49-F238E27FC236}">
                  <a16:creationId xmlns:a16="http://schemas.microsoft.com/office/drawing/2014/main" id="{5FCDD9AC-BC9B-4F17-B80F-B81AC2F4D2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7B07EC1B" w14:textId="71F8843E" w:rsidR="005512B3" w:rsidRPr="005512B3" w:rsidRDefault="005512B3" w:rsidP="005512B3">
      <w:pPr>
        <w:spacing w:after="0"/>
        <w:ind w:left="-567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5512B3">
        <w:rPr>
          <w:rFonts w:ascii="Arial" w:hAnsi="Arial" w:cs="Arial"/>
          <w:b/>
          <w:bCs/>
          <w:iCs/>
          <w:sz w:val="20"/>
          <w:szCs w:val="20"/>
        </w:rPr>
        <w:t>***</w:t>
      </w:r>
    </w:p>
    <w:p w14:paraId="33E7622D" w14:textId="77777777" w:rsidR="00BA310C" w:rsidRPr="000E5724" w:rsidRDefault="00BA310C" w:rsidP="00BA310C">
      <w:pPr>
        <w:spacing w:after="0"/>
        <w:ind w:left="-567"/>
        <w:rPr>
          <w:rFonts w:ascii="Arial" w:hAnsi="Arial" w:cs="Arial"/>
          <w:b/>
          <w:bCs/>
          <w:iCs/>
          <w:noProof/>
          <w:sz w:val="24"/>
          <w:szCs w:val="24"/>
          <w:highlight w:val="yellow"/>
          <w:lang w:eastAsia="es-MX"/>
        </w:rPr>
      </w:pPr>
    </w:p>
    <w:p w14:paraId="0B387394" w14:textId="4BAE8BA1" w:rsidR="00BA310C" w:rsidRPr="00646C05" w:rsidRDefault="00BA310C" w:rsidP="00BA310C">
      <w:pPr>
        <w:spacing w:after="0"/>
        <w:ind w:left="-567"/>
        <w:rPr>
          <w:rFonts w:ascii="Arial" w:hAnsi="Arial" w:cs="Arial"/>
          <w:b/>
          <w:bCs/>
          <w:iCs/>
          <w:noProof/>
          <w:sz w:val="24"/>
          <w:szCs w:val="24"/>
          <w:lang w:eastAsia="es-MX"/>
        </w:rPr>
      </w:pPr>
      <w:r w:rsidRPr="00646C05">
        <w:rPr>
          <w:rFonts w:ascii="Arial" w:hAnsi="Arial" w:cs="Arial"/>
          <w:b/>
          <w:bCs/>
          <w:iCs/>
          <w:noProof/>
          <w:sz w:val="24"/>
          <w:szCs w:val="24"/>
          <w:lang w:eastAsia="es-MX"/>
        </w:rPr>
        <w:t>Productos y documentos del CNIJE 202</w:t>
      </w:r>
      <w:r w:rsidR="000E5724" w:rsidRPr="00646C05">
        <w:rPr>
          <w:rFonts w:ascii="Arial" w:hAnsi="Arial" w:cs="Arial"/>
          <w:b/>
          <w:bCs/>
          <w:iCs/>
          <w:noProof/>
          <w:sz w:val="24"/>
          <w:szCs w:val="24"/>
          <w:lang w:eastAsia="es-MX"/>
        </w:rPr>
        <w:t>1</w:t>
      </w:r>
    </w:p>
    <w:p w14:paraId="0FB6B608" w14:textId="77777777" w:rsidR="00BA310C" w:rsidRPr="00646C05" w:rsidRDefault="00BA310C" w:rsidP="00BA3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720C66" w14:textId="791A47B1" w:rsidR="00BA310C" w:rsidRPr="00646C05" w:rsidRDefault="00BA310C" w:rsidP="00BA31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  <w:r w:rsidRPr="00646C05">
        <w:rPr>
          <w:rFonts w:ascii="Arial" w:hAnsi="Arial" w:cs="Arial"/>
          <w:color w:val="000000"/>
        </w:rPr>
        <w:t>Los productos y documentos derivados del CNIJE 202</w:t>
      </w:r>
      <w:r w:rsidR="000E5724" w:rsidRPr="00646C05">
        <w:rPr>
          <w:rFonts w:ascii="Arial" w:hAnsi="Arial" w:cs="Arial"/>
          <w:color w:val="000000"/>
        </w:rPr>
        <w:t>1</w:t>
      </w:r>
      <w:r w:rsidRPr="00646C05">
        <w:rPr>
          <w:rFonts w:ascii="Arial" w:hAnsi="Arial" w:cs="Arial"/>
          <w:color w:val="000000"/>
        </w:rPr>
        <w:t xml:space="preserve"> que el INEGI pone a disposición de los usuarios son los siguientes: </w:t>
      </w:r>
    </w:p>
    <w:p w14:paraId="05528770" w14:textId="77777777" w:rsidR="00BA310C" w:rsidRPr="00646C05" w:rsidRDefault="00BA310C" w:rsidP="00BA3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6C05">
        <w:rPr>
          <w:rFonts w:ascii="Arial" w:hAnsi="Arial" w:cs="Arial"/>
          <w:color w:val="000000"/>
        </w:rPr>
        <w:t xml:space="preserve"> </w:t>
      </w:r>
    </w:p>
    <w:p w14:paraId="4A229A32" w14:textId="77777777" w:rsidR="00BA310C" w:rsidRPr="00646C05" w:rsidRDefault="00BA310C" w:rsidP="00BA310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6C05">
        <w:rPr>
          <w:rFonts w:ascii="Arial" w:hAnsi="Arial" w:cs="Arial"/>
          <w:color w:val="000000"/>
        </w:rPr>
        <w:t>Presentación de resultados</w:t>
      </w:r>
    </w:p>
    <w:p w14:paraId="2C824715" w14:textId="77777777" w:rsidR="00BA310C" w:rsidRPr="00646C05" w:rsidRDefault="00BA310C" w:rsidP="00BA310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6C05">
        <w:rPr>
          <w:rFonts w:ascii="Arial" w:hAnsi="Arial" w:cs="Arial"/>
          <w:color w:val="000000"/>
        </w:rPr>
        <w:t>Cuestionarios</w:t>
      </w:r>
    </w:p>
    <w:p w14:paraId="1CEDBF15" w14:textId="77777777" w:rsidR="00BA310C" w:rsidRPr="00646C05" w:rsidRDefault="00BA310C" w:rsidP="00BA310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6C05">
        <w:rPr>
          <w:rFonts w:ascii="Arial" w:hAnsi="Arial" w:cs="Arial"/>
          <w:color w:val="000000"/>
        </w:rPr>
        <w:t>Glosario</w:t>
      </w:r>
    </w:p>
    <w:p w14:paraId="67C842EC" w14:textId="3ED7D639" w:rsidR="00BA310C" w:rsidRPr="00646C05" w:rsidRDefault="000E5724" w:rsidP="00BA310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6C05">
        <w:rPr>
          <w:rFonts w:ascii="Arial" w:hAnsi="Arial" w:cs="Arial"/>
          <w:color w:val="000000"/>
        </w:rPr>
        <w:t>Documento de diseño</w:t>
      </w:r>
    </w:p>
    <w:p w14:paraId="08BC3DB7" w14:textId="77777777" w:rsidR="00BA310C" w:rsidRPr="00646C05" w:rsidRDefault="00BA310C" w:rsidP="00BA310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6C05">
        <w:rPr>
          <w:rFonts w:ascii="Arial" w:hAnsi="Arial" w:cs="Arial"/>
          <w:color w:val="000000"/>
        </w:rPr>
        <w:t>Tabulados predefinidos</w:t>
      </w:r>
    </w:p>
    <w:p w14:paraId="38985120" w14:textId="77777777" w:rsidR="00BA310C" w:rsidRPr="00646C05" w:rsidRDefault="00BA310C" w:rsidP="00BA3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6D0294" w14:textId="77777777" w:rsidR="00BA310C" w:rsidRPr="00646C05" w:rsidRDefault="00BA310C" w:rsidP="00BA310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/>
        </w:rPr>
      </w:pPr>
      <w:r w:rsidRPr="00646C05">
        <w:rPr>
          <w:rFonts w:ascii="Arial" w:hAnsi="Arial" w:cs="Arial"/>
          <w:color w:val="000000"/>
        </w:rPr>
        <w:t>Estos productos pueden ser consultados en el sitio de Internet del Instituto.</w:t>
      </w:r>
    </w:p>
    <w:p w14:paraId="5F08CC51" w14:textId="77777777" w:rsidR="00BA310C" w:rsidRPr="00646C05" w:rsidRDefault="00BA310C" w:rsidP="00BA3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93367C" w14:textId="3DE72229" w:rsidR="00BA310C" w:rsidRPr="0062632C" w:rsidRDefault="00E106D0" w:rsidP="00BA310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hyperlink r:id="rId63" w:history="1">
        <w:r w:rsidR="000E5724" w:rsidRPr="00646C05">
          <w:rPr>
            <w:rStyle w:val="Hipervnculo"/>
            <w:rFonts w:ascii="Arial" w:hAnsi="Arial" w:cs="Arial"/>
          </w:rPr>
          <w:t>https://www.inegi.org.mx/programas/cnije/2021/</w:t>
        </w:r>
      </w:hyperlink>
    </w:p>
    <w:p w14:paraId="6A26D290" w14:textId="77777777" w:rsidR="00BA310C" w:rsidRPr="00BA310C" w:rsidRDefault="00BA310C" w:rsidP="00BA310C">
      <w:pPr>
        <w:tabs>
          <w:tab w:val="left" w:pos="7380"/>
        </w:tabs>
      </w:pPr>
    </w:p>
    <w:sectPr w:rsidR="00BA310C" w:rsidRPr="00BA310C" w:rsidSect="00001B48">
      <w:headerReference w:type="default" r:id="rId64"/>
      <w:type w:val="continuous"/>
      <w:pgSz w:w="12240" w:h="15840"/>
      <w:pgMar w:top="1417" w:right="1183" w:bottom="851" w:left="1701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2284" w14:textId="77777777" w:rsidR="00E106D0" w:rsidRDefault="00E106D0" w:rsidP="00EC2F19">
      <w:pPr>
        <w:spacing w:after="0" w:line="240" w:lineRule="auto"/>
      </w:pPr>
      <w:r>
        <w:separator/>
      </w:r>
    </w:p>
  </w:endnote>
  <w:endnote w:type="continuationSeparator" w:id="0">
    <w:p w14:paraId="17977FF7" w14:textId="77777777" w:rsidR="00E106D0" w:rsidRDefault="00E106D0" w:rsidP="00EC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69AD" w14:textId="77777777" w:rsidR="00875FAD" w:rsidRDefault="00875F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2F49" w14:textId="41200D29" w:rsidR="00DB7E89" w:rsidRPr="00607B0A" w:rsidRDefault="00DB7E89" w:rsidP="00607B0A">
    <w:pPr>
      <w:pStyle w:val="Piedepgina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07B0A">
      <w:rPr>
        <w:rFonts w:ascii="Arial" w:hAnsi="Arial" w:cs="Arial"/>
        <w:b/>
        <w:bCs/>
        <w:color w:val="002060"/>
        <w:sz w:val="20"/>
        <w:szCs w:val="20"/>
      </w:rPr>
      <w:t>COMUNICACIÓN SOCIAL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97AE" w14:textId="77777777" w:rsidR="00875FAD" w:rsidRDefault="00875F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2F67" w14:textId="77777777" w:rsidR="00E106D0" w:rsidRDefault="00E106D0" w:rsidP="00EC2F19">
      <w:pPr>
        <w:spacing w:after="0" w:line="240" w:lineRule="auto"/>
      </w:pPr>
      <w:r>
        <w:separator/>
      </w:r>
    </w:p>
  </w:footnote>
  <w:footnote w:type="continuationSeparator" w:id="0">
    <w:p w14:paraId="687C98BD" w14:textId="77777777" w:rsidR="00E106D0" w:rsidRDefault="00E106D0" w:rsidP="00EC2F19">
      <w:pPr>
        <w:spacing w:after="0" w:line="240" w:lineRule="auto"/>
      </w:pPr>
      <w:r>
        <w:continuationSeparator/>
      </w:r>
    </w:p>
  </w:footnote>
  <w:footnote w:id="1">
    <w:p w14:paraId="0FE2C01E" w14:textId="08077607" w:rsidR="00DB7E89" w:rsidRPr="001A0CFB" w:rsidRDefault="00DB7E89" w:rsidP="0053380B">
      <w:pPr>
        <w:pStyle w:val="Textonotapie"/>
        <w:ind w:left="-567"/>
        <w:jc w:val="both"/>
        <w:rPr>
          <w:rFonts w:ascii="Arial" w:hAnsi="Arial" w:cs="Arial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La información del programa estadístico es de carácter preliminar. </w:t>
      </w:r>
    </w:p>
    <w:p w14:paraId="011FE813" w14:textId="08F10170" w:rsidR="00DB7E89" w:rsidRPr="001A0CFB" w:rsidRDefault="00DB7E89">
      <w:pPr>
        <w:pStyle w:val="Textonotapie"/>
        <w:rPr>
          <w:rFonts w:ascii="Arial" w:hAnsi="Arial" w:cs="Arial"/>
          <w:sz w:val="16"/>
          <w:szCs w:val="16"/>
        </w:rPr>
      </w:pPr>
    </w:p>
  </w:footnote>
  <w:footnote w:id="2">
    <w:p w14:paraId="63B8CD22" w14:textId="214E295A" w:rsidR="00DB7E89" w:rsidRPr="001A0CFB" w:rsidRDefault="00DB7E89" w:rsidP="00996285">
      <w:pPr>
        <w:pStyle w:val="Textonotapie"/>
        <w:ind w:left="-426" w:hanging="141"/>
        <w:jc w:val="both"/>
        <w:rPr>
          <w:rFonts w:ascii="Arial" w:hAnsi="Arial" w:cs="Arial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Sistema Tradicional incluye: incluye Sistema Tradicional (materia penal), Sistema Escrito o Mixto y Sistema Oral (justicia para adolescentes), así como Sistema de Justicia Escrito (para las materias civil, familiar, mercantil y otra). El Sistema Oral incluye: Sistema Penal Acusatorio (solo juzgados de control o garantías), Sistema Integral de Justicia Penal para Adolescentes (solo juzgados de control o garantías), así como Sistema Oral (para las materias civil, familiar, mercantil y otra).</w:t>
      </w:r>
    </w:p>
  </w:footnote>
  <w:footnote w:id="3">
    <w:p w14:paraId="49E6B57B" w14:textId="0F5C0CA6" w:rsidR="00DB7E89" w:rsidRPr="001A0CFB" w:rsidRDefault="00DB7E89" w:rsidP="00DA4EBF">
      <w:pPr>
        <w:pStyle w:val="Textonotapie"/>
        <w:ind w:left="-567"/>
        <w:jc w:val="both"/>
        <w:rPr>
          <w:rFonts w:ascii="Arial" w:hAnsi="Arial" w:cs="Arial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Para el Sistema Penal Acusatorio y el Sistema Integral de Justicia Penal para Adolescentes se incluyen los juzgados de control o garantías y los tribunales de enjuiciamiento o juicio oral.</w:t>
      </w:r>
    </w:p>
  </w:footnote>
  <w:footnote w:id="4">
    <w:p w14:paraId="72A3F7F1" w14:textId="77777777" w:rsidR="00DB7E89" w:rsidRPr="001A0CFB" w:rsidRDefault="00DB7E89" w:rsidP="00306CA1">
      <w:pPr>
        <w:pStyle w:val="Textonotapie"/>
        <w:ind w:left="-426" w:hanging="141"/>
        <w:jc w:val="both"/>
        <w:rPr>
          <w:rFonts w:ascii="Arial" w:hAnsi="Arial" w:cs="Arial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Se incluye información del Sistema Tradicional, Sistema Penal Acusatorio (jueces de control o garantías), Sistema Escrito o Mixto, Sistema Oral y Sistema Integral de Justicia Penal para Adolescentes (jueces de control o garantías).</w:t>
      </w:r>
    </w:p>
  </w:footnote>
  <w:footnote w:id="5">
    <w:p w14:paraId="790169E9" w14:textId="5360992B" w:rsidR="00DB7E89" w:rsidRPr="001A0CFB" w:rsidRDefault="00DB7E89" w:rsidP="0053380B">
      <w:pPr>
        <w:pStyle w:val="Textonotapie"/>
        <w:ind w:left="-567"/>
        <w:jc w:val="both"/>
        <w:rPr>
          <w:rFonts w:ascii="Arial" w:hAnsi="Arial" w:cs="Arial"/>
          <w:color w:val="FF0000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La información del programa estadístico es de carácter preliminar.</w:t>
      </w:r>
    </w:p>
  </w:footnote>
  <w:footnote w:id="6">
    <w:p w14:paraId="25C0AAEB" w14:textId="156C2B5D" w:rsidR="00DB7E89" w:rsidRPr="001A0CFB" w:rsidRDefault="00DB7E89" w:rsidP="00E80E13">
      <w:pPr>
        <w:pStyle w:val="Textonotapie"/>
        <w:ind w:left="-567"/>
        <w:jc w:val="both"/>
        <w:rPr>
          <w:rFonts w:ascii="Arial" w:hAnsi="Arial" w:cs="Arial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La información del programa estadístico es de carácter preliminar. Para las causas penales ingresadas en el Sistema Escrito o Mixto y Sistema Oral (justicia para adolescentes) no se incluye información de Morelos y Sinaloa.</w:t>
      </w:r>
    </w:p>
  </w:footnote>
  <w:footnote w:id="7">
    <w:p w14:paraId="50F4723C" w14:textId="0FEA2EBD" w:rsidR="00DB7E89" w:rsidRPr="00FA3133" w:rsidRDefault="00DB7E89" w:rsidP="00EF4861">
      <w:pPr>
        <w:pStyle w:val="Textonotapie"/>
        <w:ind w:left="-567"/>
        <w:jc w:val="both"/>
        <w:rPr>
          <w:rFonts w:ascii="Arial" w:hAnsi="Arial" w:cs="Arial"/>
          <w:spacing w:val="-4"/>
          <w:sz w:val="16"/>
          <w:szCs w:val="16"/>
        </w:rPr>
      </w:pPr>
      <w:r w:rsidRPr="00FA3133">
        <w:rPr>
          <w:rStyle w:val="Refdenotaalpie"/>
          <w:rFonts w:ascii="Arial" w:hAnsi="Arial" w:cs="Arial"/>
          <w:spacing w:val="-4"/>
          <w:sz w:val="16"/>
          <w:szCs w:val="16"/>
        </w:rPr>
        <w:footnoteRef/>
      </w:r>
      <w:r w:rsidRPr="00FA3133">
        <w:rPr>
          <w:rFonts w:ascii="Arial" w:hAnsi="Arial" w:cs="Arial"/>
          <w:spacing w:val="-4"/>
          <w:sz w:val="16"/>
          <w:szCs w:val="16"/>
        </w:rPr>
        <w:t xml:space="preserve"> Órgano jurisdiccional se refiere a aquellos donde se plantean, desarrollan y deciden los procesos de asuntos civiles, mercantiles, familiares, penales o de cualquier otra materia que requiera de la intervención judicial; presididos en forma unipersonal por un juez o en forma colegiada por más de un juez o magistrado, según sea el caso. En primera instancia reciben el nombre de juzgados o tribunales y en segunda instancia salas o tribunales. </w:t>
      </w:r>
    </w:p>
  </w:footnote>
  <w:footnote w:id="8">
    <w:p w14:paraId="744D8ABA" w14:textId="21EB9106" w:rsidR="00DB7E89" w:rsidRPr="00FA3133" w:rsidRDefault="00DB7E89" w:rsidP="00EF4861">
      <w:pPr>
        <w:pStyle w:val="Textonotapie"/>
        <w:ind w:left="-567"/>
        <w:jc w:val="both"/>
        <w:rPr>
          <w:rFonts w:ascii="Arial" w:hAnsi="Arial" w:cs="Arial"/>
          <w:spacing w:val="-4"/>
          <w:sz w:val="16"/>
          <w:szCs w:val="16"/>
        </w:rPr>
      </w:pPr>
      <w:r w:rsidRPr="00FA3133">
        <w:rPr>
          <w:rStyle w:val="Refdenotaalpie"/>
          <w:rFonts w:ascii="Arial" w:hAnsi="Arial" w:cs="Arial"/>
          <w:spacing w:val="-4"/>
          <w:sz w:val="16"/>
          <w:szCs w:val="16"/>
        </w:rPr>
        <w:footnoteRef/>
      </w:r>
      <w:r w:rsidRPr="00FA3133">
        <w:rPr>
          <w:spacing w:val="-4"/>
        </w:rPr>
        <w:t>Ó</w:t>
      </w:r>
      <w:r w:rsidRPr="00FA3133">
        <w:rPr>
          <w:rFonts w:ascii="Arial" w:hAnsi="Arial" w:cs="Arial"/>
          <w:spacing w:val="-4"/>
          <w:sz w:val="16"/>
          <w:szCs w:val="16"/>
        </w:rPr>
        <w:t xml:space="preserve">rgano administrativo se refiere a aquellos que desarrollan exclusivamente funciones administrativas que tienen por objeto apoyar el ejercicio de las atribuciones y despacho de los asuntos del Poder Judicial de la entidad federativa y de sus órganos jurisdiccionales, sin ejercer funciones jurisdiccionales. </w:t>
      </w:r>
    </w:p>
  </w:footnote>
  <w:footnote w:id="9">
    <w:p w14:paraId="6B69BEAD" w14:textId="487ED03B" w:rsidR="00DB7E89" w:rsidRPr="001A0CFB" w:rsidRDefault="00DB7E89" w:rsidP="00A53BBE">
      <w:pPr>
        <w:pStyle w:val="Textonotapie"/>
        <w:ind w:hanging="567"/>
        <w:rPr>
          <w:rFonts w:ascii="Arial" w:hAnsi="Arial" w:cs="Arial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No se incluyen las vacantes, 45 para magistrados y nueve en el caso de consejeros.</w:t>
      </w:r>
    </w:p>
  </w:footnote>
  <w:footnote w:id="10">
    <w:p w14:paraId="661C415B" w14:textId="77F5A5C6" w:rsidR="00DB7E89" w:rsidRPr="00F5354D" w:rsidRDefault="00DB7E89" w:rsidP="00DA1CB2">
      <w:pPr>
        <w:pStyle w:val="Textonotapie"/>
        <w:ind w:left="-567"/>
        <w:jc w:val="both"/>
        <w:rPr>
          <w:rFonts w:ascii="Arial" w:hAnsi="Arial" w:cs="Arial"/>
          <w:sz w:val="16"/>
          <w:szCs w:val="16"/>
        </w:rPr>
      </w:pPr>
      <w:r w:rsidRPr="00DA1CB2">
        <w:rPr>
          <w:rStyle w:val="Refdenotaalpie"/>
          <w:rFonts w:ascii="Arial" w:hAnsi="Arial" w:cs="Arial"/>
          <w:sz w:val="16"/>
          <w:szCs w:val="16"/>
        </w:rPr>
        <w:footnoteRef/>
      </w:r>
      <w:r w:rsidRPr="00DA1CB2">
        <w:rPr>
          <w:rFonts w:ascii="Arial" w:hAnsi="Arial" w:cs="Arial"/>
          <w:sz w:val="16"/>
          <w:szCs w:val="16"/>
        </w:rPr>
        <w:t xml:space="preserve"> Para la present</w:t>
      </w:r>
      <w:r>
        <w:rPr>
          <w:rFonts w:ascii="Arial" w:hAnsi="Arial" w:cs="Arial"/>
          <w:sz w:val="16"/>
          <w:szCs w:val="16"/>
        </w:rPr>
        <w:t>e</w:t>
      </w:r>
      <w:r w:rsidRPr="00DA1CB2">
        <w:rPr>
          <w:rFonts w:ascii="Arial" w:hAnsi="Arial" w:cs="Arial"/>
          <w:sz w:val="16"/>
          <w:szCs w:val="16"/>
        </w:rPr>
        <w:t xml:space="preserve"> sección se incluye información de Coahuila, Chiapas, Chihuahua, </w:t>
      </w:r>
      <w:r w:rsidRPr="00F5354D">
        <w:rPr>
          <w:rFonts w:ascii="Arial" w:hAnsi="Arial" w:cs="Arial"/>
          <w:sz w:val="16"/>
          <w:szCs w:val="16"/>
        </w:rPr>
        <w:t>Durango, Guerrero, Qu</w:t>
      </w:r>
      <w:r w:rsidR="00A96FB9">
        <w:rPr>
          <w:rFonts w:ascii="Arial" w:hAnsi="Arial" w:cs="Arial"/>
          <w:sz w:val="16"/>
          <w:szCs w:val="16"/>
        </w:rPr>
        <w:t>intana Ro</w:t>
      </w:r>
      <w:r w:rsidRPr="00F5354D">
        <w:rPr>
          <w:rFonts w:ascii="Arial" w:hAnsi="Arial" w:cs="Arial"/>
          <w:sz w:val="16"/>
          <w:szCs w:val="16"/>
        </w:rPr>
        <w:t xml:space="preserve">o y Veracruz de Ignacio de la Llave, toda vez que la Defensoría Pública o de Oficio se encontraba a cargo del Poder Judicial de cada entidad. Para el resto de las entidades, el ejercicio de la función de defensoría pública o de oficio estaba a cargo del gobierno estatal. Para </w:t>
      </w:r>
      <w:proofErr w:type="gramStart"/>
      <w:r w:rsidRPr="00F5354D">
        <w:rPr>
          <w:rFonts w:ascii="Arial" w:hAnsi="Arial" w:cs="Arial"/>
          <w:sz w:val="16"/>
          <w:szCs w:val="16"/>
        </w:rPr>
        <w:t>mayor información</w:t>
      </w:r>
      <w:proofErr w:type="gramEnd"/>
      <w:r w:rsidRPr="00F5354D">
        <w:rPr>
          <w:rFonts w:ascii="Arial" w:hAnsi="Arial" w:cs="Arial"/>
          <w:sz w:val="16"/>
          <w:szCs w:val="16"/>
        </w:rPr>
        <w:t xml:space="preserve"> se sugiere consultar el Censo Nacional de Gobiernos Estatales (CNGE) 2021 en el sitio </w:t>
      </w:r>
      <w:hyperlink r:id="rId1" w:history="1">
        <w:r w:rsidRPr="00F5354D">
          <w:rPr>
            <w:rStyle w:val="Hipervnculo"/>
            <w:rFonts w:ascii="Arial" w:hAnsi="Arial" w:cs="Arial"/>
            <w:sz w:val="16"/>
            <w:szCs w:val="16"/>
          </w:rPr>
          <w:t>https://www.inegi.org.mx/programas/cnge/2021/</w:t>
        </w:r>
      </w:hyperlink>
      <w:r w:rsidRPr="00F5354D">
        <w:rPr>
          <w:rFonts w:ascii="Arial" w:hAnsi="Arial" w:cs="Arial"/>
          <w:sz w:val="16"/>
          <w:szCs w:val="16"/>
        </w:rPr>
        <w:t xml:space="preserve">.  </w:t>
      </w:r>
    </w:p>
  </w:footnote>
  <w:footnote w:id="11">
    <w:p w14:paraId="68C6EA3A" w14:textId="1EEE8C28" w:rsidR="00DB7E89" w:rsidRPr="001A0CFB" w:rsidRDefault="00DB7E89" w:rsidP="00F51551">
      <w:pPr>
        <w:pStyle w:val="Textonotapie"/>
        <w:ind w:left="-426" w:hanging="141"/>
        <w:rPr>
          <w:rFonts w:ascii="Arial" w:hAnsi="Arial" w:cs="Arial"/>
          <w:sz w:val="16"/>
          <w:szCs w:val="16"/>
        </w:rPr>
      </w:pPr>
      <w:r w:rsidRPr="00F5354D">
        <w:rPr>
          <w:rStyle w:val="Refdenotaalpie"/>
          <w:rFonts w:ascii="Arial" w:hAnsi="Arial" w:cs="Arial"/>
          <w:sz w:val="16"/>
          <w:szCs w:val="16"/>
        </w:rPr>
        <w:footnoteRef/>
      </w:r>
      <w:r w:rsidRPr="00F5354D">
        <w:rPr>
          <w:rFonts w:ascii="Arial" w:hAnsi="Arial" w:cs="Arial"/>
          <w:sz w:val="16"/>
          <w:szCs w:val="16"/>
        </w:rPr>
        <w:t xml:space="preserve"> La cantidad de personas involucradas es menor a la de asuntos y servicios atendidos, toda</w:t>
      </w:r>
      <w:r w:rsidRPr="001A0CFB">
        <w:rPr>
          <w:rFonts w:ascii="Arial" w:hAnsi="Arial" w:cs="Arial"/>
          <w:sz w:val="16"/>
          <w:szCs w:val="16"/>
        </w:rPr>
        <w:t xml:space="preserve"> vez que en algunos casos no se contó con un sistema de registro para las personas involucradas.</w:t>
      </w:r>
    </w:p>
  </w:footnote>
  <w:footnote w:id="12">
    <w:p w14:paraId="6B9A1E36" w14:textId="77777777" w:rsidR="00EC6879" w:rsidRPr="00325C46" w:rsidRDefault="00DB7E89" w:rsidP="00EC6879">
      <w:pPr>
        <w:pStyle w:val="Textonotapie"/>
        <w:ind w:left="-567"/>
        <w:jc w:val="both"/>
        <w:rPr>
          <w:rFonts w:ascii="Arial" w:hAnsi="Arial" w:cs="Arial"/>
        </w:rPr>
      </w:pPr>
      <w:r w:rsidRPr="00325C46">
        <w:rPr>
          <w:rStyle w:val="Refdenotaalpie"/>
          <w:rFonts w:ascii="Arial" w:hAnsi="Arial" w:cs="Arial"/>
          <w:sz w:val="16"/>
          <w:szCs w:val="16"/>
        </w:rPr>
        <w:footnoteRef/>
      </w:r>
      <w:r w:rsidRPr="00325C46">
        <w:rPr>
          <w:rFonts w:ascii="Arial" w:hAnsi="Arial" w:cs="Arial"/>
          <w:sz w:val="16"/>
          <w:szCs w:val="16"/>
        </w:rPr>
        <w:t xml:space="preserve"> En las materias penal y justicia para adolescentes la información se refiere a las conclusiones </w:t>
      </w:r>
      <w:r w:rsidRPr="00A31D38">
        <w:rPr>
          <w:rFonts w:ascii="Arial" w:hAnsi="Arial" w:cs="Arial"/>
          <w:sz w:val="16"/>
          <w:szCs w:val="16"/>
        </w:rPr>
        <w:t xml:space="preserve">efectuadas a las causas penales. </w:t>
      </w:r>
      <w:r w:rsidR="00EC6879" w:rsidRPr="00A31D38">
        <w:rPr>
          <w:rFonts w:ascii="Arial" w:hAnsi="Arial" w:cs="Arial"/>
          <w:sz w:val="16"/>
          <w:szCs w:val="16"/>
        </w:rPr>
        <w:t>Para el resto de las materias, los asuntos concluidos son aquellos expedientes concluidos durante el año en los que se puso fin al juicio o procedimiento, independientemente de que hayan ingresado durante el año o en ejercicios anteriores.</w:t>
      </w:r>
    </w:p>
    <w:p w14:paraId="5BC33C1F" w14:textId="1285F5F5" w:rsidR="00DB7E89" w:rsidRPr="00325C46" w:rsidRDefault="00DB7E89" w:rsidP="00325C46">
      <w:pPr>
        <w:pStyle w:val="Textonotapie"/>
        <w:ind w:left="-567"/>
        <w:rPr>
          <w:rFonts w:ascii="Arial" w:hAnsi="Arial" w:cs="Arial"/>
        </w:rPr>
      </w:pPr>
    </w:p>
  </w:footnote>
  <w:footnote w:id="13">
    <w:p w14:paraId="4CB089A2" w14:textId="74A34A02" w:rsidR="00DB7E89" w:rsidRPr="001A0CFB" w:rsidRDefault="00DB7E89" w:rsidP="00C303DB">
      <w:pPr>
        <w:pStyle w:val="Textonotapie"/>
        <w:ind w:left="-426" w:hanging="141"/>
        <w:jc w:val="both"/>
        <w:rPr>
          <w:rFonts w:ascii="Arial" w:hAnsi="Arial" w:cs="Arial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Para el caso del Sistema Penal Acusatorio y del Sistema Integral de Justicia Penal para Adolescentes se incluyen los juzgados de control o garantías y los tribunales de enjuiciamiento o juzgados de juicio oral. La medición se hace a nivel de procesado y/o imputado, toda vez que la causa penal se individualiza de acuerdo con la resolución que el juzgador emite a cada persona. Para ambos sistemas, las causas penales pudieron haber ingresado durante el año o en ejercicios anteriores.</w:t>
      </w:r>
    </w:p>
  </w:footnote>
  <w:footnote w:id="14">
    <w:p w14:paraId="70F19DAC" w14:textId="7A02091C" w:rsidR="00DB7E89" w:rsidRPr="001A0CFB" w:rsidRDefault="00DB7E89" w:rsidP="0098591D">
      <w:pPr>
        <w:pStyle w:val="Textonotapie"/>
        <w:ind w:left="-567"/>
        <w:jc w:val="both"/>
        <w:rPr>
          <w:rFonts w:ascii="Arial" w:hAnsi="Arial" w:cs="Arial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Se incluye información del Sistema Tradicional y Sistema Penal Acusatorio (juzgados de control o garantías)</w:t>
      </w:r>
      <w:r>
        <w:rPr>
          <w:rFonts w:ascii="Arial" w:hAnsi="Arial" w:cs="Arial"/>
          <w:sz w:val="16"/>
          <w:szCs w:val="16"/>
        </w:rPr>
        <w:t>,</w:t>
      </w:r>
      <w:r w:rsidRPr="001A0CFB">
        <w:rPr>
          <w:rFonts w:ascii="Arial" w:hAnsi="Arial" w:cs="Arial"/>
          <w:sz w:val="16"/>
          <w:szCs w:val="16"/>
        </w:rPr>
        <w:t xml:space="preserve"> así como del Sistema Escrito o Mixto y Sistema Oral y Sistema Integral de Justicia Penal para Adolescentes (juzgados de control o garantías).</w:t>
      </w:r>
    </w:p>
  </w:footnote>
  <w:footnote w:id="15">
    <w:p w14:paraId="4A7342EC" w14:textId="77D311A6" w:rsidR="00DB7E89" w:rsidRPr="001A0CFB" w:rsidRDefault="00DB7E89" w:rsidP="00E46804">
      <w:pPr>
        <w:pStyle w:val="Textonotapie"/>
        <w:ind w:left="-426"/>
        <w:rPr>
          <w:rFonts w:ascii="Arial" w:hAnsi="Arial" w:cs="Arial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Para el periodo referido la cantidad total de delitos reportada fue de 227,068.</w:t>
      </w:r>
    </w:p>
  </w:footnote>
  <w:footnote w:id="16">
    <w:p w14:paraId="4B2A89C6" w14:textId="1138004A" w:rsidR="00DB7E89" w:rsidRPr="001A0CFB" w:rsidRDefault="00DB7E89" w:rsidP="00C53EEA">
      <w:pPr>
        <w:pStyle w:val="Textonotapie"/>
        <w:ind w:left="-567"/>
        <w:rPr>
          <w:rFonts w:ascii="Arial" w:hAnsi="Arial" w:cs="Arial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Se incluye información del Sistema Tradicional, Sistema Penal Acusatorio (jueces de control o garantías), Sistema Escrito o Mixto, Sistema Oral y Sistema Integral de Justicia Penal para Adolescentes (jueces de control o garantías).</w:t>
      </w:r>
    </w:p>
  </w:footnote>
  <w:footnote w:id="17">
    <w:p w14:paraId="3C0515E8" w14:textId="2F917EE1" w:rsidR="00DB7E89" w:rsidRPr="001A0CFB" w:rsidRDefault="00DB7E89" w:rsidP="00A20776">
      <w:pPr>
        <w:pStyle w:val="Textonotapie"/>
        <w:ind w:left="-426" w:hanging="141"/>
        <w:rPr>
          <w:rFonts w:ascii="Arial" w:hAnsi="Arial" w:cs="Arial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No se incluye la categoría “otro tipo de víctima” que correspondió a 0.002%. La suma de los porcentajes puede ser distinta al 100% debido al redondeo de los decimales.</w:t>
      </w:r>
    </w:p>
  </w:footnote>
  <w:footnote w:id="18">
    <w:p w14:paraId="10F26A2B" w14:textId="495F2C4E" w:rsidR="00DB7E89" w:rsidRPr="001A0CFB" w:rsidRDefault="00DB7E89" w:rsidP="00842B0F">
      <w:pPr>
        <w:pStyle w:val="Textonotapie"/>
        <w:ind w:left="-567"/>
        <w:rPr>
          <w:rFonts w:ascii="Arial" w:hAnsi="Arial" w:cs="Arial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En el periodo referido se reportaron 233,999 procesados e imputados.</w:t>
      </w:r>
    </w:p>
  </w:footnote>
  <w:footnote w:id="19">
    <w:p w14:paraId="01AFF056" w14:textId="187DE06B" w:rsidR="00DB7E89" w:rsidRPr="001A0CFB" w:rsidRDefault="00DB7E89" w:rsidP="00D72E4F">
      <w:pPr>
        <w:pStyle w:val="Textonotapie"/>
        <w:ind w:left="-567"/>
        <w:jc w:val="both"/>
        <w:rPr>
          <w:rFonts w:ascii="Arial" w:hAnsi="Arial" w:cs="Arial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Se incluye información del Sistema Tradicional, Sistema Penal Acusatorio (jueces de control o garantías y tribunales de enjuiciamiento o juicio oral), Sistema Escrito o Mixto, Sistema Oral y Sistema Integral de Justicia Penal para Adolescentes (jueces de control o garantías y tribunales de enjuiciamiento o juicio oral).</w:t>
      </w:r>
    </w:p>
  </w:footnote>
  <w:footnote w:id="20">
    <w:p w14:paraId="56EB278D" w14:textId="48DBF562" w:rsidR="00FB2AD4" w:rsidRDefault="00FB2AD4" w:rsidP="00FB2AD4">
      <w:pPr>
        <w:pStyle w:val="Textonotapie"/>
        <w:ind w:left="-567"/>
        <w:jc w:val="both"/>
      </w:pPr>
      <w:r>
        <w:rPr>
          <w:rStyle w:val="Refdenotaalpie"/>
        </w:rPr>
        <w:footnoteRef/>
      </w:r>
      <w:r>
        <w:t xml:space="preserve"> </w:t>
      </w:r>
      <w:r w:rsidRPr="00FB2AD4">
        <w:rPr>
          <w:rFonts w:ascii="Arial" w:hAnsi="Arial" w:cs="Arial"/>
          <w:sz w:val="16"/>
          <w:szCs w:val="16"/>
        </w:rPr>
        <w:t>No se incluye la categoría No especificado que correspondió a 0.04%. La suma de los porcentajes puede ser distinta al 100% debido al redondeo de los decimales.</w:t>
      </w:r>
    </w:p>
  </w:footnote>
  <w:footnote w:id="21">
    <w:p w14:paraId="0B269231" w14:textId="77777777" w:rsidR="00DB7E89" w:rsidRPr="001A0CFB" w:rsidRDefault="00DB7E89" w:rsidP="00FB2AD4">
      <w:pPr>
        <w:pStyle w:val="Textonotapie"/>
        <w:ind w:left="-426" w:hanging="141"/>
        <w:jc w:val="both"/>
        <w:rPr>
          <w:rFonts w:ascii="Arial" w:hAnsi="Arial" w:cs="Arial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No se incluye la categoría </w:t>
      </w:r>
      <w:r w:rsidRPr="001A0CFB">
        <w:rPr>
          <w:rFonts w:ascii="Arial" w:hAnsi="Arial" w:cs="Arial"/>
          <w:i/>
          <w:iCs/>
          <w:sz w:val="16"/>
          <w:szCs w:val="16"/>
        </w:rPr>
        <w:t>No especificado</w:t>
      </w:r>
      <w:r w:rsidRPr="001A0CFB">
        <w:rPr>
          <w:rFonts w:ascii="Arial" w:hAnsi="Arial" w:cs="Arial"/>
          <w:sz w:val="16"/>
          <w:szCs w:val="16"/>
        </w:rPr>
        <w:t xml:space="preserve"> que correspondió a 0.05%. La suma de los porcentajes puede ser distinta al 100% debido al redondeo de los decimales.</w:t>
      </w:r>
    </w:p>
    <w:p w14:paraId="5B8B6FEE" w14:textId="61C32310" w:rsidR="00DB7E89" w:rsidRPr="001A0CFB" w:rsidRDefault="00DB7E89">
      <w:pPr>
        <w:pStyle w:val="Textonotapie"/>
        <w:rPr>
          <w:rFonts w:ascii="Arial" w:hAnsi="Arial" w:cs="Arial"/>
          <w:sz w:val="16"/>
          <w:szCs w:val="16"/>
        </w:rPr>
      </w:pPr>
    </w:p>
  </w:footnote>
  <w:footnote w:id="22">
    <w:p w14:paraId="6144CECE" w14:textId="2E1A834E" w:rsidR="00DB7E89" w:rsidRPr="001A0CFB" w:rsidRDefault="00DB7E89" w:rsidP="00854C41">
      <w:pPr>
        <w:pStyle w:val="Textonotapie"/>
        <w:ind w:left="-567"/>
        <w:rPr>
          <w:rFonts w:ascii="Arial" w:hAnsi="Arial" w:cs="Arial"/>
          <w:sz w:val="16"/>
          <w:szCs w:val="16"/>
        </w:rPr>
      </w:pPr>
      <w:r w:rsidRPr="001A0CFB">
        <w:rPr>
          <w:rStyle w:val="Refdenotaalpie"/>
          <w:rFonts w:ascii="Arial" w:hAnsi="Arial" w:cs="Arial"/>
          <w:sz w:val="16"/>
          <w:szCs w:val="16"/>
        </w:rPr>
        <w:footnoteRef/>
      </w:r>
      <w:r w:rsidRPr="001A0CFB">
        <w:rPr>
          <w:rFonts w:ascii="Arial" w:hAnsi="Arial" w:cs="Arial"/>
          <w:sz w:val="16"/>
          <w:szCs w:val="16"/>
        </w:rPr>
        <w:t xml:space="preserve"> En el periodo referido se reportaron 144</w:t>
      </w:r>
      <w:r w:rsidR="006C0D61">
        <w:rPr>
          <w:rFonts w:ascii="Arial" w:hAnsi="Arial" w:cs="Arial"/>
          <w:sz w:val="16"/>
          <w:szCs w:val="16"/>
        </w:rPr>
        <w:t>,</w:t>
      </w:r>
      <w:r w:rsidRPr="001A0CFB">
        <w:rPr>
          <w:rFonts w:ascii="Arial" w:hAnsi="Arial" w:cs="Arial"/>
          <w:sz w:val="16"/>
          <w:szCs w:val="16"/>
        </w:rPr>
        <w:t xml:space="preserve">714 delitos registrados en los expedientes abiertos.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12AB" w14:textId="77777777" w:rsidR="00875FAD" w:rsidRDefault="00875F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B26D" w14:textId="2DAF4333" w:rsidR="00DB7E89" w:rsidRPr="00DB7E89" w:rsidRDefault="00DB7E89" w:rsidP="00DB7E89">
    <w:pPr>
      <w:pStyle w:val="Encabezado"/>
      <w:framePr w:w="5429" w:hSpace="141" w:wrap="auto" w:vAnchor="text" w:hAnchor="page" w:x="5670" w:y="42"/>
      <w:ind w:left="567" w:hanging="11"/>
      <w:jc w:val="right"/>
      <w:rPr>
        <w:rFonts w:ascii="Arial" w:hAnsi="Arial" w:cs="Arial"/>
        <w:b/>
        <w:color w:val="002060"/>
        <w:sz w:val="24"/>
        <w:szCs w:val="24"/>
      </w:rPr>
    </w:pPr>
    <w:r w:rsidRPr="00DB7E89">
      <w:rPr>
        <w:rFonts w:ascii="Arial" w:hAnsi="Arial" w:cs="Arial"/>
        <w:b/>
        <w:color w:val="002060"/>
        <w:sz w:val="24"/>
        <w:szCs w:val="24"/>
      </w:rPr>
      <w:t>COMUNICADO DE PRENSA NÚM. 58</w:t>
    </w:r>
    <w:r>
      <w:rPr>
        <w:rFonts w:ascii="Arial" w:hAnsi="Arial" w:cs="Arial"/>
        <w:b/>
        <w:color w:val="002060"/>
        <w:sz w:val="24"/>
        <w:szCs w:val="24"/>
      </w:rPr>
      <w:t>5/</w:t>
    </w:r>
    <w:r w:rsidRPr="00DB7E89">
      <w:rPr>
        <w:rFonts w:ascii="Arial" w:hAnsi="Arial" w:cs="Arial"/>
        <w:b/>
        <w:color w:val="002060"/>
        <w:sz w:val="24"/>
        <w:szCs w:val="24"/>
      </w:rPr>
      <w:t>21</w:t>
    </w:r>
  </w:p>
  <w:p w14:paraId="77F6BB03" w14:textId="5C8F1BA2" w:rsidR="00DB7E89" w:rsidRPr="00DB7E89" w:rsidRDefault="00DB7E89" w:rsidP="00DB7E89">
    <w:pPr>
      <w:pStyle w:val="Encabezado"/>
      <w:framePr w:w="5429" w:hSpace="141" w:wrap="auto" w:vAnchor="text" w:hAnchor="page" w:x="5670" w:y="42"/>
      <w:ind w:left="567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DB7E89">
      <w:rPr>
        <w:rFonts w:ascii="Arial" w:hAnsi="Arial" w:cs="Arial"/>
        <w:b/>
        <w:color w:val="002060"/>
        <w:sz w:val="24"/>
        <w:szCs w:val="24"/>
        <w:lang w:val="pt-BR"/>
      </w:rPr>
      <w:t>2</w:t>
    </w:r>
    <w:r>
      <w:rPr>
        <w:rFonts w:ascii="Arial" w:hAnsi="Arial" w:cs="Arial"/>
        <w:b/>
        <w:color w:val="002060"/>
        <w:sz w:val="24"/>
        <w:szCs w:val="24"/>
        <w:lang w:val="pt-BR"/>
      </w:rPr>
      <w:t>6</w:t>
    </w:r>
    <w:r w:rsidRPr="00DB7E89">
      <w:rPr>
        <w:rFonts w:ascii="Arial" w:hAnsi="Arial" w:cs="Arial"/>
        <w:b/>
        <w:color w:val="002060"/>
        <w:sz w:val="24"/>
        <w:szCs w:val="24"/>
        <w:lang w:val="pt-BR"/>
      </w:rPr>
      <w:t xml:space="preserve"> DE OCTUBRE DE 2021</w:t>
    </w:r>
  </w:p>
  <w:p w14:paraId="4F7163DD" w14:textId="741E9727" w:rsidR="00DB7E89" w:rsidRPr="00DB7E89" w:rsidRDefault="00DB7E89" w:rsidP="00DB7E89">
    <w:pPr>
      <w:pStyle w:val="Encabezado"/>
      <w:framePr w:w="5429" w:hSpace="141" w:wrap="auto" w:vAnchor="text" w:hAnchor="page" w:x="5670" w:y="42"/>
      <w:ind w:left="567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DB7E89">
      <w:rPr>
        <w:rFonts w:ascii="Arial" w:hAnsi="Arial" w:cs="Arial"/>
        <w:b/>
        <w:color w:val="002060"/>
        <w:sz w:val="24"/>
        <w:szCs w:val="24"/>
        <w:lang w:val="pt-BR"/>
      </w:rPr>
      <w:t xml:space="preserve">PÁGINA </w:t>
    </w:r>
    <w:r w:rsidRPr="00DB7E89">
      <w:rPr>
        <w:rFonts w:ascii="Arial" w:hAnsi="Arial" w:cs="Arial"/>
        <w:b/>
        <w:color w:val="002060"/>
        <w:sz w:val="24"/>
        <w:szCs w:val="24"/>
      </w:rPr>
      <w:fldChar w:fldCharType="begin"/>
    </w:r>
    <w:r w:rsidRPr="00DB7E89">
      <w:rPr>
        <w:rFonts w:ascii="Arial" w:hAnsi="Arial" w:cs="Arial"/>
        <w:b/>
        <w:color w:val="002060"/>
        <w:sz w:val="24"/>
        <w:szCs w:val="24"/>
        <w:lang w:val="pt-BR"/>
      </w:rPr>
      <w:instrText xml:space="preserve">\PAGE </w:instrText>
    </w:r>
    <w:r w:rsidRPr="00DB7E89">
      <w:rPr>
        <w:rFonts w:ascii="Arial" w:hAnsi="Arial" w:cs="Arial"/>
        <w:color w:val="002060"/>
        <w:sz w:val="24"/>
        <w:szCs w:val="24"/>
      </w:rPr>
      <w:fldChar w:fldCharType="separate"/>
    </w:r>
    <w:r w:rsidRPr="00DB7E89">
      <w:rPr>
        <w:rFonts w:ascii="Arial" w:hAnsi="Arial" w:cs="Arial"/>
        <w:color w:val="002060"/>
        <w:sz w:val="24"/>
        <w:szCs w:val="24"/>
      </w:rPr>
      <w:t>1</w:t>
    </w:r>
    <w:r w:rsidRPr="00DB7E89">
      <w:rPr>
        <w:rFonts w:ascii="Arial" w:hAnsi="Arial" w:cs="Arial"/>
        <w:color w:val="002060"/>
        <w:sz w:val="24"/>
        <w:szCs w:val="24"/>
      </w:rPr>
      <w:fldChar w:fldCharType="end"/>
    </w:r>
    <w:r w:rsidRPr="00DB7E89">
      <w:rPr>
        <w:rFonts w:ascii="Arial" w:hAnsi="Arial" w:cs="Arial"/>
        <w:b/>
        <w:color w:val="002060"/>
        <w:sz w:val="24"/>
        <w:szCs w:val="24"/>
        <w:lang w:val="pt-BR"/>
      </w:rPr>
      <w:t>/</w:t>
    </w:r>
    <w:r w:rsidR="00875FAD">
      <w:rPr>
        <w:rFonts w:ascii="Arial" w:hAnsi="Arial" w:cs="Arial"/>
        <w:b/>
        <w:color w:val="002060"/>
        <w:sz w:val="24"/>
        <w:szCs w:val="24"/>
        <w:lang w:val="pt-BR"/>
      </w:rPr>
      <w:t>3</w:t>
    </w:r>
  </w:p>
  <w:p w14:paraId="4C110634" w14:textId="77777777" w:rsidR="00DB7E89" w:rsidRDefault="00DB7E89" w:rsidP="00DB7E89">
    <w:pPr>
      <w:pStyle w:val="Encabezado"/>
      <w:ind w:left="-993" w:firstLine="426"/>
    </w:pPr>
    <w:r>
      <w:rPr>
        <w:noProof/>
      </w:rPr>
      <w:drawing>
        <wp:inline distT="0" distB="0" distL="0" distR="0" wp14:anchorId="4427C877" wp14:editId="5F67B354">
          <wp:extent cx="790575" cy="821197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89" cy="84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8ED48" w14:textId="5000772A" w:rsidR="00DB7E89" w:rsidRDefault="00DB7E89" w:rsidP="00C82230">
    <w:pPr>
      <w:pStyle w:val="Encabezado"/>
      <w:tabs>
        <w:tab w:val="clear" w:pos="4419"/>
        <w:tab w:val="clear" w:pos="8838"/>
      </w:tabs>
      <w:ind w:left="-567"/>
      <w:jc w:val="right"/>
      <w:rPr>
        <w:b/>
        <w:color w:val="000000"/>
        <w:spacing w:val="5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A55C" w14:textId="77777777" w:rsidR="00875FAD" w:rsidRDefault="00875FA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9243" w14:textId="5543C628" w:rsidR="00DB7E89" w:rsidRDefault="00DB7E89" w:rsidP="00076B6A">
    <w:pPr>
      <w:pStyle w:val="Encabezado"/>
      <w:tabs>
        <w:tab w:val="clear" w:pos="4419"/>
        <w:tab w:val="clear" w:pos="8838"/>
      </w:tabs>
      <w:ind w:left="-567"/>
      <w:jc w:val="right"/>
      <w:rPr>
        <w:b/>
        <w:color w:val="000000"/>
        <w:spacing w:val="5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BCB51D2" wp14:editId="0F1DE31F">
          <wp:simplePos x="0" y="0"/>
          <wp:positionH relativeFrom="page">
            <wp:align>center</wp:align>
          </wp:positionH>
          <wp:positionV relativeFrom="topMargin">
            <wp:posOffset>205652</wp:posOffset>
          </wp:positionV>
          <wp:extent cx="687070" cy="714375"/>
          <wp:effectExtent l="0" t="0" r="0" b="9525"/>
          <wp:wrapSquare wrapText="bothSides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FE1FD9E" w14:textId="3EB05EAC" w:rsidR="00DB7E89" w:rsidRDefault="00DB7E89" w:rsidP="00EC2F19">
    <w:pPr>
      <w:pStyle w:val="Encabezado"/>
      <w:tabs>
        <w:tab w:val="center" w:pos="4164"/>
        <w:tab w:val="center" w:pos="4537"/>
        <w:tab w:val="left" w:pos="7410"/>
      </w:tabs>
      <w:ind w:left="-510"/>
      <w:rPr>
        <w:b/>
        <w:color w:val="000000"/>
        <w:spacing w:val="5"/>
      </w:rPr>
    </w:pPr>
  </w:p>
  <w:p w14:paraId="0F2CC3C7" w14:textId="643A3747" w:rsidR="00DB7E89" w:rsidRDefault="00DB7E89" w:rsidP="00EC2F19">
    <w:pPr>
      <w:pStyle w:val="Encabezado"/>
      <w:tabs>
        <w:tab w:val="center" w:pos="4164"/>
        <w:tab w:val="center" w:pos="4537"/>
        <w:tab w:val="left" w:pos="7410"/>
      </w:tabs>
      <w:ind w:left="-510"/>
      <w:rPr>
        <w:b/>
        <w:color w:val="000000"/>
        <w:spacing w:val="5"/>
      </w:rPr>
    </w:pPr>
  </w:p>
  <w:p w14:paraId="286780F3" w14:textId="77777777" w:rsidR="00DB7E89" w:rsidRPr="006F40DC" w:rsidRDefault="00DB7E89" w:rsidP="00EC2F19">
    <w:pPr>
      <w:pStyle w:val="Encabezado"/>
      <w:tabs>
        <w:tab w:val="center" w:pos="4164"/>
        <w:tab w:val="center" w:pos="4537"/>
        <w:tab w:val="left" w:pos="7410"/>
      </w:tabs>
      <w:ind w:left="-510"/>
      <w:rPr>
        <w:b/>
        <w:color w:val="000000"/>
        <w:spacing w:val="5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589"/>
    <w:multiLevelType w:val="hybridMultilevel"/>
    <w:tmpl w:val="E9B2FCFE"/>
    <w:lvl w:ilvl="0" w:tplc="0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2A54B8B"/>
    <w:multiLevelType w:val="hybridMultilevel"/>
    <w:tmpl w:val="D07CB886"/>
    <w:lvl w:ilvl="0" w:tplc="0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0D69EC"/>
    <w:multiLevelType w:val="hybridMultilevel"/>
    <w:tmpl w:val="46DA711E"/>
    <w:lvl w:ilvl="0" w:tplc="60EA4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47891"/>
    <w:multiLevelType w:val="hybridMultilevel"/>
    <w:tmpl w:val="4CD4E8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E3BA4"/>
    <w:multiLevelType w:val="hybridMultilevel"/>
    <w:tmpl w:val="479235C6"/>
    <w:lvl w:ilvl="0" w:tplc="1A964C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F0BA9"/>
    <w:multiLevelType w:val="hybridMultilevel"/>
    <w:tmpl w:val="F1AE53B0"/>
    <w:lvl w:ilvl="0" w:tplc="1A964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B7FDA"/>
    <w:multiLevelType w:val="hybridMultilevel"/>
    <w:tmpl w:val="A79C9DCA"/>
    <w:lvl w:ilvl="0" w:tplc="1A964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560FF"/>
    <w:multiLevelType w:val="hybridMultilevel"/>
    <w:tmpl w:val="C7EAD7F0"/>
    <w:lvl w:ilvl="0" w:tplc="78F0162E">
      <w:start w:val="2"/>
      <w:numFmt w:val="bullet"/>
      <w:lvlText w:val="•"/>
      <w:lvlJc w:val="left"/>
      <w:pPr>
        <w:ind w:left="0" w:hanging="51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95A99"/>
    <w:multiLevelType w:val="hybridMultilevel"/>
    <w:tmpl w:val="81B46A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8672D"/>
    <w:multiLevelType w:val="hybridMultilevel"/>
    <w:tmpl w:val="F7E24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F4B3B"/>
    <w:multiLevelType w:val="hybridMultilevel"/>
    <w:tmpl w:val="4F609E86"/>
    <w:lvl w:ilvl="0" w:tplc="60EA4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C7CFA"/>
    <w:multiLevelType w:val="hybridMultilevel"/>
    <w:tmpl w:val="BDB08A04"/>
    <w:lvl w:ilvl="0" w:tplc="60EA4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41103"/>
    <w:multiLevelType w:val="hybridMultilevel"/>
    <w:tmpl w:val="B8FAC8A8"/>
    <w:lvl w:ilvl="0" w:tplc="0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24F384F"/>
    <w:multiLevelType w:val="hybridMultilevel"/>
    <w:tmpl w:val="C3AC319C"/>
    <w:lvl w:ilvl="0" w:tplc="60EA4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02D98"/>
    <w:multiLevelType w:val="hybridMultilevel"/>
    <w:tmpl w:val="926E08C8"/>
    <w:lvl w:ilvl="0" w:tplc="60EA4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C62B1"/>
    <w:multiLevelType w:val="hybridMultilevel"/>
    <w:tmpl w:val="F9668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19"/>
    <w:rsid w:val="000002E7"/>
    <w:rsid w:val="0000068A"/>
    <w:rsid w:val="00000ADA"/>
    <w:rsid w:val="000017B8"/>
    <w:rsid w:val="00001B48"/>
    <w:rsid w:val="0000205A"/>
    <w:rsid w:val="000023FF"/>
    <w:rsid w:val="00002F3C"/>
    <w:rsid w:val="00010211"/>
    <w:rsid w:val="000105DC"/>
    <w:rsid w:val="00011423"/>
    <w:rsid w:val="000118D1"/>
    <w:rsid w:val="000128EE"/>
    <w:rsid w:val="000159F4"/>
    <w:rsid w:val="00015CAC"/>
    <w:rsid w:val="00017B66"/>
    <w:rsid w:val="00021BBB"/>
    <w:rsid w:val="00023505"/>
    <w:rsid w:val="00023CBC"/>
    <w:rsid w:val="000271D6"/>
    <w:rsid w:val="000279B2"/>
    <w:rsid w:val="0003061A"/>
    <w:rsid w:val="00035B73"/>
    <w:rsid w:val="00035EE8"/>
    <w:rsid w:val="00040377"/>
    <w:rsid w:val="00040B38"/>
    <w:rsid w:val="00044690"/>
    <w:rsid w:val="0004518F"/>
    <w:rsid w:val="00045D87"/>
    <w:rsid w:val="0005416B"/>
    <w:rsid w:val="0005527A"/>
    <w:rsid w:val="000605B5"/>
    <w:rsid w:val="00060A7C"/>
    <w:rsid w:val="000612C7"/>
    <w:rsid w:val="0006464E"/>
    <w:rsid w:val="00064C2C"/>
    <w:rsid w:val="00066EF8"/>
    <w:rsid w:val="000713B9"/>
    <w:rsid w:val="00072F95"/>
    <w:rsid w:val="00073A84"/>
    <w:rsid w:val="00074A8D"/>
    <w:rsid w:val="000761F0"/>
    <w:rsid w:val="00076B6A"/>
    <w:rsid w:val="000873B7"/>
    <w:rsid w:val="0008783E"/>
    <w:rsid w:val="000922D3"/>
    <w:rsid w:val="00093C67"/>
    <w:rsid w:val="00093F34"/>
    <w:rsid w:val="000964C5"/>
    <w:rsid w:val="000975C4"/>
    <w:rsid w:val="000A276A"/>
    <w:rsid w:val="000A4095"/>
    <w:rsid w:val="000A7C7C"/>
    <w:rsid w:val="000B1B78"/>
    <w:rsid w:val="000B3AB5"/>
    <w:rsid w:val="000B4488"/>
    <w:rsid w:val="000B7486"/>
    <w:rsid w:val="000C11A1"/>
    <w:rsid w:val="000C250A"/>
    <w:rsid w:val="000C2A4A"/>
    <w:rsid w:val="000C3313"/>
    <w:rsid w:val="000C4A57"/>
    <w:rsid w:val="000C4E22"/>
    <w:rsid w:val="000C5133"/>
    <w:rsid w:val="000C5C72"/>
    <w:rsid w:val="000C6678"/>
    <w:rsid w:val="000C6993"/>
    <w:rsid w:val="000C7E4E"/>
    <w:rsid w:val="000D0775"/>
    <w:rsid w:val="000D2633"/>
    <w:rsid w:val="000D2C85"/>
    <w:rsid w:val="000D55A2"/>
    <w:rsid w:val="000D7589"/>
    <w:rsid w:val="000D7C80"/>
    <w:rsid w:val="000E0DB3"/>
    <w:rsid w:val="000E4FA4"/>
    <w:rsid w:val="000E5724"/>
    <w:rsid w:val="000F0CEF"/>
    <w:rsid w:val="000F17A9"/>
    <w:rsid w:val="000F4469"/>
    <w:rsid w:val="000F4488"/>
    <w:rsid w:val="000F67E2"/>
    <w:rsid w:val="00102F49"/>
    <w:rsid w:val="00105423"/>
    <w:rsid w:val="00107BD5"/>
    <w:rsid w:val="00107E53"/>
    <w:rsid w:val="001100A7"/>
    <w:rsid w:val="00112147"/>
    <w:rsid w:val="00112CDA"/>
    <w:rsid w:val="00112FA3"/>
    <w:rsid w:val="00115CD0"/>
    <w:rsid w:val="00121528"/>
    <w:rsid w:val="00121664"/>
    <w:rsid w:val="00121FC6"/>
    <w:rsid w:val="00123895"/>
    <w:rsid w:val="0012683C"/>
    <w:rsid w:val="00130E80"/>
    <w:rsid w:val="0013335E"/>
    <w:rsid w:val="001337AA"/>
    <w:rsid w:val="0013403D"/>
    <w:rsid w:val="00134D66"/>
    <w:rsid w:val="00136E6E"/>
    <w:rsid w:val="0013781E"/>
    <w:rsid w:val="001405B9"/>
    <w:rsid w:val="00144121"/>
    <w:rsid w:val="00144667"/>
    <w:rsid w:val="00147C74"/>
    <w:rsid w:val="00151B69"/>
    <w:rsid w:val="00151E12"/>
    <w:rsid w:val="00152FCB"/>
    <w:rsid w:val="00154B9A"/>
    <w:rsid w:val="00154F10"/>
    <w:rsid w:val="001650AE"/>
    <w:rsid w:val="00165E53"/>
    <w:rsid w:val="001673B0"/>
    <w:rsid w:val="00173D8F"/>
    <w:rsid w:val="001744F2"/>
    <w:rsid w:val="00174FA4"/>
    <w:rsid w:val="0017731B"/>
    <w:rsid w:val="00180505"/>
    <w:rsid w:val="00185CA7"/>
    <w:rsid w:val="00186C3B"/>
    <w:rsid w:val="001877D2"/>
    <w:rsid w:val="0019189D"/>
    <w:rsid w:val="001930D2"/>
    <w:rsid w:val="001941AA"/>
    <w:rsid w:val="00194928"/>
    <w:rsid w:val="001951B2"/>
    <w:rsid w:val="001962EC"/>
    <w:rsid w:val="00196C1C"/>
    <w:rsid w:val="001977CA"/>
    <w:rsid w:val="00197808"/>
    <w:rsid w:val="001A0CFB"/>
    <w:rsid w:val="001A284A"/>
    <w:rsid w:val="001A3AE5"/>
    <w:rsid w:val="001A3E5B"/>
    <w:rsid w:val="001A59D2"/>
    <w:rsid w:val="001B1F7D"/>
    <w:rsid w:val="001B1F99"/>
    <w:rsid w:val="001B4C3F"/>
    <w:rsid w:val="001C08C5"/>
    <w:rsid w:val="001D0DC8"/>
    <w:rsid w:val="001D10E5"/>
    <w:rsid w:val="001D1934"/>
    <w:rsid w:val="001D1F70"/>
    <w:rsid w:val="001D20BB"/>
    <w:rsid w:val="001D20DC"/>
    <w:rsid w:val="001D245E"/>
    <w:rsid w:val="001D497A"/>
    <w:rsid w:val="001D4C70"/>
    <w:rsid w:val="001D5181"/>
    <w:rsid w:val="001D7D51"/>
    <w:rsid w:val="001D7D72"/>
    <w:rsid w:val="001E03A7"/>
    <w:rsid w:val="001E223A"/>
    <w:rsid w:val="001E22C1"/>
    <w:rsid w:val="001E2552"/>
    <w:rsid w:val="001E56E4"/>
    <w:rsid w:val="001F076A"/>
    <w:rsid w:val="001F3D9D"/>
    <w:rsid w:val="001F4D01"/>
    <w:rsid w:val="001F5BAC"/>
    <w:rsid w:val="0020299D"/>
    <w:rsid w:val="002134E7"/>
    <w:rsid w:val="00215C07"/>
    <w:rsid w:val="00216E09"/>
    <w:rsid w:val="00216F5D"/>
    <w:rsid w:val="00217C27"/>
    <w:rsid w:val="002239A5"/>
    <w:rsid w:val="0022440A"/>
    <w:rsid w:val="0022460C"/>
    <w:rsid w:val="002248B5"/>
    <w:rsid w:val="00225592"/>
    <w:rsid w:val="00227748"/>
    <w:rsid w:val="00233C34"/>
    <w:rsid w:val="00234EC1"/>
    <w:rsid w:val="00236E9C"/>
    <w:rsid w:val="00237C1B"/>
    <w:rsid w:val="00244FDB"/>
    <w:rsid w:val="0024502C"/>
    <w:rsid w:val="002465DC"/>
    <w:rsid w:val="002522EA"/>
    <w:rsid w:val="002524DD"/>
    <w:rsid w:val="00253451"/>
    <w:rsid w:val="00254A20"/>
    <w:rsid w:val="00254AFF"/>
    <w:rsid w:val="00254CF0"/>
    <w:rsid w:val="00260D14"/>
    <w:rsid w:val="002612D4"/>
    <w:rsid w:val="0026304C"/>
    <w:rsid w:val="00263712"/>
    <w:rsid w:val="00263756"/>
    <w:rsid w:val="00265202"/>
    <w:rsid w:val="00265533"/>
    <w:rsid w:val="00266E01"/>
    <w:rsid w:val="00266E54"/>
    <w:rsid w:val="00267A88"/>
    <w:rsid w:val="002710C4"/>
    <w:rsid w:val="0027238B"/>
    <w:rsid w:val="002743CA"/>
    <w:rsid w:val="00274D91"/>
    <w:rsid w:val="00275BC5"/>
    <w:rsid w:val="0028131D"/>
    <w:rsid w:val="002814B5"/>
    <w:rsid w:val="00282092"/>
    <w:rsid w:val="00283D6B"/>
    <w:rsid w:val="00286958"/>
    <w:rsid w:val="00287B4A"/>
    <w:rsid w:val="00291777"/>
    <w:rsid w:val="002923AD"/>
    <w:rsid w:val="00292B9C"/>
    <w:rsid w:val="00295059"/>
    <w:rsid w:val="00296500"/>
    <w:rsid w:val="002A01A5"/>
    <w:rsid w:val="002A19FE"/>
    <w:rsid w:val="002A1F50"/>
    <w:rsid w:val="002A5C93"/>
    <w:rsid w:val="002A715E"/>
    <w:rsid w:val="002B0E2F"/>
    <w:rsid w:val="002B2CCE"/>
    <w:rsid w:val="002B37CF"/>
    <w:rsid w:val="002B3A8B"/>
    <w:rsid w:val="002B4070"/>
    <w:rsid w:val="002B5E8A"/>
    <w:rsid w:val="002B6CE5"/>
    <w:rsid w:val="002C0890"/>
    <w:rsid w:val="002C3F14"/>
    <w:rsid w:val="002C47D8"/>
    <w:rsid w:val="002C76F1"/>
    <w:rsid w:val="002D0E68"/>
    <w:rsid w:val="002D2897"/>
    <w:rsid w:val="002D5AA7"/>
    <w:rsid w:val="002E0F66"/>
    <w:rsid w:val="002E2018"/>
    <w:rsid w:val="002E4233"/>
    <w:rsid w:val="002E51B8"/>
    <w:rsid w:val="002E731C"/>
    <w:rsid w:val="002F5F51"/>
    <w:rsid w:val="00300F59"/>
    <w:rsid w:val="003046CE"/>
    <w:rsid w:val="003052FE"/>
    <w:rsid w:val="00305310"/>
    <w:rsid w:val="0030634A"/>
    <w:rsid w:val="00306CA1"/>
    <w:rsid w:val="0030757B"/>
    <w:rsid w:val="00310058"/>
    <w:rsid w:val="00312784"/>
    <w:rsid w:val="0031509C"/>
    <w:rsid w:val="003159D2"/>
    <w:rsid w:val="0031693B"/>
    <w:rsid w:val="00317042"/>
    <w:rsid w:val="00317098"/>
    <w:rsid w:val="003177A7"/>
    <w:rsid w:val="003179C4"/>
    <w:rsid w:val="00322768"/>
    <w:rsid w:val="00325C46"/>
    <w:rsid w:val="00326467"/>
    <w:rsid w:val="00334FAC"/>
    <w:rsid w:val="00335105"/>
    <w:rsid w:val="00337966"/>
    <w:rsid w:val="00340051"/>
    <w:rsid w:val="00341928"/>
    <w:rsid w:val="003442C8"/>
    <w:rsid w:val="0035140F"/>
    <w:rsid w:val="003519AA"/>
    <w:rsid w:val="00351A1A"/>
    <w:rsid w:val="00352466"/>
    <w:rsid w:val="003527EE"/>
    <w:rsid w:val="00352C42"/>
    <w:rsid w:val="003559A0"/>
    <w:rsid w:val="003620E8"/>
    <w:rsid w:val="0036483E"/>
    <w:rsid w:val="00366521"/>
    <w:rsid w:val="003679F1"/>
    <w:rsid w:val="00373B06"/>
    <w:rsid w:val="00375731"/>
    <w:rsid w:val="003815D3"/>
    <w:rsid w:val="003860D1"/>
    <w:rsid w:val="00386F1F"/>
    <w:rsid w:val="003910ED"/>
    <w:rsid w:val="003937FB"/>
    <w:rsid w:val="003945C2"/>
    <w:rsid w:val="00394D33"/>
    <w:rsid w:val="003A185A"/>
    <w:rsid w:val="003A24D2"/>
    <w:rsid w:val="003A637C"/>
    <w:rsid w:val="003A642B"/>
    <w:rsid w:val="003A6DAC"/>
    <w:rsid w:val="003B1634"/>
    <w:rsid w:val="003B3367"/>
    <w:rsid w:val="003B3685"/>
    <w:rsid w:val="003B688E"/>
    <w:rsid w:val="003B7494"/>
    <w:rsid w:val="003C10AA"/>
    <w:rsid w:val="003C29EB"/>
    <w:rsid w:val="003C39A6"/>
    <w:rsid w:val="003C41FF"/>
    <w:rsid w:val="003C6AAC"/>
    <w:rsid w:val="003D0514"/>
    <w:rsid w:val="003D0F6F"/>
    <w:rsid w:val="003D1182"/>
    <w:rsid w:val="003D19F2"/>
    <w:rsid w:val="003D4921"/>
    <w:rsid w:val="003D6672"/>
    <w:rsid w:val="003E0BD7"/>
    <w:rsid w:val="003E145C"/>
    <w:rsid w:val="003E2A83"/>
    <w:rsid w:val="003E4C85"/>
    <w:rsid w:val="003E5004"/>
    <w:rsid w:val="003E612A"/>
    <w:rsid w:val="003E6887"/>
    <w:rsid w:val="003E6900"/>
    <w:rsid w:val="003F4153"/>
    <w:rsid w:val="003F435B"/>
    <w:rsid w:val="003F6253"/>
    <w:rsid w:val="003F65A8"/>
    <w:rsid w:val="00400939"/>
    <w:rsid w:val="00402E61"/>
    <w:rsid w:val="00406E95"/>
    <w:rsid w:val="00412452"/>
    <w:rsid w:val="00417173"/>
    <w:rsid w:val="00417E51"/>
    <w:rsid w:val="00421474"/>
    <w:rsid w:val="00423350"/>
    <w:rsid w:val="00423456"/>
    <w:rsid w:val="00427401"/>
    <w:rsid w:val="0042745D"/>
    <w:rsid w:val="004277F7"/>
    <w:rsid w:val="00427AB3"/>
    <w:rsid w:val="004306F5"/>
    <w:rsid w:val="00431B6F"/>
    <w:rsid w:val="00431E2A"/>
    <w:rsid w:val="004322D7"/>
    <w:rsid w:val="00432F48"/>
    <w:rsid w:val="004352A9"/>
    <w:rsid w:val="00437ED4"/>
    <w:rsid w:val="0044194C"/>
    <w:rsid w:val="00441B45"/>
    <w:rsid w:val="00443978"/>
    <w:rsid w:val="00443FE7"/>
    <w:rsid w:val="00444BAA"/>
    <w:rsid w:val="00445B3D"/>
    <w:rsid w:val="00445CDD"/>
    <w:rsid w:val="004463E6"/>
    <w:rsid w:val="00446712"/>
    <w:rsid w:val="0044701A"/>
    <w:rsid w:val="0045071D"/>
    <w:rsid w:val="00450777"/>
    <w:rsid w:val="00451247"/>
    <w:rsid w:val="00451759"/>
    <w:rsid w:val="00453A62"/>
    <w:rsid w:val="00454BD7"/>
    <w:rsid w:val="00454F80"/>
    <w:rsid w:val="00455D64"/>
    <w:rsid w:val="00460DBA"/>
    <w:rsid w:val="00461DC2"/>
    <w:rsid w:val="00462002"/>
    <w:rsid w:val="004621F0"/>
    <w:rsid w:val="00462F5F"/>
    <w:rsid w:val="00467724"/>
    <w:rsid w:val="00471F2E"/>
    <w:rsid w:val="00472DDE"/>
    <w:rsid w:val="00473064"/>
    <w:rsid w:val="004743D1"/>
    <w:rsid w:val="0047465B"/>
    <w:rsid w:val="00475C03"/>
    <w:rsid w:val="00475EB5"/>
    <w:rsid w:val="004767FB"/>
    <w:rsid w:val="0047691F"/>
    <w:rsid w:val="00476D1A"/>
    <w:rsid w:val="00476EC4"/>
    <w:rsid w:val="00480856"/>
    <w:rsid w:val="00480ED8"/>
    <w:rsid w:val="0048120D"/>
    <w:rsid w:val="00484E5E"/>
    <w:rsid w:val="004857C1"/>
    <w:rsid w:val="00485ED3"/>
    <w:rsid w:val="004869A4"/>
    <w:rsid w:val="00486DAC"/>
    <w:rsid w:val="004872D5"/>
    <w:rsid w:val="00490AD7"/>
    <w:rsid w:val="004961C5"/>
    <w:rsid w:val="004A1DF7"/>
    <w:rsid w:val="004A2A8F"/>
    <w:rsid w:val="004A3061"/>
    <w:rsid w:val="004A5EF4"/>
    <w:rsid w:val="004A68B2"/>
    <w:rsid w:val="004A6EDE"/>
    <w:rsid w:val="004B011A"/>
    <w:rsid w:val="004B0781"/>
    <w:rsid w:val="004B1421"/>
    <w:rsid w:val="004B3960"/>
    <w:rsid w:val="004B414C"/>
    <w:rsid w:val="004B63B8"/>
    <w:rsid w:val="004B6C8D"/>
    <w:rsid w:val="004C095E"/>
    <w:rsid w:val="004C2401"/>
    <w:rsid w:val="004C260D"/>
    <w:rsid w:val="004C40F7"/>
    <w:rsid w:val="004C5568"/>
    <w:rsid w:val="004C57B7"/>
    <w:rsid w:val="004C6A8B"/>
    <w:rsid w:val="004D271E"/>
    <w:rsid w:val="004E1EBA"/>
    <w:rsid w:val="004E3459"/>
    <w:rsid w:val="004E407C"/>
    <w:rsid w:val="004E5E06"/>
    <w:rsid w:val="004E65B5"/>
    <w:rsid w:val="004E69B0"/>
    <w:rsid w:val="004F1091"/>
    <w:rsid w:val="004F2158"/>
    <w:rsid w:val="004F2A41"/>
    <w:rsid w:val="004F5FF4"/>
    <w:rsid w:val="004F7C08"/>
    <w:rsid w:val="005001C0"/>
    <w:rsid w:val="0050131F"/>
    <w:rsid w:val="0050145D"/>
    <w:rsid w:val="00502E0F"/>
    <w:rsid w:val="00506E90"/>
    <w:rsid w:val="00506F79"/>
    <w:rsid w:val="00507175"/>
    <w:rsid w:val="005115BF"/>
    <w:rsid w:val="005139F5"/>
    <w:rsid w:val="00516632"/>
    <w:rsid w:val="005209FF"/>
    <w:rsid w:val="00520EFA"/>
    <w:rsid w:val="00521E03"/>
    <w:rsid w:val="00523766"/>
    <w:rsid w:val="00523BAE"/>
    <w:rsid w:val="00526AA6"/>
    <w:rsid w:val="00527D84"/>
    <w:rsid w:val="00531F2D"/>
    <w:rsid w:val="0053251F"/>
    <w:rsid w:val="0053380B"/>
    <w:rsid w:val="00533E04"/>
    <w:rsid w:val="0054163D"/>
    <w:rsid w:val="00542D60"/>
    <w:rsid w:val="005469F1"/>
    <w:rsid w:val="005512B3"/>
    <w:rsid w:val="00557932"/>
    <w:rsid w:val="00557FCA"/>
    <w:rsid w:val="005607F0"/>
    <w:rsid w:val="00560BD6"/>
    <w:rsid w:val="00560D79"/>
    <w:rsid w:val="00563B9B"/>
    <w:rsid w:val="00563CD2"/>
    <w:rsid w:val="00565B68"/>
    <w:rsid w:val="00566D96"/>
    <w:rsid w:val="005706A8"/>
    <w:rsid w:val="005728BF"/>
    <w:rsid w:val="00573821"/>
    <w:rsid w:val="00575CDD"/>
    <w:rsid w:val="005778C8"/>
    <w:rsid w:val="005903D6"/>
    <w:rsid w:val="00597444"/>
    <w:rsid w:val="005A19CA"/>
    <w:rsid w:val="005A2CA5"/>
    <w:rsid w:val="005A5FC0"/>
    <w:rsid w:val="005A6AE4"/>
    <w:rsid w:val="005B2761"/>
    <w:rsid w:val="005B2940"/>
    <w:rsid w:val="005B4CC9"/>
    <w:rsid w:val="005B5AC0"/>
    <w:rsid w:val="005B5B4A"/>
    <w:rsid w:val="005B77F9"/>
    <w:rsid w:val="005C05E2"/>
    <w:rsid w:val="005C11F1"/>
    <w:rsid w:val="005C29EE"/>
    <w:rsid w:val="005C3D89"/>
    <w:rsid w:val="005C3E14"/>
    <w:rsid w:val="005C5BA2"/>
    <w:rsid w:val="005C5E9B"/>
    <w:rsid w:val="005C5ED7"/>
    <w:rsid w:val="005C70C7"/>
    <w:rsid w:val="005D083B"/>
    <w:rsid w:val="005D0B4C"/>
    <w:rsid w:val="005D2637"/>
    <w:rsid w:val="005D2830"/>
    <w:rsid w:val="005D3901"/>
    <w:rsid w:val="005D4505"/>
    <w:rsid w:val="005D6DB6"/>
    <w:rsid w:val="005D73F4"/>
    <w:rsid w:val="005D74E9"/>
    <w:rsid w:val="005E0738"/>
    <w:rsid w:val="005E0CD1"/>
    <w:rsid w:val="005E0E07"/>
    <w:rsid w:val="005E35E0"/>
    <w:rsid w:val="005E386B"/>
    <w:rsid w:val="005E4AD2"/>
    <w:rsid w:val="005E5FE0"/>
    <w:rsid w:val="005E72D9"/>
    <w:rsid w:val="005F0CE2"/>
    <w:rsid w:val="005F16E6"/>
    <w:rsid w:val="005F67C9"/>
    <w:rsid w:val="005F75D5"/>
    <w:rsid w:val="00600C87"/>
    <w:rsid w:val="00602142"/>
    <w:rsid w:val="00602565"/>
    <w:rsid w:val="00605DAB"/>
    <w:rsid w:val="00607968"/>
    <w:rsid w:val="00607B0A"/>
    <w:rsid w:val="00607C4F"/>
    <w:rsid w:val="00616082"/>
    <w:rsid w:val="00616F7F"/>
    <w:rsid w:val="00617FF9"/>
    <w:rsid w:val="00623F76"/>
    <w:rsid w:val="00625F7B"/>
    <w:rsid w:val="0062632C"/>
    <w:rsid w:val="00632667"/>
    <w:rsid w:val="00634779"/>
    <w:rsid w:val="006364D1"/>
    <w:rsid w:val="006405ED"/>
    <w:rsid w:val="00640F02"/>
    <w:rsid w:val="006411B0"/>
    <w:rsid w:val="00642F0C"/>
    <w:rsid w:val="00645E13"/>
    <w:rsid w:val="00646252"/>
    <w:rsid w:val="00646C05"/>
    <w:rsid w:val="00646D6C"/>
    <w:rsid w:val="006502A5"/>
    <w:rsid w:val="00653EEF"/>
    <w:rsid w:val="006550F3"/>
    <w:rsid w:val="0065563A"/>
    <w:rsid w:val="006577EE"/>
    <w:rsid w:val="006627FE"/>
    <w:rsid w:val="006629BA"/>
    <w:rsid w:val="00664564"/>
    <w:rsid w:val="00664586"/>
    <w:rsid w:val="00665792"/>
    <w:rsid w:val="00665A39"/>
    <w:rsid w:val="0066729A"/>
    <w:rsid w:val="00670A65"/>
    <w:rsid w:val="00677195"/>
    <w:rsid w:val="00677D6C"/>
    <w:rsid w:val="00680009"/>
    <w:rsid w:val="00682564"/>
    <w:rsid w:val="0068389F"/>
    <w:rsid w:val="006848C4"/>
    <w:rsid w:val="00684BD7"/>
    <w:rsid w:val="00687273"/>
    <w:rsid w:val="00692CC4"/>
    <w:rsid w:val="00692E93"/>
    <w:rsid w:val="006931D4"/>
    <w:rsid w:val="006939EE"/>
    <w:rsid w:val="00693E3E"/>
    <w:rsid w:val="00694127"/>
    <w:rsid w:val="00694E03"/>
    <w:rsid w:val="00697E03"/>
    <w:rsid w:val="006A12CD"/>
    <w:rsid w:val="006A28ED"/>
    <w:rsid w:val="006A3261"/>
    <w:rsid w:val="006A3E2F"/>
    <w:rsid w:val="006A46AC"/>
    <w:rsid w:val="006B087A"/>
    <w:rsid w:val="006B3BBF"/>
    <w:rsid w:val="006B4C9D"/>
    <w:rsid w:val="006B545A"/>
    <w:rsid w:val="006B55AB"/>
    <w:rsid w:val="006B5F18"/>
    <w:rsid w:val="006B6536"/>
    <w:rsid w:val="006C0D61"/>
    <w:rsid w:val="006C1201"/>
    <w:rsid w:val="006C35A5"/>
    <w:rsid w:val="006C45BE"/>
    <w:rsid w:val="006C5371"/>
    <w:rsid w:val="006C6BBA"/>
    <w:rsid w:val="006C7E12"/>
    <w:rsid w:val="006D13F5"/>
    <w:rsid w:val="006D1842"/>
    <w:rsid w:val="006D200E"/>
    <w:rsid w:val="006D2224"/>
    <w:rsid w:val="006D4D1D"/>
    <w:rsid w:val="006D5523"/>
    <w:rsid w:val="006D56E5"/>
    <w:rsid w:val="006D5790"/>
    <w:rsid w:val="006D7A76"/>
    <w:rsid w:val="006E1799"/>
    <w:rsid w:val="006E2726"/>
    <w:rsid w:val="006E3BCD"/>
    <w:rsid w:val="006E59DB"/>
    <w:rsid w:val="006E63CB"/>
    <w:rsid w:val="006F4072"/>
    <w:rsid w:val="006F40DC"/>
    <w:rsid w:val="006F47E2"/>
    <w:rsid w:val="006F57DA"/>
    <w:rsid w:val="006F5812"/>
    <w:rsid w:val="006F5A19"/>
    <w:rsid w:val="006F6A66"/>
    <w:rsid w:val="006F7B2B"/>
    <w:rsid w:val="00702527"/>
    <w:rsid w:val="00706FE7"/>
    <w:rsid w:val="00707F74"/>
    <w:rsid w:val="007101A2"/>
    <w:rsid w:val="00712FC9"/>
    <w:rsid w:val="007136D7"/>
    <w:rsid w:val="00714649"/>
    <w:rsid w:val="007147DC"/>
    <w:rsid w:val="007168FD"/>
    <w:rsid w:val="00716A6B"/>
    <w:rsid w:val="007171D1"/>
    <w:rsid w:val="00717775"/>
    <w:rsid w:val="007203D6"/>
    <w:rsid w:val="0072057D"/>
    <w:rsid w:val="00720C88"/>
    <w:rsid w:val="00723606"/>
    <w:rsid w:val="00723DC0"/>
    <w:rsid w:val="00726955"/>
    <w:rsid w:val="00726CF5"/>
    <w:rsid w:val="007303B8"/>
    <w:rsid w:val="00730624"/>
    <w:rsid w:val="00730B25"/>
    <w:rsid w:val="00733DED"/>
    <w:rsid w:val="0073459C"/>
    <w:rsid w:val="00734D62"/>
    <w:rsid w:val="00735E9E"/>
    <w:rsid w:val="007364A4"/>
    <w:rsid w:val="00737B1B"/>
    <w:rsid w:val="007405DE"/>
    <w:rsid w:val="0074170D"/>
    <w:rsid w:val="00742789"/>
    <w:rsid w:val="00745292"/>
    <w:rsid w:val="0074546E"/>
    <w:rsid w:val="00746BBD"/>
    <w:rsid w:val="007532E1"/>
    <w:rsid w:val="007537BE"/>
    <w:rsid w:val="007545D6"/>
    <w:rsid w:val="0076317B"/>
    <w:rsid w:val="00763F1D"/>
    <w:rsid w:val="007648B7"/>
    <w:rsid w:val="007653F4"/>
    <w:rsid w:val="0077201A"/>
    <w:rsid w:val="00772065"/>
    <w:rsid w:val="007729CF"/>
    <w:rsid w:val="00773A66"/>
    <w:rsid w:val="00775097"/>
    <w:rsid w:val="007764CE"/>
    <w:rsid w:val="007834A2"/>
    <w:rsid w:val="00783542"/>
    <w:rsid w:val="00783E44"/>
    <w:rsid w:val="00783F90"/>
    <w:rsid w:val="00784151"/>
    <w:rsid w:val="007841D4"/>
    <w:rsid w:val="00785E0F"/>
    <w:rsid w:val="00786035"/>
    <w:rsid w:val="00786280"/>
    <w:rsid w:val="007908D7"/>
    <w:rsid w:val="007914F8"/>
    <w:rsid w:val="0079209E"/>
    <w:rsid w:val="00792BB5"/>
    <w:rsid w:val="00795937"/>
    <w:rsid w:val="00795B0A"/>
    <w:rsid w:val="007A1C50"/>
    <w:rsid w:val="007A446C"/>
    <w:rsid w:val="007A52F4"/>
    <w:rsid w:val="007A5AE8"/>
    <w:rsid w:val="007A6AD9"/>
    <w:rsid w:val="007A7DFB"/>
    <w:rsid w:val="007B4EC3"/>
    <w:rsid w:val="007B6DB1"/>
    <w:rsid w:val="007C11ED"/>
    <w:rsid w:val="007C40BF"/>
    <w:rsid w:val="007C479C"/>
    <w:rsid w:val="007C53A5"/>
    <w:rsid w:val="007C7066"/>
    <w:rsid w:val="007D291F"/>
    <w:rsid w:val="007D4D48"/>
    <w:rsid w:val="007D4FBD"/>
    <w:rsid w:val="007D7FCA"/>
    <w:rsid w:val="007E1BF8"/>
    <w:rsid w:val="007E44BB"/>
    <w:rsid w:val="007E5A9C"/>
    <w:rsid w:val="007E5E00"/>
    <w:rsid w:val="007F13AE"/>
    <w:rsid w:val="007F22A8"/>
    <w:rsid w:val="007F2636"/>
    <w:rsid w:val="007F2BDC"/>
    <w:rsid w:val="007F53B6"/>
    <w:rsid w:val="007F67FA"/>
    <w:rsid w:val="00800FA3"/>
    <w:rsid w:val="0080112F"/>
    <w:rsid w:val="00802093"/>
    <w:rsid w:val="00807025"/>
    <w:rsid w:val="008121D3"/>
    <w:rsid w:val="008132D0"/>
    <w:rsid w:val="00813901"/>
    <w:rsid w:val="008144BA"/>
    <w:rsid w:val="008163D6"/>
    <w:rsid w:val="00817A12"/>
    <w:rsid w:val="00820825"/>
    <w:rsid w:val="00821AF2"/>
    <w:rsid w:val="00823078"/>
    <w:rsid w:val="0082320E"/>
    <w:rsid w:val="00827D50"/>
    <w:rsid w:val="0083043B"/>
    <w:rsid w:val="0083309D"/>
    <w:rsid w:val="00835591"/>
    <w:rsid w:val="00836A0A"/>
    <w:rsid w:val="0084022A"/>
    <w:rsid w:val="008406F3"/>
    <w:rsid w:val="00842036"/>
    <w:rsid w:val="00842B0F"/>
    <w:rsid w:val="0084311F"/>
    <w:rsid w:val="00843D4C"/>
    <w:rsid w:val="00844F86"/>
    <w:rsid w:val="008502A7"/>
    <w:rsid w:val="0085040A"/>
    <w:rsid w:val="0085044A"/>
    <w:rsid w:val="00851707"/>
    <w:rsid w:val="008535A2"/>
    <w:rsid w:val="008546AE"/>
    <w:rsid w:val="00854C41"/>
    <w:rsid w:val="0085509C"/>
    <w:rsid w:val="008653F0"/>
    <w:rsid w:val="0086608F"/>
    <w:rsid w:val="00867F9A"/>
    <w:rsid w:val="0087035A"/>
    <w:rsid w:val="00874453"/>
    <w:rsid w:val="00874882"/>
    <w:rsid w:val="00875FAD"/>
    <w:rsid w:val="008761B7"/>
    <w:rsid w:val="008768AA"/>
    <w:rsid w:val="00881A8C"/>
    <w:rsid w:val="00881B6C"/>
    <w:rsid w:val="00883EFE"/>
    <w:rsid w:val="00883FAB"/>
    <w:rsid w:val="00887077"/>
    <w:rsid w:val="0089028C"/>
    <w:rsid w:val="00892167"/>
    <w:rsid w:val="008929CE"/>
    <w:rsid w:val="008932CB"/>
    <w:rsid w:val="008947D4"/>
    <w:rsid w:val="008A0EC2"/>
    <w:rsid w:val="008A2F8D"/>
    <w:rsid w:val="008A339C"/>
    <w:rsid w:val="008A7BD2"/>
    <w:rsid w:val="008A7E04"/>
    <w:rsid w:val="008B10E6"/>
    <w:rsid w:val="008B149B"/>
    <w:rsid w:val="008B5943"/>
    <w:rsid w:val="008C1D82"/>
    <w:rsid w:val="008C320B"/>
    <w:rsid w:val="008C5152"/>
    <w:rsid w:val="008C5454"/>
    <w:rsid w:val="008C6CFB"/>
    <w:rsid w:val="008D749B"/>
    <w:rsid w:val="008D7C44"/>
    <w:rsid w:val="008E4749"/>
    <w:rsid w:val="008E6DAF"/>
    <w:rsid w:val="008F0CE1"/>
    <w:rsid w:val="008F4DAD"/>
    <w:rsid w:val="008F683C"/>
    <w:rsid w:val="009028AD"/>
    <w:rsid w:val="00904E10"/>
    <w:rsid w:val="0090555B"/>
    <w:rsid w:val="00905846"/>
    <w:rsid w:val="0091513A"/>
    <w:rsid w:val="00917A3A"/>
    <w:rsid w:val="00917B85"/>
    <w:rsid w:val="00917FD3"/>
    <w:rsid w:val="00924F0C"/>
    <w:rsid w:val="00925875"/>
    <w:rsid w:val="00927268"/>
    <w:rsid w:val="00927439"/>
    <w:rsid w:val="00927864"/>
    <w:rsid w:val="009321D8"/>
    <w:rsid w:val="00933DB2"/>
    <w:rsid w:val="00935CAB"/>
    <w:rsid w:val="00936B90"/>
    <w:rsid w:val="00936DF4"/>
    <w:rsid w:val="009371EF"/>
    <w:rsid w:val="00937FD5"/>
    <w:rsid w:val="0094027B"/>
    <w:rsid w:val="00940395"/>
    <w:rsid w:val="00940C30"/>
    <w:rsid w:val="00941291"/>
    <w:rsid w:val="009454A4"/>
    <w:rsid w:val="009461B7"/>
    <w:rsid w:val="00951BBA"/>
    <w:rsid w:val="009530B4"/>
    <w:rsid w:val="00953D1F"/>
    <w:rsid w:val="00953DCF"/>
    <w:rsid w:val="00956E56"/>
    <w:rsid w:val="00960EEB"/>
    <w:rsid w:val="00962100"/>
    <w:rsid w:val="00963220"/>
    <w:rsid w:val="009635D3"/>
    <w:rsid w:val="009641B5"/>
    <w:rsid w:val="0096424F"/>
    <w:rsid w:val="0096426D"/>
    <w:rsid w:val="00964883"/>
    <w:rsid w:val="00972CA9"/>
    <w:rsid w:val="00972ED9"/>
    <w:rsid w:val="00973046"/>
    <w:rsid w:val="0097404B"/>
    <w:rsid w:val="00974214"/>
    <w:rsid w:val="009751D0"/>
    <w:rsid w:val="009774EA"/>
    <w:rsid w:val="00977530"/>
    <w:rsid w:val="0098235B"/>
    <w:rsid w:val="00983874"/>
    <w:rsid w:val="0098591D"/>
    <w:rsid w:val="009906D1"/>
    <w:rsid w:val="00991782"/>
    <w:rsid w:val="00991CE0"/>
    <w:rsid w:val="00991E31"/>
    <w:rsid w:val="009931B5"/>
    <w:rsid w:val="00993CBD"/>
    <w:rsid w:val="00996285"/>
    <w:rsid w:val="00997A58"/>
    <w:rsid w:val="009A1B16"/>
    <w:rsid w:val="009A2346"/>
    <w:rsid w:val="009A50CC"/>
    <w:rsid w:val="009A71C3"/>
    <w:rsid w:val="009B079F"/>
    <w:rsid w:val="009B1D27"/>
    <w:rsid w:val="009B336B"/>
    <w:rsid w:val="009B4DA2"/>
    <w:rsid w:val="009B4EF7"/>
    <w:rsid w:val="009B5252"/>
    <w:rsid w:val="009C271C"/>
    <w:rsid w:val="009C312E"/>
    <w:rsid w:val="009C6405"/>
    <w:rsid w:val="009C6AF1"/>
    <w:rsid w:val="009D0DB8"/>
    <w:rsid w:val="009D3D24"/>
    <w:rsid w:val="009D699C"/>
    <w:rsid w:val="009D6AD6"/>
    <w:rsid w:val="009E59EE"/>
    <w:rsid w:val="009E7999"/>
    <w:rsid w:val="009F3346"/>
    <w:rsid w:val="009F5FC4"/>
    <w:rsid w:val="009F68E5"/>
    <w:rsid w:val="00A04612"/>
    <w:rsid w:val="00A07BC4"/>
    <w:rsid w:val="00A12AB9"/>
    <w:rsid w:val="00A15B3C"/>
    <w:rsid w:val="00A16227"/>
    <w:rsid w:val="00A20776"/>
    <w:rsid w:val="00A22F78"/>
    <w:rsid w:val="00A23F22"/>
    <w:rsid w:val="00A272C7"/>
    <w:rsid w:val="00A27505"/>
    <w:rsid w:val="00A31D38"/>
    <w:rsid w:val="00A32C10"/>
    <w:rsid w:val="00A40001"/>
    <w:rsid w:val="00A40045"/>
    <w:rsid w:val="00A424DA"/>
    <w:rsid w:val="00A438A0"/>
    <w:rsid w:val="00A43910"/>
    <w:rsid w:val="00A45D91"/>
    <w:rsid w:val="00A51503"/>
    <w:rsid w:val="00A51C4E"/>
    <w:rsid w:val="00A51EEC"/>
    <w:rsid w:val="00A5201C"/>
    <w:rsid w:val="00A53BBE"/>
    <w:rsid w:val="00A6110B"/>
    <w:rsid w:val="00A61A6D"/>
    <w:rsid w:val="00A61E38"/>
    <w:rsid w:val="00A642BA"/>
    <w:rsid w:val="00A668CC"/>
    <w:rsid w:val="00A66DD7"/>
    <w:rsid w:val="00A66E87"/>
    <w:rsid w:val="00A67065"/>
    <w:rsid w:val="00A67920"/>
    <w:rsid w:val="00A70E59"/>
    <w:rsid w:val="00A71A7D"/>
    <w:rsid w:val="00A7270B"/>
    <w:rsid w:val="00A72CBB"/>
    <w:rsid w:val="00A72EBD"/>
    <w:rsid w:val="00A76682"/>
    <w:rsid w:val="00A77184"/>
    <w:rsid w:val="00A7792A"/>
    <w:rsid w:val="00A80731"/>
    <w:rsid w:val="00A829C7"/>
    <w:rsid w:val="00A87076"/>
    <w:rsid w:val="00A87DF9"/>
    <w:rsid w:val="00A910E4"/>
    <w:rsid w:val="00A91343"/>
    <w:rsid w:val="00A942B5"/>
    <w:rsid w:val="00A94DF5"/>
    <w:rsid w:val="00A95EAB"/>
    <w:rsid w:val="00A96FB9"/>
    <w:rsid w:val="00AA0F0E"/>
    <w:rsid w:val="00AA274F"/>
    <w:rsid w:val="00AA3CD4"/>
    <w:rsid w:val="00AA415B"/>
    <w:rsid w:val="00AA70AF"/>
    <w:rsid w:val="00AA7C18"/>
    <w:rsid w:val="00AB0FE5"/>
    <w:rsid w:val="00AB3404"/>
    <w:rsid w:val="00AB34C3"/>
    <w:rsid w:val="00AB59D9"/>
    <w:rsid w:val="00AB7A48"/>
    <w:rsid w:val="00AB7E29"/>
    <w:rsid w:val="00AC657C"/>
    <w:rsid w:val="00AC6F06"/>
    <w:rsid w:val="00AD0A74"/>
    <w:rsid w:val="00AD153E"/>
    <w:rsid w:val="00AD1CAE"/>
    <w:rsid w:val="00AD417E"/>
    <w:rsid w:val="00AD51E0"/>
    <w:rsid w:val="00AD5CEC"/>
    <w:rsid w:val="00AD6787"/>
    <w:rsid w:val="00AE0D61"/>
    <w:rsid w:val="00AE23F6"/>
    <w:rsid w:val="00AE361E"/>
    <w:rsid w:val="00AF0A30"/>
    <w:rsid w:val="00AF0CC4"/>
    <w:rsid w:val="00AF320A"/>
    <w:rsid w:val="00AF49FE"/>
    <w:rsid w:val="00AF4AC3"/>
    <w:rsid w:val="00AF5E2C"/>
    <w:rsid w:val="00AF6FD4"/>
    <w:rsid w:val="00B00476"/>
    <w:rsid w:val="00B02656"/>
    <w:rsid w:val="00B04147"/>
    <w:rsid w:val="00B04A69"/>
    <w:rsid w:val="00B04D93"/>
    <w:rsid w:val="00B064A5"/>
    <w:rsid w:val="00B10986"/>
    <w:rsid w:val="00B11F21"/>
    <w:rsid w:val="00B121E6"/>
    <w:rsid w:val="00B165CB"/>
    <w:rsid w:val="00B20BEC"/>
    <w:rsid w:val="00B22BA1"/>
    <w:rsid w:val="00B31BB7"/>
    <w:rsid w:val="00B32936"/>
    <w:rsid w:val="00B33EB0"/>
    <w:rsid w:val="00B351FF"/>
    <w:rsid w:val="00B3555E"/>
    <w:rsid w:val="00B36439"/>
    <w:rsid w:val="00B37E0A"/>
    <w:rsid w:val="00B42ECA"/>
    <w:rsid w:val="00B43396"/>
    <w:rsid w:val="00B43513"/>
    <w:rsid w:val="00B442B0"/>
    <w:rsid w:val="00B45AF7"/>
    <w:rsid w:val="00B46141"/>
    <w:rsid w:val="00B46671"/>
    <w:rsid w:val="00B47F5E"/>
    <w:rsid w:val="00B50325"/>
    <w:rsid w:val="00B51882"/>
    <w:rsid w:val="00B53F21"/>
    <w:rsid w:val="00B56B3D"/>
    <w:rsid w:val="00B57A41"/>
    <w:rsid w:val="00B6107B"/>
    <w:rsid w:val="00B61A07"/>
    <w:rsid w:val="00B61E5D"/>
    <w:rsid w:val="00B6358A"/>
    <w:rsid w:val="00B64227"/>
    <w:rsid w:val="00B64F28"/>
    <w:rsid w:val="00B655D3"/>
    <w:rsid w:val="00B73953"/>
    <w:rsid w:val="00B74628"/>
    <w:rsid w:val="00B7509F"/>
    <w:rsid w:val="00B775D0"/>
    <w:rsid w:val="00B8230D"/>
    <w:rsid w:val="00B87197"/>
    <w:rsid w:val="00B9006A"/>
    <w:rsid w:val="00B90F52"/>
    <w:rsid w:val="00B9200D"/>
    <w:rsid w:val="00B93DB0"/>
    <w:rsid w:val="00BA03CE"/>
    <w:rsid w:val="00BA30C5"/>
    <w:rsid w:val="00BA310C"/>
    <w:rsid w:val="00BA406F"/>
    <w:rsid w:val="00BA4A9E"/>
    <w:rsid w:val="00BA4C0A"/>
    <w:rsid w:val="00BA5576"/>
    <w:rsid w:val="00BA5685"/>
    <w:rsid w:val="00BA6879"/>
    <w:rsid w:val="00BB54F9"/>
    <w:rsid w:val="00BB6813"/>
    <w:rsid w:val="00BC14D4"/>
    <w:rsid w:val="00BC1FC0"/>
    <w:rsid w:val="00BC4629"/>
    <w:rsid w:val="00BC57F9"/>
    <w:rsid w:val="00BC6229"/>
    <w:rsid w:val="00BC72E2"/>
    <w:rsid w:val="00BC760D"/>
    <w:rsid w:val="00BD11CE"/>
    <w:rsid w:val="00BD2F8A"/>
    <w:rsid w:val="00BD3A7C"/>
    <w:rsid w:val="00BD5813"/>
    <w:rsid w:val="00BD5D26"/>
    <w:rsid w:val="00BD6FA4"/>
    <w:rsid w:val="00BD7DD8"/>
    <w:rsid w:val="00BE08DA"/>
    <w:rsid w:val="00BE7253"/>
    <w:rsid w:val="00BF055E"/>
    <w:rsid w:val="00BF1735"/>
    <w:rsid w:val="00BF1855"/>
    <w:rsid w:val="00BF614C"/>
    <w:rsid w:val="00BF6B43"/>
    <w:rsid w:val="00BF6DCF"/>
    <w:rsid w:val="00C00EAF"/>
    <w:rsid w:val="00C01AD8"/>
    <w:rsid w:val="00C01E4F"/>
    <w:rsid w:val="00C04039"/>
    <w:rsid w:val="00C044A8"/>
    <w:rsid w:val="00C05153"/>
    <w:rsid w:val="00C051D8"/>
    <w:rsid w:val="00C0544B"/>
    <w:rsid w:val="00C15412"/>
    <w:rsid w:val="00C24743"/>
    <w:rsid w:val="00C25F5E"/>
    <w:rsid w:val="00C27653"/>
    <w:rsid w:val="00C27CEC"/>
    <w:rsid w:val="00C303DB"/>
    <w:rsid w:val="00C309C2"/>
    <w:rsid w:val="00C31D75"/>
    <w:rsid w:val="00C324D0"/>
    <w:rsid w:val="00C32A02"/>
    <w:rsid w:val="00C33BB4"/>
    <w:rsid w:val="00C4077D"/>
    <w:rsid w:val="00C43519"/>
    <w:rsid w:val="00C46648"/>
    <w:rsid w:val="00C4675E"/>
    <w:rsid w:val="00C47F32"/>
    <w:rsid w:val="00C50E6A"/>
    <w:rsid w:val="00C5132F"/>
    <w:rsid w:val="00C53D3F"/>
    <w:rsid w:val="00C53EEA"/>
    <w:rsid w:val="00C5506B"/>
    <w:rsid w:val="00C6045E"/>
    <w:rsid w:val="00C60B9A"/>
    <w:rsid w:val="00C60E06"/>
    <w:rsid w:val="00C62982"/>
    <w:rsid w:val="00C63AB0"/>
    <w:rsid w:val="00C64346"/>
    <w:rsid w:val="00C67573"/>
    <w:rsid w:val="00C677A2"/>
    <w:rsid w:val="00C7381F"/>
    <w:rsid w:val="00C74A52"/>
    <w:rsid w:val="00C750FD"/>
    <w:rsid w:val="00C80426"/>
    <w:rsid w:val="00C82230"/>
    <w:rsid w:val="00C82FB4"/>
    <w:rsid w:val="00C836BF"/>
    <w:rsid w:val="00C852A9"/>
    <w:rsid w:val="00C865E0"/>
    <w:rsid w:val="00C90C7C"/>
    <w:rsid w:val="00C91F68"/>
    <w:rsid w:val="00C928D6"/>
    <w:rsid w:val="00C96599"/>
    <w:rsid w:val="00C965B4"/>
    <w:rsid w:val="00C96CD5"/>
    <w:rsid w:val="00C9766B"/>
    <w:rsid w:val="00C97A36"/>
    <w:rsid w:val="00CA2DD7"/>
    <w:rsid w:val="00CA5225"/>
    <w:rsid w:val="00CB3943"/>
    <w:rsid w:val="00CB6630"/>
    <w:rsid w:val="00CC0294"/>
    <w:rsid w:val="00CC125C"/>
    <w:rsid w:val="00CC4F8E"/>
    <w:rsid w:val="00CD08FC"/>
    <w:rsid w:val="00CD0C90"/>
    <w:rsid w:val="00CD21A6"/>
    <w:rsid w:val="00CD3AA2"/>
    <w:rsid w:val="00CD6DB6"/>
    <w:rsid w:val="00CE0057"/>
    <w:rsid w:val="00CE6149"/>
    <w:rsid w:val="00CE7FE7"/>
    <w:rsid w:val="00CF1B7A"/>
    <w:rsid w:val="00CF2511"/>
    <w:rsid w:val="00CF312C"/>
    <w:rsid w:val="00CF598B"/>
    <w:rsid w:val="00CF6FDC"/>
    <w:rsid w:val="00D12DE2"/>
    <w:rsid w:val="00D1442F"/>
    <w:rsid w:val="00D1447E"/>
    <w:rsid w:val="00D148F0"/>
    <w:rsid w:val="00D15338"/>
    <w:rsid w:val="00D15C49"/>
    <w:rsid w:val="00D167D3"/>
    <w:rsid w:val="00D1771B"/>
    <w:rsid w:val="00D20676"/>
    <w:rsid w:val="00D214D5"/>
    <w:rsid w:val="00D21EBD"/>
    <w:rsid w:val="00D2233A"/>
    <w:rsid w:val="00D26039"/>
    <w:rsid w:val="00D31708"/>
    <w:rsid w:val="00D336E9"/>
    <w:rsid w:val="00D34F97"/>
    <w:rsid w:val="00D37D86"/>
    <w:rsid w:val="00D401F1"/>
    <w:rsid w:val="00D40502"/>
    <w:rsid w:val="00D40C2A"/>
    <w:rsid w:val="00D41277"/>
    <w:rsid w:val="00D42B4B"/>
    <w:rsid w:val="00D44FE4"/>
    <w:rsid w:val="00D45565"/>
    <w:rsid w:val="00D52BC7"/>
    <w:rsid w:val="00D55B6D"/>
    <w:rsid w:val="00D566F2"/>
    <w:rsid w:val="00D56DEB"/>
    <w:rsid w:val="00D62612"/>
    <w:rsid w:val="00D62E9D"/>
    <w:rsid w:val="00D66422"/>
    <w:rsid w:val="00D66B9F"/>
    <w:rsid w:val="00D673F2"/>
    <w:rsid w:val="00D713E7"/>
    <w:rsid w:val="00D72E4F"/>
    <w:rsid w:val="00D74052"/>
    <w:rsid w:val="00D76E65"/>
    <w:rsid w:val="00D77335"/>
    <w:rsid w:val="00D77579"/>
    <w:rsid w:val="00D82069"/>
    <w:rsid w:val="00D83001"/>
    <w:rsid w:val="00D83E8E"/>
    <w:rsid w:val="00D84C98"/>
    <w:rsid w:val="00D86C60"/>
    <w:rsid w:val="00D879A3"/>
    <w:rsid w:val="00D92BE5"/>
    <w:rsid w:val="00D931CB"/>
    <w:rsid w:val="00D95C83"/>
    <w:rsid w:val="00D96AAE"/>
    <w:rsid w:val="00DA0149"/>
    <w:rsid w:val="00DA09A3"/>
    <w:rsid w:val="00DA1CB2"/>
    <w:rsid w:val="00DA2C54"/>
    <w:rsid w:val="00DA4EBF"/>
    <w:rsid w:val="00DA5FC9"/>
    <w:rsid w:val="00DB238A"/>
    <w:rsid w:val="00DB3F6F"/>
    <w:rsid w:val="00DB46E0"/>
    <w:rsid w:val="00DB4FA3"/>
    <w:rsid w:val="00DB6EEB"/>
    <w:rsid w:val="00DB7E89"/>
    <w:rsid w:val="00DC2415"/>
    <w:rsid w:val="00DC4364"/>
    <w:rsid w:val="00DC4A95"/>
    <w:rsid w:val="00DC5786"/>
    <w:rsid w:val="00DC5E78"/>
    <w:rsid w:val="00DC71A1"/>
    <w:rsid w:val="00DC7C64"/>
    <w:rsid w:val="00DD03C9"/>
    <w:rsid w:val="00DD0A4A"/>
    <w:rsid w:val="00DD205F"/>
    <w:rsid w:val="00DD3679"/>
    <w:rsid w:val="00DD3D6A"/>
    <w:rsid w:val="00DD493D"/>
    <w:rsid w:val="00DD613C"/>
    <w:rsid w:val="00DD7B55"/>
    <w:rsid w:val="00DE0743"/>
    <w:rsid w:val="00DE0B1B"/>
    <w:rsid w:val="00DE1481"/>
    <w:rsid w:val="00DE3B59"/>
    <w:rsid w:val="00DE4F0E"/>
    <w:rsid w:val="00DE5988"/>
    <w:rsid w:val="00DE5CE1"/>
    <w:rsid w:val="00DE661B"/>
    <w:rsid w:val="00DE6A64"/>
    <w:rsid w:val="00DE7471"/>
    <w:rsid w:val="00DE7762"/>
    <w:rsid w:val="00DE7DCA"/>
    <w:rsid w:val="00DE7DF2"/>
    <w:rsid w:val="00DF3C14"/>
    <w:rsid w:val="00E01120"/>
    <w:rsid w:val="00E0125E"/>
    <w:rsid w:val="00E01C04"/>
    <w:rsid w:val="00E025A2"/>
    <w:rsid w:val="00E04D37"/>
    <w:rsid w:val="00E062C6"/>
    <w:rsid w:val="00E074C8"/>
    <w:rsid w:val="00E106D0"/>
    <w:rsid w:val="00E112A6"/>
    <w:rsid w:val="00E1253C"/>
    <w:rsid w:val="00E127D6"/>
    <w:rsid w:val="00E13C2C"/>
    <w:rsid w:val="00E141F2"/>
    <w:rsid w:val="00E1491B"/>
    <w:rsid w:val="00E179CA"/>
    <w:rsid w:val="00E17AD8"/>
    <w:rsid w:val="00E2114E"/>
    <w:rsid w:val="00E21B9B"/>
    <w:rsid w:val="00E224BB"/>
    <w:rsid w:val="00E23B5D"/>
    <w:rsid w:val="00E26B92"/>
    <w:rsid w:val="00E27DAA"/>
    <w:rsid w:val="00E27E3E"/>
    <w:rsid w:val="00E32105"/>
    <w:rsid w:val="00E33993"/>
    <w:rsid w:val="00E33BA9"/>
    <w:rsid w:val="00E366C6"/>
    <w:rsid w:val="00E36C69"/>
    <w:rsid w:val="00E36E8E"/>
    <w:rsid w:val="00E44ABE"/>
    <w:rsid w:val="00E45F2C"/>
    <w:rsid w:val="00E45F31"/>
    <w:rsid w:val="00E46804"/>
    <w:rsid w:val="00E46E6F"/>
    <w:rsid w:val="00E47048"/>
    <w:rsid w:val="00E51173"/>
    <w:rsid w:val="00E51263"/>
    <w:rsid w:val="00E5230F"/>
    <w:rsid w:val="00E530D9"/>
    <w:rsid w:val="00E55668"/>
    <w:rsid w:val="00E6001A"/>
    <w:rsid w:val="00E62723"/>
    <w:rsid w:val="00E62A79"/>
    <w:rsid w:val="00E6386D"/>
    <w:rsid w:val="00E64D77"/>
    <w:rsid w:val="00E64DDF"/>
    <w:rsid w:val="00E64FEE"/>
    <w:rsid w:val="00E65925"/>
    <w:rsid w:val="00E65A87"/>
    <w:rsid w:val="00E678F6"/>
    <w:rsid w:val="00E728D6"/>
    <w:rsid w:val="00E7454C"/>
    <w:rsid w:val="00E74639"/>
    <w:rsid w:val="00E7609C"/>
    <w:rsid w:val="00E80DCA"/>
    <w:rsid w:val="00E80E13"/>
    <w:rsid w:val="00E82E2F"/>
    <w:rsid w:val="00E839A2"/>
    <w:rsid w:val="00E8475E"/>
    <w:rsid w:val="00E84A75"/>
    <w:rsid w:val="00E850F2"/>
    <w:rsid w:val="00E85EB7"/>
    <w:rsid w:val="00E86620"/>
    <w:rsid w:val="00E8744A"/>
    <w:rsid w:val="00E9366C"/>
    <w:rsid w:val="00E94DBE"/>
    <w:rsid w:val="00E953E3"/>
    <w:rsid w:val="00E96987"/>
    <w:rsid w:val="00E96E3C"/>
    <w:rsid w:val="00E96ED9"/>
    <w:rsid w:val="00EA37D1"/>
    <w:rsid w:val="00EA52DA"/>
    <w:rsid w:val="00EA598F"/>
    <w:rsid w:val="00EA7376"/>
    <w:rsid w:val="00EB0BB7"/>
    <w:rsid w:val="00EB1126"/>
    <w:rsid w:val="00EB1321"/>
    <w:rsid w:val="00EB270C"/>
    <w:rsid w:val="00EB635C"/>
    <w:rsid w:val="00EB73CB"/>
    <w:rsid w:val="00EC0381"/>
    <w:rsid w:val="00EC03A1"/>
    <w:rsid w:val="00EC0972"/>
    <w:rsid w:val="00EC2F19"/>
    <w:rsid w:val="00EC4365"/>
    <w:rsid w:val="00EC43E3"/>
    <w:rsid w:val="00EC55DD"/>
    <w:rsid w:val="00EC5630"/>
    <w:rsid w:val="00EC6879"/>
    <w:rsid w:val="00EC7429"/>
    <w:rsid w:val="00EC78FE"/>
    <w:rsid w:val="00ED2B43"/>
    <w:rsid w:val="00ED52B4"/>
    <w:rsid w:val="00ED7AEF"/>
    <w:rsid w:val="00EE0DD5"/>
    <w:rsid w:val="00EE2D65"/>
    <w:rsid w:val="00EE30FE"/>
    <w:rsid w:val="00EE36BF"/>
    <w:rsid w:val="00EE3EE4"/>
    <w:rsid w:val="00EE7395"/>
    <w:rsid w:val="00EF18DF"/>
    <w:rsid w:val="00EF1F24"/>
    <w:rsid w:val="00EF3EF3"/>
    <w:rsid w:val="00EF47FC"/>
    <w:rsid w:val="00EF4861"/>
    <w:rsid w:val="00EF48E0"/>
    <w:rsid w:val="00EF5B63"/>
    <w:rsid w:val="00EF7577"/>
    <w:rsid w:val="00EF7DD7"/>
    <w:rsid w:val="00F00CD5"/>
    <w:rsid w:val="00F01152"/>
    <w:rsid w:val="00F014CF"/>
    <w:rsid w:val="00F0276A"/>
    <w:rsid w:val="00F02A92"/>
    <w:rsid w:val="00F0404D"/>
    <w:rsid w:val="00F0407C"/>
    <w:rsid w:val="00F05680"/>
    <w:rsid w:val="00F05714"/>
    <w:rsid w:val="00F058F5"/>
    <w:rsid w:val="00F11C07"/>
    <w:rsid w:val="00F1249D"/>
    <w:rsid w:val="00F2128F"/>
    <w:rsid w:val="00F21419"/>
    <w:rsid w:val="00F21DC8"/>
    <w:rsid w:val="00F223F4"/>
    <w:rsid w:val="00F226E2"/>
    <w:rsid w:val="00F231D6"/>
    <w:rsid w:val="00F248D0"/>
    <w:rsid w:val="00F263B7"/>
    <w:rsid w:val="00F26486"/>
    <w:rsid w:val="00F264A6"/>
    <w:rsid w:val="00F274A4"/>
    <w:rsid w:val="00F27B72"/>
    <w:rsid w:val="00F27E93"/>
    <w:rsid w:val="00F30C29"/>
    <w:rsid w:val="00F31492"/>
    <w:rsid w:val="00F3158B"/>
    <w:rsid w:val="00F32815"/>
    <w:rsid w:val="00F337ED"/>
    <w:rsid w:val="00F33D66"/>
    <w:rsid w:val="00F347BE"/>
    <w:rsid w:val="00F34E1F"/>
    <w:rsid w:val="00F354D7"/>
    <w:rsid w:val="00F36237"/>
    <w:rsid w:val="00F37182"/>
    <w:rsid w:val="00F43A35"/>
    <w:rsid w:val="00F447A1"/>
    <w:rsid w:val="00F447E9"/>
    <w:rsid w:val="00F453C6"/>
    <w:rsid w:val="00F47269"/>
    <w:rsid w:val="00F51551"/>
    <w:rsid w:val="00F51F3B"/>
    <w:rsid w:val="00F52CA4"/>
    <w:rsid w:val="00F5354D"/>
    <w:rsid w:val="00F5403B"/>
    <w:rsid w:val="00F56AED"/>
    <w:rsid w:val="00F61594"/>
    <w:rsid w:val="00F61D6A"/>
    <w:rsid w:val="00F62598"/>
    <w:rsid w:val="00F63DA6"/>
    <w:rsid w:val="00F65135"/>
    <w:rsid w:val="00F71068"/>
    <w:rsid w:val="00F7405C"/>
    <w:rsid w:val="00F7500E"/>
    <w:rsid w:val="00F751A9"/>
    <w:rsid w:val="00F75B75"/>
    <w:rsid w:val="00F76141"/>
    <w:rsid w:val="00F8056C"/>
    <w:rsid w:val="00F849D6"/>
    <w:rsid w:val="00F850E2"/>
    <w:rsid w:val="00F85F59"/>
    <w:rsid w:val="00F87671"/>
    <w:rsid w:val="00F924D9"/>
    <w:rsid w:val="00F934B0"/>
    <w:rsid w:val="00F966B1"/>
    <w:rsid w:val="00FA3133"/>
    <w:rsid w:val="00FA77E4"/>
    <w:rsid w:val="00FB24E9"/>
    <w:rsid w:val="00FB2AD4"/>
    <w:rsid w:val="00FB5D29"/>
    <w:rsid w:val="00FB6506"/>
    <w:rsid w:val="00FB6A16"/>
    <w:rsid w:val="00FC3280"/>
    <w:rsid w:val="00FC3CE5"/>
    <w:rsid w:val="00FC3FA6"/>
    <w:rsid w:val="00FC58C8"/>
    <w:rsid w:val="00FC5A1A"/>
    <w:rsid w:val="00FC609C"/>
    <w:rsid w:val="00FC6760"/>
    <w:rsid w:val="00FC7474"/>
    <w:rsid w:val="00FD1727"/>
    <w:rsid w:val="00FD1D15"/>
    <w:rsid w:val="00FD24F8"/>
    <w:rsid w:val="00FD26AB"/>
    <w:rsid w:val="00FD375B"/>
    <w:rsid w:val="00FE04D0"/>
    <w:rsid w:val="00FE1112"/>
    <w:rsid w:val="00FE2441"/>
    <w:rsid w:val="00FE50A1"/>
    <w:rsid w:val="00FE6B74"/>
    <w:rsid w:val="00FE7A38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563F7"/>
  <w15:docId w15:val="{98ED816B-47B9-4AE2-86C3-2BD682BE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2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C2F1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C2F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2F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C2F1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2F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rsid w:val="00EC2F19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2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2F19"/>
  </w:style>
  <w:style w:type="paragraph" w:styleId="Piedepgina">
    <w:name w:val="footer"/>
    <w:basedOn w:val="Normal"/>
    <w:link w:val="PiedepginaCar"/>
    <w:uiPriority w:val="99"/>
    <w:unhideWhenUsed/>
    <w:rsid w:val="00EC2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F19"/>
  </w:style>
  <w:style w:type="character" w:styleId="Refdecomentario">
    <w:name w:val="annotation reference"/>
    <w:basedOn w:val="Fuentedeprrafopredeter"/>
    <w:uiPriority w:val="99"/>
    <w:semiHidden/>
    <w:unhideWhenUsed/>
    <w:rsid w:val="009454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4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4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4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4A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4A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321D8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rsid w:val="00BD7DD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A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egi.org.mx/programas/cnije/2021/" TargetMode="External"/><Relationship Id="rId21" Type="http://schemas.openxmlformats.org/officeDocument/2006/relationships/image" Target="media/image4.jpeg"/><Relationship Id="rId34" Type="http://schemas.openxmlformats.org/officeDocument/2006/relationships/chart" Target="charts/chart7.xml"/><Relationship Id="rId42" Type="http://schemas.openxmlformats.org/officeDocument/2006/relationships/chart" Target="charts/chart15.xml"/><Relationship Id="rId47" Type="http://schemas.openxmlformats.org/officeDocument/2006/relationships/chart" Target="charts/chart19.xml"/><Relationship Id="rId50" Type="http://schemas.openxmlformats.org/officeDocument/2006/relationships/chart" Target="charts/chart21.xml"/><Relationship Id="rId55" Type="http://schemas.openxmlformats.org/officeDocument/2006/relationships/image" Target="media/image10.png"/><Relationship Id="rId63" Type="http://schemas.openxmlformats.org/officeDocument/2006/relationships/hyperlink" Target="https://www.inegi.org.mx/programas/cnije/2021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NEGIInforma/" TargetMode="External"/><Relationship Id="rId29" Type="http://schemas.openxmlformats.org/officeDocument/2006/relationships/chart" Target="charts/chart3.xml"/><Relationship Id="rId11" Type="http://schemas.openxmlformats.org/officeDocument/2006/relationships/header" Target="header2.xml"/><Relationship Id="rId24" Type="http://schemas.openxmlformats.org/officeDocument/2006/relationships/hyperlink" Target="http://www.inegi.org.mx/" TargetMode="External"/><Relationship Id="rId32" Type="http://schemas.openxmlformats.org/officeDocument/2006/relationships/chart" Target="charts/chart5.xml"/><Relationship Id="rId37" Type="http://schemas.openxmlformats.org/officeDocument/2006/relationships/chart" Target="charts/chart10.xml"/><Relationship Id="rId40" Type="http://schemas.openxmlformats.org/officeDocument/2006/relationships/chart" Target="charts/chart13.xml"/><Relationship Id="rId45" Type="http://schemas.openxmlformats.org/officeDocument/2006/relationships/chart" Target="charts/chart17.xml"/><Relationship Id="rId53" Type="http://schemas.openxmlformats.org/officeDocument/2006/relationships/chart" Target="charts/chart24.xml"/><Relationship Id="rId58" Type="http://schemas.openxmlformats.org/officeDocument/2006/relationships/chart" Target="charts/chart27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hart" Target="charts/chart30.xml"/><Relationship Id="rId1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hyperlink" Target="https://www.youtube.com/user/INEGIInforma" TargetMode="External"/><Relationship Id="rId27" Type="http://schemas.openxmlformats.org/officeDocument/2006/relationships/chart" Target="charts/chart1.xml"/><Relationship Id="rId30" Type="http://schemas.openxmlformats.org/officeDocument/2006/relationships/chart" Target="charts/chart4.xml"/><Relationship Id="rId35" Type="http://schemas.openxmlformats.org/officeDocument/2006/relationships/chart" Target="charts/chart8.xml"/><Relationship Id="rId43" Type="http://schemas.openxmlformats.org/officeDocument/2006/relationships/image" Target="media/image8.png"/><Relationship Id="rId48" Type="http://schemas.openxmlformats.org/officeDocument/2006/relationships/chart" Target="charts/chart20.xml"/><Relationship Id="rId56" Type="http://schemas.openxmlformats.org/officeDocument/2006/relationships/image" Target="media/image11.png"/><Relationship Id="rId64" Type="http://schemas.openxmlformats.org/officeDocument/2006/relationships/header" Target="header4.xml"/><Relationship Id="rId8" Type="http://schemas.openxmlformats.org/officeDocument/2006/relationships/hyperlink" Target="https://www.inegi.org.mx/programas/cnije/2021/" TargetMode="External"/><Relationship Id="rId51" Type="http://schemas.openxmlformats.org/officeDocument/2006/relationships/chart" Target="charts/chart22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image" Target="media/image6.png"/><Relationship Id="rId33" Type="http://schemas.openxmlformats.org/officeDocument/2006/relationships/chart" Target="charts/chart6.xml"/><Relationship Id="rId38" Type="http://schemas.openxmlformats.org/officeDocument/2006/relationships/chart" Target="charts/chart11.xml"/><Relationship Id="rId46" Type="http://schemas.openxmlformats.org/officeDocument/2006/relationships/chart" Target="charts/chart18.xml"/><Relationship Id="rId59" Type="http://schemas.openxmlformats.org/officeDocument/2006/relationships/chart" Target="charts/chart28.xml"/><Relationship Id="rId20" Type="http://schemas.openxmlformats.org/officeDocument/2006/relationships/hyperlink" Target="https://twitter.com/INEGI_INFORMA" TargetMode="External"/><Relationship Id="rId41" Type="http://schemas.openxmlformats.org/officeDocument/2006/relationships/chart" Target="charts/chart14.xml"/><Relationship Id="rId54" Type="http://schemas.openxmlformats.org/officeDocument/2006/relationships/chart" Target="charts/chart25.xml"/><Relationship Id="rId62" Type="http://schemas.openxmlformats.org/officeDocument/2006/relationships/chart" Target="charts/chart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5.jpeg"/><Relationship Id="rId28" Type="http://schemas.openxmlformats.org/officeDocument/2006/relationships/chart" Target="charts/chart2.xml"/><Relationship Id="rId36" Type="http://schemas.openxmlformats.org/officeDocument/2006/relationships/chart" Target="charts/chart9.xml"/><Relationship Id="rId49" Type="http://schemas.openxmlformats.org/officeDocument/2006/relationships/image" Target="media/image9.png"/><Relationship Id="rId57" Type="http://schemas.openxmlformats.org/officeDocument/2006/relationships/chart" Target="charts/chart26.xml"/><Relationship Id="rId10" Type="http://schemas.openxmlformats.org/officeDocument/2006/relationships/header" Target="header1.xml"/><Relationship Id="rId31" Type="http://schemas.openxmlformats.org/officeDocument/2006/relationships/image" Target="media/image7.png"/><Relationship Id="rId44" Type="http://schemas.openxmlformats.org/officeDocument/2006/relationships/chart" Target="charts/chart16.xml"/><Relationship Id="rId52" Type="http://schemas.openxmlformats.org/officeDocument/2006/relationships/chart" Target="charts/chart23.xml"/><Relationship Id="rId60" Type="http://schemas.openxmlformats.org/officeDocument/2006/relationships/chart" Target="charts/chart29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instagram.com/inegi_informa/" TargetMode="External"/><Relationship Id="rId39" Type="http://schemas.openxmlformats.org/officeDocument/2006/relationships/chart" Target="charts/chart1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gi.org.mx/programas/cnge/2021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onne.acundo\Desktop\Comunicados%202021\CNIJE%202021\BD_CNIJE202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55555555555E-2"/>
          <c:y val="0.1141025641025641"/>
          <c:w val="0.93888888888888888"/>
          <c:h val="0.565071269937411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Órganos!$T$3</c:f>
              <c:strCache>
                <c:ptCount val="1"/>
                <c:pt idx="0">
                  <c:v>Órganos 
jurisdiccionales </c:v>
                </c:pt>
              </c:strCache>
            </c:strRef>
          </c:tx>
          <c:spPr>
            <a:solidFill>
              <a:srgbClr val="9C5A6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Órganos!$S$4:$S$14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Órganos!$T$4:$T$14</c:f>
              <c:numCache>
                <c:formatCode>#,##0</c:formatCode>
                <c:ptCount val="11"/>
                <c:pt idx="0">
                  <c:v>3597</c:v>
                </c:pt>
                <c:pt idx="1">
                  <c:v>6490</c:v>
                </c:pt>
                <c:pt idx="2">
                  <c:v>4787</c:v>
                </c:pt>
                <c:pt idx="3">
                  <c:v>4861</c:v>
                </c:pt>
                <c:pt idx="4">
                  <c:v>4235</c:v>
                </c:pt>
                <c:pt idx="5">
                  <c:v>4631</c:v>
                </c:pt>
                <c:pt idx="6">
                  <c:v>4589</c:v>
                </c:pt>
                <c:pt idx="7">
                  <c:v>3984</c:v>
                </c:pt>
                <c:pt idx="8">
                  <c:v>4099</c:v>
                </c:pt>
                <c:pt idx="9">
                  <c:v>4388</c:v>
                </c:pt>
                <c:pt idx="10">
                  <c:v>3721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7A-4D91-AEC6-ECF2DCD48DDD}"/>
            </c:ext>
          </c:extLst>
        </c:ser>
        <c:ser>
          <c:idx val="1"/>
          <c:order val="1"/>
          <c:tx>
            <c:strRef>
              <c:f>Órganos!$U$3</c:f>
              <c:strCache>
                <c:ptCount val="1"/>
                <c:pt idx="0">
                  <c:v>Órganos administrativos 
y/o unidades administrativas</c:v>
                </c:pt>
              </c:strCache>
            </c:strRef>
          </c:tx>
          <c:spPr>
            <a:solidFill>
              <a:srgbClr val="C29B61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Órganos!$S$4:$S$14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Órganos!$U$4:$U$14</c:f>
              <c:numCache>
                <c:formatCode>#,##0</c:formatCode>
                <c:ptCount val="11"/>
                <c:pt idx="0">
                  <c:v>728</c:v>
                </c:pt>
                <c:pt idx="1">
                  <c:v>763</c:v>
                </c:pt>
                <c:pt idx="2">
                  <c:v>987</c:v>
                </c:pt>
                <c:pt idx="3">
                  <c:v>1006</c:v>
                </c:pt>
                <c:pt idx="4">
                  <c:v>1039</c:v>
                </c:pt>
                <c:pt idx="5">
                  <c:v>1170</c:v>
                </c:pt>
                <c:pt idx="6">
                  <c:v>1204</c:v>
                </c:pt>
                <c:pt idx="7">
                  <c:v>1230</c:v>
                </c:pt>
                <c:pt idx="8">
                  <c:v>1191</c:v>
                </c:pt>
                <c:pt idx="9">
                  <c:v>1370</c:v>
                </c:pt>
                <c:pt idx="10">
                  <c:v>1450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7A-4D91-AEC6-ECF2DCD48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131074911"/>
        <c:axId val="131055775"/>
      </c:barChart>
      <c:lineChart>
        <c:grouping val="standard"/>
        <c:varyColors val="0"/>
        <c:ser>
          <c:idx val="2"/>
          <c:order val="2"/>
          <c:tx>
            <c:strRef>
              <c:f>Órganos!$V$3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56402E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rgbClr val="56402E"/>
              </a:solidFill>
              <a:ln w="9525">
                <a:solidFill>
                  <a:srgbClr val="56402E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56402E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Órganos!$S$4:$S$14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Órganos!$V$4:$V$14</c:f>
              <c:numCache>
                <c:formatCode>#,##0</c:formatCode>
                <c:ptCount val="11"/>
                <c:pt idx="0">
                  <c:v>4325</c:v>
                </c:pt>
                <c:pt idx="1">
                  <c:v>7253</c:v>
                </c:pt>
                <c:pt idx="2">
                  <c:v>5774</c:v>
                </c:pt>
                <c:pt idx="3">
                  <c:v>5867</c:v>
                </c:pt>
                <c:pt idx="4">
                  <c:v>5274</c:v>
                </c:pt>
                <c:pt idx="5">
                  <c:v>5801</c:v>
                </c:pt>
                <c:pt idx="6">
                  <c:v>5793</c:v>
                </c:pt>
                <c:pt idx="7">
                  <c:v>5214</c:v>
                </c:pt>
                <c:pt idx="8">
                  <c:v>5290</c:v>
                </c:pt>
                <c:pt idx="9">
                  <c:v>5758</c:v>
                </c:pt>
                <c:pt idx="10">
                  <c:v>5171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47A-4D91-AEC6-ECF2DCD48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074911"/>
        <c:axId val="131055775"/>
      </c:lineChart>
      <c:catAx>
        <c:axId val="131074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31055775"/>
        <c:crosses val="autoZero"/>
        <c:auto val="1"/>
        <c:lblAlgn val="ctr"/>
        <c:lblOffset val="100"/>
        <c:noMultiLvlLbl val="0"/>
      </c:catAx>
      <c:valAx>
        <c:axId val="131055775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3107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2429352580927372E-2"/>
          <c:y val="0.82032424793054715"/>
          <c:w val="0.88458573928258966"/>
          <c:h val="0.148906521300222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894180781485826E-2"/>
          <c:y val="0.11739594450373532"/>
          <c:w val="0.92621163843702836"/>
          <c:h val="0.57709688462855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'Publicación sentencias'!$AA$6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B2A49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'Publicación sentencias'!$AB$5:$AC$5</c:f>
              <c:strCache>
                <c:ptCount val="2"/>
                <c:pt idx="0">
                  <c:v>Primera instancia</c:v>
                </c:pt>
                <c:pt idx="1">
                  <c:v>Segunda instancia</c:v>
                </c:pt>
              </c:strCache>
            </c:strRef>
          </c:cat>
          <c:val>
            <c:numRef>
              <c:f>'Publicación sentencias'!$AB$6:$AC$6</c:f>
              <c:numCache>
                <c:formatCode>#,##0</c:formatCode>
                <c:ptCount val="2"/>
                <c:pt idx="0">
                  <c:v>100602</c:v>
                </c:pt>
                <c:pt idx="1">
                  <c:v>31884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CD-4C49-8EE2-9A068393DDD9}"/>
            </c:ext>
          </c:extLst>
        </c:ser>
        <c:ser>
          <c:idx val="1"/>
          <c:order val="1"/>
          <c:tx>
            <c:strRef>
              <c:f>'Publicación sentencias'!$AA$7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6402E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56402E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ACCD-4C49-8EE2-9A068393DD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'Publicación sentencias'!$AB$5:$AC$5</c:f>
              <c:strCache>
                <c:ptCount val="2"/>
                <c:pt idx="0">
                  <c:v>Primera instancia</c:v>
                </c:pt>
                <c:pt idx="1">
                  <c:v>Segunda instancia</c:v>
                </c:pt>
              </c:strCache>
            </c:strRef>
          </c:cat>
          <c:val>
            <c:numRef>
              <c:f>'Publicación sentencias'!$AB$7:$AC$7</c:f>
              <c:numCache>
                <c:formatCode>#,##0</c:formatCode>
                <c:ptCount val="2"/>
                <c:pt idx="0">
                  <c:v>90149</c:v>
                </c:pt>
                <c:pt idx="1">
                  <c:v>23710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CD-4C49-8EE2-9A068393DD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1933095407"/>
        <c:axId val="1933084175"/>
      </c:barChart>
      <c:catAx>
        <c:axId val="193309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33084175"/>
        <c:crosses val="autoZero"/>
        <c:auto val="1"/>
        <c:lblAlgn val="ctr"/>
        <c:lblOffset val="100"/>
        <c:noMultiLvlLbl val="0"/>
      </c:catAx>
      <c:valAx>
        <c:axId val="1933084175"/>
        <c:scaling>
          <c:orientation val="minMax"/>
          <c:max val="110000"/>
          <c:min val="0"/>
        </c:scaling>
        <c:delete val="1"/>
        <c:axPos val="l"/>
        <c:numFmt formatCode="#,##0" sourceLinked="1"/>
        <c:majorTickMark val="none"/>
        <c:minorTickMark val="none"/>
        <c:tickLblPos val="nextTo"/>
        <c:crossAx val="1933095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59926106000124"/>
          <c:y val="0.83918956770719844"/>
          <c:w val="0.20801451470419291"/>
          <c:h val="0.158437465861057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111111111111108E-2"/>
          <c:y val="7.407407407407407E-2"/>
          <c:w val="0.93888888888888888"/>
          <c:h val="0.758762758821813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Defensoría!$BN$4</c:f>
              <c:strCache>
                <c:ptCount val="1"/>
                <c:pt idx="0">
                  <c:v>Defensores</c:v>
                </c:pt>
              </c:strCache>
            </c:strRef>
          </c:tx>
          <c:spPr>
            <a:solidFill>
              <a:srgbClr val="9C5A6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Defensoría!$BM$5:$BM$12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Defensoría!$BN$5:$BN$12</c:f>
              <c:numCache>
                <c:formatCode>General</c:formatCode>
                <c:ptCount val="8"/>
                <c:pt idx="0">
                  <c:v>241</c:v>
                </c:pt>
                <c:pt idx="1">
                  <c:v>265</c:v>
                </c:pt>
                <c:pt idx="2">
                  <c:v>595</c:v>
                </c:pt>
                <c:pt idx="3">
                  <c:v>616</c:v>
                </c:pt>
                <c:pt idx="4">
                  <c:v>593</c:v>
                </c:pt>
                <c:pt idx="5">
                  <c:v>624</c:v>
                </c:pt>
                <c:pt idx="6">
                  <c:v>541</c:v>
                </c:pt>
                <c:pt idx="7">
                  <c:v>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1E-4B87-B1D0-D89A7ACA1999}"/>
            </c:ext>
          </c:extLst>
        </c:ser>
        <c:ser>
          <c:idx val="1"/>
          <c:order val="1"/>
          <c:tx>
            <c:strRef>
              <c:f>Defensoría!$BO$4</c:f>
              <c:strCache>
                <c:ptCount val="1"/>
                <c:pt idx="0">
                  <c:v>Asesores jurídicos</c:v>
                </c:pt>
              </c:strCache>
            </c:strRef>
          </c:tx>
          <c:spPr>
            <a:solidFill>
              <a:srgbClr val="C29B61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Defensoría!$BM$5:$BM$12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Defensoría!$BO$5:$BO$12</c:f>
              <c:numCache>
                <c:formatCode>General</c:formatCode>
                <c:ptCount val="8"/>
                <c:pt idx="0">
                  <c:v>58</c:v>
                </c:pt>
                <c:pt idx="1">
                  <c:v>62</c:v>
                </c:pt>
                <c:pt idx="2">
                  <c:v>81</c:v>
                </c:pt>
                <c:pt idx="3">
                  <c:v>67</c:v>
                </c:pt>
                <c:pt idx="4">
                  <c:v>67</c:v>
                </c:pt>
                <c:pt idx="5">
                  <c:v>69</c:v>
                </c:pt>
                <c:pt idx="6">
                  <c:v>73</c:v>
                </c:pt>
                <c:pt idx="7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1E-4B87-B1D0-D89A7ACA19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-27"/>
        <c:axId val="1540052143"/>
        <c:axId val="1540066703"/>
      </c:barChart>
      <c:lineChart>
        <c:grouping val="standard"/>
        <c:varyColors val="0"/>
        <c:ser>
          <c:idx val="2"/>
          <c:order val="2"/>
          <c:tx>
            <c:strRef>
              <c:f>Defensoría!$BP$4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56402E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diamond"/>
            <c:size val="10"/>
            <c:spPr>
              <a:solidFill>
                <a:srgbClr val="56402E"/>
              </a:solidFill>
              <a:ln w="9525">
                <a:solidFill>
                  <a:srgbClr val="56402E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Defensoría!$BM$5:$BM$12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Defensoría!$BP$5:$BP$12</c:f>
              <c:numCache>
                <c:formatCode>General</c:formatCode>
                <c:ptCount val="8"/>
                <c:pt idx="0">
                  <c:v>299</c:v>
                </c:pt>
                <c:pt idx="1">
                  <c:v>327</c:v>
                </c:pt>
                <c:pt idx="2">
                  <c:v>676</c:v>
                </c:pt>
                <c:pt idx="3">
                  <c:v>683</c:v>
                </c:pt>
                <c:pt idx="4">
                  <c:v>660</c:v>
                </c:pt>
                <c:pt idx="5">
                  <c:v>693</c:v>
                </c:pt>
                <c:pt idx="6">
                  <c:v>614</c:v>
                </c:pt>
                <c:pt idx="7">
                  <c:v>621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51E-4B87-B1D0-D89A7ACA19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0052143"/>
        <c:axId val="1540066703"/>
      </c:lineChart>
      <c:catAx>
        <c:axId val="1540052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40066703"/>
        <c:crosses val="autoZero"/>
        <c:auto val="1"/>
        <c:lblAlgn val="ctr"/>
        <c:lblOffset val="100"/>
        <c:noMultiLvlLbl val="0"/>
      </c:catAx>
      <c:valAx>
        <c:axId val="154006670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40052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68653210059131"/>
          <c:y val="0.91960145924082803"/>
          <c:w val="0.54862675219112822"/>
          <c:h val="8.03985407591719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036991520216297E-2"/>
          <c:y val="4.1308089500860588E-2"/>
          <c:w val="0.94592601695956746"/>
          <c:h val="0.772067166303007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Defensoría!$AG$5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B2A49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Defensoría!$AF$6:$AF$7</c:f>
              <c:strCache>
                <c:ptCount val="2"/>
                <c:pt idx="0">
                  <c:v>Atendidos</c:v>
                </c:pt>
                <c:pt idx="1">
                  <c:v>Concluidos y/o resueltos</c:v>
                </c:pt>
              </c:strCache>
            </c:strRef>
          </c:cat>
          <c:val>
            <c:numRef>
              <c:f>Defensoría!$AG$6:$AG$7</c:f>
              <c:numCache>
                <c:formatCode>#,##0</c:formatCode>
                <c:ptCount val="2"/>
                <c:pt idx="0">
                  <c:v>357369</c:v>
                </c:pt>
                <c:pt idx="1">
                  <c:v>115778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21-4F67-B2F2-08FF3AEAF990}"/>
            </c:ext>
          </c:extLst>
        </c:ser>
        <c:ser>
          <c:idx val="1"/>
          <c:order val="1"/>
          <c:tx>
            <c:strRef>
              <c:f>Defensoría!$AH$5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6402E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Defensoría!$AF$6:$AF$7</c:f>
              <c:strCache>
                <c:ptCount val="2"/>
                <c:pt idx="0">
                  <c:v>Atendidos</c:v>
                </c:pt>
                <c:pt idx="1">
                  <c:v>Concluidos y/o resueltos</c:v>
                </c:pt>
              </c:strCache>
            </c:strRef>
          </c:cat>
          <c:val>
            <c:numRef>
              <c:f>Defensoría!$AH$6:$AH$7</c:f>
              <c:numCache>
                <c:formatCode>#,##0</c:formatCode>
                <c:ptCount val="2"/>
                <c:pt idx="0">
                  <c:v>207984</c:v>
                </c:pt>
                <c:pt idx="1">
                  <c:v>70882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21-4F67-B2F2-08FF3AEAF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5803263"/>
        <c:axId val="725803679"/>
      </c:barChart>
      <c:catAx>
        <c:axId val="7258032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725803679"/>
        <c:crosses val="autoZero"/>
        <c:auto val="1"/>
        <c:lblAlgn val="ctr"/>
        <c:lblOffset val="100"/>
        <c:noMultiLvlLbl val="0"/>
      </c:catAx>
      <c:valAx>
        <c:axId val="725803679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7258032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623865515643039"/>
          <c:y val="0.89779283613644678"/>
          <c:w val="0.15243831279109038"/>
          <c:h val="0.10220716386355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400977497199877E-2"/>
          <c:y val="3.0839353586038169E-2"/>
          <c:w val="0.95519804500560024"/>
          <c:h val="0.767987665458034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'Ingresos y conclu por ent e his'!$Z$19</c:f>
              <c:strCache>
                <c:ptCount val="1"/>
                <c:pt idx="0">
                  <c:v>Ingresos</c:v>
                </c:pt>
              </c:strCache>
            </c:strRef>
          </c:tx>
          <c:spPr>
            <a:solidFill>
              <a:srgbClr val="9C5A6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'Ingresos y conclu por ent e his'!$Y$20:$Y$29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'Ingresos y conclu por ent e his'!$Z$20:$Z$29</c:f>
              <c:numCache>
                <c:formatCode>#,##0</c:formatCode>
                <c:ptCount val="10"/>
                <c:pt idx="0">
                  <c:v>1907368</c:v>
                </c:pt>
                <c:pt idx="1">
                  <c:v>1991421</c:v>
                </c:pt>
                <c:pt idx="2">
                  <c:v>1968227</c:v>
                </c:pt>
                <c:pt idx="3">
                  <c:v>1816412</c:v>
                </c:pt>
                <c:pt idx="4">
                  <c:v>1821628</c:v>
                </c:pt>
                <c:pt idx="5">
                  <c:v>1941712</c:v>
                </c:pt>
                <c:pt idx="6">
                  <c:v>2001255</c:v>
                </c:pt>
                <c:pt idx="7">
                  <c:v>2126936</c:v>
                </c:pt>
                <c:pt idx="8">
                  <c:v>2280802</c:v>
                </c:pt>
                <c:pt idx="9">
                  <c:v>1577327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C4-456A-9C6B-1835527B407B}"/>
            </c:ext>
          </c:extLst>
        </c:ser>
        <c:ser>
          <c:idx val="1"/>
          <c:order val="1"/>
          <c:tx>
            <c:strRef>
              <c:f>'Ingresos y conclu por ent e his'!$AA$19</c:f>
              <c:strCache>
                <c:ptCount val="1"/>
                <c:pt idx="0">
                  <c:v>Conclusiones</c:v>
                </c:pt>
              </c:strCache>
            </c:strRef>
          </c:tx>
          <c:spPr>
            <a:solidFill>
              <a:srgbClr val="C29B61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'Ingresos y conclu por ent e his'!$Y$20:$Y$29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'Ingresos y conclu por ent e his'!$AA$20:$AA$29</c:f>
              <c:numCache>
                <c:formatCode>#,##0</c:formatCode>
                <c:ptCount val="10"/>
                <c:pt idx="0">
                  <c:v>1559359</c:v>
                </c:pt>
                <c:pt idx="1">
                  <c:v>1834911</c:v>
                </c:pt>
                <c:pt idx="2">
                  <c:v>1648034</c:v>
                </c:pt>
                <c:pt idx="3">
                  <c:v>1418973</c:v>
                </c:pt>
                <c:pt idx="4">
                  <c:v>1422580</c:v>
                </c:pt>
                <c:pt idx="5">
                  <c:v>1408894</c:v>
                </c:pt>
                <c:pt idx="6">
                  <c:v>1317371</c:v>
                </c:pt>
                <c:pt idx="7">
                  <c:v>1262746</c:v>
                </c:pt>
                <c:pt idx="8">
                  <c:v>1332589</c:v>
                </c:pt>
                <c:pt idx="9">
                  <c:v>871054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C4-456A-9C6B-1835527B4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290612975"/>
        <c:axId val="290636687"/>
      </c:barChart>
      <c:catAx>
        <c:axId val="290612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90636687"/>
        <c:crosses val="autoZero"/>
        <c:auto val="1"/>
        <c:lblAlgn val="ctr"/>
        <c:lblOffset val="100"/>
        <c:noMultiLvlLbl val="0"/>
      </c:catAx>
      <c:valAx>
        <c:axId val="290636687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290612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140965760983236"/>
          <c:y val="0.91920767046976271"/>
          <c:w val="0.2371806847803353"/>
          <c:h val="8.0792329530237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599727775731954E-2"/>
          <c:y val="0.18857832610495881"/>
          <c:w val="0.94080054444853611"/>
          <c:h val="0.535049054697039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'Cau y exped concl todas mat'!$B$5</c:f>
              <c:strCache>
                <c:ptCount val="1"/>
                <c:pt idx="0">
                  <c:v>Ingresados</c:v>
                </c:pt>
              </c:strCache>
            </c:strRef>
          </c:tx>
          <c:spPr>
            <a:solidFill>
              <a:srgbClr val="9C5A6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'Cau y exped concl todas mat'!$A$6:$A$11</c:f>
              <c:strCache>
                <c:ptCount val="6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Penal</c:v>
                </c:pt>
                <c:pt idx="4">
                  <c:v>Justicia para Adolescentes</c:v>
                </c:pt>
                <c:pt idx="5">
                  <c:v>Otra</c:v>
                </c:pt>
              </c:strCache>
            </c:strRef>
          </c:cat>
          <c:val>
            <c:numRef>
              <c:f>'Cau y exped concl todas mat'!$B$6:$B$11</c:f>
              <c:numCache>
                <c:formatCode>#,##0</c:formatCode>
                <c:ptCount val="6"/>
                <c:pt idx="0">
                  <c:v>609890</c:v>
                </c:pt>
                <c:pt idx="1">
                  <c:v>399442</c:v>
                </c:pt>
                <c:pt idx="2">
                  <c:v>350065</c:v>
                </c:pt>
                <c:pt idx="3">
                  <c:v>166712</c:v>
                </c:pt>
                <c:pt idx="4">
                  <c:v>5354</c:v>
                </c:pt>
                <c:pt idx="5">
                  <c:v>45864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98-49A0-B1CD-9A440B9F5029}"/>
            </c:ext>
          </c:extLst>
        </c:ser>
        <c:ser>
          <c:idx val="1"/>
          <c:order val="1"/>
          <c:tx>
            <c:strRef>
              <c:f>'Cau y exped concl todas mat'!$C$5</c:f>
              <c:strCache>
                <c:ptCount val="1"/>
                <c:pt idx="0">
                  <c:v>Concluidos</c:v>
                </c:pt>
              </c:strCache>
            </c:strRef>
          </c:tx>
          <c:spPr>
            <a:solidFill>
              <a:srgbClr val="C29B61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'Cau y exped concl todas mat'!$A$6:$A$11</c:f>
              <c:strCache>
                <c:ptCount val="6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Penal</c:v>
                </c:pt>
                <c:pt idx="4">
                  <c:v>Justicia para Adolescentes</c:v>
                </c:pt>
                <c:pt idx="5">
                  <c:v>Otra</c:v>
                </c:pt>
              </c:strCache>
            </c:strRef>
          </c:cat>
          <c:val>
            <c:numRef>
              <c:f>'Cau y exped concl todas mat'!$C$6:$C$11</c:f>
              <c:numCache>
                <c:formatCode>#,##0</c:formatCode>
                <c:ptCount val="6"/>
                <c:pt idx="0">
                  <c:v>298882</c:v>
                </c:pt>
                <c:pt idx="1">
                  <c:v>201627</c:v>
                </c:pt>
                <c:pt idx="2">
                  <c:v>234181</c:v>
                </c:pt>
                <c:pt idx="3">
                  <c:v>104705</c:v>
                </c:pt>
                <c:pt idx="4">
                  <c:v>4599</c:v>
                </c:pt>
                <c:pt idx="5">
                  <c:v>27060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98-49A0-B1CD-9A440B9F50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1782971535"/>
        <c:axId val="1782972367"/>
      </c:barChart>
      <c:catAx>
        <c:axId val="1782971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782972367"/>
        <c:crosses val="autoZero"/>
        <c:auto val="1"/>
        <c:lblAlgn val="ctr"/>
        <c:lblOffset val="100"/>
        <c:noMultiLvlLbl val="0"/>
      </c:catAx>
      <c:valAx>
        <c:axId val="1782972367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782971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154433203881433"/>
          <c:y val="0.87286201524274709"/>
          <c:w val="0.23691117271342221"/>
          <c:h val="0.120322494636912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758169934640521E-2"/>
          <c:y val="9.0719718925281564E-2"/>
          <c:w val="0.94248366013071894"/>
          <c:h val="0.727644095182393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'Causas penales ingresadas'!$AY$7</c:f>
              <c:strCache>
                <c:ptCount val="1"/>
                <c:pt idx="0">
                  <c:v>Adultos</c:v>
                </c:pt>
              </c:strCache>
            </c:strRef>
          </c:tx>
          <c:spPr>
            <a:solidFill>
              <a:srgbClr val="9C5A6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7.0329419957989022E-17"/>
                  <c:y val="0.295745534639427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21-4BDB-B6C8-E3A87B059A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'Causas penales ingresadas'!$AX$8:$AX$18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'Causas penales ingresadas'!$AY$8:$AY$18</c:f>
              <c:numCache>
                <c:formatCode>#,##0</c:formatCode>
                <c:ptCount val="11"/>
                <c:pt idx="0">
                  <c:v>229203</c:v>
                </c:pt>
                <c:pt idx="1">
                  <c:v>236844</c:v>
                </c:pt>
                <c:pt idx="2">
                  <c:v>240108</c:v>
                </c:pt>
                <c:pt idx="3">
                  <c:v>215638</c:v>
                </c:pt>
                <c:pt idx="4">
                  <c:v>164636</c:v>
                </c:pt>
                <c:pt idx="5">
                  <c:v>172695</c:v>
                </c:pt>
                <c:pt idx="6">
                  <c:v>122220</c:v>
                </c:pt>
                <c:pt idx="7">
                  <c:v>131179</c:v>
                </c:pt>
                <c:pt idx="8">
                  <c:v>160937</c:v>
                </c:pt>
                <c:pt idx="9">
                  <c:v>189411</c:v>
                </c:pt>
                <c:pt idx="10">
                  <c:v>166712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A6-4B2A-9185-2980F47950DB}"/>
            </c:ext>
          </c:extLst>
        </c:ser>
        <c:ser>
          <c:idx val="1"/>
          <c:order val="1"/>
          <c:tx>
            <c:strRef>
              <c:f>'Causas penales ingresadas'!$AZ$7</c:f>
              <c:strCache>
                <c:ptCount val="1"/>
                <c:pt idx="0">
                  <c:v>Adolescentes</c:v>
                </c:pt>
              </c:strCache>
            </c:strRef>
          </c:tx>
          <c:spPr>
            <a:solidFill>
              <a:srgbClr val="C29B6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'Causas penales ingresadas'!$AX$8:$AX$18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'Causas penales ingresadas'!$AZ$8:$AZ$18</c:f>
              <c:numCache>
                <c:formatCode>#,##0</c:formatCode>
                <c:ptCount val="11"/>
                <c:pt idx="0">
                  <c:v>17050</c:v>
                </c:pt>
                <c:pt idx="1">
                  <c:v>19922</c:v>
                </c:pt>
                <c:pt idx="2">
                  <c:v>16928</c:v>
                </c:pt>
                <c:pt idx="3">
                  <c:v>13890</c:v>
                </c:pt>
                <c:pt idx="4">
                  <c:v>10012</c:v>
                </c:pt>
                <c:pt idx="5">
                  <c:v>10647</c:v>
                </c:pt>
                <c:pt idx="6">
                  <c:v>5774</c:v>
                </c:pt>
                <c:pt idx="7">
                  <c:v>5616</c:v>
                </c:pt>
                <c:pt idx="8">
                  <c:v>4482</c:v>
                </c:pt>
                <c:pt idx="9">
                  <c:v>5441</c:v>
                </c:pt>
                <c:pt idx="10">
                  <c:v>5354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A6-4B2A-9185-2980F47950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343299727"/>
        <c:axId val="343315951"/>
      </c:barChart>
      <c:lineChart>
        <c:grouping val="standard"/>
        <c:varyColors val="0"/>
        <c:ser>
          <c:idx val="2"/>
          <c:order val="2"/>
          <c:tx>
            <c:strRef>
              <c:f>'Causas penales ingresadas'!$BA$7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56402E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diamond"/>
            <c:size val="10"/>
            <c:spPr>
              <a:solidFill>
                <a:srgbClr val="56402E"/>
              </a:solidFill>
              <a:ln w="9525">
                <a:solidFill>
                  <a:srgbClr val="56402E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56402E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'Causas penales ingresadas'!$AX$8:$AX$18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'Causas penales ingresadas'!$BA$8:$BA$18</c:f>
              <c:numCache>
                <c:formatCode>#,##0</c:formatCode>
                <c:ptCount val="11"/>
                <c:pt idx="0">
                  <c:v>246253</c:v>
                </c:pt>
                <c:pt idx="1">
                  <c:v>256766</c:v>
                </c:pt>
                <c:pt idx="2">
                  <c:v>257036</c:v>
                </c:pt>
                <c:pt idx="3">
                  <c:v>229528</c:v>
                </c:pt>
                <c:pt idx="4">
                  <c:v>174648</c:v>
                </c:pt>
                <c:pt idx="5">
                  <c:v>183342</c:v>
                </c:pt>
                <c:pt idx="6">
                  <c:v>127994</c:v>
                </c:pt>
                <c:pt idx="7">
                  <c:v>136795</c:v>
                </c:pt>
                <c:pt idx="8">
                  <c:v>165419</c:v>
                </c:pt>
                <c:pt idx="9">
                  <c:v>194852</c:v>
                </c:pt>
                <c:pt idx="10">
                  <c:v>172066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DA6-4B2A-9185-2980F47950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3299727"/>
        <c:axId val="343315951"/>
      </c:lineChart>
      <c:catAx>
        <c:axId val="343299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43315951"/>
        <c:crosses val="autoZero"/>
        <c:auto val="1"/>
        <c:lblAlgn val="ctr"/>
        <c:lblOffset val="100"/>
        <c:noMultiLvlLbl val="0"/>
      </c:catAx>
      <c:valAx>
        <c:axId val="343315951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34329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019498893318298"/>
          <c:y val="0.94678262197608798"/>
          <c:w val="0.3956436074812224"/>
          <c:h val="5.32173780239118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17803109991341E-2"/>
          <c:y val="0.23690642964108011"/>
          <c:w val="0.94364393780017319"/>
          <c:h val="0.437040945625072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BCBF9D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9C9E7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9CB-4227-8D8E-046D0D89F9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'Causas penales ingresadas'!$AM$8:$AM$38</c:f>
              <c:strCache>
                <c:ptCount val="31"/>
                <c:pt idx="0">
                  <c:v>MEX</c:v>
                </c:pt>
                <c:pt idx="1">
                  <c:v>HGO</c:v>
                </c:pt>
                <c:pt idx="2">
                  <c:v>YUC</c:v>
                </c:pt>
                <c:pt idx="3">
                  <c:v>NL</c:v>
                </c:pt>
                <c:pt idx="4">
                  <c:v>MICH</c:v>
                </c:pt>
                <c:pt idx="5">
                  <c:v>QROO</c:v>
                </c:pt>
                <c:pt idx="6">
                  <c:v>TAMPS</c:v>
                </c:pt>
                <c:pt idx="7">
                  <c:v>CDMX</c:v>
                </c:pt>
                <c:pt idx="8">
                  <c:v>MOR</c:v>
                </c:pt>
                <c:pt idx="9">
                  <c:v>COL</c:v>
                </c:pt>
                <c:pt idx="10">
                  <c:v>GRO</c:v>
                </c:pt>
                <c:pt idx="11">
                  <c:v>CHIH</c:v>
                </c:pt>
                <c:pt idx="12">
                  <c:v>VER</c:v>
                </c:pt>
                <c:pt idx="13">
                  <c:v>AGS</c:v>
                </c:pt>
                <c:pt idx="14">
                  <c:v>ZAC</c:v>
                </c:pt>
                <c:pt idx="15">
                  <c:v>GTO</c:v>
                </c:pt>
                <c:pt idx="16">
                  <c:v>OAX</c:v>
                </c:pt>
                <c:pt idx="17">
                  <c:v>SIN</c:v>
                </c:pt>
                <c:pt idx="18">
                  <c:v>TLAX</c:v>
                </c:pt>
                <c:pt idx="19">
                  <c:v>DGO</c:v>
                </c:pt>
                <c:pt idx="20">
                  <c:v>CHIS</c:v>
                </c:pt>
                <c:pt idx="21">
                  <c:v>QRO</c:v>
                </c:pt>
                <c:pt idx="22">
                  <c:v>PUE</c:v>
                </c:pt>
                <c:pt idx="23">
                  <c:v>SLP</c:v>
                </c:pt>
                <c:pt idx="24">
                  <c:v>BC</c:v>
                </c:pt>
                <c:pt idx="25">
                  <c:v>JAL</c:v>
                </c:pt>
                <c:pt idx="26">
                  <c:v>TAB</c:v>
                </c:pt>
                <c:pt idx="27">
                  <c:v>BCS</c:v>
                </c:pt>
                <c:pt idx="28">
                  <c:v>COAH</c:v>
                </c:pt>
                <c:pt idx="29">
                  <c:v>NAY</c:v>
                </c:pt>
                <c:pt idx="30">
                  <c:v>SON</c:v>
                </c:pt>
              </c:strCache>
            </c:strRef>
          </c:cat>
          <c:val>
            <c:numRef>
              <c:f>'Causas penales ingresadas'!$AN$8:$AN$38</c:f>
              <c:numCache>
                <c:formatCode>0.0%</c:formatCode>
                <c:ptCount val="31"/>
                <c:pt idx="0">
                  <c:v>0.26982551889522866</c:v>
                </c:pt>
                <c:pt idx="1">
                  <c:v>0.10858765081618169</c:v>
                </c:pt>
                <c:pt idx="2">
                  <c:v>0.10586734693877552</c:v>
                </c:pt>
                <c:pt idx="3">
                  <c:v>8.7660711304057434E-2</c:v>
                </c:pt>
                <c:pt idx="4">
                  <c:v>6.795171339563863E-2</c:v>
                </c:pt>
                <c:pt idx="5">
                  <c:v>6.4143007360672979E-2</c:v>
                </c:pt>
                <c:pt idx="6">
                  <c:v>6.2896710905943454E-2</c:v>
                </c:pt>
                <c:pt idx="7">
                  <c:v>4.8931634524812848E-2</c:v>
                </c:pt>
                <c:pt idx="8">
                  <c:v>4.7556719022687606E-2</c:v>
                </c:pt>
                <c:pt idx="9">
                  <c:v>4.7232472324723246E-2</c:v>
                </c:pt>
                <c:pt idx="10">
                  <c:v>4.4831223628691984E-2</c:v>
                </c:pt>
                <c:pt idx="11">
                  <c:v>3.9545747422680411E-2</c:v>
                </c:pt>
                <c:pt idx="12">
                  <c:v>3.7246581801037244E-2</c:v>
                </c:pt>
                <c:pt idx="13">
                  <c:v>3.5066505441354298E-2</c:v>
                </c:pt>
                <c:pt idx="14">
                  <c:v>3.415409054805401E-2</c:v>
                </c:pt>
                <c:pt idx="15">
                  <c:v>3.213174013455166E-2</c:v>
                </c:pt>
                <c:pt idx="16">
                  <c:v>2.751196172248804E-2</c:v>
                </c:pt>
                <c:pt idx="17">
                  <c:v>2.7462121212121212E-2</c:v>
                </c:pt>
                <c:pt idx="18">
                  <c:v>2.5600000000000001E-2</c:v>
                </c:pt>
                <c:pt idx="19">
                  <c:v>2.3946037099494097E-2</c:v>
                </c:pt>
                <c:pt idx="20">
                  <c:v>2.1450459652706845E-2</c:v>
                </c:pt>
                <c:pt idx="21">
                  <c:v>1.7783423308986981E-2</c:v>
                </c:pt>
                <c:pt idx="22">
                  <c:v>1.1450381679389313E-2</c:v>
                </c:pt>
                <c:pt idx="23">
                  <c:v>1.0174418604651164E-2</c:v>
                </c:pt>
                <c:pt idx="24">
                  <c:v>5.8354405757634698E-3</c:v>
                </c:pt>
                <c:pt idx="25">
                  <c:v>5.647130647130647E-3</c:v>
                </c:pt>
                <c:pt idx="26">
                  <c:v>3.5555555555555557E-3</c:v>
                </c:pt>
                <c:pt idx="27">
                  <c:v>1.8341892883345561E-3</c:v>
                </c:pt>
                <c:pt idx="28">
                  <c:v>1.0792660990526443E-3</c:v>
                </c:pt>
                <c:pt idx="29" formatCode="0.00%">
                  <c:v>3.4435261707988982E-4</c:v>
                </c:pt>
                <c:pt idx="30" formatCode="0.00%">
                  <c:v>1.232741617357002E-4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CB-4227-8D8E-046D0D89F9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961506287"/>
        <c:axId val="961526255"/>
      </c:barChart>
      <c:catAx>
        <c:axId val="961506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961526255"/>
        <c:crosses val="autoZero"/>
        <c:auto val="1"/>
        <c:lblAlgn val="ctr"/>
        <c:lblOffset val="100"/>
        <c:noMultiLvlLbl val="0"/>
      </c:catAx>
      <c:valAx>
        <c:axId val="961526255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9615062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836607879184738E-2"/>
          <c:y val="0.19816316035651438"/>
          <c:w val="0.94896621888816135"/>
          <c:h val="0.400695146122816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Conclusiones!$EB$27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B2A49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Conclusiones!$EC$25:$EG$26</c:f>
              <c:multiLvlStrCache>
                <c:ptCount val="5"/>
                <c:lvl>
                  <c:pt idx="0">
                    <c:v>Sistema Tradicional</c:v>
                  </c:pt>
                  <c:pt idx="1">
                    <c:v>Sistema Penal Acusatorio</c:v>
                  </c:pt>
                  <c:pt idx="2">
                    <c:v>Sistema Escrito o Mixto</c:v>
                  </c:pt>
                  <c:pt idx="3">
                    <c:v>Sistema Oral</c:v>
                  </c:pt>
                  <c:pt idx="4">
                    <c:v>Sistema Integral de Justicia Penal para Adolescentes</c:v>
                  </c:pt>
                </c:lvl>
                <c:lvl>
                  <c:pt idx="0">
                    <c:v>Adultos</c:v>
                  </c:pt>
                  <c:pt idx="2">
                    <c:v>Adolescentes</c:v>
                  </c:pt>
                </c:lvl>
              </c:multiLvlStrCache>
            </c:multiLvlStrRef>
          </c:cat>
          <c:val>
            <c:numRef>
              <c:f>Conclusiones!$EC$27:$EG$27</c:f>
              <c:numCache>
                <c:formatCode>#,##0</c:formatCode>
                <c:ptCount val="5"/>
                <c:pt idx="0">
                  <c:v>21688</c:v>
                </c:pt>
                <c:pt idx="1">
                  <c:v>91024</c:v>
                </c:pt>
                <c:pt idx="2">
                  <c:v>246</c:v>
                </c:pt>
                <c:pt idx="3">
                  <c:v>131</c:v>
                </c:pt>
                <c:pt idx="4">
                  <c:v>4294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0F-4961-9A43-47ECFB644163}"/>
            </c:ext>
          </c:extLst>
        </c:ser>
        <c:ser>
          <c:idx val="1"/>
          <c:order val="1"/>
          <c:tx>
            <c:strRef>
              <c:f>Conclusiones!$EB$28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6402E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56402E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610F-4961-9A43-47ECFB6441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Conclusiones!$EC$25:$EG$26</c:f>
              <c:multiLvlStrCache>
                <c:ptCount val="5"/>
                <c:lvl>
                  <c:pt idx="0">
                    <c:v>Sistema Tradicional</c:v>
                  </c:pt>
                  <c:pt idx="1">
                    <c:v>Sistema Penal Acusatorio</c:v>
                  </c:pt>
                  <c:pt idx="2">
                    <c:v>Sistema Escrito o Mixto</c:v>
                  </c:pt>
                  <c:pt idx="3">
                    <c:v>Sistema Oral</c:v>
                  </c:pt>
                  <c:pt idx="4">
                    <c:v>Sistema Integral de Justicia Penal para Adolescentes</c:v>
                  </c:pt>
                </c:lvl>
                <c:lvl>
                  <c:pt idx="0">
                    <c:v>Adultos</c:v>
                  </c:pt>
                  <c:pt idx="2">
                    <c:v>Adolescentes</c:v>
                  </c:pt>
                </c:lvl>
              </c:multiLvlStrCache>
            </c:multiLvlStrRef>
          </c:cat>
          <c:val>
            <c:numRef>
              <c:f>Conclusiones!$EC$28:$EG$28</c:f>
              <c:numCache>
                <c:formatCode>#,##0</c:formatCode>
                <c:ptCount val="5"/>
                <c:pt idx="0">
                  <c:v>11158</c:v>
                </c:pt>
                <c:pt idx="1">
                  <c:v>93547</c:v>
                </c:pt>
                <c:pt idx="2">
                  <c:v>123</c:v>
                </c:pt>
                <c:pt idx="3">
                  <c:v>23</c:v>
                </c:pt>
                <c:pt idx="4">
                  <c:v>4453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0F-4961-9A43-47ECFB644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1245851679"/>
        <c:axId val="1245835039"/>
      </c:barChart>
      <c:catAx>
        <c:axId val="1245851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245835039"/>
        <c:crosses val="autoZero"/>
        <c:auto val="1"/>
        <c:lblAlgn val="ctr"/>
        <c:lblOffset val="100"/>
        <c:noMultiLvlLbl val="0"/>
      </c:catAx>
      <c:valAx>
        <c:axId val="1245835039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245851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805984653843798"/>
          <c:y val="0.89979351636057292"/>
          <c:w val="0.14388012425253477"/>
          <c:h val="0.100206483639426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148751232944966E-2"/>
          <c:y val="0.15496366140425613"/>
          <c:w val="0.95770247856814561"/>
          <c:h val="0.29420019809173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Conclusiones!$EJ$11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B2A49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Conclusiones!$EK$9:$EP$10</c:f>
              <c:multiLvlStrCache>
                <c:ptCount val="6"/>
                <c:lvl>
                  <c:pt idx="1">
                    <c:v>Condenatoria/
sancionatoria
(de medidas)</c:v>
                  </c:pt>
                  <c:pt idx="2">
                    <c:v>Absolutoria</c:v>
                  </c:pt>
                  <c:pt idx="3">
                    <c:v>Mixta</c:v>
                  </c:pt>
                  <c:pt idx="4">
                    <c:v>No 
especificado</c:v>
                  </c:pt>
                </c:lvl>
                <c:lvl>
                  <c:pt idx="0">
                    <c:v>Sobreseimiento</c:v>
                  </c:pt>
                  <c:pt idx="1">
                    <c:v>Sentencia</c:v>
                  </c:pt>
                  <c:pt idx="5">
                    <c:v>Otro</c:v>
                  </c:pt>
                </c:lvl>
              </c:multiLvlStrCache>
            </c:multiLvlStrRef>
          </c:cat>
          <c:val>
            <c:numRef>
              <c:f>Conclusiones!$EK$11:$EP$11</c:f>
              <c:numCache>
                <c:formatCode>#,##0</c:formatCode>
                <c:ptCount val="6"/>
                <c:pt idx="0">
                  <c:v>14139</c:v>
                </c:pt>
                <c:pt idx="1">
                  <c:v>4791</c:v>
                </c:pt>
                <c:pt idx="2">
                  <c:v>843</c:v>
                </c:pt>
                <c:pt idx="3">
                  <c:v>80</c:v>
                </c:pt>
                <c:pt idx="4">
                  <c:v>0</c:v>
                </c:pt>
                <c:pt idx="5">
                  <c:v>2212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2B-4EE9-95E7-DA7E4C43E89C}"/>
            </c:ext>
          </c:extLst>
        </c:ser>
        <c:ser>
          <c:idx val="1"/>
          <c:order val="1"/>
          <c:tx>
            <c:strRef>
              <c:f>Conclusiones!$EJ$12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6402E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Conclusiones!$EK$9:$EP$10</c:f>
              <c:multiLvlStrCache>
                <c:ptCount val="6"/>
                <c:lvl>
                  <c:pt idx="1">
                    <c:v>Condenatoria/
sancionatoria
(de medidas)</c:v>
                  </c:pt>
                  <c:pt idx="2">
                    <c:v>Absolutoria</c:v>
                  </c:pt>
                  <c:pt idx="3">
                    <c:v>Mixta</c:v>
                  </c:pt>
                  <c:pt idx="4">
                    <c:v>No 
especificado</c:v>
                  </c:pt>
                </c:lvl>
                <c:lvl>
                  <c:pt idx="0">
                    <c:v>Sobreseimiento</c:v>
                  </c:pt>
                  <c:pt idx="1">
                    <c:v>Sentencia</c:v>
                  </c:pt>
                  <c:pt idx="5">
                    <c:v>Otro</c:v>
                  </c:pt>
                </c:lvl>
              </c:multiLvlStrCache>
            </c:multiLvlStrRef>
          </c:cat>
          <c:val>
            <c:numRef>
              <c:f>Conclusiones!$EK$12:$EP$12</c:f>
              <c:numCache>
                <c:formatCode>#,##0</c:formatCode>
                <c:ptCount val="6"/>
                <c:pt idx="0">
                  <c:v>6427</c:v>
                </c:pt>
                <c:pt idx="1">
                  <c:v>2769</c:v>
                </c:pt>
                <c:pt idx="2">
                  <c:v>389</c:v>
                </c:pt>
                <c:pt idx="3">
                  <c:v>42</c:v>
                </c:pt>
                <c:pt idx="4">
                  <c:v>11</c:v>
                </c:pt>
                <c:pt idx="5">
                  <c:v>1666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2B-4EE9-95E7-DA7E4C43E8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569919"/>
        <c:axId val="483571999"/>
      </c:barChart>
      <c:catAx>
        <c:axId val="483569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83571999"/>
        <c:crosses val="autoZero"/>
        <c:auto val="1"/>
        <c:lblAlgn val="ctr"/>
        <c:lblOffset val="100"/>
        <c:noMultiLvlLbl val="0"/>
      </c:catAx>
      <c:valAx>
        <c:axId val="483571999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483569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126126667048331"/>
          <c:y val="0.9312704141149023"/>
          <c:w val="0.11923964982375528"/>
          <c:h val="6.87294250162049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4396281080947393E-2"/>
          <c:y val="0.11557202408522464"/>
          <c:w val="0.97120743783810526"/>
          <c:h val="0.332321797291022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Conclusiones!$EV$10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B2A49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Conclusiones!$EW$8:$FH$9</c:f>
              <c:multiLvlStrCache>
                <c:ptCount val="12"/>
                <c:lvl>
                  <c:pt idx="0">
                    <c:v>Condenatoria</c:v>
                  </c:pt>
                  <c:pt idx="1">
                    <c:v>Absolutoria</c:v>
                  </c:pt>
                  <c:pt idx="2">
                    <c:v>Mixta</c:v>
                  </c:pt>
                  <c:pt idx="3">
                    <c:v>No 
especificado</c:v>
                  </c:pt>
                  <c:pt idx="4">
                    <c:v>Acuerdos 
reparatorios
(cumplidos)</c:v>
                  </c:pt>
                  <c:pt idx="5">
                    <c:v>Suspensión
condicional 
del proceso
(cumplidos)</c:v>
                  </c:pt>
                  <c:pt idx="6">
                    <c:v>Extinción de 
la acción penal</c:v>
                  </c:pt>
                  <c:pt idx="7">
                    <c:v>Otra causal</c:v>
                  </c:pt>
                  <c:pt idx="8">
                    <c:v>No 
especificado </c:v>
                  </c:pt>
                </c:lvl>
                <c:lvl>
                  <c:pt idx="0">
                    <c:v>
Sentencias definitivas en 
procedimiento abreviado</c:v>
                  </c:pt>
                  <c:pt idx="4">
                    <c:v>
Soluciones alternas</c:v>
                  </c:pt>
                  <c:pt idx="6">
                    <c:v>
Sobreseimiento</c:v>
                  </c:pt>
                  <c:pt idx="9">
                    <c:v>
Apertura de 
juicio oral</c:v>
                  </c:pt>
                  <c:pt idx="10">
                    <c:v>
Otro</c:v>
                  </c:pt>
                  <c:pt idx="11">
                    <c:v>
No 
especi-
ficado</c:v>
                  </c:pt>
                </c:lvl>
              </c:multiLvlStrCache>
            </c:multiLvlStrRef>
          </c:cat>
          <c:val>
            <c:numRef>
              <c:f>Conclusiones!$EW$10:$FH$10</c:f>
              <c:numCache>
                <c:formatCode>#,##0</c:formatCode>
                <c:ptCount val="12"/>
                <c:pt idx="0">
                  <c:v>20172</c:v>
                </c:pt>
                <c:pt idx="1">
                  <c:v>30</c:v>
                </c:pt>
                <c:pt idx="2">
                  <c:v>24</c:v>
                </c:pt>
                <c:pt idx="3">
                  <c:v>84</c:v>
                </c:pt>
                <c:pt idx="4">
                  <c:v>5473</c:v>
                </c:pt>
                <c:pt idx="5">
                  <c:v>12297</c:v>
                </c:pt>
                <c:pt idx="6">
                  <c:v>4994</c:v>
                </c:pt>
                <c:pt idx="7">
                  <c:v>2875</c:v>
                </c:pt>
                <c:pt idx="8">
                  <c:v>1296</c:v>
                </c:pt>
                <c:pt idx="9">
                  <c:v>7510</c:v>
                </c:pt>
                <c:pt idx="10">
                  <c:v>29949</c:v>
                </c:pt>
                <c:pt idx="11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6E-4AE2-84FC-68138CFCDA6D}"/>
            </c:ext>
          </c:extLst>
        </c:ser>
        <c:ser>
          <c:idx val="1"/>
          <c:order val="1"/>
          <c:tx>
            <c:strRef>
              <c:f>Conclusiones!$EV$11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6402E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Conclusiones!$EW$8:$FH$9</c:f>
              <c:multiLvlStrCache>
                <c:ptCount val="12"/>
                <c:lvl>
                  <c:pt idx="0">
                    <c:v>Condenatoria</c:v>
                  </c:pt>
                  <c:pt idx="1">
                    <c:v>Absolutoria</c:v>
                  </c:pt>
                  <c:pt idx="2">
                    <c:v>Mixta</c:v>
                  </c:pt>
                  <c:pt idx="3">
                    <c:v>No 
especificado</c:v>
                  </c:pt>
                  <c:pt idx="4">
                    <c:v>Acuerdos 
reparatorios
(cumplidos)</c:v>
                  </c:pt>
                  <c:pt idx="5">
                    <c:v>Suspensión
condicional 
del proceso
(cumplidos)</c:v>
                  </c:pt>
                  <c:pt idx="6">
                    <c:v>Extinción de 
la acción penal</c:v>
                  </c:pt>
                  <c:pt idx="7">
                    <c:v>Otra causal</c:v>
                  </c:pt>
                  <c:pt idx="8">
                    <c:v>No 
especificado </c:v>
                  </c:pt>
                </c:lvl>
                <c:lvl>
                  <c:pt idx="0">
                    <c:v>
Sentencias definitivas en 
procedimiento abreviado</c:v>
                  </c:pt>
                  <c:pt idx="4">
                    <c:v>
Soluciones alternas</c:v>
                  </c:pt>
                  <c:pt idx="6">
                    <c:v>
Sobreseimiento</c:v>
                  </c:pt>
                  <c:pt idx="9">
                    <c:v>
Apertura de 
juicio oral</c:v>
                  </c:pt>
                  <c:pt idx="10">
                    <c:v>
Otro</c:v>
                  </c:pt>
                  <c:pt idx="11">
                    <c:v>
No 
especi-
ficado</c:v>
                  </c:pt>
                </c:lvl>
              </c:multiLvlStrCache>
            </c:multiLvlStrRef>
          </c:cat>
          <c:val>
            <c:numRef>
              <c:f>Conclusiones!$EW$11:$FH$11</c:f>
              <c:numCache>
                <c:formatCode>#,##0</c:formatCode>
                <c:ptCount val="12"/>
                <c:pt idx="0">
                  <c:v>15937</c:v>
                </c:pt>
                <c:pt idx="1">
                  <c:v>7</c:v>
                </c:pt>
                <c:pt idx="2">
                  <c:v>16</c:v>
                </c:pt>
                <c:pt idx="3">
                  <c:v>0</c:v>
                </c:pt>
                <c:pt idx="4">
                  <c:v>3310</c:v>
                </c:pt>
                <c:pt idx="5">
                  <c:v>10147</c:v>
                </c:pt>
                <c:pt idx="6">
                  <c:v>2700</c:v>
                </c:pt>
                <c:pt idx="7">
                  <c:v>3593</c:v>
                </c:pt>
                <c:pt idx="8">
                  <c:v>851</c:v>
                </c:pt>
                <c:pt idx="9">
                  <c:v>6614</c:v>
                </c:pt>
                <c:pt idx="10">
                  <c:v>34584</c:v>
                </c:pt>
                <c:pt idx="11">
                  <c:v>13536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6E-4AE2-84FC-68138CFCD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501618447"/>
        <c:axId val="501616783"/>
      </c:barChart>
      <c:catAx>
        <c:axId val="501618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01616783"/>
        <c:crosses val="autoZero"/>
        <c:auto val="1"/>
        <c:lblAlgn val="ctr"/>
        <c:lblOffset val="100"/>
        <c:noMultiLvlLbl val="0"/>
      </c:catAx>
      <c:valAx>
        <c:axId val="501616783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501618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689338180198926"/>
          <c:y val="0.95498260391869616"/>
          <c:w val="0.16621337911880102"/>
          <c:h val="4.5017411325145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872703412073498E-2"/>
          <c:y val="0"/>
          <c:w val="0.5533495188101486"/>
          <c:h val="0.971139971139971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Órganos!$AG$21</c:f>
              <c:strCache>
                <c:ptCount val="1"/>
                <c:pt idx="0">
                  <c:v>Penal</c:v>
                </c:pt>
              </c:strCache>
            </c:strRef>
          </c:tx>
          <c:spPr>
            <a:solidFill>
              <a:srgbClr val="6C2927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6C2927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522-4EAE-8B7B-AE3E478E08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Órganos!$AI$21</c:f>
              <c:numCache>
                <c:formatCode>0.0%</c:formatCode>
                <c:ptCount val="1"/>
                <c:pt idx="0">
                  <c:v>0.20303416985679854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22-4EAE-8B7B-AE3E478E080B}"/>
            </c:ext>
          </c:extLst>
        </c:ser>
        <c:ser>
          <c:idx val="1"/>
          <c:order val="1"/>
          <c:tx>
            <c:strRef>
              <c:f>Órganos!$AG$22</c:f>
              <c:strCache>
                <c:ptCount val="1"/>
                <c:pt idx="0">
                  <c:v>Civil</c:v>
                </c:pt>
              </c:strCache>
            </c:strRef>
          </c:tx>
          <c:spPr>
            <a:solidFill>
              <a:srgbClr val="56402E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Órganos!$AI$22</c:f>
              <c:numCache>
                <c:formatCode>0.0%</c:formatCode>
                <c:ptCount val="1"/>
                <c:pt idx="0">
                  <c:v>0.1763788458811853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22-4EAE-8B7B-AE3E478E080B}"/>
            </c:ext>
          </c:extLst>
        </c:ser>
        <c:ser>
          <c:idx val="2"/>
          <c:order val="2"/>
          <c:tx>
            <c:strRef>
              <c:f>Órganos!$AG$23</c:f>
              <c:strCache>
                <c:ptCount val="1"/>
                <c:pt idx="0">
                  <c:v>Menor cuantía y/o paz</c:v>
                </c:pt>
              </c:strCache>
            </c:strRef>
          </c:tx>
          <c:spPr>
            <a:solidFill>
              <a:srgbClr val="677053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Órganos!$AI$23</c:f>
              <c:numCache>
                <c:formatCode>0.0%</c:formatCode>
                <c:ptCount val="1"/>
                <c:pt idx="0">
                  <c:v>0.1719835530979725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22-4EAE-8B7B-AE3E478E080B}"/>
            </c:ext>
          </c:extLst>
        </c:ser>
        <c:ser>
          <c:idx val="3"/>
          <c:order val="3"/>
          <c:tx>
            <c:strRef>
              <c:f>Órganos!$AG$24</c:f>
              <c:strCache>
                <c:ptCount val="1"/>
                <c:pt idx="0">
                  <c:v>Mercantil</c:v>
                </c:pt>
              </c:strCache>
            </c:strRef>
          </c:tx>
          <c:spPr>
            <a:solidFill>
              <a:srgbClr val="C29B61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Órganos!$AI$24</c:f>
              <c:numCache>
                <c:formatCode>0.0%</c:formatCode>
                <c:ptCount val="1"/>
                <c:pt idx="0">
                  <c:v>0.14702963278037715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22-4EAE-8B7B-AE3E478E080B}"/>
            </c:ext>
          </c:extLst>
        </c:ser>
        <c:ser>
          <c:idx val="4"/>
          <c:order val="4"/>
          <c:tx>
            <c:strRef>
              <c:f>Órganos!$AG$25</c:f>
              <c:strCache>
                <c:ptCount val="1"/>
                <c:pt idx="0">
                  <c:v>Familiar</c:v>
                </c:pt>
              </c:strCache>
            </c:strRef>
          </c:tx>
          <c:spPr>
            <a:solidFill>
              <a:srgbClr val="9C5A6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Órganos!$AI$25</c:f>
              <c:numCache>
                <c:formatCode>0.0%</c:formatCode>
                <c:ptCount val="1"/>
                <c:pt idx="0">
                  <c:v>0.13994045087196938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522-4EAE-8B7B-AE3E478E080B}"/>
            </c:ext>
          </c:extLst>
        </c:ser>
        <c:ser>
          <c:idx val="5"/>
          <c:order val="5"/>
          <c:tx>
            <c:strRef>
              <c:f>Órganos!$AG$26</c:f>
              <c:strCache>
                <c:ptCount val="1"/>
                <c:pt idx="0">
                  <c:v>Ejecución de sanciones</c:v>
                </c:pt>
              </c:strCache>
            </c:strRef>
          </c:tx>
          <c:spPr>
            <a:solidFill>
              <a:srgbClr val="9C9E71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Órganos!$AI$26</c:f>
              <c:numCache>
                <c:formatCode>0.0%</c:formatCode>
                <c:ptCount val="1"/>
                <c:pt idx="0">
                  <c:v>7.1600737274918475E-2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522-4EAE-8B7B-AE3E478E080B}"/>
            </c:ext>
          </c:extLst>
        </c:ser>
        <c:ser>
          <c:idx val="6"/>
          <c:order val="6"/>
          <c:tx>
            <c:strRef>
              <c:f>Órganos!$AG$27</c:f>
              <c:strCache>
                <c:ptCount val="1"/>
                <c:pt idx="0">
                  <c:v>Justicia para adolescentes</c:v>
                </c:pt>
              </c:strCache>
            </c:strRef>
          </c:tx>
          <c:spPr>
            <a:solidFill>
              <a:srgbClr val="E5C2C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Órganos!$AI$27</c:f>
              <c:numCache>
                <c:formatCode>0.0%</c:formatCode>
                <c:ptCount val="1"/>
                <c:pt idx="0">
                  <c:v>3.6296611371047782E-2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522-4EAE-8B7B-AE3E478E080B}"/>
            </c:ext>
          </c:extLst>
        </c:ser>
        <c:ser>
          <c:idx val="7"/>
          <c:order val="7"/>
          <c:tx>
            <c:strRef>
              <c:f>Órganos!$AG$28</c:f>
              <c:strCache>
                <c:ptCount val="1"/>
                <c:pt idx="0">
                  <c:v>Otra materia</c:v>
                </c:pt>
              </c:strCache>
            </c:strRef>
          </c:tx>
          <c:spPr>
            <a:solidFill>
              <a:srgbClr val="B5B5B5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Órganos!$AI$28</c:f>
              <c:numCache>
                <c:formatCode>0.0%</c:formatCode>
                <c:ptCount val="1"/>
                <c:pt idx="0">
                  <c:v>5.359421522756274E-2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522-4EAE-8B7B-AE3E478E0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1435067263"/>
        <c:axId val="1435066847"/>
      </c:barChart>
      <c:catAx>
        <c:axId val="1435067263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1435066847"/>
        <c:crosses val="autoZero"/>
        <c:auto val="1"/>
        <c:lblAlgn val="ctr"/>
        <c:lblOffset val="100"/>
        <c:noMultiLvlLbl val="0"/>
      </c:catAx>
      <c:valAx>
        <c:axId val="1435066847"/>
        <c:scaling>
          <c:orientation val="maxMin"/>
          <c:max val="1"/>
        </c:scaling>
        <c:delete val="1"/>
        <c:axPos val="l"/>
        <c:numFmt formatCode="0.0%" sourceLinked="1"/>
        <c:majorTickMark val="none"/>
        <c:minorTickMark val="none"/>
        <c:tickLblPos val="nextTo"/>
        <c:crossAx val="14350672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6848741558209892"/>
          <c:y val="0.27035047089702019"/>
          <c:w val="0.40866885389326335"/>
          <c:h val="0.510539711947771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433528696899207E-2"/>
          <c:y val="4.4057713939603713E-2"/>
          <c:w val="0.95313284456627001"/>
          <c:h val="0.541335878688240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Conclusiones!$FN$10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B2A49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Conclusiones!$FO$8:$FT$9</c:f>
              <c:multiLvlStrCache>
                <c:ptCount val="6"/>
                <c:lvl>
                  <c:pt idx="0">
                    <c:v>Condenatoria</c:v>
                  </c:pt>
                  <c:pt idx="1">
                    <c:v>Absolutoria</c:v>
                  </c:pt>
                  <c:pt idx="2">
                    <c:v>Mixta</c:v>
                  </c:pt>
                </c:lvl>
                <c:lvl>
                  <c:pt idx="0">
                    <c:v>Sentencias definitivas</c:v>
                  </c:pt>
                  <c:pt idx="3">
                    <c:v>Sobreseimiento</c:v>
                  </c:pt>
                  <c:pt idx="4">
                    <c:v>Otro</c:v>
                  </c:pt>
                  <c:pt idx="5">
                    <c:v>No especificado</c:v>
                  </c:pt>
                </c:lvl>
              </c:multiLvlStrCache>
            </c:multiLvlStrRef>
          </c:cat>
          <c:val>
            <c:numRef>
              <c:f>Conclusiones!$FO$10:$FT$10</c:f>
              <c:numCache>
                <c:formatCode>#,##0</c:formatCode>
                <c:ptCount val="6"/>
                <c:pt idx="0">
                  <c:v>7948</c:v>
                </c:pt>
                <c:pt idx="1">
                  <c:v>1456</c:v>
                </c:pt>
                <c:pt idx="2">
                  <c:v>82</c:v>
                </c:pt>
                <c:pt idx="3">
                  <c:v>342</c:v>
                </c:pt>
                <c:pt idx="4">
                  <c:v>639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E-445F-A4B8-99788F20AAFE}"/>
            </c:ext>
          </c:extLst>
        </c:ser>
        <c:ser>
          <c:idx val="1"/>
          <c:order val="1"/>
          <c:tx>
            <c:strRef>
              <c:f>Conclusiones!$FN$11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6402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Conclusiones!$FO$8:$FT$9</c:f>
              <c:multiLvlStrCache>
                <c:ptCount val="6"/>
                <c:lvl>
                  <c:pt idx="0">
                    <c:v>Condenatoria</c:v>
                  </c:pt>
                  <c:pt idx="1">
                    <c:v>Absolutoria</c:v>
                  </c:pt>
                  <c:pt idx="2">
                    <c:v>Mixta</c:v>
                  </c:pt>
                </c:lvl>
                <c:lvl>
                  <c:pt idx="0">
                    <c:v>Sentencias definitivas</c:v>
                  </c:pt>
                  <c:pt idx="3">
                    <c:v>Sobreseimiento</c:v>
                  </c:pt>
                  <c:pt idx="4">
                    <c:v>Otro</c:v>
                  </c:pt>
                  <c:pt idx="5">
                    <c:v>No especificado</c:v>
                  </c:pt>
                </c:lvl>
              </c:multiLvlStrCache>
            </c:multiLvlStrRef>
          </c:cat>
          <c:val>
            <c:numRef>
              <c:f>Conclusiones!$FO$11:$FT$11</c:f>
              <c:numCache>
                <c:formatCode>#,##0</c:formatCode>
                <c:ptCount val="6"/>
                <c:pt idx="0">
                  <c:v>4237</c:v>
                </c:pt>
                <c:pt idx="1">
                  <c:v>827</c:v>
                </c:pt>
                <c:pt idx="2">
                  <c:v>48</c:v>
                </c:pt>
                <c:pt idx="3">
                  <c:v>127</c:v>
                </c:pt>
                <c:pt idx="4">
                  <c:v>651</c:v>
                </c:pt>
                <c:pt idx="5">
                  <c:v>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4E-445F-A4B8-99788F20AA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1482856095"/>
        <c:axId val="1482851103"/>
      </c:barChart>
      <c:catAx>
        <c:axId val="14828560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482851103"/>
        <c:crosses val="autoZero"/>
        <c:auto val="1"/>
        <c:lblAlgn val="ctr"/>
        <c:lblOffset val="100"/>
        <c:noMultiLvlLbl val="0"/>
      </c:catAx>
      <c:valAx>
        <c:axId val="1482851103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4828560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371149256193348"/>
          <c:y val="0.89116135959544651"/>
          <c:w val="0.13257701487613321"/>
          <c:h val="0.108838640404553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212833618145961E-2"/>
          <c:y val="0.16056130353382966"/>
          <c:w val="0.94827647170006579"/>
          <c:h val="0.41814389688243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'Delitos por tipo depurado'!$AO$6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B2A49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'Delitos por tipo depurado'!$AN$7:$AN$16</c:f>
              <c:strCache>
                <c:ptCount val="10"/>
                <c:pt idx="0">
                  <c:v>Robo</c:v>
                </c:pt>
                <c:pt idx="1">
                  <c:v>Delitos contra la 
salud relacionados 
con narcóticos en 
su modalidad de 
narcomenudeo</c:v>
                </c:pt>
                <c:pt idx="2">
                  <c:v>Violencia familiar</c:v>
                </c:pt>
                <c:pt idx="3">
                  <c:v>Homicidio</c:v>
                </c:pt>
                <c:pt idx="4">
                  <c:v>Lesiones</c:v>
                </c:pt>
                <c:pt idx="5">
                  <c:v>Daño a la 
propiedad</c:v>
                </c:pt>
                <c:pt idx="6">
                  <c:v>Violación</c:v>
                </c:pt>
                <c:pt idx="7">
                  <c:v>Delitos federales contra la salud relacionados con narcóticos</c:v>
                </c:pt>
                <c:pt idx="8">
                  <c:v>Incumplimiento 
de obligaciones 
familiares</c:v>
                </c:pt>
                <c:pt idx="9">
                  <c:v>Abuso sexual</c:v>
                </c:pt>
              </c:strCache>
            </c:strRef>
          </c:cat>
          <c:val>
            <c:numRef>
              <c:f>'Delitos por tipo depurado'!$AO$7:$AO$16</c:f>
              <c:numCache>
                <c:formatCode>#,##0</c:formatCode>
                <c:ptCount val="10"/>
                <c:pt idx="0">
                  <c:v>56737</c:v>
                </c:pt>
                <c:pt idx="1">
                  <c:v>30754</c:v>
                </c:pt>
                <c:pt idx="2">
                  <c:v>28179</c:v>
                </c:pt>
                <c:pt idx="3">
                  <c:v>9907</c:v>
                </c:pt>
                <c:pt idx="4">
                  <c:v>17962</c:v>
                </c:pt>
                <c:pt idx="5">
                  <c:v>11832</c:v>
                </c:pt>
                <c:pt idx="6">
                  <c:v>6210</c:v>
                </c:pt>
                <c:pt idx="7">
                  <c:v>2079</c:v>
                </c:pt>
                <c:pt idx="8">
                  <c:v>6545</c:v>
                </c:pt>
                <c:pt idx="9">
                  <c:v>4514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9-48A2-B561-A9C335C406B9}"/>
            </c:ext>
          </c:extLst>
        </c:ser>
        <c:ser>
          <c:idx val="1"/>
          <c:order val="1"/>
          <c:tx>
            <c:strRef>
              <c:f>'Delitos por tipo depurado'!$AP$6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6402E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'Delitos por tipo depurado'!$AN$7:$AN$16</c:f>
              <c:strCache>
                <c:ptCount val="10"/>
                <c:pt idx="0">
                  <c:v>Robo</c:v>
                </c:pt>
                <c:pt idx="1">
                  <c:v>Delitos contra la 
salud relacionados 
con narcóticos en 
su modalidad de 
narcomenudeo</c:v>
                </c:pt>
                <c:pt idx="2">
                  <c:v>Violencia familiar</c:v>
                </c:pt>
                <c:pt idx="3">
                  <c:v>Homicidio</c:v>
                </c:pt>
                <c:pt idx="4">
                  <c:v>Lesiones</c:v>
                </c:pt>
                <c:pt idx="5">
                  <c:v>Daño a la 
propiedad</c:v>
                </c:pt>
                <c:pt idx="6">
                  <c:v>Violación</c:v>
                </c:pt>
                <c:pt idx="7">
                  <c:v>Delitos federales contra la salud relacionados con narcóticos</c:v>
                </c:pt>
                <c:pt idx="8">
                  <c:v>Incumplimiento 
de obligaciones 
familiares</c:v>
                </c:pt>
                <c:pt idx="9">
                  <c:v>Abuso sexual</c:v>
                </c:pt>
              </c:strCache>
            </c:strRef>
          </c:cat>
          <c:val>
            <c:numRef>
              <c:f>'Delitos por tipo depurado'!$AP$7:$AP$16</c:f>
              <c:numCache>
                <c:formatCode>#,##0</c:formatCode>
                <c:ptCount val="10"/>
                <c:pt idx="0">
                  <c:v>43587</c:v>
                </c:pt>
                <c:pt idx="1">
                  <c:v>27613</c:v>
                </c:pt>
                <c:pt idx="2">
                  <c:v>24257</c:v>
                </c:pt>
                <c:pt idx="3">
                  <c:v>18852</c:v>
                </c:pt>
                <c:pt idx="4">
                  <c:v>13553</c:v>
                </c:pt>
                <c:pt idx="5">
                  <c:v>9054</c:v>
                </c:pt>
                <c:pt idx="6">
                  <c:v>5739</c:v>
                </c:pt>
                <c:pt idx="7">
                  <c:v>4243</c:v>
                </c:pt>
                <c:pt idx="8">
                  <c:v>4114</c:v>
                </c:pt>
                <c:pt idx="9">
                  <c:v>4080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E9-48A2-B561-A9C335C406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343298479"/>
        <c:axId val="343313871"/>
      </c:barChart>
      <c:catAx>
        <c:axId val="343298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 algn="r"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43313871"/>
        <c:crosses val="autoZero"/>
        <c:auto val="1"/>
        <c:lblAlgn val="ctr"/>
        <c:lblOffset val="100"/>
        <c:noMultiLvlLbl val="0"/>
      </c:catAx>
      <c:valAx>
        <c:axId val="343313871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343298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215948072441723"/>
          <c:y val="0.92819033660910644"/>
          <c:w val="0.12470286713621075"/>
          <c:h val="7.18096633908936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774327122153208E-2"/>
          <c:y val="0.1374204078704285"/>
          <c:w val="0.95445134575569357"/>
          <c:h val="0.313353142930026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'Delitos por tipo depurado'!$AV$6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B2A49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'Delitos por tipo depurado'!$AU$7:$AU$16</c:f>
              <c:strCache>
                <c:ptCount val="10"/>
                <c:pt idx="0">
                  <c:v>Delitos contra la salud relacionados con narcóticos en su modalidad de narcomenudeo</c:v>
                </c:pt>
                <c:pt idx="1">
                  <c:v>Robo</c:v>
                </c:pt>
                <c:pt idx="2">
                  <c:v>Lesiones</c:v>
                </c:pt>
                <c:pt idx="3">
                  <c:v>Violación</c:v>
                </c:pt>
                <c:pt idx="4">
                  <c:v>Delitos federales 
contra la salud 
relacionados con 
narcóticos</c:v>
                </c:pt>
                <c:pt idx="5">
                  <c:v>Homicidio</c:v>
                </c:pt>
                <c:pt idx="6">
                  <c:v>Violencia familiar</c:v>
                </c:pt>
                <c:pt idx="7">
                  <c:v>Abuso sexual</c:v>
                </c:pt>
                <c:pt idx="8">
                  <c:v>Delitos en materia de armas y objetos prohibidos</c:v>
                </c:pt>
                <c:pt idx="9">
                  <c:v>Delitos en materia 
de armas, explosivos 
y otros materiales 
destructivos</c:v>
                </c:pt>
              </c:strCache>
            </c:strRef>
          </c:cat>
          <c:val>
            <c:numRef>
              <c:f>'Delitos por tipo depurado'!$AV$7:$AV$16</c:f>
              <c:numCache>
                <c:formatCode>#,##0</c:formatCode>
                <c:ptCount val="10"/>
                <c:pt idx="0">
                  <c:v>1172</c:v>
                </c:pt>
                <c:pt idx="1">
                  <c:v>1302</c:v>
                </c:pt>
                <c:pt idx="2">
                  <c:v>486</c:v>
                </c:pt>
                <c:pt idx="3">
                  <c:v>451</c:v>
                </c:pt>
                <c:pt idx="4">
                  <c:v>118</c:v>
                </c:pt>
                <c:pt idx="5">
                  <c:v>227</c:v>
                </c:pt>
                <c:pt idx="6">
                  <c:v>270</c:v>
                </c:pt>
                <c:pt idx="7">
                  <c:v>244</c:v>
                </c:pt>
                <c:pt idx="8">
                  <c:v>221</c:v>
                </c:pt>
                <c:pt idx="9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F7-42B1-BDB3-09FFBC0A5FF2}"/>
            </c:ext>
          </c:extLst>
        </c:ser>
        <c:ser>
          <c:idx val="1"/>
          <c:order val="1"/>
          <c:tx>
            <c:strRef>
              <c:f>'Delitos por tipo depurado'!$AW$6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6402E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'Delitos por tipo depurado'!$AU$7:$AU$16</c:f>
              <c:strCache>
                <c:ptCount val="10"/>
                <c:pt idx="0">
                  <c:v>Delitos contra la salud relacionados con narcóticos en su modalidad de narcomenudeo</c:v>
                </c:pt>
                <c:pt idx="1">
                  <c:v>Robo</c:v>
                </c:pt>
                <c:pt idx="2">
                  <c:v>Lesiones</c:v>
                </c:pt>
                <c:pt idx="3">
                  <c:v>Violación</c:v>
                </c:pt>
                <c:pt idx="4">
                  <c:v>Delitos federales 
contra la salud 
relacionados con 
narcóticos</c:v>
                </c:pt>
                <c:pt idx="5">
                  <c:v>Homicidio</c:v>
                </c:pt>
                <c:pt idx="6">
                  <c:v>Violencia familiar</c:v>
                </c:pt>
                <c:pt idx="7">
                  <c:v>Abuso sexual</c:v>
                </c:pt>
                <c:pt idx="8">
                  <c:v>Delitos en materia de armas y objetos prohibidos</c:v>
                </c:pt>
                <c:pt idx="9">
                  <c:v>Delitos en materia 
de armas, explosivos 
y otros materiales 
destructivos</c:v>
                </c:pt>
              </c:strCache>
            </c:strRef>
          </c:cat>
          <c:val>
            <c:numRef>
              <c:f>'Delitos por tipo depurado'!$AW$7:$AW$16</c:f>
              <c:numCache>
                <c:formatCode>#,##0</c:formatCode>
                <c:ptCount val="10"/>
                <c:pt idx="0">
                  <c:v>1899</c:v>
                </c:pt>
                <c:pt idx="1">
                  <c:v>998</c:v>
                </c:pt>
                <c:pt idx="2">
                  <c:v>381</c:v>
                </c:pt>
                <c:pt idx="3">
                  <c:v>378</c:v>
                </c:pt>
                <c:pt idx="4">
                  <c:v>250</c:v>
                </c:pt>
                <c:pt idx="5">
                  <c:v>245</c:v>
                </c:pt>
                <c:pt idx="6">
                  <c:v>230</c:v>
                </c:pt>
                <c:pt idx="7">
                  <c:v>220</c:v>
                </c:pt>
                <c:pt idx="8">
                  <c:v>195</c:v>
                </c:pt>
                <c:pt idx="9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F7-42B1-BDB3-09FFBC0A5F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1609770799"/>
        <c:axId val="1609792431"/>
      </c:barChart>
      <c:catAx>
        <c:axId val="1609770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 algn="r"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09792431"/>
        <c:crosses val="autoZero"/>
        <c:auto val="1"/>
        <c:lblAlgn val="ctr"/>
        <c:lblOffset val="100"/>
        <c:noMultiLvlLbl val="0"/>
      </c:catAx>
      <c:valAx>
        <c:axId val="1609792431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609770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699089935197613E-2"/>
          <c:y val="0.20717131474103584"/>
          <c:w val="0.94460182012960481"/>
          <c:h val="0.327177747971265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'Procesados e imputados'!$AN$26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677053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'Procesados e imputados'!$AL$27:$AM$31</c:f>
              <c:multiLvlStrCache>
                <c:ptCount val="5"/>
                <c:lvl>
                  <c:pt idx="0">
                    <c:v>Sistema Tradicional</c:v>
                  </c:pt>
                  <c:pt idx="1">
                    <c:v>Sistema Penal Acusatorio</c:v>
                  </c:pt>
                  <c:pt idx="2">
                    <c:v>Sistema Escrito o Mixto</c:v>
                  </c:pt>
                  <c:pt idx="3">
                    <c:v>Sistema Oral</c:v>
                  </c:pt>
                  <c:pt idx="4">
                    <c:v>Sistema Integral 
de Justicia Penal 
para Adolescentes</c:v>
                  </c:pt>
                </c:lvl>
                <c:lvl>
                  <c:pt idx="0">
                    <c:v>Adultos</c:v>
                  </c:pt>
                  <c:pt idx="2">
                    <c:v>Adolescentes</c:v>
                  </c:pt>
                </c:lvl>
              </c:multiLvlStrCache>
            </c:multiLvlStrRef>
          </c:cat>
          <c:val>
            <c:numRef>
              <c:f>'Procesados e imputados'!$AN$27:$AN$31</c:f>
              <c:numCache>
                <c:formatCode>#,##0</c:formatCode>
                <c:ptCount val="5"/>
                <c:pt idx="0">
                  <c:v>5048</c:v>
                </c:pt>
                <c:pt idx="1">
                  <c:v>161793</c:v>
                </c:pt>
                <c:pt idx="2">
                  <c:v>19</c:v>
                </c:pt>
                <c:pt idx="3">
                  <c:v>3</c:v>
                </c:pt>
                <c:pt idx="4">
                  <c:v>5046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79-4F90-B7DD-197501BE429C}"/>
            </c:ext>
          </c:extLst>
        </c:ser>
        <c:ser>
          <c:idx val="1"/>
          <c:order val="1"/>
          <c:tx>
            <c:strRef>
              <c:f>'Procesados e imputados'!$AO$26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C29B61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'Procesados e imputados'!$AL$27:$AM$31</c:f>
              <c:multiLvlStrCache>
                <c:ptCount val="5"/>
                <c:lvl>
                  <c:pt idx="0">
                    <c:v>Sistema Tradicional</c:v>
                  </c:pt>
                  <c:pt idx="1">
                    <c:v>Sistema Penal Acusatorio</c:v>
                  </c:pt>
                  <c:pt idx="2">
                    <c:v>Sistema Escrito o Mixto</c:v>
                  </c:pt>
                  <c:pt idx="3">
                    <c:v>Sistema Oral</c:v>
                  </c:pt>
                  <c:pt idx="4">
                    <c:v>Sistema Integral 
de Justicia Penal 
para Adolescentes</c:v>
                  </c:pt>
                </c:lvl>
                <c:lvl>
                  <c:pt idx="0">
                    <c:v>Adultos</c:v>
                  </c:pt>
                  <c:pt idx="2">
                    <c:v>Adolescentes</c:v>
                  </c:pt>
                </c:lvl>
              </c:multiLvlStrCache>
            </c:multiLvlStrRef>
          </c:cat>
          <c:val>
            <c:numRef>
              <c:f>'Procesados e imputados'!$AO$27:$AO$31</c:f>
              <c:numCache>
                <c:formatCode>#,##0</c:formatCode>
                <c:ptCount val="5"/>
                <c:pt idx="0">
                  <c:v>714</c:v>
                </c:pt>
                <c:pt idx="1">
                  <c:v>19281</c:v>
                </c:pt>
                <c:pt idx="2">
                  <c:v>4</c:v>
                </c:pt>
                <c:pt idx="3">
                  <c:v>0</c:v>
                </c:pt>
                <c:pt idx="4">
                  <c:v>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79-4F90-B7DD-197501BE42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686741231"/>
        <c:axId val="686750383"/>
      </c:barChart>
      <c:catAx>
        <c:axId val="686741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86750383"/>
        <c:crosses val="autoZero"/>
        <c:auto val="1"/>
        <c:lblAlgn val="ctr"/>
        <c:lblOffset val="100"/>
        <c:noMultiLvlLbl val="0"/>
      </c:catAx>
      <c:valAx>
        <c:axId val="686750383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686741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34770047810049"/>
          <c:y val="0.87658908021112747"/>
          <c:w val="0.19304599043799006"/>
          <c:h val="0.108758905136857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/>
              <a:t>Adultos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3220345799891965E-2"/>
          <c:y val="0.11435435435435434"/>
          <c:w val="0.91355930840021604"/>
          <c:h val="0.638755290723794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'Vinculación a proceso histórico'!$AE$5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B2A4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'Vinculación a proceso histórico'!$AF$4:$AG$4</c:f>
              <c:strCache>
                <c:ptCount val="2"/>
                <c:pt idx="0">
                  <c:v>Vinculados a proceso</c:v>
                </c:pt>
                <c:pt idx="1">
                  <c:v>No vinculados a proceso</c:v>
                </c:pt>
              </c:strCache>
            </c:strRef>
          </c:cat>
          <c:val>
            <c:numRef>
              <c:f>'Vinculación a proceso histórico'!$AF$5:$AG$5</c:f>
              <c:numCache>
                <c:formatCode>#,##0</c:formatCode>
                <c:ptCount val="2"/>
                <c:pt idx="0">
                  <c:v>69873</c:v>
                </c:pt>
                <c:pt idx="1">
                  <c:v>8631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DC-40AE-9B38-A422E25B0DE6}"/>
            </c:ext>
          </c:extLst>
        </c:ser>
        <c:ser>
          <c:idx val="1"/>
          <c:order val="1"/>
          <c:tx>
            <c:strRef>
              <c:f>'Vinculación a proceso histórico'!$AE$6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6402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'Vinculación a proceso histórico'!$AF$4:$AG$4</c:f>
              <c:strCache>
                <c:ptCount val="2"/>
                <c:pt idx="0">
                  <c:v>Vinculados a proceso</c:v>
                </c:pt>
                <c:pt idx="1">
                  <c:v>No vinculados a proceso</c:v>
                </c:pt>
              </c:strCache>
            </c:strRef>
          </c:cat>
          <c:val>
            <c:numRef>
              <c:f>'Vinculación a proceso histórico'!$AF$6:$AG$6</c:f>
              <c:numCache>
                <c:formatCode>#,##0</c:formatCode>
                <c:ptCount val="2"/>
                <c:pt idx="0">
                  <c:v>61388</c:v>
                </c:pt>
                <c:pt idx="1">
                  <c:v>4599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DC-40AE-9B38-A422E25B0D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132013712"/>
        <c:axId val="132015376"/>
      </c:barChart>
      <c:catAx>
        <c:axId val="13201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32015376"/>
        <c:crosses val="autoZero"/>
        <c:auto val="1"/>
        <c:lblAlgn val="ctr"/>
        <c:lblOffset val="100"/>
        <c:noMultiLvlLbl val="0"/>
      </c:catAx>
      <c:valAx>
        <c:axId val="132015376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3201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368826149752527"/>
          <c:y val="0.922011154855643"/>
          <c:w val="0.30631173850247484"/>
          <c:h val="7.79886973587761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/>
              <a:t>Adolescentes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8807534457874766E-2"/>
          <c:y val="0.69693693693693692"/>
          <c:w val="0.90238493108425044"/>
          <c:h val="5.6172708141212079E-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'Vinculación a proceso histórico'!$AI$5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B2A4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'Vinculación a proceso histórico'!$AJ$4:$AK$4</c:f>
              <c:strCache>
                <c:ptCount val="2"/>
                <c:pt idx="0">
                  <c:v>Vinculados a proceso</c:v>
                </c:pt>
                <c:pt idx="1">
                  <c:v>No vinculados a proceso</c:v>
                </c:pt>
              </c:strCache>
            </c:strRef>
          </c:cat>
          <c:val>
            <c:numRef>
              <c:f>'Vinculación a proceso histórico'!$AJ$5:$AK$5</c:f>
              <c:numCache>
                <c:formatCode>#,##0</c:formatCode>
                <c:ptCount val="2"/>
                <c:pt idx="0">
                  <c:v>2915</c:v>
                </c:pt>
                <c:pt idx="1">
                  <c:v>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3F-4969-9774-160153CBA720}"/>
            </c:ext>
          </c:extLst>
        </c:ser>
        <c:ser>
          <c:idx val="1"/>
          <c:order val="1"/>
          <c:tx>
            <c:strRef>
              <c:f>'Vinculación a proceso histórico'!$AI$6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6402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'Vinculación a proceso histórico'!$AJ$4:$AK$4</c:f>
              <c:strCache>
                <c:ptCount val="2"/>
                <c:pt idx="0">
                  <c:v>Vinculados a proceso</c:v>
                </c:pt>
                <c:pt idx="1">
                  <c:v>No vinculados a proceso</c:v>
                </c:pt>
              </c:strCache>
            </c:strRef>
          </c:cat>
          <c:val>
            <c:numRef>
              <c:f>'Vinculación a proceso histórico'!$AJ$6:$AK$6</c:f>
              <c:numCache>
                <c:formatCode>#,##0</c:formatCode>
                <c:ptCount val="2"/>
                <c:pt idx="0">
                  <c:v>2371</c:v>
                </c:pt>
                <c:pt idx="1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3F-4969-9774-160153CBA7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5"/>
        <c:axId val="136480848"/>
        <c:axId val="136477520"/>
      </c:barChart>
      <c:catAx>
        <c:axId val="13648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36477520"/>
        <c:crosses val="autoZero"/>
        <c:auto val="1"/>
        <c:lblAlgn val="ctr"/>
        <c:lblOffset val="100"/>
        <c:noMultiLvlLbl val="0"/>
      </c:catAx>
      <c:valAx>
        <c:axId val="136477520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36480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'Vinculaciones a proceso'!$C$42</c:f>
              <c:strCache>
                <c:ptCount val="1"/>
                <c:pt idx="0">
                  <c:v>Vinculados a proceso</c:v>
                </c:pt>
              </c:strCache>
            </c:strRef>
          </c:tx>
          <c:spPr>
            <a:solidFill>
              <a:srgbClr val="677053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'Vinculaciones a proceso'!$B$43:$B$63</c:f>
              <c:strCache>
                <c:ptCount val="21"/>
                <c:pt idx="0">
                  <c:v>GTO</c:v>
                </c:pt>
                <c:pt idx="1">
                  <c:v>SON</c:v>
                </c:pt>
                <c:pt idx="2">
                  <c:v>SIN</c:v>
                </c:pt>
                <c:pt idx="3">
                  <c:v>BC</c:v>
                </c:pt>
                <c:pt idx="4">
                  <c:v>AGS</c:v>
                </c:pt>
                <c:pt idx="5">
                  <c:v>QRO</c:v>
                </c:pt>
                <c:pt idx="6">
                  <c:v>COAH</c:v>
                </c:pt>
                <c:pt idx="7">
                  <c:v>CHIS</c:v>
                </c:pt>
                <c:pt idx="8">
                  <c:v>DGO</c:v>
                </c:pt>
                <c:pt idx="9">
                  <c:v>CDMX</c:v>
                </c:pt>
                <c:pt idx="10">
                  <c:v>CAMP</c:v>
                </c:pt>
                <c:pt idx="11">
                  <c:v>GRO</c:v>
                </c:pt>
                <c:pt idx="12">
                  <c:v>QROO</c:v>
                </c:pt>
                <c:pt idx="13">
                  <c:v>PUE</c:v>
                </c:pt>
                <c:pt idx="14">
                  <c:v>HGO</c:v>
                </c:pt>
                <c:pt idx="15">
                  <c:v>TLAX</c:v>
                </c:pt>
                <c:pt idx="16">
                  <c:v>YUC</c:v>
                </c:pt>
                <c:pt idx="17">
                  <c:v>MOR</c:v>
                </c:pt>
                <c:pt idx="18">
                  <c:v>VER</c:v>
                </c:pt>
                <c:pt idx="19">
                  <c:v>JAL</c:v>
                </c:pt>
                <c:pt idx="20">
                  <c:v>TAB</c:v>
                </c:pt>
              </c:strCache>
            </c:strRef>
          </c:cat>
          <c:val>
            <c:numRef>
              <c:f>'Vinculaciones a proceso'!$C$43:$C$63</c:f>
              <c:numCache>
                <c:formatCode>0.0%</c:formatCode>
                <c:ptCount val="21"/>
                <c:pt idx="0">
                  <c:v>0.99459642012833505</c:v>
                </c:pt>
                <c:pt idx="1">
                  <c:v>0.97033305345647913</c:v>
                </c:pt>
                <c:pt idx="2">
                  <c:v>0.96873473375671715</c:v>
                </c:pt>
                <c:pt idx="3">
                  <c:v>0.95734669095324831</c:v>
                </c:pt>
                <c:pt idx="4">
                  <c:v>0.95385514018691586</c:v>
                </c:pt>
                <c:pt idx="5">
                  <c:v>0.95293209876543206</c:v>
                </c:pt>
                <c:pt idx="6">
                  <c:v>0.95049144521295958</c:v>
                </c:pt>
                <c:pt idx="7">
                  <c:v>0.93800322061191621</c:v>
                </c:pt>
                <c:pt idx="8">
                  <c:v>0.93536931818181823</c:v>
                </c:pt>
                <c:pt idx="9">
                  <c:v>0.92731969205834686</c:v>
                </c:pt>
                <c:pt idx="10">
                  <c:v>0.91666666666666663</c:v>
                </c:pt>
                <c:pt idx="11">
                  <c:v>0.89822294022617122</c:v>
                </c:pt>
                <c:pt idx="12">
                  <c:v>0.88397790055248615</c:v>
                </c:pt>
                <c:pt idx="13">
                  <c:v>0.87852404643449422</c:v>
                </c:pt>
                <c:pt idx="14">
                  <c:v>0.8768020969855832</c:v>
                </c:pt>
                <c:pt idx="15">
                  <c:v>0.84353741496598644</c:v>
                </c:pt>
                <c:pt idx="16">
                  <c:v>0.84202898550724636</c:v>
                </c:pt>
                <c:pt idx="17">
                  <c:v>0.83903252710592158</c:v>
                </c:pt>
                <c:pt idx="18">
                  <c:v>0.83801169590643276</c:v>
                </c:pt>
                <c:pt idx="19">
                  <c:v>0.78481012658227844</c:v>
                </c:pt>
                <c:pt idx="20">
                  <c:v>0.69528875379939215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6F-49D4-BC94-B316EFD4C6D6}"/>
            </c:ext>
          </c:extLst>
        </c:ser>
        <c:ser>
          <c:idx val="1"/>
          <c:order val="1"/>
          <c:tx>
            <c:strRef>
              <c:f>'Vinculaciones a proceso'!$D$42</c:f>
              <c:strCache>
                <c:ptCount val="1"/>
                <c:pt idx="0">
                  <c:v>No vinculados a proceso</c:v>
                </c:pt>
              </c:strCache>
            </c:strRef>
          </c:tx>
          <c:spPr>
            <a:solidFill>
              <a:srgbClr val="BCBF9D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3.6111111111110906E-2"/>
                  <c:y val="-2.68795980696812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6F-49D4-BC94-B316EFD4C6D6}"/>
                </c:ext>
              </c:extLst>
            </c:dLbl>
            <c:dLbl>
              <c:idx val="1"/>
              <c:layout>
                <c:manualLayout>
                  <c:x val="2.5665450204694972E-2"/>
                  <c:y val="2.116670451978991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6F-49D4-BC94-B316EFD4C6D6}"/>
                </c:ext>
              </c:extLst>
            </c:dLbl>
            <c:dLbl>
              <c:idx val="2"/>
              <c:layout>
                <c:manualLayout>
                  <c:x val="3.1664699589948941E-2"/>
                  <c:y val="4.233340903957983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6F-49D4-BC94-B316EFD4C6D6}"/>
                </c:ext>
              </c:extLst>
            </c:dLbl>
            <c:dLbl>
              <c:idx val="3"/>
              <c:layout>
                <c:manualLayout>
                  <c:x val="1.66666666666665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6F-49D4-BC94-B316EFD4C6D6}"/>
                </c:ext>
              </c:extLst>
            </c:dLbl>
            <c:dLbl>
              <c:idx val="4"/>
              <c:layout>
                <c:manualLayout>
                  <c:x val="1.66666666666665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6F-49D4-BC94-B316EFD4C6D6}"/>
                </c:ext>
              </c:extLst>
            </c:dLbl>
            <c:dLbl>
              <c:idx val="5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66F-49D4-BC94-B316EFD4C6D6}"/>
                </c:ext>
              </c:extLst>
            </c:dLbl>
            <c:dLbl>
              <c:idx val="6"/>
              <c:layout>
                <c:manualLayout>
                  <c:x val="8.33333333333323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66F-49D4-BC94-B316EFD4C6D6}"/>
                </c:ext>
              </c:extLst>
            </c:dLbl>
            <c:dLbl>
              <c:idx val="7"/>
              <c:layout>
                <c:manualLayout>
                  <c:x val="8.99887407788101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66F-49D4-BC94-B316EFD4C6D6}"/>
                </c:ext>
              </c:extLst>
            </c:dLbl>
            <c:dLbl>
              <c:idx val="8"/>
              <c:layout>
                <c:manualLayout>
                  <c:x val="8.9988740778811221E-3"/>
                  <c:y val="4.92825743737395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66F-49D4-BC94-B316EFD4C6D6}"/>
                </c:ext>
              </c:extLst>
            </c:dLbl>
            <c:dLbl>
              <c:idx val="9"/>
              <c:layout>
                <c:manualLayout>
                  <c:x val="1.49981234631352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66F-49D4-BC94-B316EFD4C6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'Vinculaciones a proceso'!$B$43:$B$63</c:f>
              <c:strCache>
                <c:ptCount val="21"/>
                <c:pt idx="0">
                  <c:v>GTO</c:v>
                </c:pt>
                <c:pt idx="1">
                  <c:v>SON</c:v>
                </c:pt>
                <c:pt idx="2">
                  <c:v>SIN</c:v>
                </c:pt>
                <c:pt idx="3">
                  <c:v>BC</c:v>
                </c:pt>
                <c:pt idx="4">
                  <c:v>AGS</c:v>
                </c:pt>
                <c:pt idx="5">
                  <c:v>QRO</c:v>
                </c:pt>
                <c:pt idx="6">
                  <c:v>COAH</c:v>
                </c:pt>
                <c:pt idx="7">
                  <c:v>CHIS</c:v>
                </c:pt>
                <c:pt idx="8">
                  <c:v>DGO</c:v>
                </c:pt>
                <c:pt idx="9">
                  <c:v>CDMX</c:v>
                </c:pt>
                <c:pt idx="10">
                  <c:v>CAMP</c:v>
                </c:pt>
                <c:pt idx="11">
                  <c:v>GRO</c:v>
                </c:pt>
                <c:pt idx="12">
                  <c:v>QROO</c:v>
                </c:pt>
                <c:pt idx="13">
                  <c:v>PUE</c:v>
                </c:pt>
                <c:pt idx="14">
                  <c:v>HGO</c:v>
                </c:pt>
                <c:pt idx="15">
                  <c:v>TLAX</c:v>
                </c:pt>
                <c:pt idx="16">
                  <c:v>YUC</c:v>
                </c:pt>
                <c:pt idx="17">
                  <c:v>MOR</c:v>
                </c:pt>
                <c:pt idx="18">
                  <c:v>VER</c:v>
                </c:pt>
                <c:pt idx="19">
                  <c:v>JAL</c:v>
                </c:pt>
                <c:pt idx="20">
                  <c:v>TAB</c:v>
                </c:pt>
              </c:strCache>
            </c:strRef>
          </c:cat>
          <c:val>
            <c:numRef>
              <c:f>'Vinculaciones a proceso'!$D$43:$D$63</c:f>
              <c:numCache>
                <c:formatCode>0.0%</c:formatCode>
                <c:ptCount val="21"/>
                <c:pt idx="0">
                  <c:v>5.4035798716649784E-3</c:v>
                </c:pt>
                <c:pt idx="1">
                  <c:v>2.9666946543520849E-2</c:v>
                </c:pt>
                <c:pt idx="2">
                  <c:v>3.1265266243282852E-2</c:v>
                </c:pt>
                <c:pt idx="3">
                  <c:v>4.2653309046751672E-2</c:v>
                </c:pt>
                <c:pt idx="4">
                  <c:v>4.614485981308411E-2</c:v>
                </c:pt>
                <c:pt idx="5">
                  <c:v>4.7067901234567902E-2</c:v>
                </c:pt>
                <c:pt idx="6">
                  <c:v>4.9508554787040408E-2</c:v>
                </c:pt>
                <c:pt idx="7">
                  <c:v>6.1996779388083734E-2</c:v>
                </c:pt>
                <c:pt idx="8">
                  <c:v>6.4630681818181823E-2</c:v>
                </c:pt>
                <c:pt idx="9">
                  <c:v>7.2680307941653158E-2</c:v>
                </c:pt>
                <c:pt idx="10">
                  <c:v>8.3333333333333329E-2</c:v>
                </c:pt>
                <c:pt idx="11">
                  <c:v>0.10177705977382875</c:v>
                </c:pt>
                <c:pt idx="12">
                  <c:v>0.11602209944751381</c:v>
                </c:pt>
                <c:pt idx="13">
                  <c:v>0.12147595356550581</c:v>
                </c:pt>
                <c:pt idx="14">
                  <c:v>0.12319790301441677</c:v>
                </c:pt>
                <c:pt idx="15">
                  <c:v>0.15646258503401361</c:v>
                </c:pt>
                <c:pt idx="16">
                  <c:v>0.15797101449275364</c:v>
                </c:pt>
                <c:pt idx="17">
                  <c:v>0.16096747289407839</c:v>
                </c:pt>
                <c:pt idx="18">
                  <c:v>0.16198830409356726</c:v>
                </c:pt>
                <c:pt idx="19">
                  <c:v>0.21518987341772153</c:v>
                </c:pt>
                <c:pt idx="20">
                  <c:v>0.30471124620060791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66F-49D4-BC94-B316EFD4C6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104864336"/>
        <c:axId val="104865168"/>
      </c:barChart>
      <c:catAx>
        <c:axId val="1048643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04865168"/>
        <c:crosses val="autoZero"/>
        <c:auto val="1"/>
        <c:lblAlgn val="ctr"/>
        <c:lblOffset val="100"/>
        <c:noMultiLvlLbl val="0"/>
      </c:catAx>
      <c:valAx>
        <c:axId val="104865168"/>
        <c:scaling>
          <c:orientation val="minMax"/>
          <c:max val="1.05"/>
          <c:min val="0"/>
        </c:scaling>
        <c:delete val="1"/>
        <c:axPos val="t"/>
        <c:numFmt formatCode="0.0%" sourceLinked="1"/>
        <c:majorTickMark val="out"/>
        <c:minorTickMark val="none"/>
        <c:tickLblPos val="nextTo"/>
        <c:crossAx val="10486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'Vinculaciones a proceso'!$L$42</c:f>
              <c:strCache>
                <c:ptCount val="1"/>
                <c:pt idx="0">
                  <c:v>Vinculados a proceso</c:v>
                </c:pt>
              </c:strCache>
            </c:strRef>
          </c:tx>
          <c:spPr>
            <a:solidFill>
              <a:srgbClr val="C29B61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'Vinculaciones a proceso'!$K$43:$K$68</c:f>
              <c:strCache>
                <c:ptCount val="26"/>
                <c:pt idx="0">
                  <c:v>JAL</c:v>
                </c:pt>
                <c:pt idx="1">
                  <c:v>OAX</c:v>
                </c:pt>
                <c:pt idx="2">
                  <c:v>QRO</c:v>
                </c:pt>
                <c:pt idx="3">
                  <c:v>QROO</c:v>
                </c:pt>
                <c:pt idx="4">
                  <c:v>TAMPS</c:v>
                </c:pt>
                <c:pt idx="5">
                  <c:v>SON</c:v>
                </c:pt>
                <c:pt idx="6">
                  <c:v>ZAC</c:v>
                </c:pt>
                <c:pt idx="7">
                  <c:v>GTO</c:v>
                </c:pt>
                <c:pt idx="8">
                  <c:v>BC</c:v>
                </c:pt>
                <c:pt idx="9">
                  <c:v>AGS</c:v>
                </c:pt>
                <c:pt idx="10">
                  <c:v>YUC</c:v>
                </c:pt>
                <c:pt idx="11">
                  <c:v>PUE</c:v>
                </c:pt>
                <c:pt idx="12">
                  <c:v>CHIH</c:v>
                </c:pt>
                <c:pt idx="13">
                  <c:v>SIN</c:v>
                </c:pt>
                <c:pt idx="14">
                  <c:v>VER</c:v>
                </c:pt>
                <c:pt idx="15">
                  <c:v>COAH</c:v>
                </c:pt>
                <c:pt idx="16">
                  <c:v>CDMX</c:v>
                </c:pt>
                <c:pt idx="17">
                  <c:v>HGO</c:v>
                </c:pt>
                <c:pt idx="18">
                  <c:v>TAB</c:v>
                </c:pt>
                <c:pt idx="19">
                  <c:v>DGO</c:v>
                </c:pt>
                <c:pt idx="20">
                  <c:v>TLAX</c:v>
                </c:pt>
                <c:pt idx="21">
                  <c:v>CAMP</c:v>
                </c:pt>
                <c:pt idx="22">
                  <c:v>MOR</c:v>
                </c:pt>
                <c:pt idx="23">
                  <c:v>GRO</c:v>
                </c:pt>
                <c:pt idx="24">
                  <c:v>SLP</c:v>
                </c:pt>
                <c:pt idx="25">
                  <c:v>CHIS</c:v>
                </c:pt>
              </c:strCache>
            </c:strRef>
          </c:cat>
          <c:val>
            <c:numRef>
              <c:f>'Vinculaciones a proceso'!$L$43:$L$68</c:f>
              <c:numCache>
                <c:formatCode>0.0%</c:formatCode>
                <c:ptCount val="2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0.99479166666666663</c:v>
                </c:pt>
                <c:pt idx="6">
                  <c:v>0.9859154929577465</c:v>
                </c:pt>
                <c:pt idx="7">
                  <c:v>0.97785977859778594</c:v>
                </c:pt>
                <c:pt idx="8">
                  <c:v>0.96938775510204078</c:v>
                </c:pt>
                <c:pt idx="9">
                  <c:v>0.96875</c:v>
                </c:pt>
                <c:pt idx="10">
                  <c:v>0.96666666666666667</c:v>
                </c:pt>
                <c:pt idx="11">
                  <c:v>0.96</c:v>
                </c:pt>
                <c:pt idx="12">
                  <c:v>0.95202020202020199</c:v>
                </c:pt>
                <c:pt idx="13">
                  <c:v>0.94736842105263153</c:v>
                </c:pt>
                <c:pt idx="14">
                  <c:v>0.94117647058823528</c:v>
                </c:pt>
                <c:pt idx="15">
                  <c:v>0.93406593406593408</c:v>
                </c:pt>
                <c:pt idx="16">
                  <c:v>0.92991913746630728</c:v>
                </c:pt>
                <c:pt idx="17">
                  <c:v>0.91304347826086951</c:v>
                </c:pt>
                <c:pt idx="18">
                  <c:v>0.88888888888888884</c:v>
                </c:pt>
                <c:pt idx="19">
                  <c:v>0.80851063829787229</c:v>
                </c:pt>
                <c:pt idx="20">
                  <c:v>0.77777777777777779</c:v>
                </c:pt>
                <c:pt idx="21">
                  <c:v>0.7142857142857143</c:v>
                </c:pt>
                <c:pt idx="22">
                  <c:v>0.71304347826086956</c:v>
                </c:pt>
                <c:pt idx="23">
                  <c:v>0.7</c:v>
                </c:pt>
                <c:pt idx="24">
                  <c:v>0.67741935483870963</c:v>
                </c:pt>
                <c:pt idx="25">
                  <c:v>0.6333333333333333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F2-4E26-B442-4253377E5124}"/>
            </c:ext>
          </c:extLst>
        </c:ser>
        <c:ser>
          <c:idx val="1"/>
          <c:order val="1"/>
          <c:tx>
            <c:strRef>
              <c:f>'Vinculaciones a proceso'!$M$42</c:f>
              <c:strCache>
                <c:ptCount val="1"/>
                <c:pt idx="0">
                  <c:v>No vinculados a proceso</c:v>
                </c:pt>
              </c:strCache>
            </c:strRef>
          </c:tx>
          <c:spPr>
            <a:solidFill>
              <a:srgbClr val="F2D9B1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F2-4E26-B442-4253377E512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F2-4E26-B442-4253377E512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F2-4E26-B442-4253377E512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F2-4E26-B442-4253377E512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F2-4E26-B442-4253377E5124}"/>
                </c:ext>
              </c:extLst>
            </c:dLbl>
            <c:dLbl>
              <c:idx val="5"/>
              <c:layout>
                <c:manualLayout>
                  <c:x val="3.1088082901554404E-2"/>
                  <c:y val="2.282323405492217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CF2-4E26-B442-4253377E5124}"/>
                </c:ext>
              </c:extLst>
            </c:dLbl>
            <c:dLbl>
              <c:idx val="6"/>
              <c:layout>
                <c:manualLayout>
                  <c:x val="3.1088082901554279E-2"/>
                  <c:y val="5.313948274651823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F2-4E26-B442-4253377E5124}"/>
                </c:ext>
              </c:extLst>
            </c:dLbl>
            <c:dLbl>
              <c:idx val="7"/>
              <c:layout>
                <c:manualLayout>
                  <c:x val="3.10880829015544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F2-4E26-B442-4253377E5124}"/>
                </c:ext>
              </c:extLst>
            </c:dLbl>
            <c:dLbl>
              <c:idx val="8"/>
              <c:layout>
                <c:manualLayout>
                  <c:x val="3.4542314335060449E-2"/>
                  <c:y val="2.282323405226520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F2-4E26-B442-4253377E5124}"/>
                </c:ext>
              </c:extLst>
            </c:dLbl>
            <c:dLbl>
              <c:idx val="9"/>
              <c:layout>
                <c:manualLayout>
                  <c:x val="3.4542314335060449E-2"/>
                  <c:y val="2.282323405226520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CF2-4E26-B442-4253377E5124}"/>
                </c:ext>
              </c:extLst>
            </c:dLbl>
            <c:dLbl>
              <c:idx val="10"/>
              <c:layout>
                <c:manualLayout>
                  <c:x val="3.10880829015544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CF2-4E26-B442-4253377E5124}"/>
                </c:ext>
              </c:extLst>
            </c:dLbl>
            <c:dLbl>
              <c:idx val="11"/>
              <c:layout>
                <c:manualLayout>
                  <c:x val="2.7633851468048358E-2"/>
                  <c:y val="2.282323405226520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CF2-4E26-B442-4253377E5124}"/>
                </c:ext>
              </c:extLst>
            </c:dLbl>
            <c:dLbl>
              <c:idx val="12"/>
              <c:layout>
                <c:manualLayout>
                  <c:x val="1.7271157167530225E-2"/>
                  <c:y val="2.282323404695125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CF2-4E26-B442-4253377E5124}"/>
                </c:ext>
              </c:extLst>
            </c:dLbl>
            <c:dLbl>
              <c:idx val="13"/>
              <c:layout>
                <c:manualLayout>
                  <c:x val="2.4179620034542316E-2"/>
                  <c:y val="2.15078277739183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CF2-4E26-B442-4253377E5124}"/>
                </c:ext>
              </c:extLst>
            </c:dLbl>
            <c:dLbl>
              <c:idx val="14"/>
              <c:layout>
                <c:manualLayout>
                  <c:x val="1.38169257340240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CF2-4E26-B442-4253377E5124}"/>
                </c:ext>
              </c:extLst>
            </c:dLbl>
            <c:dLbl>
              <c:idx val="15"/>
              <c:layout>
                <c:manualLayout>
                  <c:x val="1.7271157167530225E-2"/>
                  <c:y val="1.062789654930364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CF2-4E26-B442-4253377E5124}"/>
                </c:ext>
              </c:extLst>
            </c:dLbl>
            <c:dLbl>
              <c:idx val="16"/>
              <c:layout>
                <c:manualLayout>
                  <c:x val="1.3816925734024179E-2"/>
                  <c:y val="2.150782778393367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CF2-4E26-B442-4253377E5124}"/>
                </c:ext>
              </c:extLst>
            </c:dLbl>
            <c:dLbl>
              <c:idx val="17"/>
              <c:layout>
                <c:manualLayout>
                  <c:x val="1.0362694300518135E-2"/>
                  <c:y val="4.301565554783663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CF2-4E26-B442-4253377E5124}"/>
                </c:ext>
              </c:extLst>
            </c:dLbl>
            <c:dLbl>
              <c:idx val="18"/>
              <c:layout>
                <c:manualLayout>
                  <c:x val="1.03626943005181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CF2-4E26-B442-4253377E51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'Vinculaciones a proceso'!$K$43:$K$68</c:f>
              <c:strCache>
                <c:ptCount val="26"/>
                <c:pt idx="0">
                  <c:v>JAL</c:v>
                </c:pt>
                <c:pt idx="1">
                  <c:v>OAX</c:v>
                </c:pt>
                <c:pt idx="2">
                  <c:v>QRO</c:v>
                </c:pt>
                <c:pt idx="3">
                  <c:v>QROO</c:v>
                </c:pt>
                <c:pt idx="4">
                  <c:v>TAMPS</c:v>
                </c:pt>
                <c:pt idx="5">
                  <c:v>SON</c:v>
                </c:pt>
                <c:pt idx="6">
                  <c:v>ZAC</c:v>
                </c:pt>
                <c:pt idx="7">
                  <c:v>GTO</c:v>
                </c:pt>
                <c:pt idx="8">
                  <c:v>BC</c:v>
                </c:pt>
                <c:pt idx="9">
                  <c:v>AGS</c:v>
                </c:pt>
                <c:pt idx="10">
                  <c:v>YUC</c:v>
                </c:pt>
                <c:pt idx="11">
                  <c:v>PUE</c:v>
                </c:pt>
                <c:pt idx="12">
                  <c:v>CHIH</c:v>
                </c:pt>
                <c:pt idx="13">
                  <c:v>SIN</c:v>
                </c:pt>
                <c:pt idx="14">
                  <c:v>VER</c:v>
                </c:pt>
                <c:pt idx="15">
                  <c:v>COAH</c:v>
                </c:pt>
                <c:pt idx="16">
                  <c:v>CDMX</c:v>
                </c:pt>
                <c:pt idx="17">
                  <c:v>HGO</c:v>
                </c:pt>
                <c:pt idx="18">
                  <c:v>TAB</c:v>
                </c:pt>
                <c:pt idx="19">
                  <c:v>DGO</c:v>
                </c:pt>
                <c:pt idx="20">
                  <c:v>TLAX</c:v>
                </c:pt>
                <c:pt idx="21">
                  <c:v>CAMP</c:v>
                </c:pt>
                <c:pt idx="22">
                  <c:v>MOR</c:v>
                </c:pt>
                <c:pt idx="23">
                  <c:v>GRO</c:v>
                </c:pt>
                <c:pt idx="24">
                  <c:v>SLP</c:v>
                </c:pt>
                <c:pt idx="25">
                  <c:v>CHIS</c:v>
                </c:pt>
              </c:strCache>
            </c:strRef>
          </c:cat>
          <c:val>
            <c:numRef>
              <c:f>'Vinculaciones a proceso'!$M$43:$M$68</c:f>
              <c:numCache>
                <c:formatCode>0.0%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5.208333333333333E-3</c:v>
                </c:pt>
                <c:pt idx="6">
                  <c:v>1.4084507042253521E-2</c:v>
                </c:pt>
                <c:pt idx="7">
                  <c:v>2.2140221402214021E-2</c:v>
                </c:pt>
                <c:pt idx="8">
                  <c:v>3.0612244897959183E-2</c:v>
                </c:pt>
                <c:pt idx="9">
                  <c:v>3.125E-2</c:v>
                </c:pt>
                <c:pt idx="10">
                  <c:v>3.3333333333333333E-2</c:v>
                </c:pt>
                <c:pt idx="11">
                  <c:v>0.04</c:v>
                </c:pt>
                <c:pt idx="12">
                  <c:v>4.7979797979797977E-2</c:v>
                </c:pt>
                <c:pt idx="13">
                  <c:v>5.2631578947368418E-2</c:v>
                </c:pt>
                <c:pt idx="14">
                  <c:v>5.8823529411764705E-2</c:v>
                </c:pt>
                <c:pt idx="15">
                  <c:v>6.5934065934065936E-2</c:v>
                </c:pt>
                <c:pt idx="16">
                  <c:v>7.0080862533692723E-2</c:v>
                </c:pt>
                <c:pt idx="17">
                  <c:v>8.6956521739130432E-2</c:v>
                </c:pt>
                <c:pt idx="18">
                  <c:v>0.1111111111111111</c:v>
                </c:pt>
                <c:pt idx="19">
                  <c:v>0.19148936170212766</c:v>
                </c:pt>
                <c:pt idx="20">
                  <c:v>0.22222222222222221</c:v>
                </c:pt>
                <c:pt idx="21">
                  <c:v>0.2857142857142857</c:v>
                </c:pt>
                <c:pt idx="22">
                  <c:v>0.28695652173913044</c:v>
                </c:pt>
                <c:pt idx="23">
                  <c:v>0.3</c:v>
                </c:pt>
                <c:pt idx="24">
                  <c:v>0.32258064516129031</c:v>
                </c:pt>
                <c:pt idx="25">
                  <c:v>0.36666666666666664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CF2-4E26-B442-4253377E5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116909840"/>
        <c:axId val="2116920656"/>
      </c:barChart>
      <c:catAx>
        <c:axId val="21169098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116920656"/>
        <c:crosses val="autoZero"/>
        <c:auto val="1"/>
        <c:lblAlgn val="ctr"/>
        <c:lblOffset val="100"/>
        <c:noMultiLvlLbl val="0"/>
      </c:catAx>
      <c:valAx>
        <c:axId val="2116920656"/>
        <c:scaling>
          <c:orientation val="minMax"/>
          <c:max val="1.05"/>
          <c:min val="0"/>
        </c:scaling>
        <c:delete val="1"/>
        <c:axPos val="t"/>
        <c:numFmt formatCode="0.0%" sourceLinked="1"/>
        <c:majorTickMark val="out"/>
        <c:minorTickMark val="none"/>
        <c:tickLblPos val="nextTo"/>
        <c:crossAx val="2116909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800" b="1"/>
              <a:t>Adultos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Sentenciados!$FB$43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B2A49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Sentenciados!$FA$44:$FA$46</c:f>
              <c:strCache>
                <c:ptCount val="3"/>
                <c:pt idx="0">
                  <c:v>Condenatoria</c:v>
                </c:pt>
                <c:pt idx="1">
                  <c:v>Absolutoria</c:v>
                </c:pt>
                <c:pt idx="2">
                  <c:v>Mixta</c:v>
                </c:pt>
              </c:strCache>
            </c:strRef>
          </c:cat>
          <c:val>
            <c:numRef>
              <c:f>Sentenciados!$FB$44:$FB$46</c:f>
              <c:numCache>
                <c:formatCode>#,##0</c:formatCode>
                <c:ptCount val="3"/>
                <c:pt idx="0">
                  <c:v>31943</c:v>
                </c:pt>
                <c:pt idx="1">
                  <c:v>2259</c:v>
                </c:pt>
                <c:pt idx="2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0B-4A7C-A0F1-C7648F6A3497}"/>
            </c:ext>
          </c:extLst>
        </c:ser>
        <c:ser>
          <c:idx val="1"/>
          <c:order val="1"/>
          <c:tx>
            <c:strRef>
              <c:f>Sentenciados!$FC$43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6402E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Sentenciados!$FA$44:$FA$46</c:f>
              <c:strCache>
                <c:ptCount val="3"/>
                <c:pt idx="0">
                  <c:v>Condenatoria</c:v>
                </c:pt>
                <c:pt idx="1">
                  <c:v>Absolutoria</c:v>
                </c:pt>
                <c:pt idx="2">
                  <c:v>Mixta</c:v>
                </c:pt>
              </c:strCache>
            </c:strRef>
          </c:cat>
          <c:val>
            <c:numRef>
              <c:f>Sentenciados!$FC$44:$FC$46</c:f>
              <c:numCache>
                <c:formatCode>#,##0</c:formatCode>
                <c:ptCount val="3"/>
                <c:pt idx="0">
                  <c:v>22452</c:v>
                </c:pt>
                <c:pt idx="1">
                  <c:v>1200</c:v>
                </c:pt>
                <c:pt idx="2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0B-4A7C-A0F1-C7648F6A34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609778287"/>
        <c:axId val="1609787023"/>
      </c:barChart>
      <c:catAx>
        <c:axId val="1609778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09787023"/>
        <c:crosses val="autoZero"/>
        <c:auto val="1"/>
        <c:lblAlgn val="ctr"/>
        <c:lblOffset val="100"/>
        <c:noMultiLvlLbl val="0"/>
      </c:catAx>
      <c:valAx>
        <c:axId val="1609787023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6097782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411611671708201"/>
          <c:y val="0.91241539497828272"/>
          <c:w val="0.24250059651634454"/>
          <c:h val="8.75846050217174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800" b="1">
                <a:solidFill>
                  <a:sysClr val="windowText" lastClr="000000"/>
                </a:solidFill>
              </a:rPr>
              <a:t>Adolescentes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3.4148230207470667E-2"/>
          <c:y val="0.57737310378575568"/>
          <c:w val="0.93170353958505869"/>
          <c:h val="0.190382579296232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Sentenciados!$FB$51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B2A49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Sentenciados!$FA$52:$FA$54</c:f>
              <c:strCache>
                <c:ptCount val="3"/>
                <c:pt idx="0">
                  <c:v>Sancionatoria</c:v>
                </c:pt>
                <c:pt idx="1">
                  <c:v>Absolutoria</c:v>
                </c:pt>
                <c:pt idx="2">
                  <c:v>Mixta</c:v>
                </c:pt>
              </c:strCache>
            </c:strRef>
          </c:cat>
          <c:val>
            <c:numRef>
              <c:f>Sentenciados!$FB$52:$FB$54</c:f>
              <c:numCache>
                <c:formatCode>General</c:formatCode>
                <c:ptCount val="3"/>
                <c:pt idx="0">
                  <c:v>977</c:v>
                </c:pt>
                <c:pt idx="1">
                  <c:v>69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E8-4987-AD84-8EFA82A54FE9}"/>
            </c:ext>
          </c:extLst>
        </c:ser>
        <c:ser>
          <c:idx val="1"/>
          <c:order val="1"/>
          <c:tx>
            <c:strRef>
              <c:f>Sentenciados!$FC$51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6402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Sentenciados!$FA$52:$FA$54</c:f>
              <c:strCache>
                <c:ptCount val="3"/>
                <c:pt idx="0">
                  <c:v>Sancionatoria</c:v>
                </c:pt>
                <c:pt idx="1">
                  <c:v>Absolutoria</c:v>
                </c:pt>
                <c:pt idx="2">
                  <c:v>Mixta</c:v>
                </c:pt>
              </c:strCache>
            </c:strRef>
          </c:cat>
          <c:val>
            <c:numRef>
              <c:f>Sentenciados!$FC$52:$FC$54</c:f>
              <c:numCache>
                <c:formatCode>General</c:formatCode>
                <c:ptCount val="3"/>
                <c:pt idx="0">
                  <c:v>868</c:v>
                </c:pt>
                <c:pt idx="1">
                  <c:v>23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E8-4987-AD84-8EFA82A54F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43313039"/>
        <c:axId val="343307215"/>
      </c:barChart>
      <c:catAx>
        <c:axId val="343313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43307215"/>
        <c:crosses val="autoZero"/>
        <c:auto val="1"/>
        <c:lblAlgn val="ctr"/>
        <c:lblOffset val="100"/>
        <c:noMultiLvlLbl val="0"/>
      </c:catAx>
      <c:valAx>
        <c:axId val="34330721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33130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777777777777776E-2"/>
          <c:y val="6.5998460718725949E-2"/>
          <c:w val="0.93888888888888888"/>
          <c:h val="0.689318314377369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'Magistrados y consejeros'!$BR$6</c:f>
              <c:strCache>
                <c:ptCount val="1"/>
                <c:pt idx="0">
                  <c:v>Magistrados</c:v>
                </c:pt>
              </c:strCache>
            </c:strRef>
          </c:tx>
          <c:spPr>
            <a:solidFill>
              <a:srgbClr val="9C5A6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'Magistrados y consejeros'!$BO$7:$BO$17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2019*</c:v>
                </c:pt>
                <c:pt idx="10">
                  <c:v>2020</c:v>
                </c:pt>
              </c:strCache>
            </c:strRef>
          </c:cat>
          <c:val>
            <c:numRef>
              <c:f>'Magistrados y consejeros'!$BR$7:$BR$17</c:f>
              <c:numCache>
                <c:formatCode>General</c:formatCode>
                <c:ptCount val="11"/>
                <c:pt idx="0">
                  <c:v>578</c:v>
                </c:pt>
                <c:pt idx="1">
                  <c:v>590</c:v>
                </c:pt>
                <c:pt idx="2">
                  <c:v>595</c:v>
                </c:pt>
                <c:pt idx="3">
                  <c:v>606</c:v>
                </c:pt>
                <c:pt idx="4">
                  <c:v>604</c:v>
                </c:pt>
                <c:pt idx="5">
                  <c:v>577</c:v>
                </c:pt>
                <c:pt idx="6">
                  <c:v>592</c:v>
                </c:pt>
                <c:pt idx="7">
                  <c:v>590</c:v>
                </c:pt>
                <c:pt idx="8">
                  <c:v>592</c:v>
                </c:pt>
                <c:pt idx="9">
                  <c:v>571</c:v>
                </c:pt>
                <c:pt idx="10">
                  <c:v>570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70-4D00-8335-189CDDB62151}"/>
            </c:ext>
          </c:extLst>
        </c:ser>
        <c:ser>
          <c:idx val="1"/>
          <c:order val="1"/>
          <c:tx>
            <c:strRef>
              <c:f>'Magistrados y consejeros'!$BS$6</c:f>
              <c:strCache>
                <c:ptCount val="1"/>
                <c:pt idx="0">
                  <c:v>Consejeros</c:v>
                </c:pt>
              </c:strCache>
            </c:strRef>
          </c:tx>
          <c:spPr>
            <a:solidFill>
              <a:srgbClr val="C29B6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'Magistrados y consejeros'!$BO$7:$BO$17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2019*</c:v>
                </c:pt>
                <c:pt idx="10">
                  <c:v>2020</c:v>
                </c:pt>
              </c:strCache>
            </c:strRef>
          </c:cat>
          <c:val>
            <c:numRef>
              <c:f>'Magistrados y consejeros'!$BS$7:$BS$17</c:f>
              <c:numCache>
                <c:formatCode>General</c:formatCode>
                <c:ptCount val="11"/>
                <c:pt idx="0">
                  <c:v>140</c:v>
                </c:pt>
                <c:pt idx="1">
                  <c:v>144</c:v>
                </c:pt>
                <c:pt idx="2">
                  <c:v>156</c:v>
                </c:pt>
                <c:pt idx="3">
                  <c:v>156</c:v>
                </c:pt>
                <c:pt idx="4">
                  <c:v>155</c:v>
                </c:pt>
                <c:pt idx="5">
                  <c:v>151</c:v>
                </c:pt>
                <c:pt idx="6">
                  <c:v>151</c:v>
                </c:pt>
                <c:pt idx="7">
                  <c:v>162</c:v>
                </c:pt>
                <c:pt idx="8">
                  <c:v>149</c:v>
                </c:pt>
                <c:pt idx="9">
                  <c:v>148</c:v>
                </c:pt>
                <c:pt idx="10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70-4D00-8335-189CDDB62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2063061183"/>
        <c:axId val="2063061599"/>
      </c:barChart>
      <c:lineChart>
        <c:grouping val="standard"/>
        <c:varyColors val="0"/>
        <c:ser>
          <c:idx val="2"/>
          <c:order val="2"/>
          <c:tx>
            <c:strRef>
              <c:f>'Magistrados y consejeros'!$BT$6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56402E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diamond"/>
            <c:size val="10"/>
            <c:spPr>
              <a:solidFill>
                <a:srgbClr val="56402E"/>
              </a:solidFill>
              <a:ln w="9525">
                <a:solidFill>
                  <a:srgbClr val="56402E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56402E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'Magistrados y consejeros'!$BO$7:$BO$16</c:f>
              <c:strCach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2019*</c:v>
                </c:pt>
              </c:strCache>
            </c:strRef>
          </c:cat>
          <c:val>
            <c:numRef>
              <c:f>'Magistrados y consejeros'!$BT$7:$BT$17</c:f>
              <c:numCache>
                <c:formatCode>General</c:formatCode>
                <c:ptCount val="11"/>
                <c:pt idx="0">
                  <c:v>718</c:v>
                </c:pt>
                <c:pt idx="1">
                  <c:v>734</c:v>
                </c:pt>
                <c:pt idx="2">
                  <c:v>751</c:v>
                </c:pt>
                <c:pt idx="3">
                  <c:v>762</c:v>
                </c:pt>
                <c:pt idx="4">
                  <c:v>759</c:v>
                </c:pt>
                <c:pt idx="5">
                  <c:v>728</c:v>
                </c:pt>
                <c:pt idx="6">
                  <c:v>743</c:v>
                </c:pt>
                <c:pt idx="7">
                  <c:v>752</c:v>
                </c:pt>
                <c:pt idx="8">
                  <c:v>741</c:v>
                </c:pt>
                <c:pt idx="9">
                  <c:v>719</c:v>
                </c:pt>
                <c:pt idx="10">
                  <c:v>715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70-4D00-8335-189CDDB62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3061183"/>
        <c:axId val="2063061599"/>
      </c:lineChart>
      <c:catAx>
        <c:axId val="20630611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063061599"/>
        <c:crosses val="autoZero"/>
        <c:auto val="1"/>
        <c:lblAlgn val="ctr"/>
        <c:lblOffset val="100"/>
        <c:noMultiLvlLbl val="0"/>
      </c:catAx>
      <c:valAx>
        <c:axId val="206306159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63061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'Justicia alternativa'!$CZ$4</c:f>
              <c:strCache>
                <c:ptCount val="1"/>
                <c:pt idx="0">
                  <c:v>Ingresos</c:v>
                </c:pt>
              </c:strCache>
            </c:strRef>
          </c:tx>
          <c:spPr>
            <a:solidFill>
              <a:srgbClr val="9C5A6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'Justicia alternativa'!$CY$5:$CY$11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'Justicia alternativa'!$CZ$5:$CZ$11</c:f>
              <c:numCache>
                <c:formatCode>#,##0</c:formatCode>
                <c:ptCount val="7"/>
                <c:pt idx="0">
                  <c:v>122595</c:v>
                </c:pt>
                <c:pt idx="1">
                  <c:v>138186</c:v>
                </c:pt>
                <c:pt idx="2">
                  <c:v>156899</c:v>
                </c:pt>
                <c:pt idx="3">
                  <c:v>158120</c:v>
                </c:pt>
                <c:pt idx="4">
                  <c:v>176682</c:v>
                </c:pt>
                <c:pt idx="5">
                  <c:v>192844</c:v>
                </c:pt>
                <c:pt idx="6">
                  <c:v>121572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14-4831-A616-204A5EDB11EE}"/>
            </c:ext>
          </c:extLst>
        </c:ser>
        <c:ser>
          <c:idx val="1"/>
          <c:order val="1"/>
          <c:tx>
            <c:strRef>
              <c:f>'Justicia alternativa'!$DA$4</c:f>
              <c:strCache>
                <c:ptCount val="1"/>
                <c:pt idx="0">
                  <c:v>Conclusiones</c:v>
                </c:pt>
              </c:strCache>
            </c:strRef>
          </c:tx>
          <c:spPr>
            <a:solidFill>
              <a:srgbClr val="C29B61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'Justicia alternativa'!$CY$5:$CY$11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'Justicia alternativa'!$DA$5:$DA$11</c:f>
              <c:numCache>
                <c:formatCode>#,##0</c:formatCode>
                <c:ptCount val="7"/>
                <c:pt idx="0">
                  <c:v>72821</c:v>
                </c:pt>
                <c:pt idx="1">
                  <c:v>125707</c:v>
                </c:pt>
                <c:pt idx="2">
                  <c:v>139893</c:v>
                </c:pt>
                <c:pt idx="3">
                  <c:v>146260</c:v>
                </c:pt>
                <c:pt idx="4">
                  <c:v>158748</c:v>
                </c:pt>
                <c:pt idx="5">
                  <c:v>167142</c:v>
                </c:pt>
                <c:pt idx="6">
                  <c:v>113961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14-4831-A616-204A5EDB1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376857871"/>
        <c:axId val="376858703"/>
      </c:barChart>
      <c:catAx>
        <c:axId val="376857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76858703"/>
        <c:crosses val="autoZero"/>
        <c:auto val="1"/>
        <c:lblAlgn val="ctr"/>
        <c:lblOffset val="100"/>
        <c:noMultiLvlLbl val="0"/>
      </c:catAx>
      <c:valAx>
        <c:axId val="376858703"/>
        <c:scaling>
          <c:orientation val="minMax"/>
          <c:max val="200000"/>
        </c:scaling>
        <c:delete val="1"/>
        <c:axPos val="l"/>
        <c:numFmt formatCode="#,##0" sourceLinked="1"/>
        <c:majorTickMark val="out"/>
        <c:minorTickMark val="none"/>
        <c:tickLblPos val="nextTo"/>
        <c:crossAx val="3768578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362636458954379E-2"/>
          <c:y val="0.12939397245270992"/>
          <c:w val="0.94091977798185433"/>
          <c:h val="0.45797936627114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'Justicia alternativa'!$BP$5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B2A49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'Justicia alternativa'!$BO$6:$BO$15</c:f>
              <c:strCache>
                <c:ptCount val="10"/>
                <c:pt idx="0">
                  <c:v>Robo</c:v>
                </c:pt>
                <c:pt idx="1">
                  <c:v>Daño a la 
propiedad</c:v>
                </c:pt>
                <c:pt idx="2">
                  <c:v>Lesiones</c:v>
                </c:pt>
                <c:pt idx="3">
                  <c:v>Incumplimiento 
de obligaciones 
familiares</c:v>
                </c:pt>
                <c:pt idx="4">
                  <c:v>Homicidio</c:v>
                </c:pt>
                <c:pt idx="5">
                  <c:v>Fraude</c:v>
                </c:pt>
                <c:pt idx="6">
                  <c:v>Amenazas</c:v>
                </c:pt>
                <c:pt idx="7">
                  <c:v>Despojo</c:v>
                </c:pt>
                <c:pt idx="8">
                  <c:v>Abuso de 
confianza</c:v>
                </c:pt>
                <c:pt idx="9">
                  <c:v>Violencia 
familiar</c:v>
                </c:pt>
              </c:strCache>
            </c:strRef>
          </c:cat>
          <c:val>
            <c:numRef>
              <c:f>'Justicia alternativa'!$BP$6:$BP$15</c:f>
              <c:numCache>
                <c:formatCode>#,##0</c:formatCode>
                <c:ptCount val="10"/>
                <c:pt idx="0">
                  <c:v>3169</c:v>
                </c:pt>
                <c:pt idx="1">
                  <c:v>2632</c:v>
                </c:pt>
                <c:pt idx="2">
                  <c:v>2183</c:v>
                </c:pt>
                <c:pt idx="3">
                  <c:v>1852</c:v>
                </c:pt>
                <c:pt idx="4">
                  <c:v>685</c:v>
                </c:pt>
                <c:pt idx="5">
                  <c:v>753</c:v>
                </c:pt>
                <c:pt idx="6">
                  <c:v>304</c:v>
                </c:pt>
                <c:pt idx="7">
                  <c:v>467</c:v>
                </c:pt>
                <c:pt idx="8">
                  <c:v>267</c:v>
                </c:pt>
                <c:pt idx="9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7B-40F3-B170-4E205D76DA30}"/>
            </c:ext>
          </c:extLst>
        </c:ser>
        <c:ser>
          <c:idx val="1"/>
          <c:order val="1"/>
          <c:tx>
            <c:strRef>
              <c:f>'Justicia alternativa'!$BQ$5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6402E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'Justicia alternativa'!$BO$6:$BO$15</c:f>
              <c:strCache>
                <c:ptCount val="10"/>
                <c:pt idx="0">
                  <c:v>Robo</c:v>
                </c:pt>
                <c:pt idx="1">
                  <c:v>Daño a la 
propiedad</c:v>
                </c:pt>
                <c:pt idx="2">
                  <c:v>Lesiones</c:v>
                </c:pt>
                <c:pt idx="3">
                  <c:v>Incumplimiento 
de obligaciones 
familiares</c:v>
                </c:pt>
                <c:pt idx="4">
                  <c:v>Homicidio</c:v>
                </c:pt>
                <c:pt idx="5">
                  <c:v>Fraude</c:v>
                </c:pt>
                <c:pt idx="6">
                  <c:v>Amenazas</c:v>
                </c:pt>
                <c:pt idx="7">
                  <c:v>Despojo</c:v>
                </c:pt>
                <c:pt idx="8">
                  <c:v>Abuso de 
confianza</c:v>
                </c:pt>
                <c:pt idx="9">
                  <c:v>Violencia 
familiar</c:v>
                </c:pt>
              </c:strCache>
            </c:strRef>
          </c:cat>
          <c:val>
            <c:numRef>
              <c:f>'Justicia alternativa'!$BQ$6:$BQ$15</c:f>
              <c:numCache>
                <c:formatCode>#,##0</c:formatCode>
                <c:ptCount val="10"/>
                <c:pt idx="0">
                  <c:v>3160</c:v>
                </c:pt>
                <c:pt idx="1">
                  <c:v>1923</c:v>
                </c:pt>
                <c:pt idx="2">
                  <c:v>1589</c:v>
                </c:pt>
                <c:pt idx="3">
                  <c:v>1090</c:v>
                </c:pt>
                <c:pt idx="4">
                  <c:v>504</c:v>
                </c:pt>
                <c:pt idx="5">
                  <c:v>466</c:v>
                </c:pt>
                <c:pt idx="6">
                  <c:v>352</c:v>
                </c:pt>
                <c:pt idx="7">
                  <c:v>298</c:v>
                </c:pt>
                <c:pt idx="8">
                  <c:v>177</c:v>
                </c:pt>
                <c:pt idx="9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7B-40F3-B170-4E205D76DA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932713983"/>
        <c:axId val="932718559"/>
      </c:barChart>
      <c:catAx>
        <c:axId val="932713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 algn="r"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932718559"/>
        <c:crosses val="autoZero"/>
        <c:auto val="1"/>
        <c:lblAlgn val="ctr"/>
        <c:lblOffset val="100"/>
        <c:noMultiLvlLbl val="0"/>
      </c:catAx>
      <c:valAx>
        <c:axId val="932718559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932713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522756522275446"/>
          <c:y val="0.91933936130844285"/>
          <c:w val="0.12954470508418825"/>
          <c:h val="8.06606386915571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5060704935753177E-2"/>
          <c:y val="0.18656975355462152"/>
          <c:w val="0.9808495188101487"/>
          <c:h val="0.611939254000913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Personal!$AC$4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677053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Personal!$AB$5:$AB$15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Personal!$AC$5:$AC$15</c:f>
              <c:numCache>
                <c:formatCode>#,##0</c:formatCode>
                <c:ptCount val="11"/>
                <c:pt idx="0">
                  <c:v>20112</c:v>
                </c:pt>
                <c:pt idx="1">
                  <c:v>21630</c:v>
                </c:pt>
                <c:pt idx="2">
                  <c:v>22683</c:v>
                </c:pt>
                <c:pt idx="3">
                  <c:v>23620</c:v>
                </c:pt>
                <c:pt idx="4">
                  <c:v>24375</c:v>
                </c:pt>
                <c:pt idx="5">
                  <c:v>24981</c:v>
                </c:pt>
                <c:pt idx="6">
                  <c:v>26141</c:v>
                </c:pt>
                <c:pt idx="7">
                  <c:v>26433</c:v>
                </c:pt>
                <c:pt idx="8">
                  <c:v>27071</c:v>
                </c:pt>
                <c:pt idx="9">
                  <c:v>27927</c:v>
                </c:pt>
                <c:pt idx="10">
                  <c:v>28724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0-4949-97FE-BCE6C6593F0C}"/>
            </c:ext>
          </c:extLst>
        </c:ser>
        <c:ser>
          <c:idx val="1"/>
          <c:order val="1"/>
          <c:tx>
            <c:strRef>
              <c:f>Personal!$AD$4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C29B61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Personal!$AB$5:$AB$15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Personal!$AD$5:$AD$15</c:f>
              <c:numCache>
                <c:formatCode>#,##0</c:formatCode>
                <c:ptCount val="11"/>
                <c:pt idx="0">
                  <c:v>30888</c:v>
                </c:pt>
                <c:pt idx="1">
                  <c:v>33021</c:v>
                </c:pt>
                <c:pt idx="2">
                  <c:v>34482</c:v>
                </c:pt>
                <c:pt idx="3">
                  <c:v>35302</c:v>
                </c:pt>
                <c:pt idx="4">
                  <c:v>36161</c:v>
                </c:pt>
                <c:pt idx="5">
                  <c:v>37171</c:v>
                </c:pt>
                <c:pt idx="6">
                  <c:v>38356</c:v>
                </c:pt>
                <c:pt idx="7">
                  <c:v>38659</c:v>
                </c:pt>
                <c:pt idx="8">
                  <c:v>39577</c:v>
                </c:pt>
                <c:pt idx="9">
                  <c:v>40697</c:v>
                </c:pt>
                <c:pt idx="10">
                  <c:v>41498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30-4949-97FE-BCE6C6593F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1424626448"/>
        <c:axId val="1424636432"/>
      </c:barChart>
      <c:lineChart>
        <c:grouping val="standard"/>
        <c:varyColors val="0"/>
        <c:ser>
          <c:idx val="2"/>
          <c:order val="2"/>
          <c:tx>
            <c:strRef>
              <c:f>Personal!$AF$4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9C5A60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diamond"/>
            <c:size val="10"/>
            <c:spPr>
              <a:solidFill>
                <a:srgbClr val="6C2927"/>
              </a:solidFill>
              <a:ln w="9525">
                <a:solidFill>
                  <a:srgbClr val="9C5A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6C2927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Personal!$AB$5:$AB$15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Personal!$AF$5:$AF$15</c:f>
              <c:numCache>
                <c:formatCode>#,##0</c:formatCode>
                <c:ptCount val="11"/>
                <c:pt idx="0">
                  <c:v>51614</c:v>
                </c:pt>
                <c:pt idx="1">
                  <c:v>57255</c:v>
                </c:pt>
                <c:pt idx="2">
                  <c:v>57165</c:v>
                </c:pt>
                <c:pt idx="3">
                  <c:v>58922</c:v>
                </c:pt>
                <c:pt idx="4">
                  <c:v>60536</c:v>
                </c:pt>
                <c:pt idx="5">
                  <c:v>62152</c:v>
                </c:pt>
                <c:pt idx="6">
                  <c:v>64497</c:v>
                </c:pt>
                <c:pt idx="7">
                  <c:v>65092</c:v>
                </c:pt>
                <c:pt idx="8">
                  <c:v>66648</c:v>
                </c:pt>
                <c:pt idx="9">
                  <c:v>68624</c:v>
                </c:pt>
                <c:pt idx="10">
                  <c:v>70294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A30-4949-97FE-BCE6C6593F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4626448"/>
        <c:axId val="1424636432"/>
      </c:lineChart>
      <c:catAx>
        <c:axId val="142462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424636432"/>
        <c:crosses val="autoZero"/>
        <c:auto val="1"/>
        <c:lblAlgn val="ctr"/>
        <c:lblOffset val="100"/>
        <c:noMultiLvlLbl val="0"/>
      </c:catAx>
      <c:valAx>
        <c:axId val="1424636432"/>
        <c:scaling>
          <c:orientation val="minMax"/>
          <c:max val="72000"/>
          <c:min val="0"/>
        </c:scaling>
        <c:delete val="1"/>
        <c:axPos val="l"/>
        <c:numFmt formatCode="#,##0" sourceLinked="1"/>
        <c:majorTickMark val="none"/>
        <c:minorTickMark val="none"/>
        <c:tickLblPos val="nextTo"/>
        <c:crossAx val="142462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884095089641484"/>
          <c:y val="0.90466071331291142"/>
          <c:w val="0.50231780402449688"/>
          <c:h val="6.8729585885097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'Magistrados y jueces'!$BK$3</c:f>
              <c:strCache>
                <c:ptCount val="1"/>
                <c:pt idx="0">
                  <c:v>Jueces</c:v>
                </c:pt>
              </c:strCache>
            </c:strRef>
          </c:tx>
          <c:spPr>
            <a:solidFill>
              <a:srgbClr val="9C5A60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'Magistrados y jueces'!$BJ$4:$BJ$14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'Magistrados y jueces'!$BK$4:$BK$14</c:f>
              <c:numCache>
                <c:formatCode>#,##0</c:formatCode>
                <c:ptCount val="11"/>
                <c:pt idx="0">
                  <c:v>3260</c:v>
                </c:pt>
                <c:pt idx="1">
                  <c:v>3248</c:v>
                </c:pt>
                <c:pt idx="2">
                  <c:v>3398</c:v>
                </c:pt>
                <c:pt idx="3">
                  <c:v>3527</c:v>
                </c:pt>
                <c:pt idx="4">
                  <c:v>3644</c:v>
                </c:pt>
                <c:pt idx="5">
                  <c:v>3728</c:v>
                </c:pt>
                <c:pt idx="6">
                  <c:v>4022</c:v>
                </c:pt>
                <c:pt idx="7">
                  <c:v>4038</c:v>
                </c:pt>
                <c:pt idx="8">
                  <c:v>4094</c:v>
                </c:pt>
                <c:pt idx="9">
                  <c:v>4211</c:v>
                </c:pt>
                <c:pt idx="10">
                  <c:v>4192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D8-47D0-84F8-14ACF40E92CB}"/>
            </c:ext>
          </c:extLst>
        </c:ser>
        <c:ser>
          <c:idx val="1"/>
          <c:order val="1"/>
          <c:tx>
            <c:strRef>
              <c:f>'Magistrados y jueces'!$BL$3</c:f>
              <c:strCache>
                <c:ptCount val="1"/>
                <c:pt idx="0">
                  <c:v>Magistrados</c:v>
                </c:pt>
              </c:strCache>
            </c:strRef>
          </c:tx>
          <c:spPr>
            <a:solidFill>
              <a:srgbClr val="C29B61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'Magistrados y jueces'!$BJ$4:$BJ$14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'Magistrados y jueces'!$BL$4:$BL$14</c:f>
              <c:numCache>
                <c:formatCode>#,##0</c:formatCode>
                <c:ptCount val="11"/>
                <c:pt idx="0">
                  <c:v>609</c:v>
                </c:pt>
                <c:pt idx="1">
                  <c:v>636</c:v>
                </c:pt>
                <c:pt idx="2">
                  <c:v>642</c:v>
                </c:pt>
                <c:pt idx="3">
                  <c:v>644</c:v>
                </c:pt>
                <c:pt idx="4">
                  <c:v>634</c:v>
                </c:pt>
                <c:pt idx="5">
                  <c:v>621</c:v>
                </c:pt>
                <c:pt idx="6">
                  <c:v>644</c:v>
                </c:pt>
                <c:pt idx="7">
                  <c:v>648</c:v>
                </c:pt>
                <c:pt idx="8">
                  <c:v>631</c:v>
                </c:pt>
                <c:pt idx="9">
                  <c:v>617</c:v>
                </c:pt>
                <c:pt idx="10">
                  <c:v>591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D8-47D0-84F8-14ACF40E92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2063069919"/>
        <c:axId val="2063078239"/>
      </c:barChart>
      <c:lineChart>
        <c:grouping val="standard"/>
        <c:varyColors val="0"/>
        <c:ser>
          <c:idx val="2"/>
          <c:order val="2"/>
          <c:tx>
            <c:strRef>
              <c:f>'Magistrados y jueces'!$BM$3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rgbClr val="56402E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diamond"/>
            <c:size val="10"/>
            <c:spPr>
              <a:solidFill>
                <a:srgbClr val="56402E"/>
              </a:solidFill>
              <a:ln w="9525">
                <a:solidFill>
                  <a:srgbClr val="56402E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56402E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'Magistrados y jueces'!$BJ$4:$BJ$14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'Magistrados y jueces'!$BM$4:$BM$14</c:f>
              <c:numCache>
                <c:formatCode>#,##0</c:formatCode>
                <c:ptCount val="11"/>
                <c:pt idx="0">
                  <c:v>3869</c:v>
                </c:pt>
                <c:pt idx="1">
                  <c:v>3884</c:v>
                </c:pt>
                <c:pt idx="2">
                  <c:v>4040</c:v>
                </c:pt>
                <c:pt idx="3">
                  <c:v>4171</c:v>
                </c:pt>
                <c:pt idx="4">
                  <c:v>4278</c:v>
                </c:pt>
                <c:pt idx="5">
                  <c:v>4349</c:v>
                </c:pt>
                <c:pt idx="6">
                  <c:v>4666</c:v>
                </c:pt>
                <c:pt idx="7">
                  <c:v>4686</c:v>
                </c:pt>
                <c:pt idx="8">
                  <c:v>4725</c:v>
                </c:pt>
                <c:pt idx="9">
                  <c:v>4828</c:v>
                </c:pt>
                <c:pt idx="10">
                  <c:v>4783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3D8-47D0-84F8-14ACF40E92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3069919"/>
        <c:axId val="2063078239"/>
      </c:lineChart>
      <c:catAx>
        <c:axId val="2063069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063078239"/>
        <c:crosses val="autoZero"/>
        <c:auto val="1"/>
        <c:lblAlgn val="ctr"/>
        <c:lblOffset val="100"/>
        <c:noMultiLvlLbl val="0"/>
      </c:catAx>
      <c:valAx>
        <c:axId val="2063078239"/>
        <c:scaling>
          <c:orientation val="minMax"/>
          <c:max val="5000"/>
        </c:scaling>
        <c:delete val="1"/>
        <c:axPos val="l"/>
        <c:numFmt formatCode="#,##0" sourceLinked="1"/>
        <c:majorTickMark val="none"/>
        <c:minorTickMark val="none"/>
        <c:tickLblPos val="nextTo"/>
        <c:crossAx val="2063069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7110673665792"/>
          <c:y val="2.0874103065883887E-2"/>
          <c:w val="0.85573337707786523"/>
          <c:h val="0.9351713227627368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'Magistrados y jueces'!$AR$4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677053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16"/>
              <c:tx>
                <c:rich>
                  <a:bodyPr/>
                  <a:lstStyle/>
                  <a:p>
                    <a:fld id="{7BD12137-4636-4ACD-B078-83D0D7FCA4DE}" type="VALUE">
                      <a:rPr lang="en-US"/>
                      <a:pPr/>
                      <a:t>[VALOR]</a:t>
                    </a:fld>
                    <a:endParaRPr lang="es-MX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284-4C6E-A33B-A75AB95217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'Magistrados y jueces'!$AQ$5:$AQ$36</c:f>
              <c:strCache>
                <c:ptCount val="32"/>
                <c:pt idx="0">
                  <c:v>JAL</c:v>
                </c:pt>
                <c:pt idx="1">
                  <c:v>SLP</c:v>
                </c:pt>
                <c:pt idx="2">
                  <c:v>SON</c:v>
                </c:pt>
                <c:pt idx="3">
                  <c:v>CHIS</c:v>
                </c:pt>
                <c:pt idx="4">
                  <c:v>MICH</c:v>
                </c:pt>
                <c:pt idx="5">
                  <c:v>DGO</c:v>
                </c:pt>
                <c:pt idx="6">
                  <c:v>CDMX</c:v>
                </c:pt>
                <c:pt idx="7">
                  <c:v>NAY</c:v>
                </c:pt>
                <c:pt idx="8">
                  <c:v>TAMPS</c:v>
                </c:pt>
                <c:pt idx="9">
                  <c:v>COL</c:v>
                </c:pt>
                <c:pt idx="10">
                  <c:v>PUE</c:v>
                </c:pt>
                <c:pt idx="11">
                  <c:v>COAH</c:v>
                </c:pt>
                <c:pt idx="12">
                  <c:v>BCS</c:v>
                </c:pt>
                <c:pt idx="13">
                  <c:v>GRO</c:v>
                </c:pt>
                <c:pt idx="14">
                  <c:v>MEX</c:v>
                </c:pt>
                <c:pt idx="15">
                  <c:v>NL</c:v>
                </c:pt>
                <c:pt idx="16">
                  <c:v>SIN</c:v>
                </c:pt>
                <c:pt idx="17">
                  <c:v>CHIH</c:v>
                </c:pt>
                <c:pt idx="18">
                  <c:v>OAX</c:v>
                </c:pt>
                <c:pt idx="19">
                  <c:v>AGS</c:v>
                </c:pt>
                <c:pt idx="20">
                  <c:v>VER</c:v>
                </c:pt>
                <c:pt idx="21">
                  <c:v>TLAX</c:v>
                </c:pt>
                <c:pt idx="22">
                  <c:v>QROO</c:v>
                </c:pt>
                <c:pt idx="23">
                  <c:v>BC</c:v>
                </c:pt>
                <c:pt idx="24">
                  <c:v>CAMP</c:v>
                </c:pt>
                <c:pt idx="25">
                  <c:v>ZAC</c:v>
                </c:pt>
                <c:pt idx="26">
                  <c:v>QRO</c:v>
                </c:pt>
                <c:pt idx="27">
                  <c:v>HGO</c:v>
                </c:pt>
                <c:pt idx="28">
                  <c:v>GTO</c:v>
                </c:pt>
                <c:pt idx="29">
                  <c:v>MOR</c:v>
                </c:pt>
                <c:pt idx="30">
                  <c:v>TAB</c:v>
                </c:pt>
                <c:pt idx="31">
                  <c:v>YUC</c:v>
                </c:pt>
              </c:strCache>
            </c:strRef>
          </c:cat>
          <c:val>
            <c:numRef>
              <c:f>'Magistrados y jueces'!$AR$5:$AR$36</c:f>
              <c:numCache>
                <c:formatCode>0.0%</c:formatCode>
                <c:ptCount val="32"/>
                <c:pt idx="0">
                  <c:v>0.69706840390879476</c:v>
                </c:pt>
                <c:pt idx="1">
                  <c:v>0.67901234567901236</c:v>
                </c:pt>
                <c:pt idx="2">
                  <c:v>0.67272727272727273</c:v>
                </c:pt>
                <c:pt idx="3">
                  <c:v>0.66115702479338845</c:v>
                </c:pt>
                <c:pt idx="4">
                  <c:v>0.65644171779141103</c:v>
                </c:pt>
                <c:pt idx="5">
                  <c:v>0.65263157894736845</c:v>
                </c:pt>
                <c:pt idx="6">
                  <c:v>0.63636363636363635</c:v>
                </c:pt>
                <c:pt idx="7">
                  <c:v>0.63636363636363635</c:v>
                </c:pt>
                <c:pt idx="8">
                  <c:v>0.63559322033898302</c:v>
                </c:pt>
                <c:pt idx="9">
                  <c:v>0.63043478260869568</c:v>
                </c:pt>
                <c:pt idx="10">
                  <c:v>0.61654135338345861</c:v>
                </c:pt>
                <c:pt idx="11">
                  <c:v>0.60194174757281549</c:v>
                </c:pt>
                <c:pt idx="12">
                  <c:v>0.59615384615384615</c:v>
                </c:pt>
                <c:pt idx="13">
                  <c:v>0.59428571428571431</c:v>
                </c:pt>
                <c:pt idx="14">
                  <c:v>0.59292035398230092</c:v>
                </c:pt>
                <c:pt idx="15">
                  <c:v>0.59285714285714286</c:v>
                </c:pt>
                <c:pt idx="16">
                  <c:v>0.58699999999999997</c:v>
                </c:pt>
                <c:pt idx="17">
                  <c:v>0.5703971119133574</c:v>
                </c:pt>
                <c:pt idx="18">
                  <c:v>0.56603773584905659</c:v>
                </c:pt>
                <c:pt idx="19">
                  <c:v>0.55555555555555558</c:v>
                </c:pt>
                <c:pt idx="20">
                  <c:v>0.53913043478260869</c:v>
                </c:pt>
                <c:pt idx="21">
                  <c:v>0.52380952380952384</c:v>
                </c:pt>
                <c:pt idx="22">
                  <c:v>0.51948051948051943</c:v>
                </c:pt>
                <c:pt idx="23">
                  <c:v>0.5</c:v>
                </c:pt>
                <c:pt idx="24">
                  <c:v>0.49549549549549549</c:v>
                </c:pt>
                <c:pt idx="25">
                  <c:v>0.48305084745762711</c:v>
                </c:pt>
                <c:pt idx="26">
                  <c:v>0.4823529411764706</c:v>
                </c:pt>
                <c:pt idx="27">
                  <c:v>0.47499999999999998</c:v>
                </c:pt>
                <c:pt idx="28">
                  <c:v>0.44982698961937717</c:v>
                </c:pt>
                <c:pt idx="29">
                  <c:v>0.42465753424657532</c:v>
                </c:pt>
                <c:pt idx="30">
                  <c:v>0.4152542372881356</c:v>
                </c:pt>
                <c:pt idx="31">
                  <c:v>0.35384615384615387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84-4C6E-A33B-A75AB9521764}"/>
            </c:ext>
          </c:extLst>
        </c:ser>
        <c:ser>
          <c:idx val="1"/>
          <c:order val="1"/>
          <c:tx>
            <c:strRef>
              <c:f>'Magistrados y jueces'!$AS$4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C29B61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'Magistrados y jueces'!$AQ$5:$AQ$36</c:f>
              <c:strCache>
                <c:ptCount val="32"/>
                <c:pt idx="0">
                  <c:v>JAL</c:v>
                </c:pt>
                <c:pt idx="1">
                  <c:v>SLP</c:v>
                </c:pt>
                <c:pt idx="2">
                  <c:v>SON</c:v>
                </c:pt>
                <c:pt idx="3">
                  <c:v>CHIS</c:v>
                </c:pt>
                <c:pt idx="4">
                  <c:v>MICH</c:v>
                </c:pt>
                <c:pt idx="5">
                  <c:v>DGO</c:v>
                </c:pt>
                <c:pt idx="6">
                  <c:v>CDMX</c:v>
                </c:pt>
                <c:pt idx="7">
                  <c:v>NAY</c:v>
                </c:pt>
                <c:pt idx="8">
                  <c:v>TAMPS</c:v>
                </c:pt>
                <c:pt idx="9">
                  <c:v>COL</c:v>
                </c:pt>
                <c:pt idx="10">
                  <c:v>PUE</c:v>
                </c:pt>
                <c:pt idx="11">
                  <c:v>COAH</c:v>
                </c:pt>
                <c:pt idx="12">
                  <c:v>BCS</c:v>
                </c:pt>
                <c:pt idx="13">
                  <c:v>GRO</c:v>
                </c:pt>
                <c:pt idx="14">
                  <c:v>MEX</c:v>
                </c:pt>
                <c:pt idx="15">
                  <c:v>NL</c:v>
                </c:pt>
                <c:pt idx="16">
                  <c:v>SIN</c:v>
                </c:pt>
                <c:pt idx="17">
                  <c:v>CHIH</c:v>
                </c:pt>
                <c:pt idx="18">
                  <c:v>OAX</c:v>
                </c:pt>
                <c:pt idx="19">
                  <c:v>AGS</c:v>
                </c:pt>
                <c:pt idx="20">
                  <c:v>VER</c:v>
                </c:pt>
                <c:pt idx="21">
                  <c:v>TLAX</c:v>
                </c:pt>
                <c:pt idx="22">
                  <c:v>QROO</c:v>
                </c:pt>
                <c:pt idx="23">
                  <c:v>BC</c:v>
                </c:pt>
                <c:pt idx="24">
                  <c:v>CAMP</c:v>
                </c:pt>
                <c:pt idx="25">
                  <c:v>ZAC</c:v>
                </c:pt>
                <c:pt idx="26">
                  <c:v>QRO</c:v>
                </c:pt>
                <c:pt idx="27">
                  <c:v>HGO</c:v>
                </c:pt>
                <c:pt idx="28">
                  <c:v>GTO</c:v>
                </c:pt>
                <c:pt idx="29">
                  <c:v>MOR</c:v>
                </c:pt>
                <c:pt idx="30">
                  <c:v>TAB</c:v>
                </c:pt>
                <c:pt idx="31">
                  <c:v>YUC</c:v>
                </c:pt>
              </c:strCache>
            </c:strRef>
          </c:cat>
          <c:val>
            <c:numRef>
              <c:f>'Magistrados y jueces'!$AS$5:$AS$36</c:f>
              <c:numCache>
                <c:formatCode>0.0%</c:formatCode>
                <c:ptCount val="32"/>
                <c:pt idx="0">
                  <c:v>0.30293159609120524</c:v>
                </c:pt>
                <c:pt idx="1">
                  <c:v>0.32098765432098764</c:v>
                </c:pt>
                <c:pt idx="2">
                  <c:v>0.32727272727272727</c:v>
                </c:pt>
                <c:pt idx="3">
                  <c:v>0.33884297520661155</c:v>
                </c:pt>
                <c:pt idx="4">
                  <c:v>0.34355828220858897</c:v>
                </c:pt>
                <c:pt idx="5">
                  <c:v>0.3473684210526316</c:v>
                </c:pt>
                <c:pt idx="6">
                  <c:v>0.36363636363636365</c:v>
                </c:pt>
                <c:pt idx="7">
                  <c:v>0.36363636363636365</c:v>
                </c:pt>
                <c:pt idx="8">
                  <c:v>0.36440677966101692</c:v>
                </c:pt>
                <c:pt idx="9">
                  <c:v>0.36956521739130432</c:v>
                </c:pt>
                <c:pt idx="10">
                  <c:v>0.38345864661654133</c:v>
                </c:pt>
                <c:pt idx="11">
                  <c:v>0.39805825242718446</c:v>
                </c:pt>
                <c:pt idx="12">
                  <c:v>0.40384615384615385</c:v>
                </c:pt>
                <c:pt idx="13">
                  <c:v>0.40571428571428569</c:v>
                </c:pt>
                <c:pt idx="14">
                  <c:v>0.40707964601769914</c:v>
                </c:pt>
                <c:pt idx="15">
                  <c:v>0.40714285714285714</c:v>
                </c:pt>
                <c:pt idx="16">
                  <c:v>0.41249999999999998</c:v>
                </c:pt>
                <c:pt idx="17">
                  <c:v>0.4296028880866426</c:v>
                </c:pt>
                <c:pt idx="18">
                  <c:v>0.43396226415094341</c:v>
                </c:pt>
                <c:pt idx="19">
                  <c:v>0.44444444444444442</c:v>
                </c:pt>
                <c:pt idx="20">
                  <c:v>0.46086956521739131</c:v>
                </c:pt>
                <c:pt idx="21">
                  <c:v>0.47619047619047616</c:v>
                </c:pt>
                <c:pt idx="22">
                  <c:v>0.48051948051948051</c:v>
                </c:pt>
                <c:pt idx="23">
                  <c:v>0.5</c:v>
                </c:pt>
                <c:pt idx="24">
                  <c:v>0.50450450450450446</c:v>
                </c:pt>
                <c:pt idx="25">
                  <c:v>0.51694915254237284</c:v>
                </c:pt>
                <c:pt idx="26">
                  <c:v>0.51764705882352946</c:v>
                </c:pt>
                <c:pt idx="27">
                  <c:v>0.52500000000000002</c:v>
                </c:pt>
                <c:pt idx="28">
                  <c:v>0.55017301038062283</c:v>
                </c:pt>
                <c:pt idx="29">
                  <c:v>0.57534246575342463</c:v>
                </c:pt>
                <c:pt idx="30">
                  <c:v>0.5847457627118644</c:v>
                </c:pt>
                <c:pt idx="31">
                  <c:v>0.64615384615384619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84-4C6E-A33B-A75AB95217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30714480"/>
        <c:axId val="1430707824"/>
      </c:barChart>
      <c:catAx>
        <c:axId val="143071448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430707824"/>
        <c:crosses val="autoZero"/>
        <c:auto val="1"/>
        <c:lblAlgn val="ctr"/>
        <c:lblOffset val="100"/>
        <c:noMultiLvlLbl val="0"/>
      </c:catAx>
      <c:valAx>
        <c:axId val="1430707824"/>
        <c:scaling>
          <c:orientation val="minMax"/>
          <c:max val="1"/>
        </c:scaling>
        <c:delete val="1"/>
        <c:axPos val="t"/>
        <c:numFmt formatCode="0.0%" sourceLinked="1"/>
        <c:majorTickMark val="out"/>
        <c:minorTickMark val="none"/>
        <c:tickLblPos val="nextTo"/>
        <c:crossAx val="143071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945581802274717"/>
          <c:y val="0.95604542582862073"/>
          <c:w val="0.27886614173228341"/>
          <c:h val="3.8736048404908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2A499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56402E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CE6-409B-9A59-7599260B45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Personal!$BM$6:$BM$35</c:f>
              <c:strCache>
                <c:ptCount val="30"/>
                <c:pt idx="0">
                  <c:v>CDMX</c:v>
                </c:pt>
                <c:pt idx="1">
                  <c:v>MEX</c:v>
                </c:pt>
                <c:pt idx="2">
                  <c:v>PUE</c:v>
                </c:pt>
                <c:pt idx="3">
                  <c:v>GRO</c:v>
                </c:pt>
                <c:pt idx="4">
                  <c:v>COAH</c:v>
                </c:pt>
                <c:pt idx="5">
                  <c:v>TAMPS</c:v>
                </c:pt>
                <c:pt idx="6">
                  <c:v>DGO</c:v>
                </c:pt>
                <c:pt idx="7">
                  <c:v>CHIH</c:v>
                </c:pt>
                <c:pt idx="8">
                  <c:v>HGO</c:v>
                </c:pt>
                <c:pt idx="9">
                  <c:v>MICH</c:v>
                </c:pt>
                <c:pt idx="10">
                  <c:v>QROO</c:v>
                </c:pt>
                <c:pt idx="11">
                  <c:v>SLP</c:v>
                </c:pt>
                <c:pt idx="12">
                  <c:v>COL</c:v>
                </c:pt>
                <c:pt idx="13">
                  <c:v>JAL</c:v>
                </c:pt>
                <c:pt idx="14">
                  <c:v>NL</c:v>
                </c:pt>
                <c:pt idx="15">
                  <c:v>QRO</c:v>
                </c:pt>
                <c:pt idx="16">
                  <c:v>TAB</c:v>
                </c:pt>
                <c:pt idx="17">
                  <c:v>BC</c:v>
                </c:pt>
                <c:pt idx="18">
                  <c:v>BCS</c:v>
                </c:pt>
                <c:pt idx="19">
                  <c:v>CAMP</c:v>
                </c:pt>
                <c:pt idx="20">
                  <c:v>CHIS</c:v>
                </c:pt>
                <c:pt idx="21">
                  <c:v>TLAX</c:v>
                </c:pt>
                <c:pt idx="22">
                  <c:v>VER</c:v>
                </c:pt>
                <c:pt idx="23">
                  <c:v>YUC</c:v>
                </c:pt>
                <c:pt idx="24">
                  <c:v>GTO</c:v>
                </c:pt>
                <c:pt idx="25">
                  <c:v>MOR</c:v>
                </c:pt>
                <c:pt idx="26">
                  <c:v>NAY</c:v>
                </c:pt>
                <c:pt idx="27">
                  <c:v>SIN</c:v>
                </c:pt>
                <c:pt idx="28">
                  <c:v>SON</c:v>
                </c:pt>
                <c:pt idx="29">
                  <c:v>ZAC</c:v>
                </c:pt>
              </c:strCache>
            </c:strRef>
          </c:cat>
          <c:val>
            <c:numRef>
              <c:f>Personal!$BN$6:$BN$35</c:f>
              <c:numCache>
                <c:formatCode>General</c:formatCode>
                <c:ptCount val="30"/>
                <c:pt idx="0">
                  <c:v>18</c:v>
                </c:pt>
                <c:pt idx="1">
                  <c:v>10</c:v>
                </c:pt>
                <c:pt idx="2">
                  <c:v>10</c:v>
                </c:pt>
                <c:pt idx="3">
                  <c:v>8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E6-409B-9A59-7599260B4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1802623136"/>
        <c:axId val="1802628128"/>
      </c:barChart>
      <c:catAx>
        <c:axId val="180262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02628128"/>
        <c:crosses val="autoZero"/>
        <c:auto val="1"/>
        <c:lblAlgn val="ctr"/>
        <c:lblOffset val="100"/>
        <c:noMultiLvlLbl val="0"/>
      </c:catAx>
      <c:valAx>
        <c:axId val="1802628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0262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Presupuesto!$I$3</c:f>
              <c:strCache>
                <c:ptCount val="1"/>
                <c:pt idx="0">
                  <c:v>Millones de pesos</c:v>
                </c:pt>
              </c:strCache>
            </c:strRef>
          </c:tx>
          <c:spPr>
            <a:ln w="28575" cap="rnd">
              <a:solidFill>
                <a:srgbClr val="56402E"/>
              </a:solidFill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diamond"/>
            <c:size val="10"/>
            <c:spPr>
              <a:solidFill>
                <a:srgbClr val="56402E"/>
              </a:solidFill>
              <a:ln w="9525">
                <a:solidFill>
                  <a:srgbClr val="56402E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marker>
          <c:dLbls>
            <c:dLbl>
              <c:idx val="0"/>
              <c:layout>
                <c:manualLayout>
                  <c:x val="-6.5293734115100574E-2"/>
                  <c:y val="-6.4780183727034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D7-4EED-9C60-1C680B93F18E}"/>
                </c:ext>
              </c:extLst>
            </c:dLbl>
            <c:dLbl>
              <c:idx val="1"/>
              <c:layout>
                <c:manualLayout>
                  <c:x val="-9.2018414725155012E-3"/>
                  <c:y val="5.62002974674013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D7-4EED-9C60-1C680B93F18E}"/>
                </c:ext>
              </c:extLst>
            </c:dLbl>
            <c:dLbl>
              <c:idx val="3"/>
              <c:layout>
                <c:manualLayout>
                  <c:x val="-1.6213644674572276E-2"/>
                  <c:y val="4.6940851020816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D7-4EED-9C60-1C680B93F18E}"/>
                </c:ext>
              </c:extLst>
            </c:dLbl>
            <c:dLbl>
              <c:idx val="5"/>
              <c:layout>
                <c:manualLayout>
                  <c:x val="-1.1539293243363948E-2"/>
                  <c:y val="5.62002974674013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D7-4EED-9C60-1C680B93F18E}"/>
                </c:ext>
              </c:extLst>
            </c:dLbl>
            <c:dLbl>
              <c:idx val="7"/>
              <c:layout>
                <c:manualLayout>
                  <c:x val="-2.0887996105780689E-2"/>
                  <c:y val="6.26600021866535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D7-4EED-9C60-1C680B93F18E}"/>
                </c:ext>
              </c:extLst>
            </c:dLbl>
            <c:dLbl>
              <c:idx val="9"/>
              <c:layout>
                <c:manualLayout>
                  <c:x val="-2.3224895766140719E-2"/>
                  <c:y val="6.6069531457899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D7-4EED-9C60-1C680B93F1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Presupuesto!$H$4:$H$14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Presupuesto!$I$4:$I$14</c:f>
              <c:numCache>
                <c:formatCode>#,##0.0</c:formatCode>
                <c:ptCount val="11"/>
                <c:pt idx="0">
                  <c:v>18222.008603980004</c:v>
                </c:pt>
                <c:pt idx="1">
                  <c:v>17935.550359770001</c:v>
                </c:pt>
                <c:pt idx="2">
                  <c:v>22689.31192462</c:v>
                </c:pt>
                <c:pt idx="3">
                  <c:v>24451.110137810003</c:v>
                </c:pt>
                <c:pt idx="4">
                  <c:v>27169.519367159999</c:v>
                </c:pt>
                <c:pt idx="5">
                  <c:v>29379.522597560004</c:v>
                </c:pt>
                <c:pt idx="6">
                  <c:v>31512.803695079998</c:v>
                </c:pt>
                <c:pt idx="7">
                  <c:v>32573.300737319998</c:v>
                </c:pt>
                <c:pt idx="8">
                  <c:v>35124.938273989996</c:v>
                </c:pt>
                <c:pt idx="9">
                  <c:v>37316.797009910006</c:v>
                </c:pt>
                <c:pt idx="10">
                  <c:v>39410.23104762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DD7-4EED-9C60-1C680B93F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7916736"/>
        <c:axId val="1397920480"/>
      </c:lineChart>
      <c:catAx>
        <c:axId val="139791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397920480"/>
        <c:crosses val="autoZero"/>
        <c:auto val="1"/>
        <c:lblAlgn val="ctr"/>
        <c:lblOffset val="100"/>
        <c:noMultiLvlLbl val="0"/>
      </c:catAx>
      <c:valAx>
        <c:axId val="1397920480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139791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4433325388E-2"/>
          <c:y val="0.18750224499248522"/>
          <c:w val="0.93888888888888888"/>
          <c:h val="0.526366137005983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Presupuesto!$AH$2</c:f>
              <c:strCache>
                <c:ptCount val="1"/>
                <c:pt idx="0">
                  <c:v>Millones de pesos</c:v>
                </c:pt>
              </c:strCache>
            </c:strRef>
          </c:tx>
          <c:spPr>
            <a:solidFill>
              <a:srgbClr val="BCBF9D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9C9E7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9AB-4278-B582-000A980ECA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Presupuesto!$AG$3:$AG$34</c:f>
              <c:strCache>
                <c:ptCount val="32"/>
                <c:pt idx="0">
                  <c:v>CDMX</c:v>
                </c:pt>
                <c:pt idx="1">
                  <c:v>MEX</c:v>
                </c:pt>
                <c:pt idx="2">
                  <c:v>NL</c:v>
                </c:pt>
                <c:pt idx="3">
                  <c:v>CHIH</c:v>
                </c:pt>
                <c:pt idx="4">
                  <c:v>JAL</c:v>
                </c:pt>
                <c:pt idx="5">
                  <c:v>GTO</c:v>
                </c:pt>
                <c:pt idx="6">
                  <c:v>VER</c:v>
                </c:pt>
                <c:pt idx="7">
                  <c:v>MICH</c:v>
                </c:pt>
                <c:pt idx="8">
                  <c:v>SLP</c:v>
                </c:pt>
                <c:pt idx="9">
                  <c:v>SON</c:v>
                </c:pt>
                <c:pt idx="10">
                  <c:v>BC</c:v>
                </c:pt>
                <c:pt idx="11">
                  <c:v>CHIS</c:v>
                </c:pt>
                <c:pt idx="12">
                  <c:v>QRO</c:v>
                </c:pt>
                <c:pt idx="13">
                  <c:v>COAH</c:v>
                </c:pt>
                <c:pt idx="14">
                  <c:v>OAX</c:v>
                </c:pt>
                <c:pt idx="15">
                  <c:v>PUE</c:v>
                </c:pt>
                <c:pt idx="16">
                  <c:v>TAB</c:v>
                </c:pt>
                <c:pt idx="17">
                  <c:v>GRO</c:v>
                </c:pt>
                <c:pt idx="18">
                  <c:v>TAMPS</c:v>
                </c:pt>
                <c:pt idx="19">
                  <c:v>QROO</c:v>
                </c:pt>
                <c:pt idx="20">
                  <c:v>SIN</c:v>
                </c:pt>
                <c:pt idx="21">
                  <c:v>HGO</c:v>
                </c:pt>
                <c:pt idx="22">
                  <c:v>YUC</c:v>
                </c:pt>
                <c:pt idx="23">
                  <c:v>MOR</c:v>
                </c:pt>
                <c:pt idx="24">
                  <c:v>ZAC</c:v>
                </c:pt>
                <c:pt idx="25">
                  <c:v>DGO</c:v>
                </c:pt>
                <c:pt idx="26">
                  <c:v>NAY</c:v>
                </c:pt>
                <c:pt idx="27">
                  <c:v>AGS</c:v>
                </c:pt>
                <c:pt idx="28">
                  <c:v>TLAX</c:v>
                </c:pt>
                <c:pt idx="29">
                  <c:v>BCS</c:v>
                </c:pt>
                <c:pt idx="30">
                  <c:v>CAMP</c:v>
                </c:pt>
                <c:pt idx="31">
                  <c:v>COL</c:v>
                </c:pt>
              </c:strCache>
            </c:strRef>
          </c:cat>
          <c:val>
            <c:numRef>
              <c:f>Presupuesto!$AH$3:$AH$34</c:f>
              <c:numCache>
                <c:formatCode>#,##0.0</c:formatCode>
                <c:ptCount val="32"/>
                <c:pt idx="0">
                  <c:v>6239.0216592299994</c:v>
                </c:pt>
                <c:pt idx="1">
                  <c:v>3913.7661996500001</c:v>
                </c:pt>
                <c:pt idx="2">
                  <c:v>2500.9223699999998</c:v>
                </c:pt>
                <c:pt idx="3">
                  <c:v>2192.9418136899999</c:v>
                </c:pt>
                <c:pt idx="4">
                  <c:v>2064.7233320099999</c:v>
                </c:pt>
                <c:pt idx="5">
                  <c:v>1799.8174063299998</c:v>
                </c:pt>
                <c:pt idx="6">
                  <c:v>1770.5684429999999</c:v>
                </c:pt>
                <c:pt idx="7">
                  <c:v>1338.39536744</c:v>
                </c:pt>
                <c:pt idx="8">
                  <c:v>1335.7615169999999</c:v>
                </c:pt>
                <c:pt idx="9">
                  <c:v>1242.240976</c:v>
                </c:pt>
                <c:pt idx="10">
                  <c:v>1076.0562247</c:v>
                </c:pt>
                <c:pt idx="11">
                  <c:v>1043.6865989999999</c:v>
                </c:pt>
                <c:pt idx="12">
                  <c:v>1008.8329804</c:v>
                </c:pt>
                <c:pt idx="13">
                  <c:v>996.67502469999999</c:v>
                </c:pt>
                <c:pt idx="14">
                  <c:v>965.0509380499999</c:v>
                </c:pt>
                <c:pt idx="15">
                  <c:v>916.52519444000006</c:v>
                </c:pt>
                <c:pt idx="16">
                  <c:v>902.10392980999995</c:v>
                </c:pt>
                <c:pt idx="17">
                  <c:v>839.07306055999993</c:v>
                </c:pt>
                <c:pt idx="18">
                  <c:v>825.84971098000005</c:v>
                </c:pt>
                <c:pt idx="19">
                  <c:v>714.09377798000003</c:v>
                </c:pt>
                <c:pt idx="20">
                  <c:v>635.60500411999999</c:v>
                </c:pt>
                <c:pt idx="21">
                  <c:v>608.39325478000001</c:v>
                </c:pt>
                <c:pt idx="22">
                  <c:v>582.05153157000007</c:v>
                </c:pt>
                <c:pt idx="23">
                  <c:v>579.29092200000002</c:v>
                </c:pt>
                <c:pt idx="24">
                  <c:v>535.83413423000002</c:v>
                </c:pt>
                <c:pt idx="25">
                  <c:v>504.09697699999998</c:v>
                </c:pt>
                <c:pt idx="26">
                  <c:v>480.21113800000001</c:v>
                </c:pt>
                <c:pt idx="27">
                  <c:v>476.37933099999998</c:v>
                </c:pt>
                <c:pt idx="28">
                  <c:v>382.32754795</c:v>
                </c:pt>
                <c:pt idx="29">
                  <c:v>355.13354199999998</c:v>
                </c:pt>
                <c:pt idx="30">
                  <c:v>348.83407599999998</c:v>
                </c:pt>
                <c:pt idx="31">
                  <c:v>235.96706399999999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AB-4278-B582-000A980ECA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1807622432"/>
        <c:axId val="1807624512"/>
      </c:barChart>
      <c:catAx>
        <c:axId val="180762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07624512"/>
        <c:crosses val="autoZero"/>
        <c:auto val="1"/>
        <c:lblAlgn val="ctr"/>
        <c:lblOffset val="100"/>
        <c:noMultiLvlLbl val="0"/>
      </c:catAx>
      <c:valAx>
        <c:axId val="1807624512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180762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A10B47F-CD3D-495F-AC4C-3E5F1E9A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5228</Words>
  <Characters>28755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Resultados del Censo Nacional de Impartición de Justicia Estatal (CNIJE) 2021</vt:lpstr>
    </vt:vector>
  </TitlesOfParts>
  <Company/>
  <LinksUpToDate>false</LinksUpToDate>
  <CharactersWithSpaces>33916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Resultados del Censo Nacional de Impartición de Justicia Estatal (CNIJE) 2021</dc:title>
  <dc:subject/>
  <dc:creator>INEGI</dc:creator>
  <cp:keywords/>
  <dc:description/>
  <cp:lastModifiedBy>MORONES RUIZ FABIOLA CRISTINA</cp:lastModifiedBy>
  <cp:revision>2</cp:revision>
  <cp:lastPrinted>2021-10-19T03:32:00Z</cp:lastPrinted>
  <dcterms:created xsi:type="dcterms:W3CDTF">2021-10-26T17:53:00Z</dcterms:created>
  <dcterms:modified xsi:type="dcterms:W3CDTF">2021-10-26T17:53:00Z</dcterms:modified>
</cp:coreProperties>
</file>