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DABB51" w14:textId="49F1BB68" w:rsidR="00BD2EB4" w:rsidRDefault="00BD2EB4" w:rsidP="00BD2EB4">
      <w:pPr>
        <w:pStyle w:val="Default"/>
        <w:ind w:left="-567" w:right="-142"/>
        <w:jc w:val="center"/>
        <w:rPr>
          <w:b/>
          <w:bCs/>
        </w:rPr>
      </w:pPr>
      <w:bookmarkStart w:id="0" w:name="_GoBack"/>
      <w:bookmarkEnd w:id="0"/>
    </w:p>
    <w:p w14:paraId="59AF5E9E" w14:textId="77777777" w:rsidR="00DD204C" w:rsidRPr="000B308C" w:rsidRDefault="00DD204C" w:rsidP="00BD2EB4">
      <w:pPr>
        <w:pStyle w:val="Default"/>
        <w:ind w:left="-567" w:right="-142"/>
        <w:jc w:val="center"/>
        <w:rPr>
          <w:b/>
          <w:bCs/>
        </w:rPr>
      </w:pPr>
    </w:p>
    <w:p w14:paraId="35DF8465" w14:textId="61DBBD5F" w:rsidR="00AF0E6A" w:rsidRPr="00756B55" w:rsidRDefault="00DD204C" w:rsidP="00BD2EB4">
      <w:pPr>
        <w:pStyle w:val="Default"/>
        <w:ind w:left="-567" w:right="-142"/>
        <w:jc w:val="center"/>
        <w:rPr>
          <w:color w:val="auto"/>
        </w:rPr>
      </w:pPr>
      <w:r w:rsidRPr="00DD204C">
        <w:rPr>
          <w:b/>
          <w:bCs/>
          <w:color w:val="auto"/>
        </w:rPr>
        <w:t xml:space="preserve">RESULTADOS DEL CENSO NACIONAL DE PROCURACIÓN DE JUSTICIA </w:t>
      </w:r>
      <w:r w:rsidR="00C441AE">
        <w:rPr>
          <w:b/>
          <w:bCs/>
          <w:color w:val="auto"/>
        </w:rPr>
        <w:t>ESTA</w:t>
      </w:r>
      <w:r w:rsidR="00890B7F">
        <w:rPr>
          <w:b/>
          <w:bCs/>
          <w:color w:val="auto"/>
        </w:rPr>
        <w:t>TA</w:t>
      </w:r>
      <w:r w:rsidR="00C441AE">
        <w:rPr>
          <w:b/>
          <w:bCs/>
          <w:color w:val="auto"/>
        </w:rPr>
        <w:t xml:space="preserve">L </w:t>
      </w:r>
      <w:r w:rsidRPr="00DD204C">
        <w:rPr>
          <w:b/>
          <w:bCs/>
          <w:color w:val="auto"/>
        </w:rPr>
        <w:t>(CNPJE) 2021</w:t>
      </w:r>
    </w:p>
    <w:p w14:paraId="5AE6E67D" w14:textId="77777777" w:rsidR="00AF0E6A" w:rsidRPr="00756B55" w:rsidRDefault="00AF0E6A" w:rsidP="00AF0E6A">
      <w:pPr>
        <w:spacing w:after="0" w:line="240" w:lineRule="auto"/>
        <w:ind w:right="284"/>
        <w:jc w:val="both"/>
        <w:rPr>
          <w:rFonts w:ascii="Arial" w:hAnsi="Arial" w:cs="Arial"/>
          <w:b/>
          <w:bCs/>
          <w:sz w:val="24"/>
          <w:szCs w:val="24"/>
        </w:rPr>
      </w:pPr>
    </w:p>
    <w:p w14:paraId="10AC7ECE" w14:textId="6E794304" w:rsidR="00E04428" w:rsidRPr="00E04428" w:rsidRDefault="00E04428" w:rsidP="007C5C73">
      <w:pPr>
        <w:pStyle w:val="Prrafodelista"/>
        <w:numPr>
          <w:ilvl w:val="0"/>
          <w:numId w:val="1"/>
        </w:numPr>
        <w:autoSpaceDE w:val="0"/>
        <w:autoSpaceDN w:val="0"/>
        <w:adjustRightInd w:val="0"/>
        <w:spacing w:after="0" w:line="240" w:lineRule="auto"/>
        <w:ind w:left="0" w:right="567" w:hanging="426"/>
        <w:jc w:val="both"/>
        <w:rPr>
          <w:rFonts w:ascii="Arial" w:hAnsi="Arial" w:cs="Arial"/>
          <w:sz w:val="24"/>
          <w:szCs w:val="24"/>
        </w:rPr>
      </w:pPr>
      <w:r w:rsidRPr="00E04428">
        <w:rPr>
          <w:rFonts w:ascii="Arial" w:hAnsi="Arial" w:cs="Arial"/>
          <w:color w:val="000000"/>
          <w:sz w:val="24"/>
          <w:szCs w:val="24"/>
        </w:rPr>
        <w:t xml:space="preserve">Al cierre de 2020, </w:t>
      </w:r>
      <w:r w:rsidR="003A4FA3">
        <w:rPr>
          <w:rFonts w:ascii="Arial" w:hAnsi="Arial" w:cs="Arial"/>
          <w:sz w:val="24"/>
          <w:szCs w:val="24"/>
        </w:rPr>
        <w:t>el</w:t>
      </w:r>
      <w:r w:rsidR="00E8068A" w:rsidRPr="004F42C1">
        <w:rPr>
          <w:rFonts w:ascii="Arial" w:hAnsi="Arial" w:cs="Arial"/>
          <w:sz w:val="24"/>
          <w:szCs w:val="24"/>
        </w:rPr>
        <w:t xml:space="preserve"> personal adscrito a las </w:t>
      </w:r>
      <w:r w:rsidR="003A4FA3" w:rsidRPr="003A4FA3">
        <w:rPr>
          <w:rFonts w:ascii="Arial" w:hAnsi="Arial" w:cs="Arial"/>
          <w:sz w:val="24"/>
          <w:szCs w:val="24"/>
        </w:rPr>
        <w:t xml:space="preserve">1 169 unidades administrativas en las </w:t>
      </w:r>
      <w:r w:rsidR="00E8068A" w:rsidRPr="004F42C1">
        <w:rPr>
          <w:rFonts w:ascii="Arial" w:hAnsi="Arial" w:cs="Arial"/>
          <w:sz w:val="24"/>
          <w:szCs w:val="24"/>
        </w:rPr>
        <w:t>Procuradurías o Fiscalías Generales de Justicia</w:t>
      </w:r>
      <w:r w:rsidR="000A5736">
        <w:rPr>
          <w:rFonts w:ascii="Arial" w:hAnsi="Arial" w:cs="Arial"/>
          <w:sz w:val="24"/>
          <w:szCs w:val="24"/>
        </w:rPr>
        <w:t xml:space="preserve"> estatales</w:t>
      </w:r>
      <w:r w:rsidR="00E8068A" w:rsidRPr="004F42C1">
        <w:rPr>
          <w:rFonts w:ascii="Arial" w:hAnsi="Arial" w:cs="Arial"/>
          <w:sz w:val="24"/>
          <w:szCs w:val="24"/>
        </w:rPr>
        <w:t xml:space="preserve"> </w:t>
      </w:r>
      <w:r w:rsidR="006539B2">
        <w:rPr>
          <w:rFonts w:ascii="Arial" w:hAnsi="Arial" w:cs="Arial"/>
          <w:sz w:val="24"/>
          <w:szCs w:val="24"/>
        </w:rPr>
        <w:t>se conformó por</w:t>
      </w:r>
      <w:r w:rsidR="00E8068A" w:rsidRPr="004F42C1">
        <w:rPr>
          <w:rFonts w:ascii="Arial" w:hAnsi="Arial" w:cs="Arial"/>
          <w:sz w:val="24"/>
          <w:szCs w:val="24"/>
        </w:rPr>
        <w:t xml:space="preserve"> 95 602 servidoras y servidores públicos. Comparado con 2019, la cantidad de personal aumentó 0.5% en 2020. Conforme a su rango de ingresos brutos mensuales, el personal que se encontró en el rango de ingresos de </w:t>
      </w:r>
      <w:r w:rsidR="00E8068A" w:rsidRPr="00EB5040">
        <w:rPr>
          <w:rFonts w:ascii="Arial" w:hAnsi="Arial" w:cs="Arial"/>
          <w:sz w:val="24"/>
          <w:szCs w:val="24"/>
        </w:rPr>
        <w:t>20 001</w:t>
      </w:r>
      <w:r w:rsidR="00E8068A" w:rsidRPr="004F42C1">
        <w:rPr>
          <w:rFonts w:ascii="Arial" w:hAnsi="Arial" w:cs="Arial"/>
          <w:sz w:val="24"/>
          <w:szCs w:val="24"/>
        </w:rPr>
        <w:t xml:space="preserve"> a 25 000 </w:t>
      </w:r>
      <w:r w:rsidR="006539B2">
        <w:rPr>
          <w:rFonts w:ascii="Arial" w:hAnsi="Arial" w:cs="Arial"/>
          <w:sz w:val="24"/>
          <w:szCs w:val="24"/>
        </w:rPr>
        <w:t xml:space="preserve">pesos mexicanos </w:t>
      </w:r>
      <w:r w:rsidR="00E8068A" w:rsidRPr="004F42C1">
        <w:rPr>
          <w:rFonts w:ascii="Arial" w:hAnsi="Arial" w:cs="Arial"/>
          <w:sz w:val="24"/>
          <w:szCs w:val="24"/>
        </w:rPr>
        <w:t>incrementó 55.4% en comparación con lo reportado en 2019.</w:t>
      </w:r>
    </w:p>
    <w:p w14:paraId="13A73361" w14:textId="26A6C59A" w:rsidR="00550AE1" w:rsidRPr="00881914" w:rsidRDefault="00A64077" w:rsidP="007C5C73">
      <w:pPr>
        <w:pStyle w:val="Prrafodelista"/>
        <w:numPr>
          <w:ilvl w:val="0"/>
          <w:numId w:val="1"/>
        </w:numPr>
        <w:autoSpaceDE w:val="0"/>
        <w:autoSpaceDN w:val="0"/>
        <w:adjustRightInd w:val="0"/>
        <w:spacing w:after="0" w:line="240" w:lineRule="auto"/>
        <w:ind w:left="0" w:right="567" w:hanging="426"/>
        <w:jc w:val="both"/>
        <w:rPr>
          <w:rFonts w:ascii="Arial" w:hAnsi="Arial" w:cs="Arial"/>
          <w:sz w:val="24"/>
          <w:szCs w:val="24"/>
        </w:rPr>
      </w:pPr>
      <w:r>
        <w:rPr>
          <w:rFonts w:ascii="Arial" w:hAnsi="Arial" w:cs="Arial"/>
          <w:sz w:val="24"/>
          <w:szCs w:val="24"/>
        </w:rPr>
        <w:t>D</w:t>
      </w:r>
      <w:r w:rsidR="00550AE1" w:rsidRPr="00550AE1">
        <w:rPr>
          <w:rFonts w:ascii="Arial" w:hAnsi="Arial" w:cs="Arial"/>
          <w:sz w:val="24"/>
          <w:szCs w:val="24"/>
        </w:rPr>
        <w:t>urante 2020</w:t>
      </w:r>
      <w:r w:rsidR="00550AE1">
        <w:rPr>
          <w:rFonts w:ascii="Arial" w:hAnsi="Arial" w:cs="Arial"/>
          <w:sz w:val="24"/>
          <w:szCs w:val="24"/>
        </w:rPr>
        <w:t>,</w:t>
      </w:r>
      <w:r w:rsidR="00550AE1" w:rsidRPr="00550AE1">
        <w:rPr>
          <w:rFonts w:ascii="Arial" w:hAnsi="Arial" w:cs="Arial"/>
          <w:sz w:val="24"/>
          <w:szCs w:val="24"/>
        </w:rPr>
        <w:t xml:space="preserve"> se iniciaron y/o abrieron </w:t>
      </w:r>
      <w:r w:rsidR="00E04428" w:rsidRPr="00E04428">
        <w:rPr>
          <w:rFonts w:ascii="Arial" w:hAnsi="Arial" w:cs="Arial"/>
          <w:sz w:val="24"/>
          <w:szCs w:val="24"/>
        </w:rPr>
        <w:t>1 820 243</w:t>
      </w:r>
      <w:r w:rsidR="00E04428">
        <w:rPr>
          <w:rFonts w:ascii="Arial" w:hAnsi="Arial" w:cs="Arial"/>
          <w:sz w:val="24"/>
          <w:szCs w:val="24"/>
        </w:rPr>
        <w:t xml:space="preserve"> </w:t>
      </w:r>
      <w:r w:rsidR="00550AE1" w:rsidRPr="00550AE1">
        <w:rPr>
          <w:rFonts w:ascii="Arial" w:hAnsi="Arial" w:cs="Arial"/>
          <w:sz w:val="24"/>
          <w:szCs w:val="24"/>
        </w:rPr>
        <w:t>averiguaciones previas e investigaciones y carpetas de investigación</w:t>
      </w:r>
      <w:r>
        <w:rPr>
          <w:rFonts w:ascii="Arial" w:hAnsi="Arial" w:cs="Arial"/>
          <w:sz w:val="24"/>
          <w:szCs w:val="24"/>
        </w:rPr>
        <w:t>; se determinaron y/o concluyeron</w:t>
      </w:r>
      <w:r w:rsidR="00550AE1" w:rsidRPr="00550AE1">
        <w:rPr>
          <w:rFonts w:ascii="Arial" w:hAnsi="Arial" w:cs="Arial"/>
          <w:sz w:val="24"/>
          <w:szCs w:val="24"/>
        </w:rPr>
        <w:t xml:space="preserve"> 174 243 averiguaciones previas iniciadas e investigaciones</w:t>
      </w:r>
      <w:r>
        <w:rPr>
          <w:rFonts w:ascii="Arial" w:hAnsi="Arial" w:cs="Arial"/>
          <w:sz w:val="24"/>
          <w:szCs w:val="24"/>
        </w:rPr>
        <w:t>,</w:t>
      </w:r>
      <w:r w:rsidR="00550AE1" w:rsidRPr="00550AE1">
        <w:rPr>
          <w:rFonts w:ascii="Arial" w:hAnsi="Arial" w:cs="Arial"/>
          <w:sz w:val="24"/>
          <w:szCs w:val="24"/>
        </w:rPr>
        <w:t xml:space="preserve"> 1 157 777 </w:t>
      </w:r>
      <w:r>
        <w:rPr>
          <w:rFonts w:ascii="Arial" w:hAnsi="Arial" w:cs="Arial"/>
          <w:sz w:val="24"/>
          <w:szCs w:val="24"/>
        </w:rPr>
        <w:t xml:space="preserve">de </w:t>
      </w:r>
      <w:r w:rsidR="00550AE1" w:rsidRPr="00550AE1">
        <w:rPr>
          <w:rFonts w:ascii="Arial" w:hAnsi="Arial" w:cs="Arial"/>
          <w:sz w:val="24"/>
          <w:szCs w:val="24"/>
        </w:rPr>
        <w:t>carpetas de investigación en la etapa de investigación inicial, y 112 200 en la etapa de investigación complementaria.</w:t>
      </w:r>
      <w:r w:rsidR="00E8068A">
        <w:rPr>
          <w:rFonts w:ascii="Arial" w:hAnsi="Arial" w:cs="Arial"/>
          <w:sz w:val="24"/>
          <w:szCs w:val="24"/>
        </w:rPr>
        <w:t xml:space="preserve"> </w:t>
      </w:r>
      <w:r w:rsidR="00E8068A" w:rsidRPr="00E8068A">
        <w:rPr>
          <w:rFonts w:ascii="Arial" w:hAnsi="Arial" w:cs="Arial"/>
          <w:sz w:val="24"/>
          <w:szCs w:val="24"/>
        </w:rPr>
        <w:t>A</w:t>
      </w:r>
      <w:r w:rsidR="00550AE1" w:rsidRPr="00881914">
        <w:rPr>
          <w:rFonts w:ascii="Arial" w:hAnsi="Arial" w:cs="Arial"/>
          <w:sz w:val="24"/>
          <w:szCs w:val="24"/>
        </w:rPr>
        <w:t>l cierre de 2020, quedaron 2 452 739 averiguaciones previas e investigaciones y carpetas de investigación pendientes de concluir.</w:t>
      </w:r>
    </w:p>
    <w:p w14:paraId="3F146376" w14:textId="3F27B958" w:rsidR="00582B77" w:rsidRDefault="000E3239" w:rsidP="007C5C73">
      <w:pPr>
        <w:pStyle w:val="Prrafodelista"/>
        <w:numPr>
          <w:ilvl w:val="0"/>
          <w:numId w:val="1"/>
        </w:numPr>
        <w:autoSpaceDE w:val="0"/>
        <w:autoSpaceDN w:val="0"/>
        <w:adjustRightInd w:val="0"/>
        <w:spacing w:after="0" w:line="240" w:lineRule="auto"/>
        <w:ind w:left="0" w:right="567" w:hanging="426"/>
        <w:jc w:val="both"/>
        <w:rPr>
          <w:rFonts w:ascii="Arial" w:hAnsi="Arial" w:cs="Arial"/>
          <w:sz w:val="24"/>
          <w:szCs w:val="24"/>
        </w:rPr>
      </w:pPr>
      <w:r>
        <w:rPr>
          <w:rFonts w:ascii="Arial" w:hAnsi="Arial" w:cs="Arial"/>
          <w:color w:val="000000"/>
          <w:sz w:val="24"/>
          <w:szCs w:val="24"/>
        </w:rPr>
        <w:t>En el mismo periodo</w:t>
      </w:r>
      <w:r w:rsidR="00550AE1" w:rsidRPr="00D30236">
        <w:rPr>
          <w:rFonts w:ascii="Arial" w:hAnsi="Arial" w:cs="Arial"/>
          <w:color w:val="000000"/>
          <w:sz w:val="24"/>
          <w:szCs w:val="24"/>
        </w:rPr>
        <w:t>, se abrieron 229 361 expedientes en materia penal para adultos y justicia para adolescentes por los órganos o unidades de los Mecanismos Alternativos de Solución de Controversias.</w:t>
      </w:r>
      <w:r w:rsidR="00550AE1" w:rsidRPr="00550AE1">
        <w:t xml:space="preserve"> </w:t>
      </w:r>
      <w:r w:rsidR="00550AE1" w:rsidRPr="00550AE1">
        <w:rPr>
          <w:rFonts w:ascii="Arial" w:hAnsi="Arial" w:cs="Arial"/>
          <w:color w:val="000000"/>
          <w:sz w:val="24"/>
          <w:szCs w:val="24"/>
        </w:rPr>
        <w:t>En el mismo periodo se concluyeron 226 302 expedientes</w:t>
      </w:r>
      <w:r w:rsidR="006F4C4C">
        <w:rPr>
          <w:rFonts w:ascii="Arial" w:hAnsi="Arial" w:cs="Arial"/>
          <w:color w:val="000000"/>
          <w:sz w:val="24"/>
          <w:szCs w:val="24"/>
        </w:rPr>
        <w:t xml:space="preserve">, </w:t>
      </w:r>
      <w:r w:rsidR="006F4C4C" w:rsidRPr="006F4C4C">
        <w:rPr>
          <w:rFonts w:ascii="Arial" w:hAnsi="Arial" w:cs="Arial"/>
          <w:color w:val="000000"/>
          <w:sz w:val="24"/>
          <w:szCs w:val="24"/>
        </w:rPr>
        <w:t>de los cuales</w:t>
      </w:r>
      <w:r w:rsidR="00A64077">
        <w:rPr>
          <w:rFonts w:ascii="Arial" w:hAnsi="Arial" w:cs="Arial"/>
          <w:color w:val="000000"/>
          <w:sz w:val="24"/>
          <w:szCs w:val="24"/>
        </w:rPr>
        <w:t>,</w:t>
      </w:r>
      <w:r w:rsidR="006F4C4C" w:rsidRPr="006F4C4C">
        <w:rPr>
          <w:rFonts w:ascii="Arial" w:hAnsi="Arial" w:cs="Arial"/>
          <w:color w:val="000000"/>
          <w:sz w:val="24"/>
          <w:szCs w:val="24"/>
        </w:rPr>
        <w:t xml:space="preserve"> 47.4% correspondió a acuerdos reparatorios</w:t>
      </w:r>
      <w:r w:rsidR="006F4C4C">
        <w:rPr>
          <w:rFonts w:ascii="Arial" w:hAnsi="Arial" w:cs="Arial"/>
          <w:color w:val="000000"/>
          <w:sz w:val="24"/>
          <w:szCs w:val="24"/>
        </w:rPr>
        <w:t>.</w:t>
      </w:r>
    </w:p>
    <w:p w14:paraId="07AC0C66" w14:textId="77777777" w:rsidR="00582B77" w:rsidRPr="00756B55" w:rsidRDefault="00582B77" w:rsidP="007C5C73">
      <w:pPr>
        <w:pStyle w:val="Prrafodelista"/>
        <w:autoSpaceDE w:val="0"/>
        <w:autoSpaceDN w:val="0"/>
        <w:adjustRightInd w:val="0"/>
        <w:spacing w:after="0" w:line="240" w:lineRule="auto"/>
        <w:ind w:left="0" w:right="567"/>
        <w:jc w:val="both"/>
        <w:rPr>
          <w:rFonts w:ascii="Arial" w:hAnsi="Arial" w:cs="Arial"/>
          <w:sz w:val="24"/>
          <w:szCs w:val="24"/>
        </w:rPr>
      </w:pPr>
    </w:p>
    <w:p w14:paraId="4E2ED140" w14:textId="5226EF9B" w:rsidR="00AF0E6A" w:rsidRPr="00756B55" w:rsidRDefault="00AF0E6A" w:rsidP="006F3370">
      <w:pPr>
        <w:spacing w:after="0" w:line="240" w:lineRule="auto"/>
        <w:ind w:left="-567"/>
        <w:jc w:val="both"/>
        <w:rPr>
          <w:rFonts w:ascii="Arial" w:hAnsi="Arial" w:cs="Arial"/>
          <w:sz w:val="24"/>
          <w:szCs w:val="24"/>
        </w:rPr>
      </w:pPr>
      <w:r w:rsidRPr="00756B55">
        <w:rPr>
          <w:rFonts w:ascii="Arial" w:hAnsi="Arial" w:cs="Arial"/>
          <w:sz w:val="24"/>
          <w:szCs w:val="24"/>
        </w:rPr>
        <w:t xml:space="preserve">El Instituto Nacional de Estadística y Geografía (INEGI) da a conocer el </w:t>
      </w:r>
      <w:r w:rsidR="00725869" w:rsidRPr="00725869">
        <w:rPr>
          <w:rFonts w:ascii="Arial" w:hAnsi="Arial" w:cs="Arial"/>
          <w:sz w:val="24"/>
          <w:szCs w:val="24"/>
        </w:rPr>
        <w:t>Censo Nacional de Procuración de Justicia Estatal (CNPJE) 2021</w:t>
      </w:r>
      <w:r w:rsidRPr="00756B55">
        <w:rPr>
          <w:rFonts w:ascii="Arial" w:hAnsi="Arial" w:cs="Arial"/>
          <w:sz w:val="24"/>
          <w:szCs w:val="24"/>
        </w:rPr>
        <w:t xml:space="preserve">, </w:t>
      </w:r>
      <w:r w:rsidR="00725869" w:rsidRPr="00725869">
        <w:rPr>
          <w:rFonts w:ascii="Arial" w:hAnsi="Arial" w:cs="Arial"/>
          <w:sz w:val="24"/>
          <w:szCs w:val="24"/>
        </w:rPr>
        <w:t>programa estadístico que ofrece información estadística sobre la gestión y desempeño de la Procuraduría General de Justicia o Fiscalía General de cada entidad federativa, específicamente en las funciones de gobierno, procuración de justicia, justicia para adolescentes y mecanismos alternativos de solución de controversias, con la finalidad de que esta se vincule con el quehacer gubernamental dentro del proceso de diseño, implementación, monitoreo y evaluación de las políticas públicas de alcance nacional en los referidos temas</w:t>
      </w:r>
      <w:r w:rsidR="007A76A1" w:rsidRPr="00756B55">
        <w:rPr>
          <w:rStyle w:val="Refdenotaalpie"/>
          <w:rFonts w:ascii="Arial" w:hAnsi="Arial" w:cs="Arial"/>
          <w:sz w:val="24"/>
          <w:szCs w:val="24"/>
        </w:rPr>
        <w:footnoteReference w:id="1"/>
      </w:r>
      <w:r w:rsidR="006F3370" w:rsidRPr="00756B55">
        <w:rPr>
          <w:rFonts w:ascii="Arial" w:hAnsi="Arial" w:cs="Arial"/>
          <w:sz w:val="24"/>
          <w:szCs w:val="24"/>
        </w:rPr>
        <w:t>.</w:t>
      </w:r>
    </w:p>
    <w:p w14:paraId="64948310" w14:textId="77777777" w:rsidR="00881914" w:rsidRDefault="00881914" w:rsidP="006F3370">
      <w:pPr>
        <w:spacing w:after="0" w:line="240" w:lineRule="auto"/>
        <w:ind w:left="-567"/>
        <w:jc w:val="both"/>
        <w:rPr>
          <w:rFonts w:ascii="Arial" w:hAnsi="Arial" w:cs="Arial"/>
          <w:sz w:val="24"/>
          <w:szCs w:val="24"/>
        </w:rPr>
      </w:pPr>
    </w:p>
    <w:p w14:paraId="329137A7" w14:textId="3BAFDBEA" w:rsidR="00701903" w:rsidRDefault="00725869" w:rsidP="006F3370">
      <w:pPr>
        <w:spacing w:after="0" w:line="240" w:lineRule="auto"/>
        <w:ind w:left="-567"/>
        <w:jc w:val="both"/>
        <w:rPr>
          <w:rFonts w:ascii="Arial" w:hAnsi="Arial" w:cs="Arial"/>
          <w:sz w:val="24"/>
          <w:szCs w:val="24"/>
        </w:rPr>
      </w:pPr>
      <w:r w:rsidRPr="00FD6F71">
        <w:rPr>
          <w:rFonts w:ascii="Arial" w:hAnsi="Arial" w:cs="Arial"/>
          <w:sz w:val="24"/>
          <w:szCs w:val="24"/>
        </w:rPr>
        <w:t xml:space="preserve">Es preciso advertir que </w:t>
      </w:r>
      <w:r w:rsidR="00A370B1" w:rsidRPr="00FD6F71">
        <w:rPr>
          <w:rFonts w:ascii="Arial" w:hAnsi="Arial" w:cs="Arial"/>
          <w:sz w:val="24"/>
          <w:szCs w:val="24"/>
        </w:rPr>
        <w:t>el levantamiento del Censo Nacional de Procuración de Justicia Estatal 2021 ocurrió durante la contingencia sanitaria ocasionada por el virus SARS-</w:t>
      </w:r>
      <w:proofErr w:type="spellStart"/>
      <w:r w:rsidR="00A370B1" w:rsidRPr="00FD6F71">
        <w:rPr>
          <w:rFonts w:ascii="Arial" w:hAnsi="Arial" w:cs="Arial"/>
          <w:sz w:val="24"/>
          <w:szCs w:val="24"/>
        </w:rPr>
        <w:t>CoV</w:t>
      </w:r>
      <w:proofErr w:type="spellEnd"/>
      <w:r w:rsidR="00A370B1" w:rsidRPr="00FD6F71">
        <w:rPr>
          <w:rFonts w:ascii="Arial" w:hAnsi="Arial" w:cs="Arial"/>
          <w:sz w:val="24"/>
          <w:szCs w:val="24"/>
        </w:rPr>
        <w:t xml:space="preserve"> 2 (COVID-19), así como durante la </w:t>
      </w:r>
      <w:r w:rsidR="00F13821" w:rsidRPr="00FD6F71">
        <w:rPr>
          <w:rFonts w:ascii="Arial" w:hAnsi="Arial" w:cs="Arial"/>
          <w:sz w:val="24"/>
          <w:szCs w:val="24"/>
        </w:rPr>
        <w:t>implementación</w:t>
      </w:r>
      <w:r w:rsidR="00A370B1" w:rsidRPr="00FD6F71">
        <w:rPr>
          <w:rFonts w:ascii="Arial" w:hAnsi="Arial" w:cs="Arial"/>
          <w:sz w:val="24"/>
          <w:szCs w:val="24"/>
        </w:rPr>
        <w:t xml:space="preserve"> de medidas sanitarias para evitar su propagación. </w:t>
      </w:r>
    </w:p>
    <w:p w14:paraId="5718BB9D" w14:textId="77777777" w:rsidR="00725869" w:rsidRPr="00756B55" w:rsidRDefault="00725869" w:rsidP="006F3370">
      <w:pPr>
        <w:spacing w:after="0" w:line="240" w:lineRule="auto"/>
        <w:ind w:left="-567"/>
        <w:jc w:val="both"/>
        <w:rPr>
          <w:rFonts w:ascii="Arial" w:hAnsi="Arial" w:cs="Arial"/>
          <w:sz w:val="24"/>
          <w:szCs w:val="24"/>
        </w:rPr>
      </w:pPr>
    </w:p>
    <w:p w14:paraId="751E56BE" w14:textId="446B1F81" w:rsidR="00AF0E6A" w:rsidRDefault="00AF0E6A" w:rsidP="00AF0E6A">
      <w:pPr>
        <w:spacing w:after="0" w:line="240" w:lineRule="auto"/>
        <w:ind w:left="-567"/>
        <w:jc w:val="both"/>
        <w:rPr>
          <w:rFonts w:ascii="Arial" w:hAnsi="Arial" w:cs="Arial"/>
          <w:sz w:val="24"/>
          <w:szCs w:val="24"/>
        </w:rPr>
      </w:pPr>
      <w:r w:rsidRPr="00756B55">
        <w:rPr>
          <w:rFonts w:ascii="Arial" w:hAnsi="Arial" w:cs="Arial"/>
          <w:sz w:val="24"/>
          <w:szCs w:val="24"/>
        </w:rPr>
        <w:t>Entre los datos que aporta este Censo, se encuentra que:</w:t>
      </w:r>
    </w:p>
    <w:p w14:paraId="27F2B6B4" w14:textId="77777777" w:rsidR="00AF0E6A" w:rsidRPr="00756B55" w:rsidRDefault="00AF0E6A" w:rsidP="00AF0E6A">
      <w:pPr>
        <w:spacing w:after="0" w:line="240" w:lineRule="auto"/>
        <w:ind w:left="-284"/>
        <w:jc w:val="both"/>
        <w:rPr>
          <w:rFonts w:ascii="Arial" w:hAnsi="Arial" w:cs="Arial"/>
          <w:color w:val="FF0000"/>
          <w:sz w:val="24"/>
          <w:szCs w:val="24"/>
        </w:rPr>
      </w:pPr>
    </w:p>
    <w:p w14:paraId="571E77E5" w14:textId="36EA582F" w:rsidR="00550AE1" w:rsidRDefault="00E04428" w:rsidP="00550AE1">
      <w:pPr>
        <w:pStyle w:val="Default"/>
        <w:numPr>
          <w:ilvl w:val="0"/>
          <w:numId w:val="16"/>
        </w:numPr>
        <w:ind w:left="-284"/>
        <w:jc w:val="both"/>
      </w:pPr>
      <w:r w:rsidRPr="00E04428">
        <w:t>Al cierre de 2020, se reportaron 3 720 Agencias del Ministerio Público de las Procuradurías o Fiscalías Generales de Justicia, cifra que representó una disminución de 0.9% en comparación con la cantidad registrada en 2019</w:t>
      </w:r>
      <w:r w:rsidR="00550AE1" w:rsidRPr="00550AE1">
        <w:t>. El personal adscrito a dichas agencias fueron 51 589 servidoras y servidores públicos, de los cuales 54.6% fueron hombres y 45.4% mujeres</w:t>
      </w:r>
      <w:r w:rsidR="00550AE1">
        <w:t>.</w:t>
      </w:r>
    </w:p>
    <w:p w14:paraId="5745C9BB" w14:textId="77777777" w:rsidR="00291613" w:rsidRDefault="00291613" w:rsidP="00291613">
      <w:pPr>
        <w:pStyle w:val="Default"/>
        <w:ind w:left="-284"/>
        <w:jc w:val="both"/>
      </w:pPr>
    </w:p>
    <w:p w14:paraId="5F24C887" w14:textId="77777777" w:rsidR="00157B43" w:rsidRDefault="00157B43" w:rsidP="00473C75">
      <w:pPr>
        <w:pStyle w:val="Default"/>
        <w:ind w:left="-284"/>
        <w:jc w:val="both"/>
      </w:pPr>
    </w:p>
    <w:p w14:paraId="212DDB74" w14:textId="77777777" w:rsidR="00157B43" w:rsidRDefault="00157B43" w:rsidP="00157B43">
      <w:pPr>
        <w:pStyle w:val="Prrafodelista"/>
      </w:pPr>
    </w:p>
    <w:p w14:paraId="59FB38CB" w14:textId="3058F110" w:rsidR="00291613" w:rsidRDefault="00291613" w:rsidP="00550AE1">
      <w:pPr>
        <w:pStyle w:val="Default"/>
        <w:numPr>
          <w:ilvl w:val="0"/>
          <w:numId w:val="16"/>
        </w:numPr>
        <w:ind w:left="-284"/>
        <w:jc w:val="both"/>
      </w:pPr>
      <w:r w:rsidRPr="00285E02">
        <w:t>Durante 20</w:t>
      </w:r>
      <w:r>
        <w:t>20</w:t>
      </w:r>
      <w:r w:rsidRPr="00285E02">
        <w:t>, las Procuradurías o Fiscalías Generales de Justicia ejercieron un presupuesto de 46</w:t>
      </w:r>
      <w:r>
        <w:t xml:space="preserve"> </w:t>
      </w:r>
      <w:r w:rsidRPr="00285E02">
        <w:t>015</w:t>
      </w:r>
      <w:r>
        <w:t xml:space="preserve"> </w:t>
      </w:r>
      <w:r w:rsidRPr="00285E02">
        <w:t>127</w:t>
      </w:r>
      <w:r>
        <w:t xml:space="preserve"> </w:t>
      </w:r>
      <w:r w:rsidRPr="00285E02">
        <w:t>067</w:t>
      </w:r>
      <w:r>
        <w:t xml:space="preserve"> </w:t>
      </w:r>
      <w:r w:rsidRPr="00285E02">
        <w:t>pesos</w:t>
      </w:r>
      <w:r>
        <w:t>. Dicha cifra representó un aumento de 7.4%, respecto al presupuesto ejercido en 2019.</w:t>
      </w:r>
    </w:p>
    <w:p w14:paraId="28172110" w14:textId="77777777" w:rsidR="00550AE1" w:rsidRDefault="00550AE1" w:rsidP="00550AE1">
      <w:pPr>
        <w:pStyle w:val="Default"/>
        <w:ind w:left="-284"/>
        <w:jc w:val="both"/>
      </w:pPr>
    </w:p>
    <w:p w14:paraId="1ADCAC11" w14:textId="30925C9F" w:rsidR="00550AE1" w:rsidRDefault="00550AE1" w:rsidP="00550AE1">
      <w:pPr>
        <w:pStyle w:val="Default"/>
        <w:numPr>
          <w:ilvl w:val="0"/>
          <w:numId w:val="16"/>
        </w:numPr>
        <w:ind w:left="-284"/>
        <w:jc w:val="both"/>
      </w:pPr>
      <w:r w:rsidRPr="00550AE1">
        <w:t xml:space="preserve">Durante 2020, </w:t>
      </w:r>
      <w:r w:rsidR="003A4FA3">
        <w:t>el</w:t>
      </w:r>
      <w:r w:rsidRPr="00550AE1">
        <w:t xml:space="preserve"> personal fallecido adscrito a las agencias y/o fiscalías del Ministerio Público fue de 406, de los cuales, 81.8% fueron hombres y 18.2% mujeres. Ciudad de México concentró 27.6% del total nacional. Respecto al personal fallecido por COVID-19 adscrito a las agencias y/o fiscalías del Ministerio Público, durante 2020</w:t>
      </w:r>
      <w:r w:rsidR="00D1419B">
        <w:t>,</w:t>
      </w:r>
      <w:r w:rsidRPr="00550AE1">
        <w:t xml:space="preserve"> la cifra registrada fue de 231, de los cuales 32.5% se reportaron en Ciudad de México.</w:t>
      </w:r>
    </w:p>
    <w:p w14:paraId="1EC1D787" w14:textId="77777777" w:rsidR="00550AE1" w:rsidRDefault="00550AE1" w:rsidP="00550AE1">
      <w:pPr>
        <w:pStyle w:val="Prrafodelista"/>
      </w:pPr>
    </w:p>
    <w:p w14:paraId="3208E0CB" w14:textId="77777777" w:rsidR="00550AE1" w:rsidRDefault="00550AE1" w:rsidP="00550AE1">
      <w:pPr>
        <w:pStyle w:val="Default"/>
        <w:numPr>
          <w:ilvl w:val="0"/>
          <w:numId w:val="16"/>
        </w:numPr>
        <w:ind w:left="-284"/>
        <w:jc w:val="both"/>
      </w:pPr>
      <w:r w:rsidRPr="00550AE1">
        <w:t>Para el ejercicio de la función de los servicios periciales y/o servicio médico forense, al cierre de 2020 se contó con 283 unidades, 424 laboratorios y 205 anfiteatros. Respecto a lo reportado en 2019, la cantidad de unidades disminuyó 33.7% mientras que la cantidad de laboratorios aumentó 25.4% en 2020.</w:t>
      </w:r>
    </w:p>
    <w:p w14:paraId="19A4A5D0" w14:textId="77777777" w:rsidR="00550AE1" w:rsidRDefault="00550AE1" w:rsidP="00550AE1">
      <w:pPr>
        <w:pStyle w:val="Prrafodelista"/>
      </w:pPr>
    </w:p>
    <w:p w14:paraId="64D39DD8" w14:textId="3F321159" w:rsidR="006F4C4C" w:rsidRDefault="00550AE1" w:rsidP="006F4C4C">
      <w:pPr>
        <w:pStyle w:val="Default"/>
        <w:numPr>
          <w:ilvl w:val="0"/>
          <w:numId w:val="16"/>
        </w:numPr>
        <w:ind w:left="-284"/>
        <w:jc w:val="both"/>
      </w:pPr>
      <w:r w:rsidRPr="00550AE1">
        <w:t xml:space="preserve">Durante 2020, se iniciaron y/o abrieron </w:t>
      </w:r>
      <w:r w:rsidR="00DA20EE" w:rsidRPr="00DA20EE">
        <w:t>1 820 243</w:t>
      </w:r>
      <w:r w:rsidR="00DA20EE">
        <w:t xml:space="preserve"> </w:t>
      </w:r>
      <w:r w:rsidRPr="00550AE1">
        <w:t>averiguaciones previas e investigaciones y carpetas de investigación (98.</w:t>
      </w:r>
      <w:r w:rsidR="00DA20EE">
        <w:t>8</w:t>
      </w:r>
      <w:r w:rsidRPr="00550AE1">
        <w:t>% para adultos y 1.</w:t>
      </w:r>
      <w:r w:rsidR="00DA20EE">
        <w:t>2</w:t>
      </w:r>
      <w:r w:rsidRPr="00550AE1">
        <w:t xml:space="preserve">% para adolescentes). Respecto a lo reportado en 2019, la cantidad de averiguaciones previas e investigaciones y carpetas de investigación disminuyó </w:t>
      </w:r>
      <w:r w:rsidR="00DA20EE">
        <w:t>12.3</w:t>
      </w:r>
      <w:r w:rsidRPr="00550AE1">
        <w:t xml:space="preserve">% en 2020. </w:t>
      </w:r>
    </w:p>
    <w:p w14:paraId="255B54A4" w14:textId="77777777" w:rsidR="006F4C4C" w:rsidRDefault="006F4C4C" w:rsidP="006F4C4C">
      <w:pPr>
        <w:pStyle w:val="Prrafodelista"/>
      </w:pPr>
    </w:p>
    <w:p w14:paraId="05E04523" w14:textId="5667E5A2" w:rsidR="006F4C4C" w:rsidRDefault="006F4C4C" w:rsidP="006F4C4C">
      <w:pPr>
        <w:pStyle w:val="Default"/>
        <w:numPr>
          <w:ilvl w:val="0"/>
          <w:numId w:val="16"/>
        </w:numPr>
        <w:ind w:left="-284"/>
        <w:jc w:val="both"/>
      </w:pPr>
      <w:r>
        <w:t>En el mismo periodo</w:t>
      </w:r>
      <w:r w:rsidRPr="006F4C4C">
        <w:t xml:space="preserve"> se registraron 174 243 determinaciones y/o conclusiones en las averiguaciones previas iniciadas e investigaciones; 1 157 777 determinaciones y/o conclusiones efectuadas en las carpetas de investigación en la etapa de investigación inicial y 112 200 determinaciones y/o conclusiones efectuadas en las investigaciones y carpetas de investigación en la etapa de investigación complementaria</w:t>
      </w:r>
      <w:r>
        <w:t>.</w:t>
      </w:r>
    </w:p>
    <w:p w14:paraId="07C8FE79" w14:textId="77777777" w:rsidR="006F4C4C" w:rsidRDefault="006F4C4C" w:rsidP="006F4C4C">
      <w:pPr>
        <w:pStyle w:val="Prrafodelista"/>
      </w:pPr>
    </w:p>
    <w:p w14:paraId="1563B6A0" w14:textId="408D5A5B" w:rsidR="006F4C4C" w:rsidRDefault="006F4C4C" w:rsidP="006F4C4C">
      <w:pPr>
        <w:pStyle w:val="Default"/>
        <w:numPr>
          <w:ilvl w:val="0"/>
          <w:numId w:val="16"/>
        </w:numPr>
        <w:ind w:left="-284"/>
        <w:jc w:val="both"/>
      </w:pPr>
      <w:r w:rsidRPr="006F4C4C">
        <w:t xml:space="preserve">Al cierre de 2020, quedaron </w:t>
      </w:r>
      <w:r w:rsidR="00FE069E">
        <w:t xml:space="preserve">pendientes de concluir </w:t>
      </w:r>
      <w:r w:rsidRPr="006F4C4C">
        <w:t>2 452 739 averiguaciones previas e investigaciones y carpetas de investigación</w:t>
      </w:r>
      <w:r w:rsidR="00DF1A7D">
        <w:t>,</w:t>
      </w:r>
      <w:r w:rsidRPr="006F4C4C">
        <w:t xml:space="preserve"> tanto en la etapa de investigación inicial como en la etapa de investigación complementaria.</w:t>
      </w:r>
    </w:p>
    <w:p w14:paraId="4B76B6BC" w14:textId="77777777" w:rsidR="00A64077" w:rsidRDefault="00A64077" w:rsidP="006F4C4C">
      <w:pPr>
        <w:pStyle w:val="Prrafodelista"/>
      </w:pPr>
    </w:p>
    <w:p w14:paraId="55662DBC" w14:textId="7C77A78D" w:rsidR="006F4C4C" w:rsidRPr="006F4C4C" w:rsidRDefault="006F4C4C" w:rsidP="006F4C4C">
      <w:pPr>
        <w:pStyle w:val="Default"/>
        <w:numPr>
          <w:ilvl w:val="0"/>
          <w:numId w:val="16"/>
        </w:numPr>
        <w:ind w:left="-284"/>
        <w:jc w:val="both"/>
      </w:pPr>
      <w:r w:rsidRPr="006F4C4C">
        <w:t>Durante 2020, se abrieron 229 361 expedientes en materia penal para adultos y justicia para adolescentes por los órganos o unidades administrativas encargadas de los Mecanismos Alternativos de Solución de Controversias. En comparación con lo reportado en 2019, la cantidad de expedientes abiertos disminuyó 23.6 por ciento. En el mismo periodo se concluyeron 226 302 expedientes, de los cuales 47.4% correspondió a acuerdos reparatorios. Respecto a 2019, los expedientes concluidos disminuyeron 17.2% en 2020.</w:t>
      </w:r>
    </w:p>
    <w:p w14:paraId="0CFC418B" w14:textId="77777777" w:rsidR="00550AE1" w:rsidRPr="00756B55" w:rsidRDefault="00550AE1" w:rsidP="006F4C4C">
      <w:pPr>
        <w:pStyle w:val="Default"/>
        <w:ind w:left="-284"/>
        <w:jc w:val="both"/>
      </w:pPr>
    </w:p>
    <w:p w14:paraId="1B50D6D5" w14:textId="3F884ED1" w:rsidR="006F4C4C" w:rsidRDefault="006F4C4C" w:rsidP="00AF0E6A">
      <w:pPr>
        <w:spacing w:after="0" w:line="240" w:lineRule="auto"/>
        <w:ind w:left="-567"/>
        <w:jc w:val="both"/>
        <w:rPr>
          <w:rFonts w:ascii="Arial" w:hAnsi="Arial" w:cs="Arial"/>
          <w:sz w:val="24"/>
          <w:szCs w:val="24"/>
        </w:rPr>
      </w:pPr>
    </w:p>
    <w:p w14:paraId="6B448FA0" w14:textId="4046D5F3" w:rsidR="00157B43" w:rsidRDefault="00157B43" w:rsidP="00AF0E6A">
      <w:pPr>
        <w:spacing w:after="0" w:line="240" w:lineRule="auto"/>
        <w:ind w:left="-567"/>
        <w:jc w:val="both"/>
        <w:rPr>
          <w:rFonts w:ascii="Arial" w:hAnsi="Arial" w:cs="Arial"/>
          <w:sz w:val="24"/>
          <w:szCs w:val="24"/>
        </w:rPr>
      </w:pPr>
    </w:p>
    <w:p w14:paraId="788AA99C" w14:textId="7A99B9CF" w:rsidR="00157B43" w:rsidRDefault="00157B43" w:rsidP="00AF0E6A">
      <w:pPr>
        <w:spacing w:after="0" w:line="240" w:lineRule="auto"/>
        <w:ind w:left="-567"/>
        <w:jc w:val="both"/>
        <w:rPr>
          <w:rFonts w:ascii="Arial" w:hAnsi="Arial" w:cs="Arial"/>
          <w:sz w:val="24"/>
          <w:szCs w:val="24"/>
        </w:rPr>
      </w:pPr>
    </w:p>
    <w:p w14:paraId="767A2904" w14:textId="4784712B" w:rsidR="00157B43" w:rsidRDefault="00157B43" w:rsidP="00AF0E6A">
      <w:pPr>
        <w:spacing w:after="0" w:line="240" w:lineRule="auto"/>
        <w:ind w:left="-567"/>
        <w:jc w:val="both"/>
        <w:rPr>
          <w:rFonts w:ascii="Arial" w:hAnsi="Arial" w:cs="Arial"/>
          <w:sz w:val="24"/>
          <w:szCs w:val="24"/>
        </w:rPr>
      </w:pPr>
    </w:p>
    <w:p w14:paraId="3EF65C0F" w14:textId="77777777" w:rsidR="00157B43" w:rsidRDefault="00157B43" w:rsidP="00AF0E6A">
      <w:pPr>
        <w:spacing w:after="0" w:line="240" w:lineRule="auto"/>
        <w:ind w:left="-567"/>
        <w:jc w:val="both"/>
        <w:rPr>
          <w:rFonts w:ascii="Arial" w:hAnsi="Arial" w:cs="Arial"/>
          <w:sz w:val="24"/>
          <w:szCs w:val="24"/>
        </w:rPr>
      </w:pPr>
    </w:p>
    <w:p w14:paraId="67860A1D" w14:textId="77777777" w:rsidR="006F4C4C" w:rsidRDefault="006F4C4C" w:rsidP="00AF0E6A">
      <w:pPr>
        <w:spacing w:after="0" w:line="240" w:lineRule="auto"/>
        <w:ind w:left="-567"/>
        <w:jc w:val="both"/>
        <w:rPr>
          <w:rFonts w:ascii="Arial" w:hAnsi="Arial" w:cs="Arial"/>
          <w:sz w:val="24"/>
          <w:szCs w:val="24"/>
        </w:rPr>
      </w:pPr>
    </w:p>
    <w:p w14:paraId="577E2F6B" w14:textId="1C3EDA72" w:rsidR="00300973" w:rsidRPr="00C77AA1" w:rsidRDefault="00300973" w:rsidP="00300973">
      <w:pPr>
        <w:spacing w:after="0" w:line="240" w:lineRule="auto"/>
        <w:ind w:left="-567"/>
        <w:jc w:val="both"/>
        <w:rPr>
          <w:rFonts w:ascii="Arial" w:hAnsi="Arial" w:cs="Arial"/>
          <w:color w:val="000000"/>
          <w:sz w:val="24"/>
          <w:szCs w:val="24"/>
        </w:rPr>
      </w:pPr>
      <w:r w:rsidRPr="00C77AA1">
        <w:rPr>
          <w:rFonts w:ascii="Arial" w:hAnsi="Arial" w:cs="Arial"/>
          <w:sz w:val="24"/>
          <w:szCs w:val="24"/>
        </w:rPr>
        <w:t xml:space="preserve">Los resultados del CNPJE 2021 integran información correspondiente </w:t>
      </w:r>
      <w:r w:rsidRPr="00C77AA1">
        <w:rPr>
          <w:rFonts w:ascii="Arial" w:hAnsi="Arial" w:cs="Arial"/>
          <w:color w:val="000000"/>
          <w:sz w:val="24"/>
          <w:szCs w:val="24"/>
        </w:rPr>
        <w:t xml:space="preserve">a 2020, la cual se presenta mediante cuadros estadísticos organizados en </w:t>
      </w:r>
      <w:bookmarkStart w:id="1" w:name="_Hlk58488204"/>
      <w:r w:rsidRPr="00C77AA1">
        <w:rPr>
          <w:rFonts w:ascii="Arial" w:hAnsi="Arial" w:cs="Arial"/>
          <w:color w:val="000000"/>
          <w:sz w:val="24"/>
          <w:szCs w:val="24"/>
        </w:rPr>
        <w:t xml:space="preserve">los siguientes apartados: Estructura organizacional y recursos; </w:t>
      </w:r>
      <w:bookmarkEnd w:id="1"/>
      <w:r w:rsidRPr="00C77AA1">
        <w:rPr>
          <w:rFonts w:ascii="Arial" w:hAnsi="Arial" w:cs="Arial"/>
          <w:color w:val="000000"/>
          <w:sz w:val="24"/>
          <w:szCs w:val="24"/>
        </w:rPr>
        <w:t>Servicios periciales; Procuración de justicia y Mecanismos alternativos de solución de controversias en materia penal.</w:t>
      </w:r>
    </w:p>
    <w:p w14:paraId="324F0E13" w14:textId="77777777" w:rsidR="006F4C4C" w:rsidRDefault="006F4C4C" w:rsidP="00300973">
      <w:pPr>
        <w:spacing w:after="0" w:line="240" w:lineRule="auto"/>
        <w:ind w:left="-567"/>
        <w:jc w:val="both"/>
        <w:rPr>
          <w:rFonts w:ascii="Arial" w:hAnsi="Arial" w:cs="Arial"/>
          <w:color w:val="000000"/>
        </w:rPr>
      </w:pPr>
    </w:p>
    <w:p w14:paraId="1EEE018D" w14:textId="77777777" w:rsidR="00300973" w:rsidRDefault="00300973" w:rsidP="00300973">
      <w:pPr>
        <w:spacing w:after="0" w:line="240" w:lineRule="auto"/>
        <w:ind w:left="-567"/>
        <w:jc w:val="both"/>
        <w:rPr>
          <w:rFonts w:ascii="Arial" w:hAnsi="Arial" w:cs="Arial"/>
          <w:color w:val="000000"/>
        </w:rPr>
      </w:pPr>
    </w:p>
    <w:p w14:paraId="2BBE445B" w14:textId="77777777" w:rsidR="00300973" w:rsidRPr="0041372E" w:rsidRDefault="00300973" w:rsidP="00300973">
      <w:pPr>
        <w:spacing w:after="0" w:line="240" w:lineRule="auto"/>
        <w:ind w:left="-567"/>
        <w:jc w:val="both"/>
        <w:rPr>
          <w:rFonts w:ascii="Arial" w:hAnsi="Arial" w:cs="Arial"/>
          <w:color w:val="000000"/>
          <w:spacing w:val="-2"/>
        </w:rPr>
      </w:pPr>
      <w:r w:rsidRPr="003E4B31">
        <w:rPr>
          <w:rFonts w:ascii="Arial" w:hAnsi="Arial" w:cs="Arial"/>
          <w:color w:val="000000"/>
          <w:spacing w:val="-2"/>
        </w:rPr>
        <w:t xml:space="preserve">La información se puede consultar en </w:t>
      </w:r>
      <w:r>
        <w:rPr>
          <w:rFonts w:ascii="Arial" w:hAnsi="Arial" w:cs="Arial"/>
          <w:color w:val="000000"/>
          <w:spacing w:val="-2"/>
        </w:rPr>
        <w:t>el</w:t>
      </w:r>
      <w:r w:rsidRPr="003E4B31">
        <w:rPr>
          <w:rFonts w:ascii="Arial" w:hAnsi="Arial" w:cs="Arial"/>
          <w:color w:val="000000"/>
          <w:spacing w:val="-2"/>
        </w:rPr>
        <w:t xml:space="preserve"> sitio</w:t>
      </w:r>
      <w:r>
        <w:rPr>
          <w:rFonts w:ascii="Arial" w:hAnsi="Arial" w:cs="Arial"/>
          <w:color w:val="000000"/>
          <w:spacing w:val="-2"/>
        </w:rPr>
        <w:t>:</w:t>
      </w:r>
      <w:r w:rsidRPr="003E4B31">
        <w:rPr>
          <w:rFonts w:ascii="Arial" w:hAnsi="Arial" w:cs="Arial"/>
          <w:color w:val="000000"/>
          <w:spacing w:val="-2"/>
        </w:rPr>
        <w:t xml:space="preserve"> </w:t>
      </w:r>
      <w:hyperlink r:id="rId11" w:history="1">
        <w:r w:rsidRPr="00873D44">
          <w:rPr>
            <w:rStyle w:val="Hipervnculo"/>
            <w:rFonts w:ascii="Arial" w:hAnsi="Arial" w:cs="Arial"/>
            <w:spacing w:val="-2"/>
          </w:rPr>
          <w:t>https://www.inegi.org.mx/programas/cnpje/2021/</w:t>
        </w:r>
      </w:hyperlink>
    </w:p>
    <w:p w14:paraId="48AE4685" w14:textId="77777777" w:rsidR="00E32FA8" w:rsidRPr="00756B55" w:rsidRDefault="00E32FA8" w:rsidP="00AF0E6A">
      <w:pPr>
        <w:spacing w:after="0" w:line="240" w:lineRule="auto"/>
        <w:ind w:left="-567"/>
        <w:jc w:val="both"/>
        <w:rPr>
          <w:rFonts w:ascii="Arial" w:hAnsi="Arial" w:cs="Arial"/>
          <w:color w:val="000000"/>
          <w:sz w:val="24"/>
          <w:szCs w:val="24"/>
        </w:rPr>
      </w:pPr>
    </w:p>
    <w:p w14:paraId="13B2BECB" w14:textId="77777777" w:rsidR="00167E45" w:rsidRPr="00756B55" w:rsidRDefault="00167E45" w:rsidP="00AF0E6A">
      <w:pPr>
        <w:spacing w:after="0" w:line="240" w:lineRule="auto"/>
        <w:ind w:left="-567"/>
        <w:jc w:val="both"/>
        <w:rPr>
          <w:rFonts w:ascii="Arial" w:hAnsi="Arial" w:cs="Arial"/>
          <w:color w:val="000000"/>
          <w:spacing w:val="-2"/>
          <w:sz w:val="24"/>
          <w:szCs w:val="24"/>
        </w:rPr>
      </w:pPr>
    </w:p>
    <w:p w14:paraId="37F7480E" w14:textId="77777777" w:rsidR="00244AEC" w:rsidRPr="00756B55" w:rsidRDefault="00244AEC" w:rsidP="00AF0E6A">
      <w:pPr>
        <w:pStyle w:val="Default"/>
        <w:ind w:left="-567"/>
        <w:jc w:val="center"/>
        <w:rPr>
          <w:b/>
          <w:bCs/>
        </w:rPr>
      </w:pPr>
    </w:p>
    <w:p w14:paraId="60780C2A" w14:textId="77777777" w:rsidR="00244AEC" w:rsidRPr="00756B55" w:rsidRDefault="00244AEC" w:rsidP="00AF0E6A">
      <w:pPr>
        <w:pStyle w:val="Default"/>
        <w:ind w:left="-567"/>
        <w:jc w:val="center"/>
        <w:rPr>
          <w:b/>
          <w:bCs/>
        </w:rPr>
      </w:pPr>
    </w:p>
    <w:p w14:paraId="176D9B33" w14:textId="60FDB97B" w:rsidR="00AF0E6A" w:rsidRPr="00756B55" w:rsidRDefault="00AF0E6A" w:rsidP="00AF0E6A">
      <w:pPr>
        <w:pStyle w:val="Default"/>
        <w:ind w:left="-567"/>
        <w:jc w:val="center"/>
        <w:rPr>
          <w:b/>
          <w:bCs/>
        </w:rPr>
      </w:pPr>
      <w:r w:rsidRPr="00756B55">
        <w:rPr>
          <w:b/>
          <w:bCs/>
        </w:rPr>
        <w:t xml:space="preserve">Se anexa </w:t>
      </w:r>
      <w:r w:rsidR="005E36B8">
        <w:rPr>
          <w:b/>
          <w:bCs/>
        </w:rPr>
        <w:t>N</w:t>
      </w:r>
      <w:r w:rsidRPr="00756B55">
        <w:rPr>
          <w:b/>
          <w:bCs/>
        </w:rPr>
        <w:t xml:space="preserve">ota </w:t>
      </w:r>
      <w:r w:rsidR="005E36B8">
        <w:rPr>
          <w:b/>
          <w:bCs/>
        </w:rPr>
        <w:t>T</w:t>
      </w:r>
      <w:r w:rsidRPr="00756B55">
        <w:rPr>
          <w:b/>
          <w:bCs/>
        </w:rPr>
        <w:t>écnica</w:t>
      </w:r>
    </w:p>
    <w:p w14:paraId="16EF443D" w14:textId="5BF2241D" w:rsidR="00AE4A44" w:rsidRPr="00756B55" w:rsidRDefault="00AE4A44" w:rsidP="00AF0E6A">
      <w:pPr>
        <w:pStyle w:val="Default"/>
        <w:jc w:val="center"/>
        <w:rPr>
          <w:b/>
          <w:bCs/>
        </w:rPr>
      </w:pPr>
    </w:p>
    <w:p w14:paraId="6C21217B" w14:textId="77777777" w:rsidR="00AF0E6A" w:rsidRPr="00756B55" w:rsidRDefault="00AF0E6A" w:rsidP="00AF0E6A">
      <w:pPr>
        <w:pStyle w:val="NormalWeb"/>
        <w:spacing w:before="0" w:beforeAutospacing="0" w:after="0" w:afterAutospacing="0"/>
        <w:ind w:left="-567"/>
        <w:contextualSpacing/>
        <w:jc w:val="center"/>
        <w:rPr>
          <w:rFonts w:ascii="Arial" w:hAnsi="Arial" w:cs="Arial"/>
        </w:rPr>
      </w:pPr>
      <w:r w:rsidRPr="00756B55">
        <w:rPr>
          <w:rFonts w:ascii="Arial" w:hAnsi="Arial" w:cs="Arial"/>
        </w:rPr>
        <w:t xml:space="preserve">Para consultas de medios y periodistas, contactar a: </w:t>
      </w:r>
      <w:hyperlink r:id="rId12" w:history="1">
        <w:r w:rsidRPr="00756B55">
          <w:rPr>
            <w:rStyle w:val="Hipervnculo"/>
            <w:rFonts w:ascii="Arial" w:hAnsi="Arial" w:cs="Arial"/>
          </w:rPr>
          <w:t>comunicacionsocial@inegi.org.mx</w:t>
        </w:r>
      </w:hyperlink>
      <w:r w:rsidRPr="00756B55">
        <w:rPr>
          <w:rFonts w:ascii="Arial" w:hAnsi="Arial" w:cs="Arial"/>
        </w:rPr>
        <w:t xml:space="preserve"> </w:t>
      </w:r>
    </w:p>
    <w:p w14:paraId="4E0E6059" w14:textId="77777777" w:rsidR="00AF0E6A" w:rsidRPr="00756B55" w:rsidRDefault="00AF0E6A" w:rsidP="00AF0E6A">
      <w:pPr>
        <w:pStyle w:val="NormalWeb"/>
        <w:spacing w:before="0" w:beforeAutospacing="0" w:after="0" w:afterAutospacing="0"/>
        <w:ind w:left="-567"/>
        <w:contextualSpacing/>
        <w:jc w:val="center"/>
        <w:rPr>
          <w:rFonts w:ascii="Arial" w:hAnsi="Arial" w:cs="Arial"/>
        </w:rPr>
      </w:pPr>
      <w:r w:rsidRPr="00756B55">
        <w:rPr>
          <w:rFonts w:ascii="Arial" w:hAnsi="Arial" w:cs="Arial"/>
        </w:rPr>
        <w:t xml:space="preserve">o llamar al teléfono (55) 52-78-10-00, </w:t>
      </w:r>
      <w:proofErr w:type="spellStart"/>
      <w:r w:rsidRPr="00756B55">
        <w:rPr>
          <w:rFonts w:ascii="Arial" w:hAnsi="Arial" w:cs="Arial"/>
        </w:rPr>
        <w:t>exts</w:t>
      </w:r>
      <w:proofErr w:type="spellEnd"/>
      <w:r w:rsidRPr="00756B55">
        <w:rPr>
          <w:rFonts w:ascii="Arial" w:hAnsi="Arial" w:cs="Arial"/>
        </w:rPr>
        <w:t>. 1134, 1260 y 1241.</w:t>
      </w:r>
    </w:p>
    <w:p w14:paraId="18930921" w14:textId="77777777" w:rsidR="00AF0E6A" w:rsidRPr="00756B55" w:rsidRDefault="00AF0E6A" w:rsidP="00AF0E6A">
      <w:pPr>
        <w:pStyle w:val="NormalWeb"/>
        <w:spacing w:before="0" w:beforeAutospacing="0" w:after="0" w:afterAutospacing="0"/>
        <w:ind w:left="-567"/>
        <w:contextualSpacing/>
        <w:jc w:val="center"/>
        <w:rPr>
          <w:rFonts w:ascii="Arial" w:hAnsi="Arial" w:cs="Arial"/>
        </w:rPr>
      </w:pPr>
    </w:p>
    <w:p w14:paraId="5EEF7222" w14:textId="4FF71BAE" w:rsidR="00AE4A44" w:rsidRPr="00756B55" w:rsidRDefault="00AF0E6A" w:rsidP="00AF0E6A">
      <w:pPr>
        <w:ind w:left="-567"/>
        <w:contextualSpacing/>
        <w:jc w:val="center"/>
        <w:rPr>
          <w:rFonts w:ascii="Arial" w:hAnsi="Arial" w:cs="Arial"/>
          <w:sz w:val="24"/>
          <w:szCs w:val="24"/>
        </w:rPr>
      </w:pPr>
      <w:r w:rsidRPr="00756B55">
        <w:rPr>
          <w:rFonts w:ascii="Arial" w:hAnsi="Arial" w:cs="Arial"/>
          <w:sz w:val="24"/>
          <w:szCs w:val="24"/>
        </w:rPr>
        <w:t xml:space="preserve">Dirección de Atención a Medios / Dirección General Adjunta de Comunicación </w:t>
      </w:r>
    </w:p>
    <w:p w14:paraId="55EDC497" w14:textId="1D9BC1A7" w:rsidR="00894418" w:rsidRPr="00756B55" w:rsidRDefault="00894418" w:rsidP="00AF0E6A">
      <w:pPr>
        <w:ind w:left="-567"/>
        <w:contextualSpacing/>
        <w:jc w:val="center"/>
        <w:rPr>
          <w:rFonts w:ascii="Arial" w:hAnsi="Arial" w:cs="Arial"/>
        </w:rPr>
      </w:pPr>
    </w:p>
    <w:p w14:paraId="67829525" w14:textId="77777777" w:rsidR="00AE4A44" w:rsidRPr="00756B55" w:rsidRDefault="00AF0E6A" w:rsidP="00AF0E6A">
      <w:pPr>
        <w:ind w:left="-567"/>
        <w:contextualSpacing/>
        <w:jc w:val="center"/>
        <w:rPr>
          <w:noProof/>
          <w:lang w:eastAsia="es-MX"/>
        </w:rPr>
        <w:sectPr w:rsidR="00AE4A44" w:rsidRPr="00756B55" w:rsidSect="00C22F44">
          <w:headerReference w:type="default" r:id="rId13"/>
          <w:footerReference w:type="default" r:id="rId14"/>
          <w:type w:val="continuous"/>
          <w:pgSz w:w="12240" w:h="15840"/>
          <w:pgMar w:top="1417" w:right="1183" w:bottom="993" w:left="1701" w:header="708" w:footer="708" w:gutter="0"/>
          <w:cols w:space="708"/>
          <w:docGrid w:linePitch="360"/>
        </w:sectPr>
      </w:pPr>
      <w:r w:rsidRPr="00756B55">
        <w:rPr>
          <w:noProof/>
          <w:lang w:eastAsia="es-MX"/>
        </w:rPr>
        <w:drawing>
          <wp:inline distT="0" distB="0" distL="0" distR="0" wp14:anchorId="31BDAC89" wp14:editId="5490CE06">
            <wp:extent cx="318472" cy="322419"/>
            <wp:effectExtent l="0" t="0" r="5715" b="1905"/>
            <wp:docPr id="49" name="Imagen 49" descr="C:\Users\saladeprensa\Desktop\NVOS LOGOS\F.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deprensa\Desktop\NVOS LOGOS\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390" cy="332460"/>
                    </a:xfrm>
                    <a:prstGeom prst="rect">
                      <a:avLst/>
                    </a:prstGeom>
                    <a:noFill/>
                    <a:ln>
                      <a:noFill/>
                    </a:ln>
                  </pic:spPr>
                </pic:pic>
              </a:graphicData>
            </a:graphic>
          </wp:inline>
        </w:drawing>
      </w:r>
      <w:r w:rsidRPr="00756B55">
        <w:rPr>
          <w:noProof/>
          <w:lang w:eastAsia="es-MX"/>
        </w:rPr>
        <w:t xml:space="preserve"> </w:t>
      </w:r>
      <w:r w:rsidRPr="00756B55">
        <w:rPr>
          <w:noProof/>
          <w:lang w:eastAsia="es-MX"/>
        </w:rPr>
        <w:drawing>
          <wp:inline distT="0" distB="0" distL="0" distR="0" wp14:anchorId="523C963E" wp14:editId="795CAF19">
            <wp:extent cx="327704" cy="325467"/>
            <wp:effectExtent l="0" t="0" r="0" b="0"/>
            <wp:docPr id="50" name="Imagen 50" descr="C:\Users\saladeprensa\Desktop\NVOS LOGOS\I.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adeprensa\Desktop\NVOS LOGOS\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3660" cy="440632"/>
                    </a:xfrm>
                    <a:prstGeom prst="rect">
                      <a:avLst/>
                    </a:prstGeom>
                    <a:noFill/>
                    <a:ln>
                      <a:noFill/>
                    </a:ln>
                  </pic:spPr>
                </pic:pic>
              </a:graphicData>
            </a:graphic>
          </wp:inline>
        </w:drawing>
      </w:r>
      <w:r w:rsidRPr="00756B55">
        <w:rPr>
          <w:noProof/>
          <w:lang w:eastAsia="es-MX"/>
        </w:rPr>
        <w:t xml:space="preserve"> </w:t>
      </w:r>
      <w:r w:rsidRPr="00756B55">
        <w:rPr>
          <w:noProof/>
          <w:lang w:eastAsia="es-MX"/>
        </w:rPr>
        <w:drawing>
          <wp:inline distT="0" distB="0" distL="0" distR="0" wp14:anchorId="73B64578" wp14:editId="3294024F">
            <wp:extent cx="321276" cy="324093"/>
            <wp:effectExtent l="0" t="0" r="3175" b="0"/>
            <wp:docPr id="35" name="Imagen 35" descr="C:\Users\saladeprensa\Desktop\NVOS LOGOS\T.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adeprensa\Desktop\NVOS LOGOS\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052" cy="334964"/>
                    </a:xfrm>
                    <a:prstGeom prst="rect">
                      <a:avLst/>
                    </a:prstGeom>
                    <a:noFill/>
                    <a:ln>
                      <a:noFill/>
                    </a:ln>
                  </pic:spPr>
                </pic:pic>
              </a:graphicData>
            </a:graphic>
          </wp:inline>
        </w:drawing>
      </w:r>
      <w:r w:rsidRPr="00756B55">
        <w:rPr>
          <w:noProof/>
          <w:lang w:eastAsia="es-MX"/>
        </w:rPr>
        <w:t xml:space="preserve"> </w:t>
      </w:r>
      <w:r w:rsidRPr="00756B55">
        <w:rPr>
          <w:noProof/>
          <w:lang w:eastAsia="es-MX"/>
        </w:rPr>
        <w:drawing>
          <wp:inline distT="0" distB="0" distL="0" distR="0" wp14:anchorId="732951F5" wp14:editId="133A2C3A">
            <wp:extent cx="321276" cy="326574"/>
            <wp:effectExtent l="0" t="0" r="3175" b="0"/>
            <wp:docPr id="51" name="Imagen 51" descr="C:\Users\saladeprensa\Desktop\NVOS LOGOS\Y.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adeprensa\Desktop\NVOS LOGOS\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0702" cy="376816"/>
                    </a:xfrm>
                    <a:prstGeom prst="rect">
                      <a:avLst/>
                    </a:prstGeom>
                    <a:noFill/>
                    <a:ln>
                      <a:noFill/>
                    </a:ln>
                  </pic:spPr>
                </pic:pic>
              </a:graphicData>
            </a:graphic>
          </wp:inline>
        </w:drawing>
      </w:r>
      <w:r w:rsidRPr="00756B55">
        <w:rPr>
          <w:noProof/>
          <w:lang w:eastAsia="es-MX"/>
        </w:rPr>
        <w:t xml:space="preserve">  </w:t>
      </w:r>
      <w:r w:rsidRPr="00756B55">
        <w:rPr>
          <w:noProof/>
          <w:sz w:val="14"/>
          <w:szCs w:val="18"/>
          <w:lang w:eastAsia="es-MX"/>
        </w:rPr>
        <w:drawing>
          <wp:inline distT="0" distB="0" distL="0" distR="0" wp14:anchorId="39BF693D" wp14:editId="7F351D87">
            <wp:extent cx="2323070" cy="319707"/>
            <wp:effectExtent l="0" t="0" r="1270" b="4445"/>
            <wp:docPr id="52" name="Imagen 5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3623" cy="356941"/>
                    </a:xfrm>
                    <a:prstGeom prst="rect">
                      <a:avLst/>
                    </a:prstGeom>
                    <a:noFill/>
                    <a:ln>
                      <a:noFill/>
                    </a:ln>
                  </pic:spPr>
                </pic:pic>
              </a:graphicData>
            </a:graphic>
          </wp:inline>
        </w:drawing>
      </w:r>
    </w:p>
    <w:p w14:paraId="74CAED78" w14:textId="77777777" w:rsidR="005464D0" w:rsidRPr="00756B55" w:rsidRDefault="005464D0" w:rsidP="00032500">
      <w:pPr>
        <w:autoSpaceDE w:val="0"/>
        <w:autoSpaceDN w:val="0"/>
        <w:adjustRightInd w:val="0"/>
        <w:spacing w:after="0" w:line="240" w:lineRule="auto"/>
        <w:ind w:left="-567"/>
        <w:jc w:val="center"/>
        <w:rPr>
          <w:rFonts w:ascii="Arial" w:hAnsi="Arial" w:cs="Arial"/>
          <w:b/>
          <w:bCs/>
          <w:color w:val="000000"/>
          <w:sz w:val="24"/>
          <w:szCs w:val="24"/>
        </w:rPr>
      </w:pPr>
    </w:p>
    <w:p w14:paraId="352345CE" w14:textId="77777777" w:rsidR="00167E45" w:rsidRPr="00756B55" w:rsidRDefault="00167E45" w:rsidP="00032500">
      <w:pPr>
        <w:autoSpaceDE w:val="0"/>
        <w:autoSpaceDN w:val="0"/>
        <w:adjustRightInd w:val="0"/>
        <w:spacing w:after="0" w:line="240" w:lineRule="auto"/>
        <w:ind w:left="-567"/>
        <w:jc w:val="center"/>
        <w:rPr>
          <w:rFonts w:ascii="Arial" w:hAnsi="Arial" w:cs="Arial"/>
          <w:b/>
          <w:bCs/>
          <w:color w:val="000000"/>
          <w:sz w:val="24"/>
          <w:szCs w:val="24"/>
        </w:rPr>
      </w:pPr>
    </w:p>
    <w:p w14:paraId="3634156D" w14:textId="77777777" w:rsidR="00167E45" w:rsidRPr="00756B55" w:rsidRDefault="00167E45" w:rsidP="00032500">
      <w:pPr>
        <w:autoSpaceDE w:val="0"/>
        <w:autoSpaceDN w:val="0"/>
        <w:adjustRightInd w:val="0"/>
        <w:spacing w:after="0" w:line="240" w:lineRule="auto"/>
        <w:ind w:left="-567"/>
        <w:jc w:val="center"/>
        <w:rPr>
          <w:rFonts w:ascii="Arial" w:hAnsi="Arial" w:cs="Arial"/>
          <w:b/>
          <w:bCs/>
          <w:color w:val="000000"/>
          <w:sz w:val="24"/>
          <w:szCs w:val="24"/>
        </w:rPr>
      </w:pPr>
    </w:p>
    <w:p w14:paraId="72F27A14" w14:textId="77777777" w:rsidR="00167E45" w:rsidRPr="00756B55" w:rsidRDefault="00167E45" w:rsidP="00032500">
      <w:pPr>
        <w:autoSpaceDE w:val="0"/>
        <w:autoSpaceDN w:val="0"/>
        <w:adjustRightInd w:val="0"/>
        <w:spacing w:after="0" w:line="240" w:lineRule="auto"/>
        <w:ind w:left="-567"/>
        <w:jc w:val="center"/>
        <w:rPr>
          <w:rFonts w:ascii="Arial" w:hAnsi="Arial" w:cs="Arial"/>
          <w:b/>
          <w:bCs/>
          <w:color w:val="000000"/>
          <w:sz w:val="24"/>
          <w:szCs w:val="24"/>
        </w:rPr>
      </w:pPr>
    </w:p>
    <w:p w14:paraId="181732F8" w14:textId="77777777" w:rsidR="00167E45" w:rsidRPr="00756B55" w:rsidRDefault="00167E45" w:rsidP="00032500">
      <w:pPr>
        <w:autoSpaceDE w:val="0"/>
        <w:autoSpaceDN w:val="0"/>
        <w:adjustRightInd w:val="0"/>
        <w:spacing w:after="0" w:line="240" w:lineRule="auto"/>
        <w:ind w:left="-567"/>
        <w:jc w:val="center"/>
        <w:rPr>
          <w:rFonts w:ascii="Arial" w:hAnsi="Arial" w:cs="Arial"/>
          <w:b/>
          <w:bCs/>
          <w:color w:val="000000"/>
          <w:sz w:val="24"/>
          <w:szCs w:val="24"/>
        </w:rPr>
      </w:pPr>
    </w:p>
    <w:p w14:paraId="3E16BC37" w14:textId="77777777" w:rsidR="00167E45" w:rsidRPr="00756B55" w:rsidRDefault="00167E45" w:rsidP="00032500">
      <w:pPr>
        <w:autoSpaceDE w:val="0"/>
        <w:autoSpaceDN w:val="0"/>
        <w:adjustRightInd w:val="0"/>
        <w:spacing w:after="0" w:line="240" w:lineRule="auto"/>
        <w:ind w:left="-567"/>
        <w:jc w:val="center"/>
        <w:rPr>
          <w:rFonts w:ascii="Arial" w:hAnsi="Arial" w:cs="Arial"/>
          <w:b/>
          <w:bCs/>
          <w:color w:val="000000"/>
          <w:sz w:val="24"/>
          <w:szCs w:val="24"/>
        </w:rPr>
      </w:pPr>
    </w:p>
    <w:p w14:paraId="60D995F7" w14:textId="77777777" w:rsidR="00167E45" w:rsidRPr="00756B55" w:rsidRDefault="00167E45" w:rsidP="00032500">
      <w:pPr>
        <w:autoSpaceDE w:val="0"/>
        <w:autoSpaceDN w:val="0"/>
        <w:adjustRightInd w:val="0"/>
        <w:spacing w:after="0" w:line="240" w:lineRule="auto"/>
        <w:ind w:left="-567"/>
        <w:jc w:val="center"/>
        <w:rPr>
          <w:rFonts w:ascii="Arial" w:hAnsi="Arial" w:cs="Arial"/>
          <w:b/>
          <w:bCs/>
          <w:color w:val="000000"/>
          <w:sz w:val="24"/>
          <w:szCs w:val="24"/>
        </w:rPr>
      </w:pPr>
    </w:p>
    <w:p w14:paraId="40D2DFF0" w14:textId="77777777" w:rsidR="00167E45" w:rsidRPr="00756B55" w:rsidRDefault="00167E45" w:rsidP="00032500">
      <w:pPr>
        <w:autoSpaceDE w:val="0"/>
        <w:autoSpaceDN w:val="0"/>
        <w:adjustRightInd w:val="0"/>
        <w:spacing w:after="0" w:line="240" w:lineRule="auto"/>
        <w:ind w:left="-567"/>
        <w:jc w:val="center"/>
        <w:rPr>
          <w:rFonts w:ascii="Arial" w:hAnsi="Arial" w:cs="Arial"/>
          <w:b/>
          <w:bCs/>
          <w:color w:val="000000"/>
          <w:sz w:val="24"/>
          <w:szCs w:val="24"/>
        </w:rPr>
      </w:pPr>
    </w:p>
    <w:p w14:paraId="2F09CD78" w14:textId="77777777" w:rsidR="00167E45" w:rsidRPr="00756B55" w:rsidRDefault="00167E45" w:rsidP="00032500">
      <w:pPr>
        <w:autoSpaceDE w:val="0"/>
        <w:autoSpaceDN w:val="0"/>
        <w:adjustRightInd w:val="0"/>
        <w:spacing w:after="0" w:line="240" w:lineRule="auto"/>
        <w:ind w:left="-567"/>
        <w:jc w:val="center"/>
        <w:rPr>
          <w:rFonts w:ascii="Arial" w:hAnsi="Arial" w:cs="Arial"/>
          <w:b/>
          <w:bCs/>
          <w:color w:val="000000"/>
          <w:sz w:val="24"/>
          <w:szCs w:val="24"/>
        </w:rPr>
      </w:pPr>
    </w:p>
    <w:p w14:paraId="232875F8" w14:textId="77777777" w:rsidR="00167E45" w:rsidRPr="00756B55" w:rsidRDefault="00167E45" w:rsidP="00032500">
      <w:pPr>
        <w:autoSpaceDE w:val="0"/>
        <w:autoSpaceDN w:val="0"/>
        <w:adjustRightInd w:val="0"/>
        <w:spacing w:after="0" w:line="240" w:lineRule="auto"/>
        <w:ind w:left="-567"/>
        <w:jc w:val="center"/>
        <w:rPr>
          <w:rFonts w:ascii="Arial" w:hAnsi="Arial" w:cs="Arial"/>
          <w:b/>
          <w:bCs/>
          <w:color w:val="000000"/>
          <w:sz w:val="24"/>
          <w:szCs w:val="24"/>
        </w:rPr>
      </w:pPr>
    </w:p>
    <w:p w14:paraId="2A23F6D4" w14:textId="77777777" w:rsidR="00167E45" w:rsidRPr="00756B55" w:rsidRDefault="00167E45" w:rsidP="00032500">
      <w:pPr>
        <w:autoSpaceDE w:val="0"/>
        <w:autoSpaceDN w:val="0"/>
        <w:adjustRightInd w:val="0"/>
        <w:spacing w:after="0" w:line="240" w:lineRule="auto"/>
        <w:ind w:left="-567"/>
        <w:jc w:val="center"/>
        <w:rPr>
          <w:rFonts w:ascii="Arial" w:hAnsi="Arial" w:cs="Arial"/>
          <w:b/>
          <w:bCs/>
          <w:color w:val="000000"/>
          <w:sz w:val="24"/>
          <w:szCs w:val="24"/>
        </w:rPr>
      </w:pPr>
    </w:p>
    <w:p w14:paraId="45CB3994" w14:textId="77777777" w:rsidR="00167E45" w:rsidRPr="00756B55" w:rsidRDefault="00167E45" w:rsidP="00032500">
      <w:pPr>
        <w:autoSpaceDE w:val="0"/>
        <w:autoSpaceDN w:val="0"/>
        <w:adjustRightInd w:val="0"/>
        <w:spacing w:after="0" w:line="240" w:lineRule="auto"/>
        <w:ind w:left="-567"/>
        <w:jc w:val="center"/>
        <w:rPr>
          <w:rFonts w:ascii="Arial" w:hAnsi="Arial" w:cs="Arial"/>
          <w:b/>
          <w:bCs/>
          <w:color w:val="000000"/>
          <w:sz w:val="24"/>
          <w:szCs w:val="24"/>
        </w:rPr>
      </w:pPr>
    </w:p>
    <w:p w14:paraId="042533A9" w14:textId="671B920D" w:rsidR="00167E45" w:rsidRDefault="00167E45" w:rsidP="00032500">
      <w:pPr>
        <w:autoSpaceDE w:val="0"/>
        <w:autoSpaceDN w:val="0"/>
        <w:adjustRightInd w:val="0"/>
        <w:spacing w:after="0" w:line="240" w:lineRule="auto"/>
        <w:ind w:left="-567"/>
        <w:jc w:val="center"/>
        <w:rPr>
          <w:rFonts w:ascii="Arial" w:hAnsi="Arial" w:cs="Arial"/>
          <w:b/>
          <w:bCs/>
          <w:color w:val="000000"/>
          <w:sz w:val="24"/>
          <w:szCs w:val="24"/>
        </w:rPr>
      </w:pPr>
    </w:p>
    <w:p w14:paraId="27BEE1BA" w14:textId="17CE6908" w:rsidR="00505853" w:rsidRDefault="00505853" w:rsidP="00032500">
      <w:pPr>
        <w:autoSpaceDE w:val="0"/>
        <w:autoSpaceDN w:val="0"/>
        <w:adjustRightInd w:val="0"/>
        <w:spacing w:after="0" w:line="240" w:lineRule="auto"/>
        <w:ind w:left="-567"/>
        <w:jc w:val="center"/>
        <w:rPr>
          <w:rFonts w:ascii="Arial" w:hAnsi="Arial" w:cs="Arial"/>
          <w:b/>
          <w:bCs/>
          <w:color w:val="000000"/>
          <w:sz w:val="24"/>
          <w:szCs w:val="24"/>
        </w:rPr>
      </w:pPr>
    </w:p>
    <w:p w14:paraId="64A0065C" w14:textId="6A20E8F0" w:rsidR="00300973" w:rsidRDefault="00300973" w:rsidP="00032500">
      <w:pPr>
        <w:autoSpaceDE w:val="0"/>
        <w:autoSpaceDN w:val="0"/>
        <w:adjustRightInd w:val="0"/>
        <w:spacing w:after="0" w:line="240" w:lineRule="auto"/>
        <w:ind w:left="-567"/>
        <w:jc w:val="center"/>
        <w:rPr>
          <w:rFonts w:ascii="Arial" w:hAnsi="Arial" w:cs="Arial"/>
          <w:b/>
          <w:bCs/>
          <w:color w:val="000000"/>
          <w:sz w:val="24"/>
          <w:szCs w:val="24"/>
        </w:rPr>
      </w:pPr>
    </w:p>
    <w:p w14:paraId="0B952026" w14:textId="0C367256" w:rsidR="00300973" w:rsidRDefault="00300973" w:rsidP="00032500">
      <w:pPr>
        <w:autoSpaceDE w:val="0"/>
        <w:autoSpaceDN w:val="0"/>
        <w:adjustRightInd w:val="0"/>
        <w:spacing w:after="0" w:line="240" w:lineRule="auto"/>
        <w:ind w:left="-567"/>
        <w:jc w:val="center"/>
        <w:rPr>
          <w:rFonts w:ascii="Arial" w:hAnsi="Arial" w:cs="Arial"/>
          <w:b/>
          <w:bCs/>
          <w:color w:val="000000"/>
          <w:sz w:val="24"/>
          <w:szCs w:val="24"/>
        </w:rPr>
      </w:pPr>
    </w:p>
    <w:p w14:paraId="1FCCFA47" w14:textId="15AA2FA4" w:rsidR="00157B43" w:rsidRDefault="00157B43" w:rsidP="00032500">
      <w:pPr>
        <w:autoSpaceDE w:val="0"/>
        <w:autoSpaceDN w:val="0"/>
        <w:adjustRightInd w:val="0"/>
        <w:spacing w:after="0" w:line="240" w:lineRule="auto"/>
        <w:ind w:left="-567"/>
        <w:jc w:val="center"/>
        <w:rPr>
          <w:rFonts w:ascii="Arial" w:hAnsi="Arial" w:cs="Arial"/>
          <w:b/>
          <w:bCs/>
          <w:color w:val="000000"/>
          <w:sz w:val="24"/>
          <w:szCs w:val="24"/>
        </w:rPr>
      </w:pPr>
    </w:p>
    <w:p w14:paraId="3CF262BF" w14:textId="39C30DC2" w:rsidR="00157B43" w:rsidRDefault="00157B43" w:rsidP="00032500">
      <w:pPr>
        <w:autoSpaceDE w:val="0"/>
        <w:autoSpaceDN w:val="0"/>
        <w:adjustRightInd w:val="0"/>
        <w:spacing w:after="0" w:line="240" w:lineRule="auto"/>
        <w:ind w:left="-567"/>
        <w:jc w:val="center"/>
        <w:rPr>
          <w:rFonts w:ascii="Arial" w:hAnsi="Arial" w:cs="Arial"/>
          <w:b/>
          <w:bCs/>
          <w:color w:val="000000"/>
          <w:sz w:val="24"/>
          <w:szCs w:val="24"/>
        </w:rPr>
      </w:pPr>
    </w:p>
    <w:p w14:paraId="0AF39330" w14:textId="3D624565" w:rsidR="00157B43" w:rsidRDefault="00157B43" w:rsidP="00032500">
      <w:pPr>
        <w:autoSpaceDE w:val="0"/>
        <w:autoSpaceDN w:val="0"/>
        <w:adjustRightInd w:val="0"/>
        <w:spacing w:after="0" w:line="240" w:lineRule="auto"/>
        <w:ind w:left="-567"/>
        <w:jc w:val="center"/>
        <w:rPr>
          <w:rFonts w:ascii="Arial" w:hAnsi="Arial" w:cs="Arial"/>
          <w:b/>
          <w:bCs/>
          <w:color w:val="000000"/>
          <w:sz w:val="24"/>
          <w:szCs w:val="24"/>
        </w:rPr>
      </w:pPr>
    </w:p>
    <w:p w14:paraId="7E0D0CED" w14:textId="55B5ED1D" w:rsidR="00157B43" w:rsidRDefault="00157B43" w:rsidP="00032500">
      <w:pPr>
        <w:autoSpaceDE w:val="0"/>
        <w:autoSpaceDN w:val="0"/>
        <w:adjustRightInd w:val="0"/>
        <w:spacing w:after="0" w:line="240" w:lineRule="auto"/>
        <w:ind w:left="-567"/>
        <w:jc w:val="center"/>
        <w:rPr>
          <w:rFonts w:ascii="Arial" w:hAnsi="Arial" w:cs="Arial"/>
          <w:b/>
          <w:bCs/>
          <w:color w:val="000000"/>
          <w:sz w:val="24"/>
          <w:szCs w:val="24"/>
        </w:rPr>
      </w:pPr>
    </w:p>
    <w:p w14:paraId="3F5645AE" w14:textId="6BBBFD60" w:rsidR="00157B43" w:rsidRDefault="00157B43" w:rsidP="00032500">
      <w:pPr>
        <w:autoSpaceDE w:val="0"/>
        <w:autoSpaceDN w:val="0"/>
        <w:adjustRightInd w:val="0"/>
        <w:spacing w:after="0" w:line="240" w:lineRule="auto"/>
        <w:ind w:left="-567"/>
        <w:jc w:val="center"/>
        <w:rPr>
          <w:rFonts w:ascii="Arial" w:hAnsi="Arial" w:cs="Arial"/>
          <w:b/>
          <w:bCs/>
          <w:color w:val="000000"/>
          <w:sz w:val="24"/>
          <w:szCs w:val="24"/>
        </w:rPr>
      </w:pPr>
    </w:p>
    <w:p w14:paraId="25F42B8F" w14:textId="2337E524" w:rsidR="00157B43" w:rsidRDefault="00157B43" w:rsidP="00032500">
      <w:pPr>
        <w:autoSpaceDE w:val="0"/>
        <w:autoSpaceDN w:val="0"/>
        <w:adjustRightInd w:val="0"/>
        <w:spacing w:after="0" w:line="240" w:lineRule="auto"/>
        <w:ind w:left="-567"/>
        <w:jc w:val="center"/>
        <w:rPr>
          <w:rFonts w:ascii="Arial" w:hAnsi="Arial" w:cs="Arial"/>
          <w:b/>
          <w:bCs/>
          <w:color w:val="000000"/>
          <w:sz w:val="24"/>
          <w:szCs w:val="24"/>
        </w:rPr>
      </w:pPr>
    </w:p>
    <w:p w14:paraId="325E67E7" w14:textId="6AC4C9E1" w:rsidR="00157B43" w:rsidRDefault="00157B43" w:rsidP="00032500">
      <w:pPr>
        <w:autoSpaceDE w:val="0"/>
        <w:autoSpaceDN w:val="0"/>
        <w:adjustRightInd w:val="0"/>
        <w:spacing w:after="0" w:line="240" w:lineRule="auto"/>
        <w:ind w:left="-567"/>
        <w:jc w:val="center"/>
        <w:rPr>
          <w:rFonts w:ascii="Arial" w:hAnsi="Arial" w:cs="Arial"/>
          <w:b/>
          <w:bCs/>
          <w:color w:val="000000"/>
          <w:sz w:val="24"/>
          <w:szCs w:val="24"/>
        </w:rPr>
      </w:pPr>
    </w:p>
    <w:p w14:paraId="1A81A916" w14:textId="7B407D7E" w:rsidR="00157B43" w:rsidRDefault="00157B43" w:rsidP="00032500">
      <w:pPr>
        <w:autoSpaceDE w:val="0"/>
        <w:autoSpaceDN w:val="0"/>
        <w:adjustRightInd w:val="0"/>
        <w:spacing w:after="0" w:line="240" w:lineRule="auto"/>
        <w:ind w:left="-567"/>
        <w:jc w:val="center"/>
        <w:rPr>
          <w:rFonts w:ascii="Arial" w:hAnsi="Arial" w:cs="Arial"/>
          <w:b/>
          <w:bCs/>
          <w:color w:val="000000"/>
          <w:sz w:val="24"/>
          <w:szCs w:val="24"/>
        </w:rPr>
      </w:pPr>
    </w:p>
    <w:p w14:paraId="741B3611" w14:textId="67E6CAB0" w:rsidR="00157B43" w:rsidRDefault="007C5C73" w:rsidP="007C5C73">
      <w:pPr>
        <w:tabs>
          <w:tab w:val="left" w:pos="6915"/>
        </w:tabs>
        <w:autoSpaceDE w:val="0"/>
        <w:autoSpaceDN w:val="0"/>
        <w:adjustRightInd w:val="0"/>
        <w:spacing w:after="0" w:line="240" w:lineRule="auto"/>
        <w:ind w:left="-567"/>
        <w:rPr>
          <w:rFonts w:ascii="Arial" w:hAnsi="Arial" w:cs="Arial"/>
          <w:b/>
          <w:bCs/>
          <w:color w:val="000000"/>
          <w:sz w:val="24"/>
          <w:szCs w:val="24"/>
        </w:rPr>
      </w:pPr>
      <w:r>
        <w:rPr>
          <w:rFonts w:ascii="Arial" w:hAnsi="Arial" w:cs="Arial"/>
          <w:b/>
          <w:bCs/>
          <w:color w:val="000000"/>
          <w:sz w:val="24"/>
          <w:szCs w:val="24"/>
        </w:rPr>
        <w:tab/>
      </w:r>
    </w:p>
    <w:p w14:paraId="496595BE" w14:textId="77777777" w:rsidR="00157B43" w:rsidRDefault="00157B43" w:rsidP="00032500">
      <w:pPr>
        <w:autoSpaceDE w:val="0"/>
        <w:autoSpaceDN w:val="0"/>
        <w:adjustRightInd w:val="0"/>
        <w:spacing w:after="0" w:line="240" w:lineRule="auto"/>
        <w:ind w:left="-567"/>
        <w:jc w:val="center"/>
        <w:rPr>
          <w:rFonts w:ascii="Arial" w:hAnsi="Arial" w:cs="Arial"/>
          <w:b/>
          <w:bCs/>
          <w:color w:val="000000"/>
          <w:sz w:val="24"/>
          <w:szCs w:val="24"/>
        </w:rPr>
      </w:pPr>
    </w:p>
    <w:p w14:paraId="3001390B" w14:textId="6980AAA8" w:rsidR="00EB5040" w:rsidRPr="007C5C73" w:rsidRDefault="00EB5040" w:rsidP="00032500">
      <w:pPr>
        <w:autoSpaceDE w:val="0"/>
        <w:autoSpaceDN w:val="0"/>
        <w:adjustRightInd w:val="0"/>
        <w:spacing w:after="0" w:line="240" w:lineRule="auto"/>
        <w:ind w:left="-567"/>
        <w:jc w:val="center"/>
        <w:rPr>
          <w:rFonts w:ascii="Arial" w:hAnsi="Arial" w:cs="Arial"/>
          <w:b/>
          <w:bCs/>
          <w:color w:val="000000"/>
          <w:sz w:val="28"/>
          <w:szCs w:val="28"/>
        </w:rPr>
      </w:pPr>
      <w:r w:rsidRPr="007C5C73">
        <w:rPr>
          <w:rFonts w:ascii="Arial" w:hAnsi="Arial" w:cs="Arial"/>
          <w:b/>
          <w:bCs/>
          <w:color w:val="000000"/>
          <w:sz w:val="28"/>
          <w:szCs w:val="28"/>
        </w:rPr>
        <w:t xml:space="preserve">NOTA TÉCNICA </w:t>
      </w:r>
    </w:p>
    <w:p w14:paraId="348C9078" w14:textId="77777777" w:rsidR="00EB5040" w:rsidRDefault="00EB5040" w:rsidP="00032500">
      <w:pPr>
        <w:autoSpaceDE w:val="0"/>
        <w:autoSpaceDN w:val="0"/>
        <w:adjustRightInd w:val="0"/>
        <w:spacing w:after="0" w:line="240" w:lineRule="auto"/>
        <w:ind w:left="-567"/>
        <w:jc w:val="center"/>
        <w:rPr>
          <w:rFonts w:ascii="Arial" w:hAnsi="Arial" w:cs="Arial"/>
          <w:b/>
          <w:bCs/>
          <w:color w:val="000000"/>
          <w:sz w:val="24"/>
          <w:szCs w:val="24"/>
        </w:rPr>
      </w:pPr>
    </w:p>
    <w:p w14:paraId="5893A2DB" w14:textId="73CDF3F7" w:rsidR="008A3846" w:rsidRDefault="00300973" w:rsidP="008A3846">
      <w:pPr>
        <w:autoSpaceDE w:val="0"/>
        <w:autoSpaceDN w:val="0"/>
        <w:adjustRightInd w:val="0"/>
        <w:spacing w:after="0" w:line="240" w:lineRule="auto"/>
        <w:ind w:left="-567"/>
        <w:jc w:val="center"/>
        <w:rPr>
          <w:rFonts w:ascii="Arial" w:hAnsi="Arial" w:cs="Arial"/>
          <w:b/>
          <w:bCs/>
          <w:color w:val="000000"/>
          <w:sz w:val="24"/>
          <w:szCs w:val="24"/>
        </w:rPr>
      </w:pPr>
      <w:r w:rsidRPr="00532488">
        <w:rPr>
          <w:rFonts w:ascii="Arial" w:hAnsi="Arial" w:cs="Arial"/>
          <w:b/>
          <w:bCs/>
          <w:color w:val="000000"/>
          <w:sz w:val="24"/>
          <w:szCs w:val="24"/>
        </w:rPr>
        <w:t xml:space="preserve">INEGI PRESENTA </w:t>
      </w:r>
      <w:r>
        <w:rPr>
          <w:rFonts w:ascii="Arial" w:hAnsi="Arial" w:cs="Arial"/>
          <w:b/>
          <w:bCs/>
          <w:color w:val="000000"/>
          <w:sz w:val="24"/>
          <w:szCs w:val="24"/>
        </w:rPr>
        <w:t xml:space="preserve">EL CENSO NACIONAL DE </w:t>
      </w:r>
      <w:r w:rsidRPr="007C13E7">
        <w:rPr>
          <w:rFonts w:ascii="Arial" w:hAnsi="Arial" w:cs="Arial"/>
          <w:b/>
          <w:bCs/>
          <w:color w:val="000000"/>
          <w:sz w:val="24"/>
          <w:szCs w:val="24"/>
        </w:rPr>
        <w:t xml:space="preserve">PROCURACIÓN DE JUSTICIA ESTATAL </w:t>
      </w:r>
      <w:r>
        <w:rPr>
          <w:rFonts w:ascii="Arial" w:hAnsi="Arial" w:cs="Arial"/>
          <w:b/>
          <w:bCs/>
          <w:color w:val="000000"/>
          <w:sz w:val="24"/>
          <w:szCs w:val="24"/>
        </w:rPr>
        <w:t xml:space="preserve"> 2021</w:t>
      </w:r>
    </w:p>
    <w:p w14:paraId="3F15314F" w14:textId="77777777" w:rsidR="00300973" w:rsidRPr="00756B55" w:rsidRDefault="00300973" w:rsidP="008A3846">
      <w:pPr>
        <w:autoSpaceDE w:val="0"/>
        <w:autoSpaceDN w:val="0"/>
        <w:adjustRightInd w:val="0"/>
        <w:spacing w:after="0" w:line="240" w:lineRule="auto"/>
        <w:ind w:left="-567"/>
        <w:jc w:val="center"/>
        <w:rPr>
          <w:rFonts w:ascii="Arial" w:hAnsi="Arial" w:cs="Arial"/>
          <w:b/>
          <w:bCs/>
          <w:color w:val="000000"/>
        </w:rPr>
      </w:pPr>
    </w:p>
    <w:p w14:paraId="3F32C478" w14:textId="77777777" w:rsidR="00300973" w:rsidRDefault="00300973" w:rsidP="00300973">
      <w:pPr>
        <w:pStyle w:val="Prrafodelista"/>
        <w:autoSpaceDE w:val="0"/>
        <w:autoSpaceDN w:val="0"/>
        <w:adjustRightInd w:val="0"/>
        <w:spacing w:after="0" w:line="240" w:lineRule="auto"/>
        <w:ind w:left="709" w:right="1134"/>
        <w:jc w:val="both"/>
        <w:rPr>
          <w:rFonts w:ascii="Arial" w:hAnsi="Arial" w:cs="Arial"/>
          <w:color w:val="000000"/>
          <w:sz w:val="24"/>
        </w:rPr>
      </w:pPr>
      <w:r w:rsidRPr="009F01A0">
        <w:rPr>
          <w:rFonts w:ascii="Arial" w:hAnsi="Arial" w:cs="Arial"/>
          <w:b/>
          <w:bCs/>
          <w:color w:val="000000"/>
        </w:rPr>
        <w:t>S</w:t>
      </w:r>
      <w:r w:rsidRPr="007C13E7">
        <w:rPr>
          <w:rFonts w:ascii="Arial" w:hAnsi="Arial" w:cs="Arial"/>
          <w:b/>
          <w:bCs/>
          <w:color w:val="000000"/>
        </w:rPr>
        <w:t>e constituye como un programa estadístico que se realiza en el</w:t>
      </w:r>
      <w:r>
        <w:rPr>
          <w:rFonts w:ascii="Arial" w:hAnsi="Arial" w:cs="Arial"/>
          <w:b/>
          <w:bCs/>
          <w:color w:val="000000"/>
        </w:rPr>
        <w:t xml:space="preserve"> </w:t>
      </w:r>
      <w:r w:rsidRPr="007C13E7">
        <w:rPr>
          <w:rFonts w:ascii="Arial" w:hAnsi="Arial" w:cs="Arial"/>
          <w:b/>
          <w:bCs/>
          <w:color w:val="000000"/>
        </w:rPr>
        <w:t>ámbito estatal del Estado Mexicano, ofreciendo información relevante</w:t>
      </w:r>
      <w:r>
        <w:rPr>
          <w:rFonts w:ascii="Arial" w:hAnsi="Arial" w:cs="Arial"/>
          <w:b/>
          <w:bCs/>
          <w:color w:val="000000"/>
        </w:rPr>
        <w:t xml:space="preserve"> </w:t>
      </w:r>
      <w:r w:rsidRPr="007C13E7">
        <w:rPr>
          <w:rFonts w:ascii="Arial" w:hAnsi="Arial" w:cs="Arial"/>
          <w:b/>
          <w:bCs/>
          <w:color w:val="000000"/>
        </w:rPr>
        <w:t>sobre la estructura, organización, recursos y ejercicio de la función</w:t>
      </w:r>
      <w:r>
        <w:rPr>
          <w:rFonts w:ascii="Arial" w:hAnsi="Arial" w:cs="Arial"/>
          <w:b/>
          <w:bCs/>
          <w:color w:val="000000"/>
        </w:rPr>
        <w:t xml:space="preserve"> </w:t>
      </w:r>
      <w:r w:rsidRPr="007C13E7">
        <w:rPr>
          <w:rFonts w:ascii="Arial" w:hAnsi="Arial" w:cs="Arial"/>
          <w:b/>
          <w:bCs/>
          <w:color w:val="000000"/>
        </w:rPr>
        <w:t>de las Procuradurías Generales de Justicia y/o Fiscalías Generales de</w:t>
      </w:r>
      <w:r>
        <w:rPr>
          <w:rFonts w:ascii="Arial" w:hAnsi="Arial" w:cs="Arial"/>
          <w:b/>
          <w:bCs/>
          <w:color w:val="000000"/>
        </w:rPr>
        <w:t xml:space="preserve"> </w:t>
      </w:r>
      <w:r w:rsidRPr="007C13E7">
        <w:rPr>
          <w:rFonts w:ascii="Arial" w:hAnsi="Arial" w:cs="Arial"/>
          <w:b/>
          <w:bCs/>
          <w:color w:val="000000"/>
        </w:rPr>
        <w:t>las entidades federativas.</w:t>
      </w:r>
    </w:p>
    <w:p w14:paraId="2DB2C809" w14:textId="4CDB7B66" w:rsidR="008A3846" w:rsidRPr="00756B55" w:rsidRDefault="008A3846" w:rsidP="008A3846">
      <w:pPr>
        <w:pStyle w:val="Prrafodelista"/>
        <w:autoSpaceDE w:val="0"/>
        <w:autoSpaceDN w:val="0"/>
        <w:adjustRightInd w:val="0"/>
        <w:spacing w:after="0" w:line="240" w:lineRule="auto"/>
        <w:ind w:left="-567" w:right="333"/>
        <w:jc w:val="both"/>
        <w:rPr>
          <w:rFonts w:ascii="Arial" w:hAnsi="Arial" w:cs="Arial"/>
          <w:color w:val="000000"/>
          <w:sz w:val="24"/>
        </w:rPr>
      </w:pPr>
    </w:p>
    <w:p w14:paraId="3EB0C1C8" w14:textId="2C63EBDE" w:rsidR="008A3846" w:rsidRPr="00756B55" w:rsidRDefault="00300973" w:rsidP="008A3846">
      <w:pPr>
        <w:autoSpaceDE w:val="0"/>
        <w:autoSpaceDN w:val="0"/>
        <w:adjustRightInd w:val="0"/>
        <w:spacing w:after="0" w:line="240" w:lineRule="auto"/>
        <w:ind w:left="-567"/>
        <w:jc w:val="both"/>
        <w:rPr>
          <w:rFonts w:ascii="Arial" w:hAnsi="Arial" w:cs="Arial"/>
          <w:color w:val="000000"/>
          <w:sz w:val="24"/>
        </w:rPr>
      </w:pPr>
      <w:r w:rsidRPr="001D20DC">
        <w:rPr>
          <w:rFonts w:ascii="Arial" w:hAnsi="Arial" w:cs="Arial"/>
          <w:color w:val="000000"/>
          <w:sz w:val="24"/>
        </w:rPr>
        <w:t>El Instituto Nacional de Estadística y Geografía (INEGI) da a conocer la información</w:t>
      </w:r>
      <w:r>
        <w:rPr>
          <w:rFonts w:ascii="Arial" w:hAnsi="Arial" w:cs="Arial"/>
          <w:color w:val="000000"/>
          <w:sz w:val="24"/>
        </w:rPr>
        <w:t xml:space="preserve"> </w:t>
      </w:r>
      <w:r w:rsidRPr="001D20DC">
        <w:rPr>
          <w:rFonts w:ascii="Arial" w:hAnsi="Arial" w:cs="Arial"/>
          <w:color w:val="000000"/>
          <w:sz w:val="24"/>
        </w:rPr>
        <w:t xml:space="preserve">del </w:t>
      </w:r>
      <w:r w:rsidRPr="007C13E7">
        <w:rPr>
          <w:rFonts w:ascii="Arial" w:hAnsi="Arial" w:cs="Arial"/>
          <w:color w:val="000000"/>
          <w:sz w:val="24"/>
        </w:rPr>
        <w:t>Censo Nacional de Procuración de Justicia Estatal (CNPJE) 202</w:t>
      </w:r>
      <w:r>
        <w:rPr>
          <w:rFonts w:ascii="Arial" w:hAnsi="Arial" w:cs="Arial"/>
          <w:color w:val="000000"/>
          <w:sz w:val="24"/>
        </w:rPr>
        <w:t>1</w:t>
      </w:r>
      <w:r w:rsidR="00160A2D" w:rsidRPr="00756B55">
        <w:rPr>
          <w:rFonts w:ascii="Arial" w:hAnsi="Arial" w:cs="Arial"/>
          <w:color w:val="000000"/>
          <w:sz w:val="24"/>
        </w:rPr>
        <w:t>.</w:t>
      </w:r>
      <w:r>
        <w:rPr>
          <w:rStyle w:val="Refdenotaalpie"/>
          <w:rFonts w:ascii="Arial" w:hAnsi="Arial" w:cs="Arial"/>
          <w:color w:val="000000"/>
          <w:sz w:val="24"/>
        </w:rPr>
        <w:footnoteReference w:id="2"/>
      </w:r>
    </w:p>
    <w:p w14:paraId="1E06FE8F" w14:textId="77777777" w:rsidR="008A3846" w:rsidRPr="00756B55" w:rsidRDefault="008A3846" w:rsidP="008A3846">
      <w:pPr>
        <w:autoSpaceDE w:val="0"/>
        <w:autoSpaceDN w:val="0"/>
        <w:adjustRightInd w:val="0"/>
        <w:spacing w:after="0" w:line="240" w:lineRule="auto"/>
        <w:ind w:left="-567"/>
        <w:jc w:val="both"/>
        <w:rPr>
          <w:rFonts w:ascii="Arial" w:hAnsi="Arial" w:cs="Arial"/>
          <w:color w:val="000000"/>
          <w:sz w:val="24"/>
        </w:rPr>
      </w:pPr>
    </w:p>
    <w:p w14:paraId="1FDFA45A" w14:textId="4527AE86" w:rsidR="00300973" w:rsidRDefault="00300973" w:rsidP="00300973">
      <w:pPr>
        <w:autoSpaceDE w:val="0"/>
        <w:autoSpaceDN w:val="0"/>
        <w:adjustRightInd w:val="0"/>
        <w:spacing w:after="0" w:line="240" w:lineRule="auto"/>
        <w:ind w:left="-567"/>
        <w:jc w:val="both"/>
        <w:rPr>
          <w:rFonts w:ascii="Arial" w:hAnsi="Arial" w:cs="Arial"/>
          <w:color w:val="000000"/>
          <w:sz w:val="24"/>
        </w:rPr>
      </w:pPr>
      <w:r w:rsidRPr="00670E94">
        <w:rPr>
          <w:rFonts w:ascii="Arial" w:hAnsi="Arial" w:cs="Arial"/>
          <w:color w:val="000000"/>
          <w:sz w:val="24"/>
        </w:rPr>
        <w:t>E</w:t>
      </w:r>
      <w:r>
        <w:rPr>
          <w:rFonts w:ascii="Arial" w:hAnsi="Arial" w:cs="Arial"/>
          <w:color w:val="000000"/>
          <w:sz w:val="24"/>
        </w:rPr>
        <w:t>l objetivo general es</w:t>
      </w:r>
      <w:r w:rsidRPr="00670E94">
        <w:rPr>
          <w:sz w:val="24"/>
        </w:rPr>
        <w:t xml:space="preserve"> </w:t>
      </w:r>
      <w:r w:rsidRPr="00033488">
        <w:rPr>
          <w:rFonts w:ascii="Arial" w:hAnsi="Arial" w:cs="Arial"/>
          <w:color w:val="000000"/>
          <w:sz w:val="24"/>
        </w:rPr>
        <w:t xml:space="preserve">generar </w:t>
      </w:r>
      <w:r w:rsidRPr="00E34765">
        <w:rPr>
          <w:rFonts w:ascii="Arial" w:hAnsi="Arial" w:cs="Arial"/>
          <w:color w:val="000000"/>
          <w:sz w:val="24"/>
        </w:rPr>
        <w:t xml:space="preserve">información estadística y geográfica </w:t>
      </w:r>
      <w:r w:rsidRPr="0021196C">
        <w:rPr>
          <w:rFonts w:ascii="Arial" w:hAnsi="Arial" w:cs="Arial"/>
          <w:color w:val="000000"/>
          <w:sz w:val="24"/>
        </w:rPr>
        <w:t xml:space="preserve">sobre la gestión y desempeño de la Procuraduría General de Justicia o Fiscalía General de cada entidad federativa, específicamente en las funciones de gobierno, procuración de justicia, justicia para adolescentes y mecanismos alternativos de solución de controversias, con la finalidad de que </w:t>
      </w:r>
      <w:r w:rsidR="00C31036">
        <w:rPr>
          <w:rFonts w:ascii="Arial" w:hAnsi="Arial" w:cs="Arial"/>
          <w:color w:val="000000"/>
          <w:sz w:val="24"/>
        </w:rPr>
        <w:t>é</w:t>
      </w:r>
      <w:r w:rsidRPr="0021196C">
        <w:rPr>
          <w:rFonts w:ascii="Arial" w:hAnsi="Arial" w:cs="Arial"/>
          <w:color w:val="000000"/>
          <w:sz w:val="24"/>
        </w:rPr>
        <w:t>sta se vincule con el quehacer gubernamental dentro del proceso de diseño, implementación, monitoreo y evaluación de las políticas públicas de alcance nacional en los referidos temas.</w:t>
      </w:r>
    </w:p>
    <w:p w14:paraId="36D334F2" w14:textId="77777777" w:rsidR="00D22581" w:rsidRPr="00756B55" w:rsidRDefault="00D22581" w:rsidP="008A3846">
      <w:pPr>
        <w:autoSpaceDE w:val="0"/>
        <w:autoSpaceDN w:val="0"/>
        <w:adjustRightInd w:val="0"/>
        <w:spacing w:after="0" w:line="240" w:lineRule="auto"/>
        <w:ind w:left="-567"/>
        <w:jc w:val="both"/>
        <w:rPr>
          <w:rFonts w:ascii="Arial" w:hAnsi="Arial" w:cs="Arial"/>
          <w:color w:val="000000"/>
          <w:sz w:val="24"/>
        </w:rPr>
      </w:pPr>
    </w:p>
    <w:p w14:paraId="59D4EA71" w14:textId="09D02A2E" w:rsidR="00300973" w:rsidRDefault="00300973" w:rsidP="00300973">
      <w:pPr>
        <w:ind w:left="-567"/>
        <w:jc w:val="both"/>
        <w:rPr>
          <w:rFonts w:ascii="Arial" w:hAnsi="Arial" w:cs="Arial"/>
          <w:color w:val="000000"/>
          <w:sz w:val="24"/>
          <w:szCs w:val="24"/>
        </w:rPr>
      </w:pPr>
      <w:r w:rsidRPr="00300973">
        <w:rPr>
          <w:rFonts w:ascii="Arial" w:hAnsi="Arial" w:cs="Arial"/>
          <w:color w:val="000000"/>
          <w:sz w:val="24"/>
        </w:rPr>
        <w:t>En relación con los aspectos metodológicos del CNPJE 2021, se destaca que la cobertura geográfica</w:t>
      </w:r>
      <w:r w:rsidR="00A370B1">
        <w:rPr>
          <w:rFonts w:ascii="Arial" w:hAnsi="Arial" w:cs="Arial"/>
          <w:color w:val="000000"/>
          <w:sz w:val="24"/>
        </w:rPr>
        <w:t xml:space="preserve"> es</w:t>
      </w:r>
      <w:r w:rsidRPr="00300973">
        <w:rPr>
          <w:rFonts w:ascii="Arial" w:hAnsi="Arial" w:cs="Arial"/>
          <w:color w:val="000000"/>
          <w:sz w:val="24"/>
        </w:rPr>
        <w:t xml:space="preserve"> nacional, desglosada por entidad federativa, en tanto que la temporalidad de la información corresponde a 2020 y 2021, éste último solo para las preguntas que solicitan datos al momento de la aplicación del cuestionario. La unidad de análisis son las Procuradurías Generales de Justicia y/o Fiscalías Generales de cada entidad federativa.</w:t>
      </w:r>
      <w:r w:rsidRPr="00300973">
        <w:rPr>
          <w:rFonts w:ascii="Arial" w:hAnsi="Arial" w:cs="Arial"/>
          <w:color w:val="000000"/>
          <w:sz w:val="24"/>
          <w:szCs w:val="24"/>
        </w:rPr>
        <w:t xml:space="preserve"> El periodo de levantamiento </w:t>
      </w:r>
      <w:r w:rsidR="00CD4EB2">
        <w:rPr>
          <w:rFonts w:ascii="Arial" w:hAnsi="Arial" w:cs="Arial"/>
          <w:color w:val="000000"/>
          <w:sz w:val="24"/>
          <w:szCs w:val="24"/>
        </w:rPr>
        <w:t>fue</w:t>
      </w:r>
      <w:r w:rsidRPr="00300973">
        <w:rPr>
          <w:rFonts w:ascii="Arial" w:hAnsi="Arial" w:cs="Arial"/>
          <w:color w:val="000000"/>
          <w:sz w:val="24"/>
          <w:szCs w:val="24"/>
        </w:rPr>
        <w:t xml:space="preserve"> del 22 de marzo al 29 de septiembre del 2021</w:t>
      </w:r>
    </w:p>
    <w:p w14:paraId="31012DBA" w14:textId="0662558F" w:rsidR="00300973" w:rsidRPr="00756B55" w:rsidRDefault="00A370B1" w:rsidP="00966F74">
      <w:pPr>
        <w:spacing w:after="0" w:line="240" w:lineRule="auto"/>
        <w:ind w:left="-567"/>
        <w:jc w:val="both"/>
        <w:rPr>
          <w:rFonts w:ascii="Arial" w:hAnsi="Arial" w:cs="Arial"/>
          <w:sz w:val="24"/>
          <w:szCs w:val="24"/>
        </w:rPr>
      </w:pPr>
      <w:r w:rsidRPr="00FD6F71">
        <w:rPr>
          <w:rFonts w:ascii="Arial" w:hAnsi="Arial" w:cs="Arial"/>
          <w:sz w:val="24"/>
          <w:szCs w:val="24"/>
        </w:rPr>
        <w:t>Es preciso advertir que el levantamiento del Censo Nacional de Procuración de Justicia Estatal 2021 ocurrió durante la contingencia sanitaria ocasionada por el virus SARS-</w:t>
      </w:r>
      <w:proofErr w:type="spellStart"/>
      <w:r w:rsidRPr="00FD6F71">
        <w:rPr>
          <w:rFonts w:ascii="Arial" w:hAnsi="Arial" w:cs="Arial"/>
          <w:sz w:val="24"/>
          <w:szCs w:val="24"/>
        </w:rPr>
        <w:t>CoV</w:t>
      </w:r>
      <w:proofErr w:type="spellEnd"/>
      <w:r w:rsidRPr="00FD6F71">
        <w:rPr>
          <w:rFonts w:ascii="Arial" w:hAnsi="Arial" w:cs="Arial"/>
          <w:sz w:val="24"/>
          <w:szCs w:val="24"/>
        </w:rPr>
        <w:t xml:space="preserve"> 2 (COVID-19), así como durante la </w:t>
      </w:r>
      <w:r w:rsidR="00FD6F71" w:rsidRPr="00FD6F71">
        <w:rPr>
          <w:rFonts w:ascii="Arial" w:hAnsi="Arial" w:cs="Arial"/>
          <w:sz w:val="24"/>
          <w:szCs w:val="24"/>
        </w:rPr>
        <w:t>implementación</w:t>
      </w:r>
      <w:r w:rsidRPr="00FD6F71">
        <w:rPr>
          <w:rFonts w:ascii="Arial" w:hAnsi="Arial" w:cs="Arial"/>
          <w:sz w:val="24"/>
          <w:szCs w:val="24"/>
        </w:rPr>
        <w:t xml:space="preserve"> de medidas sanitarias para evitar su propagación.</w:t>
      </w:r>
    </w:p>
    <w:p w14:paraId="231053AC" w14:textId="5D5CD148" w:rsidR="00966F74" w:rsidRDefault="00300973" w:rsidP="005C1DA8">
      <w:pPr>
        <w:spacing w:after="0" w:line="240" w:lineRule="auto"/>
        <w:ind w:left="-567"/>
        <w:jc w:val="both"/>
        <w:rPr>
          <w:rFonts w:ascii="Arial" w:hAnsi="Arial" w:cs="Arial"/>
          <w:sz w:val="24"/>
          <w:szCs w:val="24"/>
        </w:rPr>
      </w:pPr>
      <w:r w:rsidRPr="00300973">
        <w:rPr>
          <w:rFonts w:ascii="Arial" w:hAnsi="Arial" w:cs="Arial"/>
          <w:sz w:val="24"/>
          <w:szCs w:val="24"/>
        </w:rPr>
        <w:t xml:space="preserve">La publicación de resultados se realiza el 25 de octubre de 2021. La información se puede consultar en el sitio: </w:t>
      </w:r>
      <w:hyperlink r:id="rId25" w:history="1">
        <w:r w:rsidRPr="0095366D">
          <w:rPr>
            <w:rStyle w:val="Hipervnculo"/>
            <w:rFonts w:ascii="Arial" w:hAnsi="Arial" w:cs="Arial"/>
            <w:sz w:val="24"/>
            <w:szCs w:val="24"/>
          </w:rPr>
          <w:t>https://www.inegi.org.mx/programas/cnpje/2021/</w:t>
        </w:r>
      </w:hyperlink>
    </w:p>
    <w:p w14:paraId="6BB5EEC4" w14:textId="77777777" w:rsidR="00300973" w:rsidRPr="00756B55" w:rsidRDefault="00300973" w:rsidP="005C1DA8">
      <w:pPr>
        <w:spacing w:after="0" w:line="240" w:lineRule="auto"/>
        <w:ind w:left="-567"/>
        <w:jc w:val="both"/>
        <w:rPr>
          <w:rFonts w:ascii="Arial" w:hAnsi="Arial" w:cs="Arial"/>
          <w:color w:val="000000"/>
          <w:sz w:val="24"/>
        </w:rPr>
      </w:pPr>
    </w:p>
    <w:p w14:paraId="015D7AB3" w14:textId="27C6CABE" w:rsidR="008A3846" w:rsidRDefault="008A3846" w:rsidP="00300973">
      <w:pPr>
        <w:spacing w:after="0" w:line="240" w:lineRule="auto"/>
        <w:ind w:left="-567"/>
        <w:jc w:val="both"/>
        <w:rPr>
          <w:rFonts w:ascii="Arial" w:hAnsi="Arial" w:cs="Arial"/>
          <w:color w:val="000000"/>
          <w:sz w:val="24"/>
          <w:szCs w:val="24"/>
        </w:rPr>
      </w:pPr>
      <w:r w:rsidRPr="00756B55">
        <w:rPr>
          <w:rFonts w:ascii="Arial" w:hAnsi="Arial" w:cs="Arial"/>
          <w:color w:val="000000"/>
          <w:sz w:val="24"/>
        </w:rPr>
        <w:t>Los resultados del CN</w:t>
      </w:r>
      <w:r w:rsidR="00300973">
        <w:rPr>
          <w:rFonts w:ascii="Arial" w:hAnsi="Arial" w:cs="Arial"/>
          <w:color w:val="000000"/>
          <w:sz w:val="24"/>
        </w:rPr>
        <w:t>PJE</w:t>
      </w:r>
      <w:r w:rsidRPr="00756B55">
        <w:rPr>
          <w:rFonts w:ascii="Arial" w:hAnsi="Arial" w:cs="Arial"/>
          <w:color w:val="000000"/>
          <w:sz w:val="24"/>
        </w:rPr>
        <w:t xml:space="preserve"> 202</w:t>
      </w:r>
      <w:r w:rsidR="001829D4" w:rsidRPr="00756B55">
        <w:rPr>
          <w:rFonts w:ascii="Arial" w:hAnsi="Arial" w:cs="Arial"/>
          <w:color w:val="000000"/>
          <w:sz w:val="24"/>
        </w:rPr>
        <w:t>1</w:t>
      </w:r>
      <w:r w:rsidRPr="00756B55">
        <w:rPr>
          <w:rFonts w:ascii="Arial" w:hAnsi="Arial" w:cs="Arial"/>
          <w:color w:val="000000"/>
          <w:sz w:val="24"/>
        </w:rPr>
        <w:t xml:space="preserve"> se presentan en cuadros estadísticos organizados en los siguientes apartados</w:t>
      </w:r>
      <w:r w:rsidR="00A57A81" w:rsidRPr="00756B55">
        <w:rPr>
          <w:rFonts w:ascii="Arial" w:hAnsi="Arial" w:cs="Arial"/>
          <w:color w:val="000000"/>
          <w:sz w:val="24"/>
        </w:rPr>
        <w:t xml:space="preserve">: </w:t>
      </w:r>
      <w:r w:rsidR="00300973" w:rsidRPr="00300973">
        <w:rPr>
          <w:rFonts w:ascii="Arial" w:hAnsi="Arial" w:cs="Arial"/>
          <w:color w:val="000000"/>
          <w:sz w:val="24"/>
          <w:szCs w:val="24"/>
        </w:rPr>
        <w:t>Estructura organizacional y recursos; Servicios periciales; Procuración de justicia y Mecanismos alternativos de solución de controversias en materia penal.</w:t>
      </w:r>
    </w:p>
    <w:p w14:paraId="105CAB80" w14:textId="77777777" w:rsidR="00300973" w:rsidRPr="00756B55" w:rsidRDefault="00300973" w:rsidP="00300973">
      <w:pPr>
        <w:spacing w:after="0" w:line="240" w:lineRule="auto"/>
        <w:ind w:left="-567"/>
        <w:jc w:val="both"/>
        <w:rPr>
          <w:rFonts w:ascii="Arial" w:hAnsi="Arial" w:cs="Arial"/>
          <w:b/>
          <w:bCs/>
          <w:sz w:val="24"/>
          <w:szCs w:val="24"/>
        </w:rPr>
      </w:pPr>
    </w:p>
    <w:p w14:paraId="4949064C" w14:textId="11836E86" w:rsidR="00300973" w:rsidRDefault="00300973" w:rsidP="00827EBE">
      <w:pPr>
        <w:autoSpaceDE w:val="0"/>
        <w:autoSpaceDN w:val="0"/>
        <w:adjustRightInd w:val="0"/>
        <w:spacing w:after="0" w:line="240" w:lineRule="auto"/>
        <w:ind w:left="-567"/>
        <w:rPr>
          <w:rFonts w:ascii="Arial" w:hAnsi="Arial" w:cs="Arial"/>
          <w:b/>
          <w:bCs/>
          <w:sz w:val="24"/>
          <w:szCs w:val="24"/>
        </w:rPr>
      </w:pPr>
    </w:p>
    <w:p w14:paraId="7764FAF7" w14:textId="23A61705" w:rsidR="00827EBE" w:rsidRDefault="008A3846" w:rsidP="00827EBE">
      <w:pPr>
        <w:autoSpaceDE w:val="0"/>
        <w:autoSpaceDN w:val="0"/>
        <w:adjustRightInd w:val="0"/>
        <w:spacing w:after="0" w:line="240" w:lineRule="auto"/>
        <w:ind w:left="-567"/>
        <w:rPr>
          <w:rFonts w:ascii="Arial" w:hAnsi="Arial" w:cs="Arial"/>
          <w:b/>
          <w:bCs/>
          <w:sz w:val="24"/>
          <w:szCs w:val="24"/>
        </w:rPr>
      </w:pPr>
      <w:r w:rsidRPr="00756B55">
        <w:rPr>
          <w:rFonts w:ascii="Arial" w:hAnsi="Arial" w:cs="Arial"/>
          <w:b/>
          <w:bCs/>
          <w:sz w:val="24"/>
          <w:szCs w:val="24"/>
        </w:rPr>
        <w:t>Estructura organizacional y recursos</w:t>
      </w:r>
    </w:p>
    <w:p w14:paraId="10C80641" w14:textId="64A4B5B7" w:rsidR="00823BA7" w:rsidRDefault="00823BA7" w:rsidP="007A0FB7">
      <w:pPr>
        <w:pStyle w:val="Default"/>
        <w:ind w:left="-567"/>
        <w:jc w:val="both"/>
        <w:rPr>
          <w:color w:val="auto"/>
        </w:rPr>
      </w:pPr>
    </w:p>
    <w:p w14:paraId="1DDC1FF9" w14:textId="701A85E5" w:rsidR="00823BA7" w:rsidRDefault="00823BA7" w:rsidP="007A0FB7">
      <w:pPr>
        <w:pStyle w:val="Default"/>
        <w:ind w:left="-567"/>
        <w:jc w:val="both"/>
        <w:rPr>
          <w:color w:val="auto"/>
        </w:rPr>
      </w:pPr>
      <w:bookmarkStart w:id="2" w:name="_Hlk85032137"/>
      <w:r>
        <w:rPr>
          <w:color w:val="auto"/>
        </w:rPr>
        <w:t xml:space="preserve">Al cierre de 2020, se reportaron </w:t>
      </w:r>
      <w:r w:rsidRPr="007A0FB7">
        <w:rPr>
          <w:color w:val="auto"/>
        </w:rPr>
        <w:t>1</w:t>
      </w:r>
      <w:r>
        <w:rPr>
          <w:color w:val="auto"/>
        </w:rPr>
        <w:t xml:space="preserve"> </w:t>
      </w:r>
      <w:r w:rsidRPr="007A0FB7">
        <w:rPr>
          <w:color w:val="auto"/>
        </w:rPr>
        <w:t>169</w:t>
      </w:r>
      <w:r>
        <w:rPr>
          <w:color w:val="auto"/>
        </w:rPr>
        <w:t xml:space="preserve"> unidades administrativas en las </w:t>
      </w:r>
      <w:r w:rsidRPr="007A0FB7">
        <w:rPr>
          <w:color w:val="auto"/>
        </w:rPr>
        <w:t>Procuradurías o</w:t>
      </w:r>
      <w:r>
        <w:rPr>
          <w:color w:val="auto"/>
        </w:rPr>
        <w:t xml:space="preserve"> </w:t>
      </w:r>
      <w:r w:rsidRPr="007A0FB7">
        <w:rPr>
          <w:color w:val="auto"/>
        </w:rPr>
        <w:t>Fiscalías Generales de Justicia</w:t>
      </w:r>
      <w:r>
        <w:rPr>
          <w:color w:val="auto"/>
        </w:rPr>
        <w:t xml:space="preserve">. Esta cifra representó una disminución de 19.8%, en comparación </w:t>
      </w:r>
      <w:r w:rsidR="00A370B1">
        <w:rPr>
          <w:color w:val="auto"/>
        </w:rPr>
        <w:t>con</w:t>
      </w:r>
      <w:r>
        <w:rPr>
          <w:color w:val="auto"/>
        </w:rPr>
        <w:t xml:space="preserve"> la cifra reportada en 2019. </w:t>
      </w:r>
      <w:r w:rsidRPr="00823BA7">
        <w:rPr>
          <w:color w:val="auto"/>
        </w:rPr>
        <w:t xml:space="preserve">En cuanto a la función principal </w:t>
      </w:r>
      <w:r>
        <w:rPr>
          <w:color w:val="auto"/>
        </w:rPr>
        <w:t xml:space="preserve">que ejercieron </w:t>
      </w:r>
      <w:r>
        <w:rPr>
          <w:color w:val="auto"/>
        </w:rPr>
        <w:lastRenderedPageBreak/>
        <w:t>dichas procuradurías o fiscalías</w:t>
      </w:r>
      <w:r w:rsidRPr="00823BA7">
        <w:rPr>
          <w:color w:val="auto"/>
        </w:rPr>
        <w:t>, 10.9% correspondió a Investigación, análisis criminal y/o inteligencia.</w:t>
      </w:r>
      <w:bookmarkEnd w:id="2"/>
    </w:p>
    <w:p w14:paraId="7B949F28" w14:textId="77777777" w:rsidR="00E6361F" w:rsidRPr="00406821" w:rsidRDefault="00E6361F" w:rsidP="007A0FB7">
      <w:pPr>
        <w:pStyle w:val="Default"/>
        <w:ind w:left="-567"/>
        <w:jc w:val="both"/>
        <w:rPr>
          <w:color w:val="877A67"/>
        </w:rPr>
      </w:pPr>
    </w:p>
    <w:p w14:paraId="1D943D59" w14:textId="1FFBCAE0" w:rsidR="00E6361F" w:rsidRPr="00406821" w:rsidRDefault="00E6361F" w:rsidP="00406821">
      <w:pPr>
        <w:pStyle w:val="Default"/>
        <w:ind w:left="-567"/>
        <w:jc w:val="center"/>
        <w:rPr>
          <w:b/>
          <w:i/>
          <w:color w:val="877A67"/>
          <w:sz w:val="20"/>
        </w:rPr>
      </w:pPr>
      <w:r w:rsidRPr="00406821">
        <w:rPr>
          <w:b/>
          <w:i/>
          <w:color w:val="877A67"/>
          <w:sz w:val="20"/>
        </w:rPr>
        <w:t xml:space="preserve">Gráfica 1. </w:t>
      </w:r>
      <w:r w:rsidR="00406821" w:rsidRPr="00406821">
        <w:rPr>
          <w:b/>
          <w:i/>
          <w:color w:val="877A67"/>
          <w:sz w:val="20"/>
        </w:rPr>
        <w:t>Unidades administrativas en las Procuradurías o Fiscalías Generales de Justicia,</w:t>
      </w:r>
    </w:p>
    <w:p w14:paraId="19A2ABA6" w14:textId="7AD25943" w:rsidR="00406821" w:rsidRDefault="00406821" w:rsidP="00406821">
      <w:pPr>
        <w:pStyle w:val="Default"/>
        <w:ind w:left="-567"/>
        <w:jc w:val="center"/>
        <w:rPr>
          <w:b/>
          <w:i/>
          <w:color w:val="877A67"/>
          <w:sz w:val="20"/>
        </w:rPr>
      </w:pPr>
      <w:r w:rsidRPr="00406821">
        <w:rPr>
          <w:b/>
          <w:i/>
          <w:color w:val="877A67"/>
          <w:sz w:val="20"/>
        </w:rPr>
        <w:t>2010 a 2020</w:t>
      </w:r>
    </w:p>
    <w:p w14:paraId="72B74923" w14:textId="77777777" w:rsidR="00406821" w:rsidRDefault="00406821" w:rsidP="00406821">
      <w:pPr>
        <w:pStyle w:val="Default"/>
        <w:ind w:left="-567"/>
        <w:jc w:val="center"/>
        <w:rPr>
          <w:b/>
          <w:i/>
          <w:color w:val="877A67"/>
          <w:sz w:val="20"/>
        </w:rPr>
      </w:pPr>
    </w:p>
    <w:p w14:paraId="5124163C" w14:textId="100C474B" w:rsidR="00406821" w:rsidRDefault="00406821" w:rsidP="00406821">
      <w:pPr>
        <w:pStyle w:val="Default"/>
        <w:ind w:left="-567"/>
        <w:jc w:val="center"/>
        <w:rPr>
          <w:b/>
          <w:i/>
          <w:color w:val="877A67"/>
          <w:sz w:val="20"/>
        </w:rPr>
      </w:pPr>
      <w:r w:rsidRPr="00406821">
        <w:rPr>
          <w:b/>
          <w:i/>
          <w:noProof/>
          <w:color w:val="877A67"/>
          <w:sz w:val="20"/>
        </w:rPr>
        <w:drawing>
          <wp:inline distT="0" distB="0" distL="0" distR="0" wp14:anchorId="4217C144" wp14:editId="2847F1BD">
            <wp:extent cx="5448300" cy="1471612"/>
            <wp:effectExtent l="0" t="0" r="0" b="0"/>
            <wp:docPr id="1" name="Gráfico 1">
              <a:extLst xmlns:a="http://schemas.openxmlformats.org/drawingml/2006/main">
                <a:ext uri="{FF2B5EF4-FFF2-40B4-BE49-F238E27FC236}">
                  <a16:creationId xmlns:a16="http://schemas.microsoft.com/office/drawing/2014/main" id="{17C332B4-74CD-4989-A219-C565D2FFBC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9011B06" w14:textId="77777777" w:rsidR="00406821" w:rsidRDefault="00406821" w:rsidP="00406821">
      <w:pPr>
        <w:pStyle w:val="Default"/>
        <w:ind w:left="-567"/>
        <w:jc w:val="center"/>
        <w:rPr>
          <w:b/>
          <w:i/>
          <w:color w:val="877A67"/>
          <w:sz w:val="20"/>
        </w:rPr>
      </w:pPr>
    </w:p>
    <w:p w14:paraId="3280F795" w14:textId="77777777" w:rsidR="00823BA7" w:rsidRDefault="00823BA7" w:rsidP="0095716C">
      <w:pPr>
        <w:pStyle w:val="Default"/>
        <w:ind w:left="-567"/>
        <w:jc w:val="center"/>
        <w:rPr>
          <w:b/>
          <w:i/>
          <w:color w:val="877A67"/>
          <w:sz w:val="20"/>
        </w:rPr>
      </w:pPr>
    </w:p>
    <w:p w14:paraId="512C1E49" w14:textId="625B895B" w:rsidR="0095716C" w:rsidRDefault="0095716C" w:rsidP="0095716C">
      <w:pPr>
        <w:pStyle w:val="Default"/>
        <w:ind w:left="-567"/>
        <w:jc w:val="center"/>
        <w:rPr>
          <w:b/>
          <w:i/>
          <w:color w:val="877A67"/>
          <w:sz w:val="20"/>
        </w:rPr>
      </w:pPr>
      <w:r w:rsidRPr="0095716C">
        <w:rPr>
          <w:b/>
          <w:i/>
          <w:color w:val="877A67"/>
          <w:sz w:val="20"/>
        </w:rPr>
        <w:t xml:space="preserve">Gráfica </w:t>
      </w:r>
      <w:r w:rsidR="00285E02">
        <w:rPr>
          <w:b/>
          <w:i/>
          <w:color w:val="877A67"/>
          <w:sz w:val="20"/>
        </w:rPr>
        <w:t>2</w:t>
      </w:r>
      <w:r w:rsidRPr="0095716C">
        <w:rPr>
          <w:b/>
          <w:i/>
          <w:color w:val="877A67"/>
          <w:sz w:val="20"/>
        </w:rPr>
        <w:t>. Unidades administrativas</w:t>
      </w:r>
      <w:r>
        <w:rPr>
          <w:b/>
          <w:i/>
          <w:color w:val="877A67"/>
          <w:sz w:val="20"/>
        </w:rPr>
        <w:t xml:space="preserve"> de las </w:t>
      </w:r>
      <w:r w:rsidRPr="0095716C">
        <w:rPr>
          <w:b/>
          <w:i/>
          <w:color w:val="877A67"/>
          <w:sz w:val="20"/>
        </w:rPr>
        <w:t>Procuradurías o Fiscalías Generales de Justicia</w:t>
      </w:r>
      <w:r>
        <w:rPr>
          <w:b/>
          <w:i/>
          <w:color w:val="877A67"/>
          <w:sz w:val="20"/>
        </w:rPr>
        <w:t>, según función principal ejercida, 2020</w:t>
      </w:r>
    </w:p>
    <w:p w14:paraId="12E8F23B" w14:textId="3F75D6FF" w:rsidR="0095716C" w:rsidRPr="00FD2D78" w:rsidRDefault="0095716C" w:rsidP="0095716C">
      <w:pPr>
        <w:pStyle w:val="Default"/>
        <w:ind w:left="-567"/>
      </w:pPr>
      <w:r w:rsidRPr="0095716C">
        <w:rPr>
          <w:noProof/>
        </w:rPr>
        <w:drawing>
          <wp:inline distT="0" distB="0" distL="0" distR="0" wp14:anchorId="26C5DC0A" wp14:editId="5402BBED">
            <wp:extent cx="6189785" cy="4198620"/>
            <wp:effectExtent l="0" t="0" r="1905" b="0"/>
            <wp:docPr id="4" name="Gráfico 4">
              <a:extLst xmlns:a="http://schemas.openxmlformats.org/drawingml/2006/main">
                <a:ext uri="{FF2B5EF4-FFF2-40B4-BE49-F238E27FC236}">
                  <a16:creationId xmlns:a16="http://schemas.microsoft.com/office/drawing/2014/main" id="{A6B5C245-607F-423F-9D1A-DB6A0D138C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B1672FB" w14:textId="18A6DE2E" w:rsidR="00823BA7" w:rsidRPr="00823BA7" w:rsidRDefault="0095716C" w:rsidP="00823BA7">
      <w:pPr>
        <w:autoSpaceDE w:val="0"/>
        <w:autoSpaceDN w:val="0"/>
        <w:adjustRightInd w:val="0"/>
        <w:spacing w:after="0" w:line="240" w:lineRule="auto"/>
        <w:rPr>
          <w:rFonts w:ascii="Arial" w:hAnsi="Arial" w:cs="Arial"/>
          <w:color w:val="000000"/>
          <w:sz w:val="24"/>
          <w:szCs w:val="24"/>
        </w:rPr>
      </w:pPr>
      <w:r w:rsidRPr="00FD2D78">
        <w:rPr>
          <w:rFonts w:ascii="Arial" w:hAnsi="Arial" w:cs="Arial"/>
          <w:color w:val="000000"/>
          <w:sz w:val="24"/>
          <w:szCs w:val="24"/>
        </w:rPr>
        <w:t xml:space="preserve"> </w:t>
      </w:r>
    </w:p>
    <w:p w14:paraId="33DE0C8C" w14:textId="5B811E2D" w:rsidR="00823BA7" w:rsidRDefault="00823BA7" w:rsidP="00823BA7">
      <w:pPr>
        <w:spacing w:after="0"/>
        <w:ind w:left="-567"/>
        <w:jc w:val="both"/>
        <w:rPr>
          <w:rFonts w:ascii="Arial" w:hAnsi="Arial" w:cs="Arial"/>
          <w:color w:val="000000"/>
          <w:sz w:val="24"/>
          <w:szCs w:val="24"/>
        </w:rPr>
      </w:pPr>
      <w:bookmarkStart w:id="3" w:name="_Hlk85032188"/>
      <w:r>
        <w:rPr>
          <w:rFonts w:ascii="Arial" w:hAnsi="Arial" w:cs="Arial"/>
          <w:color w:val="000000"/>
          <w:sz w:val="24"/>
          <w:szCs w:val="24"/>
        </w:rPr>
        <w:t xml:space="preserve">Respecto al personal adscrito a las </w:t>
      </w:r>
      <w:r w:rsidRPr="00823BA7">
        <w:rPr>
          <w:rFonts w:ascii="Arial" w:hAnsi="Arial" w:cs="Arial"/>
          <w:color w:val="000000"/>
          <w:sz w:val="24"/>
          <w:szCs w:val="24"/>
        </w:rPr>
        <w:t>Procuradurías o Fiscalías Generales de Justicia</w:t>
      </w:r>
      <w:r w:rsidR="00A370B1">
        <w:rPr>
          <w:rFonts w:ascii="Arial" w:hAnsi="Arial" w:cs="Arial"/>
          <w:color w:val="000000"/>
          <w:sz w:val="24"/>
          <w:szCs w:val="24"/>
        </w:rPr>
        <w:t>,</w:t>
      </w:r>
      <w:r>
        <w:rPr>
          <w:rFonts w:ascii="Arial" w:hAnsi="Arial" w:cs="Arial"/>
          <w:color w:val="000000"/>
          <w:sz w:val="24"/>
          <w:szCs w:val="24"/>
        </w:rPr>
        <w:t xml:space="preserve"> </w:t>
      </w:r>
      <w:r w:rsidR="001E2437">
        <w:rPr>
          <w:rFonts w:ascii="Arial" w:hAnsi="Arial" w:cs="Arial"/>
          <w:color w:val="000000"/>
          <w:sz w:val="24"/>
          <w:szCs w:val="24"/>
        </w:rPr>
        <w:t xml:space="preserve">al cierre de 2020, se contó con </w:t>
      </w:r>
      <w:r w:rsidRPr="00823BA7">
        <w:rPr>
          <w:rFonts w:ascii="Arial" w:hAnsi="Arial" w:cs="Arial"/>
          <w:color w:val="000000"/>
          <w:sz w:val="24"/>
          <w:szCs w:val="24"/>
        </w:rPr>
        <w:t>95 602 servidoras y servidores públicos, de los cuales, 56.1% fueron hombres y 43.9% mujeres. Comparad</w:t>
      </w:r>
      <w:r w:rsidR="001E2437">
        <w:rPr>
          <w:rFonts w:ascii="Arial" w:hAnsi="Arial" w:cs="Arial"/>
          <w:color w:val="000000"/>
          <w:sz w:val="24"/>
          <w:szCs w:val="24"/>
        </w:rPr>
        <w:t xml:space="preserve">o con 2019, </w:t>
      </w:r>
      <w:r w:rsidRPr="00823BA7">
        <w:rPr>
          <w:rFonts w:ascii="Arial" w:hAnsi="Arial" w:cs="Arial"/>
          <w:color w:val="000000"/>
          <w:sz w:val="24"/>
          <w:szCs w:val="24"/>
        </w:rPr>
        <w:t>la cantidad de personal aument</w:t>
      </w:r>
      <w:r w:rsidR="00A370B1">
        <w:rPr>
          <w:rFonts w:ascii="Arial" w:hAnsi="Arial" w:cs="Arial"/>
          <w:color w:val="000000"/>
          <w:sz w:val="24"/>
          <w:szCs w:val="24"/>
        </w:rPr>
        <w:t>ó</w:t>
      </w:r>
      <w:r w:rsidRPr="00823BA7">
        <w:rPr>
          <w:rFonts w:ascii="Arial" w:hAnsi="Arial" w:cs="Arial"/>
          <w:color w:val="000000"/>
          <w:sz w:val="24"/>
          <w:szCs w:val="24"/>
        </w:rPr>
        <w:t xml:space="preserve"> 0.5% en </w:t>
      </w:r>
      <w:r w:rsidR="001E2437">
        <w:rPr>
          <w:rFonts w:ascii="Arial" w:hAnsi="Arial" w:cs="Arial"/>
          <w:color w:val="000000"/>
          <w:sz w:val="24"/>
          <w:szCs w:val="24"/>
        </w:rPr>
        <w:t xml:space="preserve">2020. </w:t>
      </w:r>
    </w:p>
    <w:p w14:paraId="0CDAE9BA" w14:textId="5DA7228C" w:rsidR="00FD6F71" w:rsidRDefault="00FD6F71" w:rsidP="00823BA7">
      <w:pPr>
        <w:spacing w:after="0"/>
        <w:ind w:left="-567"/>
        <w:jc w:val="both"/>
        <w:rPr>
          <w:rFonts w:ascii="Arial" w:hAnsi="Arial" w:cs="Arial"/>
          <w:color w:val="000000"/>
          <w:sz w:val="24"/>
          <w:szCs w:val="24"/>
        </w:rPr>
      </w:pPr>
    </w:p>
    <w:p w14:paraId="6FE52FBF" w14:textId="21D85FF0" w:rsidR="008D04B6" w:rsidRDefault="008D04B6" w:rsidP="00823BA7">
      <w:pPr>
        <w:spacing w:after="0"/>
        <w:ind w:left="-567"/>
        <w:jc w:val="both"/>
        <w:rPr>
          <w:rFonts w:ascii="Arial" w:hAnsi="Arial" w:cs="Arial"/>
          <w:color w:val="000000"/>
          <w:sz w:val="24"/>
          <w:szCs w:val="24"/>
        </w:rPr>
      </w:pPr>
    </w:p>
    <w:p w14:paraId="04E53B01" w14:textId="77777777" w:rsidR="008D04B6" w:rsidRDefault="008D04B6" w:rsidP="00823BA7">
      <w:pPr>
        <w:spacing w:after="0"/>
        <w:ind w:left="-567"/>
        <w:jc w:val="both"/>
        <w:rPr>
          <w:rFonts w:ascii="Arial" w:hAnsi="Arial" w:cs="Arial"/>
          <w:color w:val="000000"/>
          <w:sz w:val="24"/>
          <w:szCs w:val="24"/>
        </w:rPr>
      </w:pPr>
    </w:p>
    <w:bookmarkEnd w:id="3"/>
    <w:p w14:paraId="043E3D29" w14:textId="3A41D4D2" w:rsidR="00823BA7" w:rsidRDefault="00823BA7" w:rsidP="00823BA7">
      <w:pPr>
        <w:pStyle w:val="Default"/>
        <w:ind w:left="-567"/>
        <w:jc w:val="center"/>
        <w:rPr>
          <w:b/>
          <w:i/>
          <w:color w:val="877A67"/>
          <w:sz w:val="20"/>
        </w:rPr>
      </w:pPr>
      <w:r w:rsidRPr="00406821">
        <w:rPr>
          <w:b/>
          <w:i/>
          <w:color w:val="877A67"/>
          <w:sz w:val="20"/>
        </w:rPr>
        <w:t xml:space="preserve">Gráfica </w:t>
      </w:r>
      <w:r w:rsidR="00285E02">
        <w:rPr>
          <w:b/>
          <w:i/>
          <w:color w:val="877A67"/>
          <w:sz w:val="20"/>
        </w:rPr>
        <w:t>3</w:t>
      </w:r>
      <w:r w:rsidRPr="00406821">
        <w:rPr>
          <w:b/>
          <w:i/>
          <w:color w:val="877A67"/>
          <w:sz w:val="20"/>
        </w:rPr>
        <w:t>. Personal adscrito a las Procuradurías o Fiscalías Generales de Justicia, 2010 a 20</w:t>
      </w:r>
      <w:r>
        <w:rPr>
          <w:b/>
          <w:i/>
          <w:color w:val="877A67"/>
          <w:sz w:val="20"/>
        </w:rPr>
        <w:t>20</w:t>
      </w:r>
    </w:p>
    <w:p w14:paraId="549606FC" w14:textId="1A96DD72" w:rsidR="00823BA7" w:rsidRDefault="00823BA7" w:rsidP="00823BA7">
      <w:pPr>
        <w:pStyle w:val="Default"/>
        <w:ind w:left="-567"/>
        <w:jc w:val="center"/>
        <w:rPr>
          <w:b/>
          <w:i/>
          <w:color w:val="877A67"/>
          <w:sz w:val="20"/>
        </w:rPr>
      </w:pPr>
      <w:r w:rsidRPr="00406821">
        <w:rPr>
          <w:b/>
          <w:i/>
          <w:noProof/>
          <w:color w:val="877A67"/>
          <w:sz w:val="20"/>
        </w:rPr>
        <w:drawing>
          <wp:inline distT="0" distB="0" distL="0" distR="0" wp14:anchorId="28BA2779" wp14:editId="1AB6789E">
            <wp:extent cx="5805377" cy="2424223"/>
            <wp:effectExtent l="0" t="0" r="5080" b="0"/>
            <wp:docPr id="2" name="Gráfico 2">
              <a:extLst xmlns:a="http://schemas.openxmlformats.org/drawingml/2006/main">
                <a:ext uri="{FF2B5EF4-FFF2-40B4-BE49-F238E27FC236}">
                  <a16:creationId xmlns:a16="http://schemas.microsoft.com/office/drawing/2014/main" id="{521CB261-7880-44CC-8600-E57B2373AA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2125471" w14:textId="77777777" w:rsidR="00823BA7" w:rsidRDefault="00823BA7" w:rsidP="00823BA7">
      <w:pPr>
        <w:spacing w:after="0"/>
        <w:ind w:left="-567"/>
        <w:jc w:val="both"/>
        <w:rPr>
          <w:rFonts w:ascii="Arial" w:hAnsi="Arial" w:cs="Arial"/>
          <w:b/>
          <w:bCs/>
          <w:iCs/>
          <w:noProof/>
          <w:sz w:val="24"/>
          <w:szCs w:val="24"/>
          <w:lang w:eastAsia="es-MX"/>
        </w:rPr>
      </w:pPr>
    </w:p>
    <w:p w14:paraId="68FE6C9D" w14:textId="0860EA3B" w:rsidR="001E2437" w:rsidRDefault="00B728E7" w:rsidP="001E2437">
      <w:pPr>
        <w:autoSpaceDE w:val="0"/>
        <w:autoSpaceDN w:val="0"/>
        <w:adjustRightInd w:val="0"/>
        <w:spacing w:after="0" w:line="240" w:lineRule="auto"/>
        <w:ind w:left="-567"/>
        <w:jc w:val="both"/>
        <w:rPr>
          <w:rFonts w:ascii="Arial" w:hAnsi="Arial" w:cs="Arial"/>
          <w:color w:val="000000"/>
          <w:sz w:val="24"/>
          <w:szCs w:val="24"/>
        </w:rPr>
      </w:pPr>
      <w:r>
        <w:rPr>
          <w:rFonts w:ascii="Arial" w:hAnsi="Arial" w:cs="Arial"/>
          <w:color w:val="000000"/>
          <w:sz w:val="24"/>
          <w:szCs w:val="24"/>
        </w:rPr>
        <w:t xml:space="preserve">Ciudad de México y estado de México fueron las entidades que concentraron la mayor cantidad de personal </w:t>
      </w:r>
      <w:r w:rsidR="001E4A68">
        <w:rPr>
          <w:rFonts w:ascii="Arial" w:hAnsi="Arial" w:cs="Arial"/>
          <w:color w:val="000000"/>
          <w:sz w:val="24"/>
          <w:szCs w:val="24"/>
        </w:rPr>
        <w:t xml:space="preserve">con </w:t>
      </w:r>
      <w:r w:rsidR="001E4A68" w:rsidRPr="001E4A68">
        <w:rPr>
          <w:rFonts w:ascii="Arial" w:hAnsi="Arial" w:cs="Arial"/>
          <w:color w:val="000000"/>
          <w:sz w:val="24"/>
          <w:szCs w:val="24"/>
        </w:rPr>
        <w:t>16</w:t>
      </w:r>
      <w:r w:rsidR="001E4A68">
        <w:rPr>
          <w:rFonts w:ascii="Arial" w:hAnsi="Arial" w:cs="Arial"/>
          <w:color w:val="000000"/>
          <w:sz w:val="24"/>
          <w:szCs w:val="24"/>
        </w:rPr>
        <w:t xml:space="preserve"> </w:t>
      </w:r>
      <w:r w:rsidR="001E4A68" w:rsidRPr="001E4A68">
        <w:rPr>
          <w:rFonts w:ascii="Arial" w:hAnsi="Arial" w:cs="Arial"/>
          <w:color w:val="000000"/>
          <w:sz w:val="24"/>
          <w:szCs w:val="24"/>
        </w:rPr>
        <w:t>767</w:t>
      </w:r>
      <w:r w:rsidR="001E4A68">
        <w:rPr>
          <w:rFonts w:ascii="Arial" w:hAnsi="Arial" w:cs="Arial"/>
          <w:color w:val="000000"/>
          <w:sz w:val="24"/>
          <w:szCs w:val="24"/>
        </w:rPr>
        <w:t xml:space="preserve"> y </w:t>
      </w:r>
      <w:r w:rsidR="001E4A68" w:rsidRPr="001E4A68">
        <w:rPr>
          <w:rFonts w:ascii="Arial" w:hAnsi="Arial" w:cs="Arial"/>
          <w:color w:val="000000"/>
          <w:sz w:val="24"/>
          <w:szCs w:val="24"/>
        </w:rPr>
        <w:t>6</w:t>
      </w:r>
      <w:r w:rsidR="00B53B75">
        <w:rPr>
          <w:rFonts w:ascii="Arial" w:hAnsi="Arial" w:cs="Arial"/>
          <w:color w:val="000000"/>
          <w:sz w:val="24"/>
          <w:szCs w:val="24"/>
        </w:rPr>
        <w:t xml:space="preserve"> </w:t>
      </w:r>
      <w:r w:rsidR="001E4A68" w:rsidRPr="001E4A68">
        <w:rPr>
          <w:rFonts w:ascii="Arial" w:hAnsi="Arial" w:cs="Arial"/>
          <w:color w:val="000000"/>
          <w:sz w:val="24"/>
          <w:szCs w:val="24"/>
        </w:rPr>
        <w:t>841</w:t>
      </w:r>
      <w:r w:rsidR="00340FC5">
        <w:rPr>
          <w:rFonts w:ascii="Arial" w:hAnsi="Arial" w:cs="Arial"/>
          <w:color w:val="000000"/>
          <w:sz w:val="24"/>
          <w:szCs w:val="24"/>
        </w:rPr>
        <w:t xml:space="preserve"> servidoras y servidores públicos</w:t>
      </w:r>
      <w:r w:rsidR="00B53B75">
        <w:rPr>
          <w:rFonts w:ascii="Arial" w:hAnsi="Arial" w:cs="Arial"/>
          <w:color w:val="000000"/>
          <w:sz w:val="24"/>
          <w:szCs w:val="24"/>
        </w:rPr>
        <w:t>, respectivamente</w:t>
      </w:r>
      <w:r w:rsidR="008228E1">
        <w:rPr>
          <w:rFonts w:ascii="Arial" w:hAnsi="Arial" w:cs="Arial"/>
          <w:color w:val="000000"/>
          <w:sz w:val="24"/>
          <w:szCs w:val="24"/>
        </w:rPr>
        <w:t>.</w:t>
      </w:r>
    </w:p>
    <w:p w14:paraId="10AC6D0F" w14:textId="77777777" w:rsidR="00EB6E2D" w:rsidRDefault="00EB6E2D" w:rsidP="001E2437">
      <w:pPr>
        <w:autoSpaceDE w:val="0"/>
        <w:autoSpaceDN w:val="0"/>
        <w:adjustRightInd w:val="0"/>
        <w:spacing w:after="0" w:line="240" w:lineRule="auto"/>
        <w:ind w:left="-567"/>
        <w:jc w:val="both"/>
        <w:rPr>
          <w:rFonts w:ascii="Arial" w:hAnsi="Arial" w:cs="Arial"/>
          <w:color w:val="000000"/>
          <w:sz w:val="24"/>
          <w:szCs w:val="24"/>
        </w:rPr>
      </w:pPr>
    </w:p>
    <w:p w14:paraId="11674F1D" w14:textId="0E354813" w:rsidR="000521E7" w:rsidRDefault="00B728E7" w:rsidP="00B728E7">
      <w:pPr>
        <w:pStyle w:val="Default"/>
        <w:ind w:left="-567"/>
        <w:jc w:val="center"/>
        <w:rPr>
          <w:b/>
          <w:i/>
          <w:color w:val="877A67"/>
          <w:sz w:val="20"/>
        </w:rPr>
      </w:pPr>
      <w:r>
        <w:rPr>
          <w:b/>
          <w:i/>
          <w:color w:val="877A67"/>
          <w:sz w:val="20"/>
        </w:rPr>
        <w:t>Mapa 1</w:t>
      </w:r>
      <w:r w:rsidR="00EB6E2D" w:rsidRPr="00406821">
        <w:rPr>
          <w:b/>
          <w:i/>
          <w:color w:val="877A67"/>
          <w:sz w:val="20"/>
        </w:rPr>
        <w:t xml:space="preserve">. Personal adscrito a las Procuradurías o Fiscalías Generales de Justicia, </w:t>
      </w:r>
      <w:r>
        <w:rPr>
          <w:b/>
          <w:i/>
          <w:color w:val="877A67"/>
          <w:sz w:val="20"/>
        </w:rPr>
        <w:t xml:space="preserve">según entidad federativa, 2020 </w:t>
      </w:r>
    </w:p>
    <w:p w14:paraId="2D1AB042" w14:textId="77777777" w:rsidR="002516DD" w:rsidRDefault="002516DD" w:rsidP="00B728E7">
      <w:pPr>
        <w:pStyle w:val="Default"/>
        <w:ind w:left="-567"/>
        <w:jc w:val="center"/>
      </w:pPr>
    </w:p>
    <w:p w14:paraId="5859E90E" w14:textId="1033599E" w:rsidR="000521E7" w:rsidRPr="00FD2D78" w:rsidRDefault="000521E7" w:rsidP="001E2437">
      <w:pPr>
        <w:autoSpaceDE w:val="0"/>
        <w:autoSpaceDN w:val="0"/>
        <w:adjustRightInd w:val="0"/>
        <w:spacing w:after="0" w:line="240" w:lineRule="auto"/>
        <w:ind w:left="-567"/>
        <w:jc w:val="both"/>
        <w:rPr>
          <w:rFonts w:ascii="Arial" w:hAnsi="Arial" w:cs="Arial"/>
          <w:color w:val="000000"/>
          <w:sz w:val="24"/>
          <w:szCs w:val="24"/>
        </w:rPr>
      </w:pPr>
      <w:r>
        <w:rPr>
          <w:rFonts w:ascii="Arial" w:hAnsi="Arial" w:cs="Arial"/>
          <w:noProof/>
          <w:color w:val="000000"/>
          <w:sz w:val="24"/>
          <w:szCs w:val="24"/>
        </w:rPr>
        <w:drawing>
          <wp:inline distT="0" distB="0" distL="0" distR="0" wp14:anchorId="5C3058BF" wp14:editId="3F2CF1B7">
            <wp:extent cx="6769853" cy="36576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16603" cy="3682858"/>
                    </a:xfrm>
                    <a:prstGeom prst="rect">
                      <a:avLst/>
                    </a:prstGeom>
                    <a:noFill/>
                  </pic:spPr>
                </pic:pic>
              </a:graphicData>
            </a:graphic>
          </wp:inline>
        </w:drawing>
      </w:r>
    </w:p>
    <w:p w14:paraId="1C86968C" w14:textId="77777777" w:rsidR="0095716C" w:rsidRDefault="0095716C" w:rsidP="00300973">
      <w:pPr>
        <w:spacing w:after="0"/>
        <w:ind w:left="-567"/>
        <w:rPr>
          <w:rFonts w:ascii="Arial" w:hAnsi="Arial" w:cs="Arial"/>
          <w:b/>
          <w:bCs/>
          <w:iCs/>
          <w:noProof/>
          <w:sz w:val="24"/>
          <w:szCs w:val="24"/>
          <w:lang w:eastAsia="es-MX"/>
        </w:rPr>
      </w:pPr>
    </w:p>
    <w:p w14:paraId="19CC1357" w14:textId="77777777" w:rsidR="002516DD" w:rsidRDefault="002516DD" w:rsidP="00841765">
      <w:pPr>
        <w:autoSpaceDE w:val="0"/>
        <w:autoSpaceDN w:val="0"/>
        <w:adjustRightInd w:val="0"/>
        <w:spacing w:after="0" w:line="240" w:lineRule="auto"/>
        <w:ind w:left="-567"/>
        <w:jc w:val="both"/>
        <w:rPr>
          <w:rFonts w:ascii="Arial" w:hAnsi="Arial" w:cs="Arial"/>
          <w:color w:val="000000"/>
          <w:sz w:val="24"/>
          <w:szCs w:val="24"/>
        </w:rPr>
      </w:pPr>
    </w:p>
    <w:p w14:paraId="43F1FFF1" w14:textId="77777777" w:rsidR="00372D26" w:rsidRDefault="00372D26" w:rsidP="00841765">
      <w:pPr>
        <w:autoSpaceDE w:val="0"/>
        <w:autoSpaceDN w:val="0"/>
        <w:adjustRightInd w:val="0"/>
        <w:spacing w:after="0" w:line="240" w:lineRule="auto"/>
        <w:ind w:left="-567"/>
        <w:jc w:val="both"/>
        <w:rPr>
          <w:rFonts w:ascii="Arial" w:hAnsi="Arial" w:cs="Arial"/>
          <w:color w:val="000000"/>
          <w:sz w:val="24"/>
          <w:szCs w:val="24"/>
        </w:rPr>
      </w:pPr>
    </w:p>
    <w:p w14:paraId="05DEE877" w14:textId="77777777" w:rsidR="00372D26" w:rsidRDefault="00372D26" w:rsidP="00841765">
      <w:pPr>
        <w:autoSpaceDE w:val="0"/>
        <w:autoSpaceDN w:val="0"/>
        <w:adjustRightInd w:val="0"/>
        <w:spacing w:after="0" w:line="240" w:lineRule="auto"/>
        <w:ind w:left="-567"/>
        <w:jc w:val="both"/>
        <w:rPr>
          <w:rFonts w:ascii="Arial" w:hAnsi="Arial" w:cs="Arial"/>
          <w:color w:val="000000"/>
          <w:sz w:val="24"/>
          <w:szCs w:val="24"/>
        </w:rPr>
      </w:pPr>
    </w:p>
    <w:p w14:paraId="7AE4BA14" w14:textId="35F4A807" w:rsidR="00841765" w:rsidRDefault="00841765" w:rsidP="00841765">
      <w:pPr>
        <w:autoSpaceDE w:val="0"/>
        <w:autoSpaceDN w:val="0"/>
        <w:adjustRightInd w:val="0"/>
        <w:spacing w:after="0" w:line="240" w:lineRule="auto"/>
        <w:ind w:left="-567"/>
        <w:jc w:val="both"/>
        <w:rPr>
          <w:rFonts w:ascii="Arial" w:hAnsi="Arial" w:cs="Arial"/>
          <w:color w:val="000000"/>
          <w:sz w:val="24"/>
          <w:szCs w:val="24"/>
        </w:rPr>
      </w:pPr>
      <w:r>
        <w:rPr>
          <w:rFonts w:ascii="Arial" w:hAnsi="Arial" w:cs="Arial"/>
          <w:color w:val="000000"/>
          <w:sz w:val="24"/>
          <w:szCs w:val="24"/>
        </w:rPr>
        <w:t>Con relación a las características que presentó dicho personal, destaca que 23.4% percibió un ingreso bruto mensual entre 10 001 y 15 000 pesos. El personal que percibió un ingreso en dicho rango disminuyó 3.9%</w:t>
      </w:r>
      <w:r w:rsidR="00492CEC">
        <w:rPr>
          <w:rStyle w:val="Refdenotaalpie"/>
          <w:rFonts w:ascii="Arial" w:hAnsi="Arial" w:cs="Arial"/>
          <w:color w:val="000000"/>
          <w:sz w:val="24"/>
          <w:szCs w:val="24"/>
        </w:rPr>
        <w:footnoteReference w:id="3"/>
      </w:r>
      <w:r w:rsidR="00A370B1">
        <w:rPr>
          <w:rFonts w:ascii="Arial" w:hAnsi="Arial" w:cs="Arial"/>
          <w:color w:val="000000"/>
          <w:sz w:val="24"/>
          <w:szCs w:val="24"/>
        </w:rPr>
        <w:t xml:space="preserve">, mientras que el personal que se encontró en el rango de ingresos de 20 001 a 25 000 incrementó </w:t>
      </w:r>
      <w:r w:rsidR="002516DD">
        <w:rPr>
          <w:rFonts w:ascii="Arial" w:hAnsi="Arial" w:cs="Arial"/>
          <w:color w:val="000000"/>
          <w:sz w:val="24"/>
          <w:szCs w:val="24"/>
        </w:rPr>
        <w:t>55.4</w:t>
      </w:r>
      <w:r w:rsidR="00A370B1">
        <w:rPr>
          <w:rFonts w:ascii="Arial" w:hAnsi="Arial" w:cs="Arial"/>
          <w:color w:val="000000"/>
          <w:sz w:val="24"/>
          <w:szCs w:val="24"/>
        </w:rPr>
        <w:t>%</w:t>
      </w:r>
      <w:r>
        <w:rPr>
          <w:rFonts w:ascii="Arial" w:hAnsi="Arial" w:cs="Arial"/>
          <w:color w:val="000000"/>
          <w:sz w:val="24"/>
          <w:szCs w:val="24"/>
        </w:rPr>
        <w:t xml:space="preserve"> en comparación con lo reportado en 2019.</w:t>
      </w:r>
      <w:r>
        <w:rPr>
          <w:rStyle w:val="Refdenotaalpie"/>
          <w:rFonts w:ascii="Arial" w:hAnsi="Arial" w:cs="Arial"/>
          <w:color w:val="000000"/>
          <w:sz w:val="24"/>
          <w:szCs w:val="24"/>
        </w:rPr>
        <w:footnoteReference w:id="4"/>
      </w:r>
    </w:p>
    <w:p w14:paraId="5E384E8D" w14:textId="6531CFC0" w:rsidR="00E151A9" w:rsidRDefault="00E151A9" w:rsidP="00841765">
      <w:pPr>
        <w:autoSpaceDE w:val="0"/>
        <w:autoSpaceDN w:val="0"/>
        <w:adjustRightInd w:val="0"/>
        <w:spacing w:after="0" w:line="240" w:lineRule="auto"/>
        <w:ind w:left="-567"/>
        <w:jc w:val="both"/>
        <w:rPr>
          <w:rFonts w:ascii="Arial" w:hAnsi="Arial" w:cs="Arial"/>
          <w:color w:val="000000"/>
          <w:sz w:val="24"/>
          <w:szCs w:val="24"/>
        </w:rPr>
      </w:pPr>
    </w:p>
    <w:p w14:paraId="78B8F960" w14:textId="74F38A95" w:rsidR="00B53B75" w:rsidRDefault="00E151A9" w:rsidP="00970642">
      <w:pPr>
        <w:autoSpaceDE w:val="0"/>
        <w:autoSpaceDN w:val="0"/>
        <w:adjustRightInd w:val="0"/>
        <w:spacing w:after="0" w:line="240" w:lineRule="auto"/>
        <w:ind w:left="-567"/>
        <w:jc w:val="center"/>
        <w:rPr>
          <w:rFonts w:ascii="Arial" w:hAnsi="Arial" w:cs="Arial"/>
          <w:color w:val="000000"/>
          <w:sz w:val="24"/>
          <w:szCs w:val="24"/>
        </w:rPr>
      </w:pPr>
      <w:r w:rsidRPr="00E151A9">
        <w:rPr>
          <w:rFonts w:ascii="Arial" w:hAnsi="Arial" w:cs="Arial"/>
          <w:b/>
          <w:i/>
          <w:color w:val="877A67"/>
          <w:sz w:val="20"/>
          <w:szCs w:val="24"/>
        </w:rPr>
        <w:t xml:space="preserve">Gráfica </w:t>
      </w:r>
      <w:r w:rsidR="00285E02">
        <w:rPr>
          <w:rFonts w:ascii="Arial" w:hAnsi="Arial" w:cs="Arial"/>
          <w:b/>
          <w:i/>
          <w:color w:val="877A67"/>
          <w:sz w:val="20"/>
          <w:szCs w:val="24"/>
        </w:rPr>
        <w:t>4</w:t>
      </w:r>
      <w:r w:rsidRPr="00E151A9">
        <w:rPr>
          <w:rFonts w:ascii="Arial" w:hAnsi="Arial" w:cs="Arial"/>
          <w:b/>
          <w:i/>
          <w:color w:val="877A67"/>
          <w:sz w:val="20"/>
          <w:szCs w:val="24"/>
        </w:rPr>
        <w:t xml:space="preserve">. </w:t>
      </w:r>
      <w:bookmarkStart w:id="4" w:name="_Hlk84598764"/>
      <w:r w:rsidRPr="00E151A9">
        <w:rPr>
          <w:rFonts w:ascii="Arial" w:hAnsi="Arial" w:cs="Arial"/>
          <w:b/>
          <w:i/>
          <w:color w:val="877A67"/>
          <w:sz w:val="20"/>
          <w:szCs w:val="24"/>
        </w:rPr>
        <w:t xml:space="preserve">Personal adscrito a las Procuradurías o Fiscalías Generales de Justicia, </w:t>
      </w:r>
      <w:r>
        <w:rPr>
          <w:rFonts w:ascii="Arial" w:hAnsi="Arial" w:cs="Arial"/>
          <w:b/>
          <w:i/>
          <w:color w:val="877A67"/>
          <w:sz w:val="20"/>
          <w:szCs w:val="24"/>
        </w:rPr>
        <w:t>según rango de ingresos, 2019 a 2020</w:t>
      </w:r>
      <w:r w:rsidR="00EC73B7">
        <w:rPr>
          <w:rFonts w:ascii="Arial" w:hAnsi="Arial" w:cs="Arial"/>
          <w:color w:val="000000"/>
          <w:sz w:val="24"/>
          <w:szCs w:val="24"/>
        </w:rPr>
        <w:t xml:space="preserve"> </w:t>
      </w:r>
    </w:p>
    <w:bookmarkEnd w:id="4"/>
    <w:p w14:paraId="36B4D1E8" w14:textId="77777777" w:rsidR="003711CA" w:rsidRDefault="003711CA" w:rsidP="00970642">
      <w:pPr>
        <w:autoSpaceDE w:val="0"/>
        <w:autoSpaceDN w:val="0"/>
        <w:adjustRightInd w:val="0"/>
        <w:spacing w:after="0" w:line="240" w:lineRule="auto"/>
        <w:ind w:left="-567"/>
        <w:jc w:val="center"/>
        <w:rPr>
          <w:rFonts w:ascii="Arial" w:hAnsi="Arial" w:cs="Arial"/>
          <w:color w:val="000000"/>
          <w:sz w:val="24"/>
          <w:szCs w:val="24"/>
        </w:rPr>
      </w:pPr>
    </w:p>
    <w:p w14:paraId="1AA8F5CF" w14:textId="2D85732B" w:rsidR="001771A1" w:rsidRPr="00FD2D78" w:rsidRDefault="001771A1" w:rsidP="00B53B75">
      <w:pPr>
        <w:autoSpaceDE w:val="0"/>
        <w:autoSpaceDN w:val="0"/>
        <w:adjustRightInd w:val="0"/>
        <w:spacing w:after="0" w:line="240" w:lineRule="auto"/>
        <w:ind w:left="-567"/>
        <w:jc w:val="both"/>
        <w:rPr>
          <w:rFonts w:ascii="Arial" w:hAnsi="Arial" w:cs="Arial"/>
          <w:color w:val="000000"/>
          <w:sz w:val="24"/>
          <w:szCs w:val="24"/>
        </w:rPr>
      </w:pPr>
      <w:r w:rsidRPr="001771A1">
        <w:rPr>
          <w:rFonts w:ascii="Arial" w:hAnsi="Arial" w:cs="Arial"/>
          <w:noProof/>
          <w:color w:val="000000"/>
          <w:sz w:val="24"/>
          <w:szCs w:val="24"/>
        </w:rPr>
        <w:drawing>
          <wp:inline distT="0" distB="0" distL="0" distR="0" wp14:anchorId="739FFE9A" wp14:editId="3330B9E8">
            <wp:extent cx="6257290" cy="2514600"/>
            <wp:effectExtent l="0" t="0" r="0" b="0"/>
            <wp:docPr id="17" name="Gráfico 17">
              <a:extLst xmlns:a="http://schemas.openxmlformats.org/drawingml/2006/main">
                <a:ext uri="{FF2B5EF4-FFF2-40B4-BE49-F238E27FC236}">
                  <a16:creationId xmlns:a16="http://schemas.microsoft.com/office/drawing/2014/main" id="{74C5D7DB-8364-4ECE-9512-F25D995D4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FC21594" w14:textId="77777777" w:rsidR="00740BAE" w:rsidRDefault="00740BAE" w:rsidP="00740BAE">
      <w:pPr>
        <w:autoSpaceDE w:val="0"/>
        <w:autoSpaceDN w:val="0"/>
        <w:adjustRightInd w:val="0"/>
        <w:spacing w:after="0" w:line="240" w:lineRule="auto"/>
        <w:ind w:left="-567"/>
        <w:jc w:val="both"/>
        <w:rPr>
          <w:rFonts w:ascii="Arial" w:hAnsi="Arial" w:cs="Arial"/>
          <w:color w:val="000000"/>
          <w:sz w:val="24"/>
          <w:szCs w:val="24"/>
        </w:rPr>
      </w:pPr>
    </w:p>
    <w:p w14:paraId="3702B1CF" w14:textId="11EEE761" w:rsidR="003711CA" w:rsidRDefault="00740BAE" w:rsidP="00740BAE">
      <w:pPr>
        <w:autoSpaceDE w:val="0"/>
        <w:autoSpaceDN w:val="0"/>
        <w:adjustRightInd w:val="0"/>
        <w:spacing w:after="0" w:line="240" w:lineRule="auto"/>
        <w:ind w:left="-567"/>
        <w:jc w:val="both"/>
        <w:rPr>
          <w:rFonts w:ascii="Arial" w:hAnsi="Arial" w:cs="Arial"/>
          <w:color w:val="000000"/>
          <w:sz w:val="24"/>
          <w:szCs w:val="24"/>
        </w:rPr>
      </w:pPr>
      <w:bookmarkStart w:id="5" w:name="_Hlk85032248"/>
      <w:r>
        <w:rPr>
          <w:rFonts w:ascii="Arial" w:hAnsi="Arial" w:cs="Arial"/>
          <w:color w:val="000000"/>
          <w:sz w:val="24"/>
          <w:szCs w:val="24"/>
        </w:rPr>
        <w:t xml:space="preserve">Al cierre de 2020, </w:t>
      </w:r>
      <w:r w:rsidRPr="00740BAE">
        <w:rPr>
          <w:rFonts w:ascii="Arial" w:hAnsi="Arial" w:cs="Arial"/>
          <w:color w:val="000000"/>
          <w:sz w:val="24"/>
          <w:szCs w:val="24"/>
        </w:rPr>
        <w:t xml:space="preserve">se reportaron </w:t>
      </w:r>
      <w:r w:rsidR="006F4DD9" w:rsidRPr="006F4DD9">
        <w:rPr>
          <w:rFonts w:ascii="Arial" w:hAnsi="Arial" w:cs="Arial"/>
          <w:color w:val="000000"/>
          <w:sz w:val="24"/>
          <w:szCs w:val="24"/>
        </w:rPr>
        <w:t xml:space="preserve">3 720 </w:t>
      </w:r>
      <w:r w:rsidRPr="00740BAE">
        <w:rPr>
          <w:rFonts w:ascii="Arial" w:hAnsi="Arial" w:cs="Arial"/>
          <w:color w:val="000000"/>
          <w:sz w:val="24"/>
          <w:szCs w:val="24"/>
        </w:rPr>
        <w:t>Agencias del Ministerio Público de las Procuradurías o Fiscalías Generales</w:t>
      </w:r>
      <w:r>
        <w:rPr>
          <w:rFonts w:ascii="Arial" w:hAnsi="Arial" w:cs="Arial"/>
          <w:color w:val="000000"/>
          <w:sz w:val="24"/>
          <w:szCs w:val="24"/>
        </w:rPr>
        <w:t xml:space="preserve"> </w:t>
      </w:r>
      <w:r w:rsidRPr="00740BAE">
        <w:rPr>
          <w:rFonts w:ascii="Arial" w:hAnsi="Arial" w:cs="Arial"/>
          <w:color w:val="000000"/>
          <w:sz w:val="24"/>
          <w:szCs w:val="24"/>
        </w:rPr>
        <w:t xml:space="preserve">de Justicia, </w:t>
      </w:r>
      <w:r w:rsidR="00970642">
        <w:rPr>
          <w:rFonts w:ascii="Arial" w:hAnsi="Arial" w:cs="Arial"/>
          <w:color w:val="000000"/>
          <w:sz w:val="24"/>
          <w:szCs w:val="24"/>
        </w:rPr>
        <w:t xml:space="preserve">cifra que </w:t>
      </w:r>
      <w:r w:rsidR="006F4DD9" w:rsidRPr="006F4DD9">
        <w:rPr>
          <w:rFonts w:ascii="Arial" w:hAnsi="Arial" w:cs="Arial"/>
          <w:color w:val="000000"/>
          <w:sz w:val="24"/>
          <w:szCs w:val="24"/>
        </w:rPr>
        <w:t xml:space="preserve">representó una disminución de 0.9% </w:t>
      </w:r>
      <w:r w:rsidR="00970642">
        <w:rPr>
          <w:rFonts w:ascii="Arial" w:hAnsi="Arial" w:cs="Arial"/>
          <w:color w:val="000000"/>
          <w:sz w:val="24"/>
          <w:szCs w:val="24"/>
        </w:rPr>
        <w:t>en comparación con la cantidad registrada en 2019</w:t>
      </w:r>
      <w:bookmarkEnd w:id="5"/>
      <w:r w:rsidR="00D61E4B">
        <w:rPr>
          <w:rFonts w:ascii="Arial" w:hAnsi="Arial" w:cs="Arial"/>
          <w:color w:val="000000"/>
          <w:sz w:val="24"/>
          <w:szCs w:val="24"/>
        </w:rPr>
        <w:t>.</w:t>
      </w:r>
      <w:r w:rsidR="00970642">
        <w:rPr>
          <w:rStyle w:val="Refdenotaalpie"/>
          <w:rFonts w:ascii="Arial" w:hAnsi="Arial" w:cs="Arial"/>
          <w:color w:val="000000"/>
          <w:sz w:val="24"/>
          <w:szCs w:val="24"/>
        </w:rPr>
        <w:footnoteReference w:id="5"/>
      </w:r>
      <w:r w:rsidR="00970642">
        <w:rPr>
          <w:rFonts w:ascii="Arial" w:hAnsi="Arial" w:cs="Arial"/>
          <w:color w:val="000000"/>
          <w:sz w:val="24"/>
          <w:szCs w:val="24"/>
        </w:rPr>
        <w:t xml:space="preserve"> Del total, </w:t>
      </w:r>
      <w:r w:rsidRPr="00740BAE">
        <w:rPr>
          <w:rFonts w:ascii="Arial" w:hAnsi="Arial" w:cs="Arial"/>
          <w:color w:val="000000"/>
          <w:sz w:val="24"/>
          <w:szCs w:val="24"/>
        </w:rPr>
        <w:t>4</w:t>
      </w:r>
      <w:r w:rsidR="00970642">
        <w:rPr>
          <w:rFonts w:ascii="Arial" w:hAnsi="Arial" w:cs="Arial"/>
          <w:color w:val="000000"/>
          <w:sz w:val="24"/>
          <w:szCs w:val="24"/>
        </w:rPr>
        <w:t>1.4</w:t>
      </w:r>
      <w:r w:rsidRPr="00740BAE">
        <w:rPr>
          <w:rFonts w:ascii="Arial" w:hAnsi="Arial" w:cs="Arial"/>
          <w:color w:val="000000"/>
          <w:sz w:val="24"/>
          <w:szCs w:val="24"/>
        </w:rPr>
        <w:t>% correspondió al tipo Mixta o general.</w:t>
      </w:r>
    </w:p>
    <w:p w14:paraId="1D84A805" w14:textId="77777777" w:rsidR="00285E02" w:rsidRDefault="00285E02" w:rsidP="00740BAE">
      <w:pPr>
        <w:autoSpaceDE w:val="0"/>
        <w:autoSpaceDN w:val="0"/>
        <w:adjustRightInd w:val="0"/>
        <w:spacing w:after="0" w:line="240" w:lineRule="auto"/>
        <w:ind w:left="-567"/>
        <w:jc w:val="both"/>
        <w:rPr>
          <w:rFonts w:ascii="Arial" w:hAnsi="Arial" w:cs="Arial"/>
          <w:color w:val="000000"/>
          <w:sz w:val="24"/>
          <w:szCs w:val="24"/>
        </w:rPr>
      </w:pPr>
    </w:p>
    <w:p w14:paraId="2C823EAC" w14:textId="77777777" w:rsidR="00285E02" w:rsidRDefault="00285E02" w:rsidP="00970642">
      <w:pPr>
        <w:autoSpaceDE w:val="0"/>
        <w:autoSpaceDN w:val="0"/>
        <w:adjustRightInd w:val="0"/>
        <w:spacing w:after="0" w:line="240" w:lineRule="auto"/>
        <w:ind w:left="-567"/>
        <w:jc w:val="center"/>
        <w:rPr>
          <w:rFonts w:ascii="Arial" w:hAnsi="Arial" w:cs="Arial"/>
          <w:b/>
          <w:i/>
          <w:color w:val="877A67"/>
          <w:sz w:val="20"/>
          <w:szCs w:val="24"/>
        </w:rPr>
      </w:pPr>
    </w:p>
    <w:p w14:paraId="0BEABDDE" w14:textId="77777777" w:rsidR="00285E02" w:rsidRDefault="00285E02" w:rsidP="00970642">
      <w:pPr>
        <w:autoSpaceDE w:val="0"/>
        <w:autoSpaceDN w:val="0"/>
        <w:adjustRightInd w:val="0"/>
        <w:spacing w:after="0" w:line="240" w:lineRule="auto"/>
        <w:ind w:left="-567"/>
        <w:jc w:val="center"/>
        <w:rPr>
          <w:rFonts w:ascii="Arial" w:hAnsi="Arial" w:cs="Arial"/>
          <w:b/>
          <w:i/>
          <w:color w:val="877A67"/>
          <w:sz w:val="20"/>
          <w:szCs w:val="24"/>
        </w:rPr>
      </w:pPr>
    </w:p>
    <w:p w14:paraId="7ABF4B08" w14:textId="77777777" w:rsidR="00285E02" w:rsidRDefault="00285E02" w:rsidP="00970642">
      <w:pPr>
        <w:autoSpaceDE w:val="0"/>
        <w:autoSpaceDN w:val="0"/>
        <w:adjustRightInd w:val="0"/>
        <w:spacing w:after="0" w:line="240" w:lineRule="auto"/>
        <w:ind w:left="-567"/>
        <w:jc w:val="center"/>
        <w:rPr>
          <w:rFonts w:ascii="Arial" w:hAnsi="Arial" w:cs="Arial"/>
          <w:b/>
          <w:i/>
          <w:color w:val="877A67"/>
          <w:sz w:val="20"/>
          <w:szCs w:val="24"/>
        </w:rPr>
      </w:pPr>
    </w:p>
    <w:p w14:paraId="1C28593B" w14:textId="77777777" w:rsidR="00285E02" w:rsidRDefault="00285E02" w:rsidP="00970642">
      <w:pPr>
        <w:autoSpaceDE w:val="0"/>
        <w:autoSpaceDN w:val="0"/>
        <w:adjustRightInd w:val="0"/>
        <w:spacing w:after="0" w:line="240" w:lineRule="auto"/>
        <w:ind w:left="-567"/>
        <w:jc w:val="center"/>
        <w:rPr>
          <w:rFonts w:ascii="Arial" w:hAnsi="Arial" w:cs="Arial"/>
          <w:b/>
          <w:i/>
          <w:color w:val="877A67"/>
          <w:sz w:val="20"/>
          <w:szCs w:val="24"/>
        </w:rPr>
      </w:pPr>
    </w:p>
    <w:p w14:paraId="70C7E07A" w14:textId="77777777" w:rsidR="00285E02" w:rsidRDefault="00285E02" w:rsidP="00970642">
      <w:pPr>
        <w:autoSpaceDE w:val="0"/>
        <w:autoSpaceDN w:val="0"/>
        <w:adjustRightInd w:val="0"/>
        <w:spacing w:after="0" w:line="240" w:lineRule="auto"/>
        <w:ind w:left="-567"/>
        <w:jc w:val="center"/>
        <w:rPr>
          <w:rFonts w:ascii="Arial" w:hAnsi="Arial" w:cs="Arial"/>
          <w:b/>
          <w:i/>
          <w:color w:val="877A67"/>
          <w:sz w:val="20"/>
          <w:szCs w:val="24"/>
        </w:rPr>
      </w:pPr>
    </w:p>
    <w:p w14:paraId="573AD153" w14:textId="77777777" w:rsidR="00285E02" w:rsidRDefault="00285E02" w:rsidP="00970642">
      <w:pPr>
        <w:autoSpaceDE w:val="0"/>
        <w:autoSpaceDN w:val="0"/>
        <w:adjustRightInd w:val="0"/>
        <w:spacing w:after="0" w:line="240" w:lineRule="auto"/>
        <w:ind w:left="-567"/>
        <w:jc w:val="center"/>
        <w:rPr>
          <w:rFonts w:ascii="Arial" w:hAnsi="Arial" w:cs="Arial"/>
          <w:b/>
          <w:i/>
          <w:color w:val="877A67"/>
          <w:sz w:val="20"/>
          <w:szCs w:val="24"/>
        </w:rPr>
      </w:pPr>
    </w:p>
    <w:p w14:paraId="0F57018F" w14:textId="77777777" w:rsidR="00285E02" w:rsidRDefault="00285E02" w:rsidP="00970642">
      <w:pPr>
        <w:autoSpaceDE w:val="0"/>
        <w:autoSpaceDN w:val="0"/>
        <w:adjustRightInd w:val="0"/>
        <w:spacing w:after="0" w:line="240" w:lineRule="auto"/>
        <w:ind w:left="-567"/>
        <w:jc w:val="center"/>
        <w:rPr>
          <w:rFonts w:ascii="Arial" w:hAnsi="Arial" w:cs="Arial"/>
          <w:b/>
          <w:i/>
          <w:color w:val="877A67"/>
          <w:sz w:val="20"/>
          <w:szCs w:val="24"/>
        </w:rPr>
      </w:pPr>
    </w:p>
    <w:p w14:paraId="0BFD5E37" w14:textId="77777777" w:rsidR="00285E02" w:rsidRDefault="00285E02" w:rsidP="00970642">
      <w:pPr>
        <w:autoSpaceDE w:val="0"/>
        <w:autoSpaceDN w:val="0"/>
        <w:adjustRightInd w:val="0"/>
        <w:spacing w:after="0" w:line="240" w:lineRule="auto"/>
        <w:ind w:left="-567"/>
        <w:jc w:val="center"/>
        <w:rPr>
          <w:rFonts w:ascii="Arial" w:hAnsi="Arial" w:cs="Arial"/>
          <w:b/>
          <w:i/>
          <w:color w:val="877A67"/>
          <w:sz w:val="20"/>
          <w:szCs w:val="24"/>
        </w:rPr>
      </w:pPr>
    </w:p>
    <w:p w14:paraId="282DD12B" w14:textId="77777777" w:rsidR="00285E02" w:rsidRDefault="00285E02" w:rsidP="00970642">
      <w:pPr>
        <w:autoSpaceDE w:val="0"/>
        <w:autoSpaceDN w:val="0"/>
        <w:adjustRightInd w:val="0"/>
        <w:spacing w:after="0" w:line="240" w:lineRule="auto"/>
        <w:ind w:left="-567"/>
        <w:jc w:val="center"/>
        <w:rPr>
          <w:rFonts w:ascii="Arial" w:hAnsi="Arial" w:cs="Arial"/>
          <w:b/>
          <w:i/>
          <w:color w:val="877A67"/>
          <w:sz w:val="20"/>
          <w:szCs w:val="24"/>
        </w:rPr>
      </w:pPr>
    </w:p>
    <w:p w14:paraId="1A91CF2C" w14:textId="77777777" w:rsidR="00285E02" w:rsidRDefault="00285E02" w:rsidP="00970642">
      <w:pPr>
        <w:autoSpaceDE w:val="0"/>
        <w:autoSpaceDN w:val="0"/>
        <w:adjustRightInd w:val="0"/>
        <w:spacing w:after="0" w:line="240" w:lineRule="auto"/>
        <w:ind w:left="-567"/>
        <w:jc w:val="center"/>
        <w:rPr>
          <w:rFonts w:ascii="Arial" w:hAnsi="Arial" w:cs="Arial"/>
          <w:b/>
          <w:i/>
          <w:color w:val="877A67"/>
          <w:sz w:val="20"/>
          <w:szCs w:val="24"/>
        </w:rPr>
      </w:pPr>
    </w:p>
    <w:p w14:paraId="4617BDEC" w14:textId="77777777" w:rsidR="00285E02" w:rsidRDefault="00285E02" w:rsidP="00970642">
      <w:pPr>
        <w:autoSpaceDE w:val="0"/>
        <w:autoSpaceDN w:val="0"/>
        <w:adjustRightInd w:val="0"/>
        <w:spacing w:after="0" w:line="240" w:lineRule="auto"/>
        <w:ind w:left="-567"/>
        <w:jc w:val="center"/>
        <w:rPr>
          <w:rFonts w:ascii="Arial" w:hAnsi="Arial" w:cs="Arial"/>
          <w:b/>
          <w:i/>
          <w:color w:val="877A67"/>
          <w:sz w:val="20"/>
          <w:szCs w:val="24"/>
        </w:rPr>
      </w:pPr>
    </w:p>
    <w:p w14:paraId="367313C6" w14:textId="77777777" w:rsidR="00285E02" w:rsidRDefault="00285E02" w:rsidP="00970642">
      <w:pPr>
        <w:autoSpaceDE w:val="0"/>
        <w:autoSpaceDN w:val="0"/>
        <w:adjustRightInd w:val="0"/>
        <w:spacing w:after="0" w:line="240" w:lineRule="auto"/>
        <w:ind w:left="-567"/>
        <w:jc w:val="center"/>
        <w:rPr>
          <w:rFonts w:ascii="Arial" w:hAnsi="Arial" w:cs="Arial"/>
          <w:b/>
          <w:i/>
          <w:color w:val="877A67"/>
          <w:sz w:val="20"/>
          <w:szCs w:val="24"/>
        </w:rPr>
      </w:pPr>
    </w:p>
    <w:p w14:paraId="29574EC9" w14:textId="77777777" w:rsidR="00285E02" w:rsidRDefault="00285E02" w:rsidP="00970642">
      <w:pPr>
        <w:autoSpaceDE w:val="0"/>
        <w:autoSpaceDN w:val="0"/>
        <w:adjustRightInd w:val="0"/>
        <w:spacing w:after="0" w:line="240" w:lineRule="auto"/>
        <w:ind w:left="-567"/>
        <w:jc w:val="center"/>
        <w:rPr>
          <w:rFonts w:ascii="Arial" w:hAnsi="Arial" w:cs="Arial"/>
          <w:b/>
          <w:i/>
          <w:color w:val="877A67"/>
          <w:sz w:val="20"/>
          <w:szCs w:val="24"/>
        </w:rPr>
      </w:pPr>
    </w:p>
    <w:p w14:paraId="75FE6820" w14:textId="77777777" w:rsidR="00285E02" w:rsidRDefault="00285E02" w:rsidP="00970642">
      <w:pPr>
        <w:autoSpaceDE w:val="0"/>
        <w:autoSpaceDN w:val="0"/>
        <w:adjustRightInd w:val="0"/>
        <w:spacing w:after="0" w:line="240" w:lineRule="auto"/>
        <w:ind w:left="-567"/>
        <w:jc w:val="center"/>
        <w:rPr>
          <w:rFonts w:ascii="Arial" w:hAnsi="Arial" w:cs="Arial"/>
          <w:b/>
          <w:i/>
          <w:color w:val="877A67"/>
          <w:sz w:val="20"/>
          <w:szCs w:val="24"/>
        </w:rPr>
      </w:pPr>
    </w:p>
    <w:p w14:paraId="24BFF897" w14:textId="77777777" w:rsidR="00285E02" w:rsidRDefault="00285E02" w:rsidP="00970642">
      <w:pPr>
        <w:autoSpaceDE w:val="0"/>
        <w:autoSpaceDN w:val="0"/>
        <w:adjustRightInd w:val="0"/>
        <w:spacing w:after="0" w:line="240" w:lineRule="auto"/>
        <w:ind w:left="-567"/>
        <w:jc w:val="center"/>
        <w:rPr>
          <w:rFonts w:ascii="Arial" w:hAnsi="Arial" w:cs="Arial"/>
          <w:b/>
          <w:i/>
          <w:color w:val="877A67"/>
          <w:sz w:val="20"/>
          <w:szCs w:val="24"/>
        </w:rPr>
      </w:pPr>
    </w:p>
    <w:p w14:paraId="573DB0BE" w14:textId="77777777" w:rsidR="00285E02" w:rsidRDefault="00285E02" w:rsidP="00970642">
      <w:pPr>
        <w:autoSpaceDE w:val="0"/>
        <w:autoSpaceDN w:val="0"/>
        <w:adjustRightInd w:val="0"/>
        <w:spacing w:after="0" w:line="240" w:lineRule="auto"/>
        <w:ind w:left="-567"/>
        <w:jc w:val="center"/>
        <w:rPr>
          <w:rFonts w:ascii="Arial" w:hAnsi="Arial" w:cs="Arial"/>
          <w:b/>
          <w:i/>
          <w:color w:val="877A67"/>
          <w:sz w:val="20"/>
          <w:szCs w:val="24"/>
        </w:rPr>
      </w:pPr>
    </w:p>
    <w:p w14:paraId="627B3884" w14:textId="441AE8D4" w:rsidR="00970642" w:rsidRPr="00970642" w:rsidRDefault="00D272FD" w:rsidP="00970642">
      <w:pPr>
        <w:autoSpaceDE w:val="0"/>
        <w:autoSpaceDN w:val="0"/>
        <w:adjustRightInd w:val="0"/>
        <w:spacing w:after="0" w:line="240" w:lineRule="auto"/>
        <w:ind w:left="-567"/>
        <w:jc w:val="center"/>
        <w:rPr>
          <w:rFonts w:ascii="Arial" w:hAnsi="Arial" w:cs="Arial"/>
          <w:b/>
          <w:i/>
          <w:color w:val="877A67"/>
          <w:sz w:val="20"/>
          <w:szCs w:val="24"/>
        </w:rPr>
      </w:pPr>
      <w:r w:rsidRPr="00E151A9">
        <w:rPr>
          <w:rFonts w:ascii="Arial" w:hAnsi="Arial" w:cs="Arial"/>
          <w:b/>
          <w:i/>
          <w:color w:val="877A67"/>
          <w:sz w:val="20"/>
          <w:szCs w:val="24"/>
        </w:rPr>
        <w:t xml:space="preserve">Gráfica </w:t>
      </w:r>
      <w:r w:rsidR="00285E02">
        <w:rPr>
          <w:rFonts w:ascii="Arial" w:hAnsi="Arial" w:cs="Arial"/>
          <w:b/>
          <w:i/>
          <w:color w:val="877A67"/>
          <w:sz w:val="20"/>
          <w:szCs w:val="24"/>
        </w:rPr>
        <w:t>5</w:t>
      </w:r>
      <w:r w:rsidRPr="00E151A9">
        <w:rPr>
          <w:rFonts w:ascii="Arial" w:hAnsi="Arial" w:cs="Arial"/>
          <w:b/>
          <w:i/>
          <w:color w:val="877A67"/>
          <w:sz w:val="20"/>
          <w:szCs w:val="24"/>
        </w:rPr>
        <w:t xml:space="preserve">. </w:t>
      </w:r>
      <w:bookmarkStart w:id="6" w:name="_Hlk84598775"/>
      <w:r w:rsidR="00970642" w:rsidRPr="00970642">
        <w:rPr>
          <w:rFonts w:ascii="Arial" w:hAnsi="Arial" w:cs="Arial"/>
          <w:b/>
          <w:i/>
          <w:color w:val="877A67"/>
          <w:sz w:val="20"/>
          <w:szCs w:val="24"/>
        </w:rPr>
        <w:t>Agencias del Ministerio Público</w:t>
      </w:r>
      <w:r w:rsidR="00970642">
        <w:rPr>
          <w:rFonts w:ascii="Arial" w:hAnsi="Arial" w:cs="Arial"/>
          <w:b/>
          <w:i/>
          <w:color w:val="877A67"/>
          <w:sz w:val="20"/>
          <w:szCs w:val="24"/>
        </w:rPr>
        <w:t xml:space="preserve"> </w:t>
      </w:r>
      <w:r w:rsidR="00970642" w:rsidRPr="00970642">
        <w:rPr>
          <w:rFonts w:ascii="Arial" w:hAnsi="Arial" w:cs="Arial"/>
          <w:b/>
          <w:i/>
          <w:color w:val="877A67"/>
          <w:sz w:val="20"/>
          <w:szCs w:val="24"/>
        </w:rPr>
        <w:t>de las Procuradurías o Fiscalías Generales de Justicia,</w:t>
      </w:r>
    </w:p>
    <w:p w14:paraId="1F89B142" w14:textId="0DE4C8DF" w:rsidR="003711CA" w:rsidRDefault="00970642" w:rsidP="00970642">
      <w:pPr>
        <w:autoSpaceDE w:val="0"/>
        <w:autoSpaceDN w:val="0"/>
        <w:adjustRightInd w:val="0"/>
        <w:spacing w:after="0" w:line="240" w:lineRule="auto"/>
        <w:ind w:left="-567"/>
        <w:jc w:val="center"/>
        <w:rPr>
          <w:rFonts w:ascii="Arial" w:hAnsi="Arial" w:cs="Arial"/>
          <w:b/>
          <w:i/>
          <w:color w:val="877A67"/>
          <w:sz w:val="20"/>
          <w:szCs w:val="24"/>
        </w:rPr>
      </w:pPr>
      <w:r w:rsidRPr="00970642">
        <w:rPr>
          <w:rFonts w:ascii="Arial" w:hAnsi="Arial" w:cs="Arial"/>
          <w:b/>
          <w:i/>
          <w:color w:val="877A67"/>
          <w:sz w:val="20"/>
          <w:szCs w:val="24"/>
        </w:rPr>
        <w:t>según tipo, 2019</w:t>
      </w:r>
      <w:r>
        <w:rPr>
          <w:rFonts w:ascii="Arial" w:hAnsi="Arial" w:cs="Arial"/>
          <w:b/>
          <w:i/>
          <w:color w:val="877A67"/>
          <w:sz w:val="20"/>
          <w:szCs w:val="24"/>
        </w:rPr>
        <w:t xml:space="preserve"> a 2020</w:t>
      </w:r>
    </w:p>
    <w:p w14:paraId="1CFABFAC" w14:textId="77777777" w:rsidR="00841CA9" w:rsidRDefault="00841CA9" w:rsidP="00970642">
      <w:pPr>
        <w:autoSpaceDE w:val="0"/>
        <w:autoSpaceDN w:val="0"/>
        <w:adjustRightInd w:val="0"/>
        <w:spacing w:after="0" w:line="240" w:lineRule="auto"/>
        <w:ind w:left="-567"/>
        <w:jc w:val="center"/>
        <w:rPr>
          <w:rFonts w:ascii="Arial" w:hAnsi="Arial" w:cs="Arial"/>
          <w:b/>
          <w:i/>
          <w:color w:val="877A67"/>
          <w:sz w:val="20"/>
          <w:szCs w:val="24"/>
        </w:rPr>
      </w:pPr>
    </w:p>
    <w:bookmarkEnd w:id="6"/>
    <w:p w14:paraId="0A2EE407" w14:textId="0129114F" w:rsidR="00B959A3" w:rsidRDefault="00B959A3" w:rsidP="00970642">
      <w:pPr>
        <w:autoSpaceDE w:val="0"/>
        <w:autoSpaceDN w:val="0"/>
        <w:adjustRightInd w:val="0"/>
        <w:spacing w:after="0" w:line="240" w:lineRule="auto"/>
        <w:ind w:left="-567"/>
        <w:jc w:val="center"/>
        <w:rPr>
          <w:rFonts w:ascii="Arial" w:hAnsi="Arial" w:cs="Arial"/>
          <w:b/>
          <w:i/>
          <w:color w:val="877A67"/>
          <w:sz w:val="20"/>
          <w:szCs w:val="24"/>
        </w:rPr>
      </w:pPr>
      <w:r w:rsidRPr="00B959A3">
        <w:rPr>
          <w:rFonts w:ascii="Arial" w:hAnsi="Arial" w:cs="Arial"/>
          <w:b/>
          <w:i/>
          <w:noProof/>
          <w:color w:val="877A67"/>
          <w:sz w:val="20"/>
          <w:szCs w:val="24"/>
        </w:rPr>
        <w:drawing>
          <wp:inline distT="0" distB="0" distL="0" distR="0" wp14:anchorId="13F50E5D" wp14:editId="3A33D2C0">
            <wp:extent cx="5977255" cy="2627194"/>
            <wp:effectExtent l="0" t="0" r="4445" b="1905"/>
            <wp:docPr id="7" name="Gráfico 7">
              <a:extLst xmlns:a="http://schemas.openxmlformats.org/drawingml/2006/main">
                <a:ext uri="{FF2B5EF4-FFF2-40B4-BE49-F238E27FC236}">
                  <a16:creationId xmlns:a16="http://schemas.microsoft.com/office/drawing/2014/main" id="{9FA82951-FCE5-4009-A255-5367A7BA26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10E5A2B" w14:textId="77777777" w:rsidR="003711CA" w:rsidRDefault="003711CA" w:rsidP="00D272FD">
      <w:pPr>
        <w:autoSpaceDE w:val="0"/>
        <w:autoSpaceDN w:val="0"/>
        <w:adjustRightInd w:val="0"/>
        <w:spacing w:after="0" w:line="240" w:lineRule="auto"/>
        <w:ind w:left="-567"/>
        <w:jc w:val="center"/>
        <w:rPr>
          <w:rFonts w:ascii="Arial" w:hAnsi="Arial" w:cs="Arial"/>
          <w:color w:val="000000" w:themeColor="text1"/>
          <w:sz w:val="16"/>
          <w:szCs w:val="24"/>
        </w:rPr>
      </w:pPr>
    </w:p>
    <w:p w14:paraId="252A04C9" w14:textId="77777777" w:rsidR="00C31036" w:rsidRDefault="00970642" w:rsidP="00D272FD">
      <w:pPr>
        <w:autoSpaceDE w:val="0"/>
        <w:autoSpaceDN w:val="0"/>
        <w:adjustRightInd w:val="0"/>
        <w:spacing w:after="0" w:line="240" w:lineRule="auto"/>
        <w:ind w:left="-567"/>
        <w:jc w:val="center"/>
      </w:pPr>
      <w:r w:rsidRPr="00970642">
        <w:rPr>
          <w:rFonts w:ascii="Arial" w:hAnsi="Arial" w:cs="Arial"/>
          <w:color w:val="000000" w:themeColor="text1"/>
          <w:sz w:val="16"/>
          <w:szCs w:val="24"/>
        </w:rPr>
        <w:t xml:space="preserve">Nota: </w:t>
      </w:r>
      <w:r w:rsidR="006F4DD9">
        <w:rPr>
          <w:rFonts w:ascii="Arial" w:hAnsi="Arial" w:cs="Arial"/>
          <w:color w:val="000000" w:themeColor="text1"/>
          <w:sz w:val="16"/>
          <w:szCs w:val="24"/>
        </w:rPr>
        <w:t>s</w:t>
      </w:r>
      <w:r w:rsidR="006F4DD9" w:rsidRPr="006F4DD9">
        <w:rPr>
          <w:rFonts w:ascii="Arial" w:hAnsi="Arial" w:cs="Arial"/>
          <w:color w:val="000000" w:themeColor="text1"/>
          <w:sz w:val="16"/>
          <w:szCs w:val="24"/>
        </w:rPr>
        <w:t>e muestran los diez principales tipos de agencias, de acuerdo con la mayor frecuencia de registros en 2020.</w:t>
      </w:r>
      <w:r w:rsidR="00C31036" w:rsidRPr="00C31036">
        <w:t xml:space="preserve"> </w:t>
      </w:r>
    </w:p>
    <w:p w14:paraId="1F50ED4F" w14:textId="0E105F70" w:rsidR="003711CA" w:rsidRDefault="00C31036" w:rsidP="00D272FD">
      <w:pPr>
        <w:autoSpaceDE w:val="0"/>
        <w:autoSpaceDN w:val="0"/>
        <w:adjustRightInd w:val="0"/>
        <w:spacing w:after="0" w:line="240" w:lineRule="auto"/>
        <w:ind w:left="-567"/>
        <w:jc w:val="center"/>
        <w:rPr>
          <w:rFonts w:ascii="Arial" w:hAnsi="Arial" w:cs="Arial"/>
          <w:color w:val="000000" w:themeColor="text1"/>
          <w:sz w:val="16"/>
          <w:szCs w:val="24"/>
        </w:rPr>
      </w:pPr>
      <w:r w:rsidRPr="00C31036">
        <w:rPr>
          <w:rFonts w:ascii="Arial" w:hAnsi="Arial" w:cs="Arial"/>
          <w:color w:val="000000" w:themeColor="text1"/>
          <w:sz w:val="16"/>
          <w:szCs w:val="24"/>
        </w:rPr>
        <w:t>Una misma agencia o fiscalía puede corresponder a más de un tipo.</w:t>
      </w:r>
    </w:p>
    <w:p w14:paraId="40E2C82D" w14:textId="77777777" w:rsidR="003711CA" w:rsidRPr="00970642" w:rsidRDefault="003711CA" w:rsidP="00D272FD">
      <w:pPr>
        <w:autoSpaceDE w:val="0"/>
        <w:autoSpaceDN w:val="0"/>
        <w:adjustRightInd w:val="0"/>
        <w:spacing w:after="0" w:line="240" w:lineRule="auto"/>
        <w:ind w:left="-567"/>
        <w:jc w:val="center"/>
        <w:rPr>
          <w:rFonts w:ascii="Arial" w:hAnsi="Arial" w:cs="Arial"/>
          <w:color w:val="000000" w:themeColor="text1"/>
          <w:sz w:val="16"/>
          <w:szCs w:val="24"/>
        </w:rPr>
      </w:pPr>
    </w:p>
    <w:p w14:paraId="70B51CED" w14:textId="1BFA4B86" w:rsidR="00B959A3" w:rsidRDefault="00B959A3" w:rsidP="00D272FD">
      <w:pPr>
        <w:autoSpaceDE w:val="0"/>
        <w:autoSpaceDN w:val="0"/>
        <w:adjustRightInd w:val="0"/>
        <w:spacing w:after="0" w:line="240" w:lineRule="auto"/>
        <w:ind w:left="-567"/>
        <w:jc w:val="center"/>
        <w:rPr>
          <w:rFonts w:ascii="Arial" w:hAnsi="Arial" w:cs="Arial"/>
          <w:color w:val="000000"/>
          <w:sz w:val="24"/>
          <w:szCs w:val="24"/>
        </w:rPr>
      </w:pPr>
    </w:p>
    <w:p w14:paraId="285A90AC" w14:textId="6766CB5C" w:rsidR="009F5FD1" w:rsidRDefault="003711CA" w:rsidP="003711CA">
      <w:pPr>
        <w:autoSpaceDE w:val="0"/>
        <w:autoSpaceDN w:val="0"/>
        <w:adjustRightInd w:val="0"/>
        <w:spacing w:after="0" w:line="240" w:lineRule="auto"/>
        <w:ind w:left="-567"/>
        <w:jc w:val="both"/>
        <w:rPr>
          <w:rFonts w:ascii="Arial" w:hAnsi="Arial" w:cs="Arial"/>
          <w:color w:val="000000"/>
          <w:sz w:val="24"/>
          <w:szCs w:val="24"/>
        </w:rPr>
      </w:pPr>
      <w:bookmarkStart w:id="7" w:name="_Hlk85032278"/>
      <w:r w:rsidRPr="003711CA">
        <w:rPr>
          <w:rFonts w:ascii="Arial" w:hAnsi="Arial" w:cs="Arial"/>
          <w:color w:val="000000"/>
          <w:sz w:val="24"/>
          <w:szCs w:val="24"/>
        </w:rPr>
        <w:t>En tanto, el personal adscrito a las Agencias del Ministerio Público de las Procuradurías o</w:t>
      </w:r>
      <w:r>
        <w:rPr>
          <w:rFonts w:ascii="Arial" w:hAnsi="Arial" w:cs="Arial"/>
          <w:color w:val="000000"/>
          <w:sz w:val="24"/>
          <w:szCs w:val="24"/>
        </w:rPr>
        <w:t xml:space="preserve"> </w:t>
      </w:r>
      <w:r w:rsidRPr="003711CA">
        <w:rPr>
          <w:rFonts w:ascii="Arial" w:hAnsi="Arial" w:cs="Arial"/>
          <w:color w:val="000000"/>
          <w:sz w:val="24"/>
          <w:szCs w:val="24"/>
        </w:rPr>
        <w:t xml:space="preserve">Fiscalías Generales de Justicia fue de </w:t>
      </w:r>
      <w:r w:rsidR="00FF5C2A" w:rsidRPr="00FF5C2A">
        <w:rPr>
          <w:rFonts w:ascii="Arial" w:hAnsi="Arial" w:cs="Arial"/>
          <w:color w:val="000000"/>
          <w:sz w:val="24"/>
          <w:szCs w:val="24"/>
        </w:rPr>
        <w:t>51</w:t>
      </w:r>
      <w:r w:rsidR="00FF5C2A">
        <w:rPr>
          <w:rFonts w:ascii="Arial" w:hAnsi="Arial" w:cs="Arial"/>
          <w:color w:val="000000"/>
          <w:sz w:val="24"/>
          <w:szCs w:val="24"/>
        </w:rPr>
        <w:t xml:space="preserve"> </w:t>
      </w:r>
      <w:r w:rsidR="00FF5C2A" w:rsidRPr="00FF5C2A">
        <w:rPr>
          <w:rFonts w:ascii="Arial" w:hAnsi="Arial" w:cs="Arial"/>
          <w:color w:val="000000"/>
          <w:sz w:val="24"/>
          <w:szCs w:val="24"/>
        </w:rPr>
        <w:t>589</w:t>
      </w:r>
      <w:r w:rsidR="00FF5C2A">
        <w:rPr>
          <w:rFonts w:ascii="Arial" w:hAnsi="Arial" w:cs="Arial"/>
          <w:color w:val="000000"/>
          <w:sz w:val="24"/>
          <w:szCs w:val="24"/>
        </w:rPr>
        <w:t xml:space="preserve"> servidoras y </w:t>
      </w:r>
      <w:r w:rsidRPr="003711CA">
        <w:rPr>
          <w:rFonts w:ascii="Arial" w:hAnsi="Arial" w:cs="Arial"/>
          <w:color w:val="000000"/>
          <w:sz w:val="24"/>
          <w:szCs w:val="24"/>
        </w:rPr>
        <w:t>servidores públicos, de los cuales</w:t>
      </w:r>
      <w:r w:rsidR="002C2CFE">
        <w:rPr>
          <w:rFonts w:ascii="Arial" w:hAnsi="Arial" w:cs="Arial"/>
          <w:color w:val="000000"/>
          <w:sz w:val="24"/>
          <w:szCs w:val="24"/>
        </w:rPr>
        <w:t>,</w:t>
      </w:r>
      <w:r w:rsidRPr="003711CA">
        <w:rPr>
          <w:rFonts w:ascii="Arial" w:hAnsi="Arial" w:cs="Arial"/>
          <w:color w:val="000000"/>
          <w:sz w:val="24"/>
          <w:szCs w:val="24"/>
        </w:rPr>
        <w:t xml:space="preserve"> 54.</w:t>
      </w:r>
      <w:r w:rsidR="009F5FD1">
        <w:rPr>
          <w:rFonts w:ascii="Arial" w:hAnsi="Arial" w:cs="Arial"/>
          <w:color w:val="000000"/>
          <w:sz w:val="24"/>
          <w:szCs w:val="24"/>
        </w:rPr>
        <w:t>6</w:t>
      </w:r>
      <w:r w:rsidRPr="003711CA">
        <w:rPr>
          <w:rFonts w:ascii="Arial" w:hAnsi="Arial" w:cs="Arial"/>
          <w:color w:val="000000"/>
          <w:sz w:val="24"/>
          <w:szCs w:val="24"/>
        </w:rPr>
        <w:t>% fueron</w:t>
      </w:r>
      <w:r>
        <w:rPr>
          <w:rFonts w:ascii="Arial" w:hAnsi="Arial" w:cs="Arial"/>
          <w:color w:val="000000"/>
          <w:sz w:val="24"/>
          <w:szCs w:val="24"/>
        </w:rPr>
        <w:t xml:space="preserve"> </w:t>
      </w:r>
      <w:r w:rsidRPr="003711CA">
        <w:rPr>
          <w:rFonts w:ascii="Arial" w:hAnsi="Arial" w:cs="Arial"/>
          <w:color w:val="000000"/>
          <w:sz w:val="24"/>
          <w:szCs w:val="24"/>
        </w:rPr>
        <w:t>hombres y 45.</w:t>
      </w:r>
      <w:r w:rsidR="009F5FD1">
        <w:rPr>
          <w:rFonts w:ascii="Arial" w:hAnsi="Arial" w:cs="Arial"/>
          <w:color w:val="000000"/>
          <w:sz w:val="24"/>
          <w:szCs w:val="24"/>
        </w:rPr>
        <w:t>4</w:t>
      </w:r>
      <w:r w:rsidRPr="003711CA">
        <w:rPr>
          <w:rFonts w:ascii="Arial" w:hAnsi="Arial" w:cs="Arial"/>
          <w:color w:val="000000"/>
          <w:sz w:val="24"/>
          <w:szCs w:val="24"/>
        </w:rPr>
        <w:t xml:space="preserve">% mujeres. </w:t>
      </w:r>
      <w:bookmarkEnd w:id="7"/>
      <w:r w:rsidR="009F5FD1">
        <w:rPr>
          <w:rFonts w:ascii="Arial" w:hAnsi="Arial" w:cs="Arial"/>
          <w:color w:val="000000"/>
          <w:sz w:val="24"/>
          <w:szCs w:val="24"/>
        </w:rPr>
        <w:t xml:space="preserve">En comparación con 2019, la cantidad de personal adscrito a dichas agencias aumentó 10.3% en 2020. </w:t>
      </w:r>
    </w:p>
    <w:p w14:paraId="703087C9" w14:textId="77777777" w:rsidR="00B87B5F" w:rsidRDefault="00B87B5F" w:rsidP="003711CA">
      <w:pPr>
        <w:autoSpaceDE w:val="0"/>
        <w:autoSpaceDN w:val="0"/>
        <w:adjustRightInd w:val="0"/>
        <w:spacing w:after="0" w:line="240" w:lineRule="auto"/>
        <w:ind w:left="-567"/>
        <w:jc w:val="both"/>
        <w:rPr>
          <w:rFonts w:ascii="Arial" w:hAnsi="Arial" w:cs="Arial"/>
          <w:color w:val="000000"/>
          <w:sz w:val="24"/>
          <w:szCs w:val="24"/>
        </w:rPr>
      </w:pPr>
    </w:p>
    <w:p w14:paraId="6DEEA021" w14:textId="2F94E5D2" w:rsidR="00B87B5F" w:rsidRPr="00B87B5F" w:rsidRDefault="00B87B5F" w:rsidP="00B87B5F">
      <w:pPr>
        <w:autoSpaceDE w:val="0"/>
        <w:autoSpaceDN w:val="0"/>
        <w:adjustRightInd w:val="0"/>
        <w:spacing w:after="0" w:line="240" w:lineRule="auto"/>
        <w:ind w:left="-567"/>
        <w:jc w:val="center"/>
        <w:rPr>
          <w:rFonts w:ascii="Arial" w:hAnsi="Arial" w:cs="Arial"/>
          <w:b/>
          <w:i/>
          <w:color w:val="877A67"/>
          <w:sz w:val="20"/>
          <w:szCs w:val="24"/>
        </w:rPr>
      </w:pPr>
      <w:r w:rsidRPr="00E151A9">
        <w:rPr>
          <w:rFonts w:ascii="Arial" w:hAnsi="Arial" w:cs="Arial"/>
          <w:b/>
          <w:i/>
          <w:color w:val="877A67"/>
          <w:sz w:val="20"/>
          <w:szCs w:val="24"/>
        </w:rPr>
        <w:t xml:space="preserve">Gráfica </w:t>
      </w:r>
      <w:r w:rsidR="00285E02">
        <w:rPr>
          <w:rFonts w:ascii="Arial" w:hAnsi="Arial" w:cs="Arial"/>
          <w:b/>
          <w:i/>
          <w:color w:val="877A67"/>
          <w:sz w:val="20"/>
          <w:szCs w:val="24"/>
        </w:rPr>
        <w:t>6</w:t>
      </w:r>
      <w:r w:rsidRPr="00E151A9">
        <w:rPr>
          <w:rFonts w:ascii="Arial" w:hAnsi="Arial" w:cs="Arial"/>
          <w:b/>
          <w:i/>
          <w:color w:val="877A67"/>
          <w:sz w:val="20"/>
          <w:szCs w:val="24"/>
        </w:rPr>
        <w:t xml:space="preserve">. </w:t>
      </w:r>
      <w:r>
        <w:rPr>
          <w:rFonts w:ascii="Arial" w:hAnsi="Arial" w:cs="Arial"/>
          <w:b/>
          <w:i/>
          <w:color w:val="877A67"/>
          <w:sz w:val="20"/>
          <w:szCs w:val="24"/>
        </w:rPr>
        <w:t>P</w:t>
      </w:r>
      <w:r w:rsidRPr="00B87B5F">
        <w:rPr>
          <w:rFonts w:ascii="Arial" w:hAnsi="Arial" w:cs="Arial"/>
          <w:b/>
          <w:i/>
          <w:color w:val="877A67"/>
          <w:sz w:val="20"/>
          <w:szCs w:val="24"/>
        </w:rPr>
        <w:t>ersonal adscrito a las Agencias del Ministerio Público</w:t>
      </w:r>
    </w:p>
    <w:p w14:paraId="1468862A" w14:textId="4DE06C72" w:rsidR="009F5FD1" w:rsidRDefault="00B87B5F" w:rsidP="00B87B5F">
      <w:pPr>
        <w:autoSpaceDE w:val="0"/>
        <w:autoSpaceDN w:val="0"/>
        <w:adjustRightInd w:val="0"/>
        <w:spacing w:after="0" w:line="240" w:lineRule="auto"/>
        <w:ind w:left="-567"/>
        <w:jc w:val="center"/>
        <w:rPr>
          <w:rFonts w:ascii="Arial" w:hAnsi="Arial" w:cs="Arial"/>
          <w:b/>
          <w:i/>
          <w:color w:val="877A67"/>
          <w:sz w:val="20"/>
          <w:szCs w:val="24"/>
        </w:rPr>
      </w:pPr>
      <w:r w:rsidRPr="00B87B5F">
        <w:rPr>
          <w:rFonts w:ascii="Arial" w:hAnsi="Arial" w:cs="Arial"/>
          <w:b/>
          <w:i/>
          <w:color w:val="877A67"/>
          <w:sz w:val="20"/>
          <w:szCs w:val="24"/>
        </w:rPr>
        <w:t xml:space="preserve">de las Procuradurías o Fiscalías Generales de Justicia, según sexo, </w:t>
      </w:r>
      <w:r w:rsidRPr="00970642">
        <w:rPr>
          <w:rFonts w:ascii="Arial" w:hAnsi="Arial" w:cs="Arial"/>
          <w:b/>
          <w:i/>
          <w:color w:val="877A67"/>
          <w:sz w:val="20"/>
          <w:szCs w:val="24"/>
        </w:rPr>
        <w:t>201</w:t>
      </w:r>
      <w:r>
        <w:rPr>
          <w:rFonts w:ascii="Arial" w:hAnsi="Arial" w:cs="Arial"/>
          <w:b/>
          <w:i/>
          <w:color w:val="877A67"/>
          <w:sz w:val="20"/>
          <w:szCs w:val="24"/>
        </w:rPr>
        <w:t>0 a 2020</w:t>
      </w:r>
      <w:r w:rsidR="009F5FD1" w:rsidRPr="009F5FD1">
        <w:rPr>
          <w:rFonts w:ascii="Arial" w:hAnsi="Arial" w:cs="Arial"/>
          <w:noProof/>
          <w:color w:val="000000"/>
          <w:sz w:val="24"/>
          <w:szCs w:val="24"/>
        </w:rPr>
        <w:drawing>
          <wp:inline distT="0" distB="0" distL="0" distR="0" wp14:anchorId="076F801F" wp14:editId="6EC31A9A">
            <wp:extent cx="6204857" cy="2471895"/>
            <wp:effectExtent l="0" t="0" r="5715" b="5080"/>
            <wp:docPr id="8" name="Gráfico 8">
              <a:extLst xmlns:a="http://schemas.openxmlformats.org/drawingml/2006/main">
                <a:ext uri="{FF2B5EF4-FFF2-40B4-BE49-F238E27FC236}">
                  <a16:creationId xmlns:a16="http://schemas.microsoft.com/office/drawing/2014/main" id="{6ACAF4D1-6C57-4726-848D-C6D3C19A37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5AD3DD6" w14:textId="2B221EAB" w:rsidR="00AA1DBF" w:rsidRPr="00AA1DBF" w:rsidRDefault="00AA1DBF" w:rsidP="00283102">
      <w:pPr>
        <w:autoSpaceDE w:val="0"/>
        <w:autoSpaceDN w:val="0"/>
        <w:adjustRightInd w:val="0"/>
        <w:spacing w:after="0" w:line="240" w:lineRule="auto"/>
        <w:ind w:left="-567"/>
        <w:jc w:val="center"/>
        <w:rPr>
          <w:rFonts w:ascii="Arial" w:hAnsi="Arial" w:cs="Arial"/>
          <w:color w:val="000000" w:themeColor="text1"/>
          <w:sz w:val="20"/>
          <w:szCs w:val="24"/>
        </w:rPr>
      </w:pPr>
      <w:r>
        <w:rPr>
          <w:rFonts w:ascii="Arial" w:hAnsi="Arial" w:cs="Arial"/>
          <w:color w:val="000000" w:themeColor="text1"/>
          <w:sz w:val="16"/>
          <w:szCs w:val="24"/>
        </w:rPr>
        <w:t>N</w:t>
      </w:r>
      <w:r w:rsidRPr="00AA1DBF">
        <w:rPr>
          <w:rFonts w:ascii="Arial" w:hAnsi="Arial" w:cs="Arial"/>
          <w:color w:val="000000" w:themeColor="text1"/>
          <w:sz w:val="16"/>
          <w:szCs w:val="24"/>
        </w:rPr>
        <w:t xml:space="preserve">ota: </w:t>
      </w:r>
      <w:r>
        <w:rPr>
          <w:rFonts w:ascii="Arial" w:hAnsi="Arial" w:cs="Arial"/>
          <w:color w:val="000000" w:themeColor="text1"/>
          <w:sz w:val="16"/>
          <w:szCs w:val="24"/>
        </w:rPr>
        <w:t xml:space="preserve">no se grafica la categoría “No especificado” con 1 207 registros en 2010, </w:t>
      </w:r>
      <w:r w:rsidR="00283102">
        <w:rPr>
          <w:rFonts w:ascii="Arial" w:hAnsi="Arial" w:cs="Arial"/>
          <w:color w:val="000000" w:themeColor="text1"/>
          <w:sz w:val="16"/>
          <w:szCs w:val="24"/>
        </w:rPr>
        <w:t>2 621 registros en 2011 y 1 976 registros en 2017.</w:t>
      </w:r>
    </w:p>
    <w:p w14:paraId="2E690011" w14:textId="77777777" w:rsidR="009F5FD1" w:rsidRDefault="009F5FD1" w:rsidP="003711CA">
      <w:pPr>
        <w:autoSpaceDE w:val="0"/>
        <w:autoSpaceDN w:val="0"/>
        <w:adjustRightInd w:val="0"/>
        <w:spacing w:after="0" w:line="240" w:lineRule="auto"/>
        <w:ind w:left="-567"/>
        <w:jc w:val="both"/>
        <w:rPr>
          <w:rFonts w:ascii="Arial" w:hAnsi="Arial" w:cs="Arial"/>
          <w:color w:val="000000"/>
          <w:sz w:val="24"/>
          <w:szCs w:val="24"/>
        </w:rPr>
      </w:pPr>
    </w:p>
    <w:p w14:paraId="6331B7EA" w14:textId="77777777" w:rsidR="009F5FD1" w:rsidRDefault="009F5FD1" w:rsidP="003711CA">
      <w:pPr>
        <w:autoSpaceDE w:val="0"/>
        <w:autoSpaceDN w:val="0"/>
        <w:adjustRightInd w:val="0"/>
        <w:spacing w:after="0" w:line="240" w:lineRule="auto"/>
        <w:ind w:left="-567"/>
        <w:jc w:val="both"/>
        <w:rPr>
          <w:rFonts w:ascii="Arial" w:hAnsi="Arial" w:cs="Arial"/>
          <w:color w:val="000000"/>
          <w:sz w:val="24"/>
          <w:szCs w:val="24"/>
        </w:rPr>
      </w:pPr>
    </w:p>
    <w:p w14:paraId="375E088A" w14:textId="77777777" w:rsidR="009F5FD1" w:rsidRDefault="009F5FD1" w:rsidP="003711CA">
      <w:pPr>
        <w:autoSpaceDE w:val="0"/>
        <w:autoSpaceDN w:val="0"/>
        <w:adjustRightInd w:val="0"/>
        <w:spacing w:after="0" w:line="240" w:lineRule="auto"/>
        <w:ind w:left="-567"/>
        <w:jc w:val="both"/>
        <w:rPr>
          <w:rFonts w:ascii="Arial" w:hAnsi="Arial" w:cs="Arial"/>
          <w:color w:val="000000"/>
          <w:sz w:val="24"/>
          <w:szCs w:val="24"/>
        </w:rPr>
      </w:pPr>
    </w:p>
    <w:p w14:paraId="44E5BA3E" w14:textId="77777777" w:rsidR="00841CA9" w:rsidRDefault="00841CA9" w:rsidP="003711CA">
      <w:pPr>
        <w:autoSpaceDE w:val="0"/>
        <w:autoSpaceDN w:val="0"/>
        <w:adjustRightInd w:val="0"/>
        <w:spacing w:after="0" w:line="240" w:lineRule="auto"/>
        <w:ind w:left="-567"/>
        <w:jc w:val="both"/>
        <w:rPr>
          <w:rFonts w:ascii="Arial" w:hAnsi="Arial" w:cs="Arial"/>
          <w:color w:val="000000"/>
          <w:sz w:val="24"/>
          <w:szCs w:val="24"/>
        </w:rPr>
      </w:pPr>
    </w:p>
    <w:p w14:paraId="62F7D92D" w14:textId="19E0172C" w:rsidR="002E2747" w:rsidRDefault="002E2747" w:rsidP="003711CA">
      <w:pPr>
        <w:autoSpaceDE w:val="0"/>
        <w:autoSpaceDN w:val="0"/>
        <w:adjustRightInd w:val="0"/>
        <w:spacing w:after="0" w:line="240" w:lineRule="auto"/>
        <w:ind w:left="-567"/>
        <w:jc w:val="both"/>
        <w:rPr>
          <w:rFonts w:ascii="Arial" w:hAnsi="Arial" w:cs="Arial"/>
          <w:color w:val="000000"/>
          <w:sz w:val="24"/>
          <w:szCs w:val="24"/>
        </w:rPr>
      </w:pPr>
      <w:r>
        <w:rPr>
          <w:rFonts w:ascii="Arial" w:hAnsi="Arial" w:cs="Arial"/>
          <w:color w:val="000000"/>
          <w:sz w:val="24"/>
          <w:szCs w:val="24"/>
        </w:rPr>
        <w:t>Destaca Ciudad de México al concentrar la mayor cantidad de personal en dichas agencias, con 8 558 servidoras y servidores públicos</w:t>
      </w:r>
      <w:r w:rsidR="00E33A62">
        <w:rPr>
          <w:rFonts w:ascii="Arial" w:hAnsi="Arial" w:cs="Arial"/>
          <w:color w:val="000000"/>
          <w:sz w:val="24"/>
          <w:szCs w:val="24"/>
        </w:rPr>
        <w:t>.</w:t>
      </w:r>
    </w:p>
    <w:p w14:paraId="5C9309D6" w14:textId="77777777" w:rsidR="00E33A62" w:rsidRDefault="00E33A62" w:rsidP="003711CA">
      <w:pPr>
        <w:autoSpaceDE w:val="0"/>
        <w:autoSpaceDN w:val="0"/>
        <w:adjustRightInd w:val="0"/>
        <w:spacing w:after="0" w:line="240" w:lineRule="auto"/>
        <w:ind w:left="-567"/>
        <w:jc w:val="both"/>
        <w:rPr>
          <w:rFonts w:ascii="Arial" w:hAnsi="Arial" w:cs="Arial"/>
          <w:color w:val="000000"/>
          <w:sz w:val="24"/>
          <w:szCs w:val="24"/>
        </w:rPr>
      </w:pPr>
    </w:p>
    <w:p w14:paraId="24DD4858" w14:textId="327B78B9" w:rsidR="002E2747" w:rsidRPr="00B87B5F" w:rsidRDefault="002E2747" w:rsidP="002E2747">
      <w:pPr>
        <w:autoSpaceDE w:val="0"/>
        <w:autoSpaceDN w:val="0"/>
        <w:adjustRightInd w:val="0"/>
        <w:spacing w:after="0" w:line="240" w:lineRule="auto"/>
        <w:ind w:left="-567"/>
        <w:jc w:val="center"/>
        <w:rPr>
          <w:rFonts w:ascii="Arial" w:hAnsi="Arial" w:cs="Arial"/>
          <w:b/>
          <w:i/>
          <w:color w:val="877A67"/>
          <w:sz w:val="20"/>
          <w:szCs w:val="24"/>
        </w:rPr>
      </w:pPr>
      <w:r w:rsidRPr="00E151A9">
        <w:rPr>
          <w:rFonts w:ascii="Arial" w:hAnsi="Arial" w:cs="Arial"/>
          <w:b/>
          <w:i/>
          <w:color w:val="877A67"/>
          <w:sz w:val="20"/>
          <w:szCs w:val="24"/>
        </w:rPr>
        <w:t xml:space="preserve">Gráfica </w:t>
      </w:r>
      <w:r w:rsidR="00285E02">
        <w:rPr>
          <w:rFonts w:ascii="Arial" w:hAnsi="Arial" w:cs="Arial"/>
          <w:b/>
          <w:i/>
          <w:color w:val="877A67"/>
          <w:sz w:val="20"/>
          <w:szCs w:val="24"/>
        </w:rPr>
        <w:t>7</w:t>
      </w:r>
      <w:r w:rsidRPr="00E151A9">
        <w:rPr>
          <w:rFonts w:ascii="Arial" w:hAnsi="Arial" w:cs="Arial"/>
          <w:b/>
          <w:i/>
          <w:color w:val="877A67"/>
          <w:sz w:val="20"/>
          <w:szCs w:val="24"/>
        </w:rPr>
        <w:t xml:space="preserve">. </w:t>
      </w:r>
      <w:r>
        <w:rPr>
          <w:rFonts w:ascii="Arial" w:hAnsi="Arial" w:cs="Arial"/>
          <w:b/>
          <w:i/>
          <w:color w:val="877A67"/>
          <w:sz w:val="20"/>
          <w:szCs w:val="24"/>
        </w:rPr>
        <w:t>P</w:t>
      </w:r>
      <w:r w:rsidRPr="00B87B5F">
        <w:rPr>
          <w:rFonts w:ascii="Arial" w:hAnsi="Arial" w:cs="Arial"/>
          <w:b/>
          <w:i/>
          <w:color w:val="877A67"/>
          <w:sz w:val="20"/>
          <w:szCs w:val="24"/>
        </w:rPr>
        <w:t>ersonal adscrito a las Agencias del Ministerio Público</w:t>
      </w:r>
    </w:p>
    <w:p w14:paraId="57C8B049" w14:textId="35A8EEF7" w:rsidR="002E2747" w:rsidRDefault="002E2747" w:rsidP="002E2747">
      <w:pPr>
        <w:autoSpaceDE w:val="0"/>
        <w:autoSpaceDN w:val="0"/>
        <w:adjustRightInd w:val="0"/>
        <w:spacing w:after="0" w:line="240" w:lineRule="auto"/>
        <w:ind w:left="-567"/>
        <w:jc w:val="center"/>
        <w:rPr>
          <w:rFonts w:ascii="Arial" w:hAnsi="Arial" w:cs="Arial"/>
          <w:color w:val="000000"/>
          <w:sz w:val="24"/>
          <w:szCs w:val="24"/>
        </w:rPr>
      </w:pPr>
      <w:r w:rsidRPr="00B87B5F">
        <w:rPr>
          <w:rFonts w:ascii="Arial" w:hAnsi="Arial" w:cs="Arial"/>
          <w:b/>
          <w:i/>
          <w:color w:val="877A67"/>
          <w:sz w:val="20"/>
          <w:szCs w:val="24"/>
        </w:rPr>
        <w:t xml:space="preserve">de las Procuradurías o Fiscalías Generales de Justicia, según </w:t>
      </w:r>
      <w:r>
        <w:rPr>
          <w:rFonts w:ascii="Arial" w:hAnsi="Arial" w:cs="Arial"/>
          <w:b/>
          <w:i/>
          <w:color w:val="877A67"/>
          <w:sz w:val="20"/>
          <w:szCs w:val="24"/>
        </w:rPr>
        <w:t>entidad federativa, 2020</w:t>
      </w:r>
    </w:p>
    <w:p w14:paraId="6C3769A8" w14:textId="77777777" w:rsidR="002E2747" w:rsidRDefault="002E2747" w:rsidP="003711CA">
      <w:pPr>
        <w:autoSpaceDE w:val="0"/>
        <w:autoSpaceDN w:val="0"/>
        <w:adjustRightInd w:val="0"/>
        <w:spacing w:after="0" w:line="240" w:lineRule="auto"/>
        <w:ind w:left="-567"/>
        <w:jc w:val="both"/>
        <w:rPr>
          <w:rFonts w:ascii="Arial" w:hAnsi="Arial" w:cs="Arial"/>
          <w:color w:val="000000"/>
          <w:sz w:val="24"/>
          <w:szCs w:val="24"/>
        </w:rPr>
      </w:pPr>
    </w:p>
    <w:p w14:paraId="520CE317" w14:textId="4045FBAE" w:rsidR="002E2747" w:rsidRDefault="002E2747" w:rsidP="003711CA">
      <w:pPr>
        <w:autoSpaceDE w:val="0"/>
        <w:autoSpaceDN w:val="0"/>
        <w:adjustRightInd w:val="0"/>
        <w:spacing w:after="0" w:line="240" w:lineRule="auto"/>
        <w:ind w:left="-567"/>
        <w:jc w:val="both"/>
        <w:rPr>
          <w:rFonts w:ascii="Arial" w:hAnsi="Arial" w:cs="Arial"/>
          <w:color w:val="000000"/>
          <w:sz w:val="24"/>
          <w:szCs w:val="24"/>
        </w:rPr>
      </w:pPr>
      <w:r w:rsidRPr="002E2747">
        <w:rPr>
          <w:rFonts w:ascii="Arial" w:hAnsi="Arial" w:cs="Arial"/>
          <w:noProof/>
          <w:color w:val="000000"/>
          <w:sz w:val="24"/>
          <w:szCs w:val="24"/>
        </w:rPr>
        <w:drawing>
          <wp:inline distT="0" distB="0" distL="0" distR="0" wp14:anchorId="57D527BD" wp14:editId="736C536F">
            <wp:extent cx="6343650" cy="2247900"/>
            <wp:effectExtent l="0" t="0" r="0" b="0"/>
            <wp:docPr id="12" name="Gráfico 12">
              <a:extLst xmlns:a="http://schemas.openxmlformats.org/drawingml/2006/main">
                <a:ext uri="{FF2B5EF4-FFF2-40B4-BE49-F238E27FC236}">
                  <a16:creationId xmlns:a16="http://schemas.microsoft.com/office/drawing/2014/main" id="{F44FCD6C-7E45-489D-9D6E-2AA4F4A008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377B0C8" w14:textId="77777777" w:rsidR="002E2747" w:rsidRDefault="002E2747" w:rsidP="003711CA">
      <w:pPr>
        <w:autoSpaceDE w:val="0"/>
        <w:autoSpaceDN w:val="0"/>
        <w:adjustRightInd w:val="0"/>
        <w:spacing w:after="0" w:line="240" w:lineRule="auto"/>
        <w:ind w:left="-567"/>
        <w:jc w:val="both"/>
        <w:rPr>
          <w:rFonts w:ascii="Arial" w:hAnsi="Arial" w:cs="Arial"/>
          <w:color w:val="000000"/>
          <w:sz w:val="24"/>
          <w:szCs w:val="24"/>
        </w:rPr>
      </w:pPr>
    </w:p>
    <w:p w14:paraId="1953B6F8" w14:textId="77777777" w:rsidR="00E33A62" w:rsidRDefault="00E33A62" w:rsidP="003711CA">
      <w:pPr>
        <w:autoSpaceDE w:val="0"/>
        <w:autoSpaceDN w:val="0"/>
        <w:adjustRightInd w:val="0"/>
        <w:spacing w:after="0" w:line="240" w:lineRule="auto"/>
        <w:ind w:left="-567"/>
        <w:jc w:val="both"/>
        <w:rPr>
          <w:rFonts w:ascii="Arial" w:hAnsi="Arial" w:cs="Arial"/>
          <w:color w:val="000000"/>
          <w:sz w:val="24"/>
          <w:szCs w:val="24"/>
        </w:rPr>
      </w:pPr>
    </w:p>
    <w:p w14:paraId="5C771609" w14:textId="2F002592" w:rsidR="001A5F90" w:rsidRDefault="003711CA" w:rsidP="003711CA">
      <w:pPr>
        <w:autoSpaceDE w:val="0"/>
        <w:autoSpaceDN w:val="0"/>
        <w:adjustRightInd w:val="0"/>
        <w:spacing w:after="0" w:line="240" w:lineRule="auto"/>
        <w:ind w:left="-567"/>
        <w:jc w:val="both"/>
        <w:rPr>
          <w:rFonts w:ascii="Arial" w:hAnsi="Arial" w:cs="Arial"/>
          <w:color w:val="000000"/>
          <w:sz w:val="24"/>
          <w:szCs w:val="24"/>
        </w:rPr>
      </w:pPr>
      <w:r w:rsidRPr="003711CA">
        <w:rPr>
          <w:rFonts w:ascii="Arial" w:hAnsi="Arial" w:cs="Arial"/>
          <w:color w:val="000000"/>
          <w:sz w:val="24"/>
          <w:szCs w:val="24"/>
        </w:rPr>
        <w:t xml:space="preserve">De acuerdo con el cargo </w:t>
      </w:r>
      <w:r w:rsidR="008F6E44">
        <w:rPr>
          <w:rFonts w:ascii="Arial" w:hAnsi="Arial" w:cs="Arial"/>
          <w:color w:val="000000"/>
          <w:sz w:val="24"/>
          <w:szCs w:val="24"/>
        </w:rPr>
        <w:t>desempeñado</w:t>
      </w:r>
      <w:r w:rsidRPr="003711CA">
        <w:rPr>
          <w:rFonts w:ascii="Arial" w:hAnsi="Arial" w:cs="Arial"/>
          <w:color w:val="000000"/>
          <w:sz w:val="24"/>
          <w:szCs w:val="24"/>
        </w:rPr>
        <w:t>, 2</w:t>
      </w:r>
      <w:r w:rsidR="000F7C68">
        <w:rPr>
          <w:rFonts w:ascii="Arial" w:hAnsi="Arial" w:cs="Arial"/>
          <w:color w:val="000000"/>
          <w:sz w:val="24"/>
          <w:szCs w:val="24"/>
        </w:rPr>
        <w:t>8</w:t>
      </w:r>
      <w:r w:rsidRPr="003711CA">
        <w:rPr>
          <w:rFonts w:ascii="Arial" w:hAnsi="Arial" w:cs="Arial"/>
          <w:color w:val="000000"/>
          <w:sz w:val="24"/>
          <w:szCs w:val="24"/>
        </w:rPr>
        <w:t xml:space="preserve">.0% del </w:t>
      </w:r>
      <w:r w:rsidR="008F6E44">
        <w:rPr>
          <w:rFonts w:ascii="Arial" w:hAnsi="Arial" w:cs="Arial"/>
          <w:color w:val="000000"/>
          <w:sz w:val="24"/>
          <w:szCs w:val="24"/>
        </w:rPr>
        <w:t xml:space="preserve">personal </w:t>
      </w:r>
      <w:r w:rsidRPr="003711CA">
        <w:rPr>
          <w:rFonts w:ascii="Arial" w:hAnsi="Arial" w:cs="Arial"/>
          <w:color w:val="000000"/>
          <w:sz w:val="24"/>
          <w:szCs w:val="24"/>
        </w:rPr>
        <w:t>fungió como Policías ministeriales o investigadores.</w:t>
      </w:r>
      <w:r w:rsidR="001A5F90" w:rsidRPr="001A5F90">
        <w:t xml:space="preserve"> </w:t>
      </w:r>
      <w:r w:rsidR="001A5F90" w:rsidRPr="001A5F90">
        <w:rPr>
          <w:rFonts w:ascii="Arial" w:hAnsi="Arial" w:cs="Arial"/>
          <w:color w:val="000000"/>
          <w:sz w:val="24"/>
          <w:szCs w:val="24"/>
        </w:rPr>
        <w:t xml:space="preserve">El personal que </w:t>
      </w:r>
      <w:r w:rsidR="001A5F90">
        <w:rPr>
          <w:rFonts w:ascii="Arial" w:hAnsi="Arial" w:cs="Arial"/>
          <w:color w:val="000000"/>
          <w:sz w:val="24"/>
          <w:szCs w:val="24"/>
        </w:rPr>
        <w:t>fungió en dicho cargo aumentó 15.1% en comparación con la cifra reportada en 2019.</w:t>
      </w:r>
    </w:p>
    <w:p w14:paraId="5CE3C4AF" w14:textId="77777777" w:rsidR="00E33A62" w:rsidRDefault="00E33A62" w:rsidP="003711CA">
      <w:pPr>
        <w:autoSpaceDE w:val="0"/>
        <w:autoSpaceDN w:val="0"/>
        <w:adjustRightInd w:val="0"/>
        <w:spacing w:after="0" w:line="240" w:lineRule="auto"/>
        <w:ind w:left="-567"/>
        <w:jc w:val="both"/>
        <w:rPr>
          <w:rFonts w:ascii="Arial" w:hAnsi="Arial" w:cs="Arial"/>
          <w:color w:val="000000"/>
          <w:sz w:val="24"/>
          <w:szCs w:val="24"/>
        </w:rPr>
      </w:pPr>
    </w:p>
    <w:p w14:paraId="7C7DCED4" w14:textId="77777777" w:rsidR="001A5F90" w:rsidRDefault="001A5F90" w:rsidP="003711CA">
      <w:pPr>
        <w:autoSpaceDE w:val="0"/>
        <w:autoSpaceDN w:val="0"/>
        <w:adjustRightInd w:val="0"/>
        <w:spacing w:after="0" w:line="240" w:lineRule="auto"/>
        <w:ind w:left="-567"/>
        <w:jc w:val="both"/>
        <w:rPr>
          <w:rFonts w:ascii="Arial" w:hAnsi="Arial" w:cs="Arial"/>
          <w:color w:val="000000"/>
          <w:sz w:val="24"/>
          <w:szCs w:val="24"/>
        </w:rPr>
      </w:pPr>
    </w:p>
    <w:p w14:paraId="4483189A" w14:textId="4D952628" w:rsidR="00B87B5F" w:rsidRPr="00B87B5F" w:rsidRDefault="00B87B5F" w:rsidP="00DC7EA7">
      <w:pPr>
        <w:autoSpaceDE w:val="0"/>
        <w:autoSpaceDN w:val="0"/>
        <w:adjustRightInd w:val="0"/>
        <w:spacing w:after="0" w:line="240" w:lineRule="auto"/>
        <w:ind w:left="-567"/>
        <w:jc w:val="center"/>
        <w:rPr>
          <w:rFonts w:ascii="Arial" w:hAnsi="Arial" w:cs="Arial"/>
          <w:b/>
          <w:i/>
          <w:color w:val="877A67"/>
          <w:sz w:val="20"/>
          <w:szCs w:val="24"/>
        </w:rPr>
      </w:pPr>
      <w:r w:rsidRPr="00E151A9">
        <w:rPr>
          <w:rFonts w:ascii="Arial" w:hAnsi="Arial" w:cs="Arial"/>
          <w:b/>
          <w:i/>
          <w:color w:val="877A67"/>
          <w:sz w:val="20"/>
          <w:szCs w:val="24"/>
        </w:rPr>
        <w:t xml:space="preserve">Gráfica </w:t>
      </w:r>
      <w:r w:rsidR="00285E02">
        <w:rPr>
          <w:rFonts w:ascii="Arial" w:hAnsi="Arial" w:cs="Arial"/>
          <w:b/>
          <w:i/>
          <w:color w:val="877A67"/>
          <w:sz w:val="20"/>
          <w:szCs w:val="24"/>
        </w:rPr>
        <w:t>8</w:t>
      </w:r>
      <w:r w:rsidRPr="00E151A9">
        <w:rPr>
          <w:rFonts w:ascii="Arial" w:hAnsi="Arial" w:cs="Arial"/>
          <w:b/>
          <w:i/>
          <w:color w:val="877A67"/>
          <w:sz w:val="20"/>
          <w:szCs w:val="24"/>
        </w:rPr>
        <w:t xml:space="preserve">. </w:t>
      </w:r>
      <w:r>
        <w:rPr>
          <w:rFonts w:ascii="Arial" w:hAnsi="Arial" w:cs="Arial"/>
          <w:b/>
          <w:i/>
          <w:color w:val="877A67"/>
          <w:sz w:val="20"/>
          <w:szCs w:val="24"/>
        </w:rPr>
        <w:t>P</w:t>
      </w:r>
      <w:r w:rsidRPr="00B87B5F">
        <w:rPr>
          <w:rFonts w:ascii="Arial" w:hAnsi="Arial" w:cs="Arial"/>
          <w:b/>
          <w:i/>
          <w:color w:val="877A67"/>
          <w:sz w:val="20"/>
          <w:szCs w:val="24"/>
        </w:rPr>
        <w:t>ersonal adscrito a las Agencias del Ministerio Público</w:t>
      </w:r>
    </w:p>
    <w:p w14:paraId="71CE49D7" w14:textId="77777777" w:rsidR="001A5F90" w:rsidRDefault="00B87B5F" w:rsidP="00DC7EA7">
      <w:pPr>
        <w:autoSpaceDE w:val="0"/>
        <w:autoSpaceDN w:val="0"/>
        <w:adjustRightInd w:val="0"/>
        <w:spacing w:after="0" w:line="240" w:lineRule="auto"/>
        <w:ind w:left="-567"/>
        <w:jc w:val="center"/>
        <w:rPr>
          <w:rFonts w:ascii="Arial" w:hAnsi="Arial" w:cs="Arial"/>
          <w:b/>
          <w:i/>
          <w:color w:val="877A67"/>
          <w:sz w:val="20"/>
          <w:szCs w:val="24"/>
        </w:rPr>
      </w:pPr>
      <w:r w:rsidRPr="00B87B5F">
        <w:rPr>
          <w:rFonts w:ascii="Arial" w:hAnsi="Arial" w:cs="Arial"/>
          <w:b/>
          <w:i/>
          <w:color w:val="877A67"/>
          <w:sz w:val="20"/>
          <w:szCs w:val="24"/>
        </w:rPr>
        <w:t xml:space="preserve">de las Procuradurías o Fiscalías Generales de Justicia, según </w:t>
      </w:r>
      <w:r w:rsidR="001A5F90">
        <w:rPr>
          <w:rFonts w:ascii="Arial" w:hAnsi="Arial" w:cs="Arial"/>
          <w:b/>
          <w:i/>
          <w:color w:val="877A67"/>
          <w:sz w:val="20"/>
          <w:szCs w:val="24"/>
        </w:rPr>
        <w:t>cargo y/o función desempeñada</w:t>
      </w:r>
      <w:r w:rsidRPr="00B87B5F">
        <w:rPr>
          <w:rFonts w:ascii="Arial" w:hAnsi="Arial" w:cs="Arial"/>
          <w:b/>
          <w:i/>
          <w:color w:val="877A67"/>
          <w:sz w:val="20"/>
          <w:szCs w:val="24"/>
        </w:rPr>
        <w:t>,</w:t>
      </w:r>
    </w:p>
    <w:p w14:paraId="68AA1B2F" w14:textId="6561B583" w:rsidR="001B5697" w:rsidRDefault="00B87B5F" w:rsidP="009E7A24">
      <w:pPr>
        <w:autoSpaceDE w:val="0"/>
        <w:autoSpaceDN w:val="0"/>
        <w:adjustRightInd w:val="0"/>
        <w:spacing w:after="0" w:line="240" w:lineRule="auto"/>
        <w:ind w:left="-567"/>
        <w:jc w:val="center"/>
        <w:rPr>
          <w:rFonts w:ascii="Arial" w:hAnsi="Arial" w:cs="Arial"/>
          <w:b/>
          <w:i/>
          <w:color w:val="877A67"/>
          <w:sz w:val="20"/>
          <w:szCs w:val="24"/>
        </w:rPr>
      </w:pPr>
      <w:r w:rsidRPr="00B87B5F">
        <w:rPr>
          <w:rFonts w:ascii="Arial" w:hAnsi="Arial" w:cs="Arial"/>
          <w:b/>
          <w:i/>
          <w:color w:val="877A67"/>
          <w:sz w:val="20"/>
          <w:szCs w:val="24"/>
        </w:rPr>
        <w:t xml:space="preserve"> </w:t>
      </w:r>
      <w:r w:rsidRPr="00970642">
        <w:rPr>
          <w:rFonts w:ascii="Arial" w:hAnsi="Arial" w:cs="Arial"/>
          <w:b/>
          <w:i/>
          <w:color w:val="877A67"/>
          <w:sz w:val="20"/>
          <w:szCs w:val="24"/>
        </w:rPr>
        <w:t>20</w:t>
      </w:r>
      <w:r w:rsidR="001A5F90">
        <w:rPr>
          <w:rFonts w:ascii="Arial" w:hAnsi="Arial" w:cs="Arial"/>
          <w:b/>
          <w:i/>
          <w:color w:val="877A67"/>
          <w:sz w:val="20"/>
          <w:szCs w:val="24"/>
        </w:rPr>
        <w:t>19</w:t>
      </w:r>
      <w:r>
        <w:rPr>
          <w:rFonts w:ascii="Arial" w:hAnsi="Arial" w:cs="Arial"/>
          <w:b/>
          <w:i/>
          <w:color w:val="877A67"/>
          <w:sz w:val="20"/>
          <w:szCs w:val="24"/>
        </w:rPr>
        <w:t xml:space="preserve"> a 2020</w:t>
      </w:r>
    </w:p>
    <w:p w14:paraId="707D4677" w14:textId="77777777" w:rsidR="009E7A24" w:rsidRDefault="009E7A24" w:rsidP="009E7A24">
      <w:pPr>
        <w:autoSpaceDE w:val="0"/>
        <w:autoSpaceDN w:val="0"/>
        <w:adjustRightInd w:val="0"/>
        <w:spacing w:after="0" w:line="240" w:lineRule="auto"/>
        <w:ind w:left="-567"/>
        <w:jc w:val="center"/>
        <w:rPr>
          <w:rFonts w:ascii="Arial" w:hAnsi="Arial" w:cs="Arial"/>
          <w:color w:val="000000"/>
          <w:sz w:val="24"/>
          <w:szCs w:val="24"/>
        </w:rPr>
      </w:pPr>
    </w:p>
    <w:p w14:paraId="4FCDF203" w14:textId="2CEE88B0" w:rsidR="001B5697" w:rsidRDefault="009E7A24" w:rsidP="003711CA">
      <w:pPr>
        <w:autoSpaceDE w:val="0"/>
        <w:autoSpaceDN w:val="0"/>
        <w:adjustRightInd w:val="0"/>
        <w:spacing w:after="0" w:line="240" w:lineRule="auto"/>
        <w:ind w:left="-567"/>
        <w:jc w:val="both"/>
        <w:rPr>
          <w:rFonts w:ascii="Arial" w:hAnsi="Arial" w:cs="Arial"/>
          <w:color w:val="000000"/>
          <w:sz w:val="24"/>
          <w:szCs w:val="24"/>
        </w:rPr>
      </w:pPr>
      <w:r w:rsidRPr="009E7A24">
        <w:rPr>
          <w:rFonts w:ascii="Arial" w:hAnsi="Arial" w:cs="Arial"/>
          <w:noProof/>
          <w:color w:val="000000"/>
          <w:sz w:val="24"/>
          <w:szCs w:val="24"/>
        </w:rPr>
        <w:drawing>
          <wp:inline distT="0" distB="0" distL="0" distR="0" wp14:anchorId="55FE9FFA" wp14:editId="471545A3">
            <wp:extent cx="6216650" cy="2305050"/>
            <wp:effectExtent l="0" t="0" r="0" b="0"/>
            <wp:docPr id="30" name="Gráfico 30">
              <a:extLst xmlns:a="http://schemas.openxmlformats.org/drawingml/2006/main">
                <a:ext uri="{FF2B5EF4-FFF2-40B4-BE49-F238E27FC236}">
                  <a16:creationId xmlns:a16="http://schemas.microsoft.com/office/drawing/2014/main" id="{4C67F5D1-978D-47C4-9E53-CD176738E4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8A426D8" w14:textId="77777777" w:rsidR="000322A1" w:rsidRDefault="000322A1" w:rsidP="001A5F90">
      <w:pPr>
        <w:autoSpaceDE w:val="0"/>
        <w:autoSpaceDN w:val="0"/>
        <w:adjustRightInd w:val="0"/>
        <w:spacing w:after="0" w:line="240" w:lineRule="auto"/>
        <w:ind w:left="-567"/>
        <w:jc w:val="both"/>
        <w:rPr>
          <w:rFonts w:ascii="Arial" w:hAnsi="Arial" w:cs="Arial"/>
          <w:color w:val="000000"/>
          <w:sz w:val="24"/>
          <w:szCs w:val="24"/>
        </w:rPr>
      </w:pPr>
    </w:p>
    <w:p w14:paraId="32B090A9" w14:textId="77777777" w:rsidR="00841CA9" w:rsidRDefault="00841CA9" w:rsidP="001A5F90">
      <w:pPr>
        <w:autoSpaceDE w:val="0"/>
        <w:autoSpaceDN w:val="0"/>
        <w:adjustRightInd w:val="0"/>
        <w:spacing w:after="0" w:line="240" w:lineRule="auto"/>
        <w:ind w:left="-567"/>
        <w:jc w:val="both"/>
        <w:rPr>
          <w:rFonts w:ascii="Arial" w:hAnsi="Arial" w:cs="Arial"/>
          <w:color w:val="000000"/>
          <w:sz w:val="24"/>
          <w:szCs w:val="24"/>
        </w:rPr>
      </w:pPr>
    </w:p>
    <w:p w14:paraId="453F6475" w14:textId="77777777" w:rsidR="00372D26" w:rsidRDefault="00372D26" w:rsidP="001A5F90">
      <w:pPr>
        <w:autoSpaceDE w:val="0"/>
        <w:autoSpaceDN w:val="0"/>
        <w:adjustRightInd w:val="0"/>
        <w:spacing w:after="0" w:line="240" w:lineRule="auto"/>
        <w:ind w:left="-567"/>
        <w:jc w:val="both"/>
        <w:rPr>
          <w:rFonts w:ascii="Arial" w:hAnsi="Arial" w:cs="Arial"/>
          <w:color w:val="000000"/>
          <w:sz w:val="24"/>
          <w:szCs w:val="24"/>
        </w:rPr>
      </w:pPr>
      <w:bookmarkStart w:id="8" w:name="_Hlk85032352"/>
    </w:p>
    <w:p w14:paraId="3EDBE48E" w14:textId="77777777" w:rsidR="00372D26" w:rsidRDefault="00372D26" w:rsidP="001A5F90">
      <w:pPr>
        <w:autoSpaceDE w:val="0"/>
        <w:autoSpaceDN w:val="0"/>
        <w:adjustRightInd w:val="0"/>
        <w:spacing w:after="0" w:line="240" w:lineRule="auto"/>
        <w:ind w:left="-567"/>
        <w:jc w:val="both"/>
        <w:rPr>
          <w:rFonts w:ascii="Arial" w:hAnsi="Arial" w:cs="Arial"/>
          <w:color w:val="000000"/>
          <w:sz w:val="24"/>
          <w:szCs w:val="24"/>
        </w:rPr>
      </w:pPr>
    </w:p>
    <w:p w14:paraId="4DA082A2" w14:textId="2BFDB37F" w:rsidR="002E2747" w:rsidRDefault="00805A8F" w:rsidP="001A5F90">
      <w:pPr>
        <w:autoSpaceDE w:val="0"/>
        <w:autoSpaceDN w:val="0"/>
        <w:adjustRightInd w:val="0"/>
        <w:spacing w:after="0" w:line="240" w:lineRule="auto"/>
        <w:ind w:left="-567"/>
        <w:jc w:val="both"/>
        <w:rPr>
          <w:rFonts w:ascii="Arial" w:hAnsi="Arial" w:cs="Arial"/>
          <w:color w:val="000000"/>
          <w:sz w:val="24"/>
          <w:szCs w:val="24"/>
        </w:rPr>
      </w:pPr>
      <w:r>
        <w:rPr>
          <w:rFonts w:ascii="Arial" w:hAnsi="Arial" w:cs="Arial"/>
          <w:color w:val="000000"/>
          <w:sz w:val="24"/>
          <w:szCs w:val="24"/>
        </w:rPr>
        <w:t xml:space="preserve">Durante </w:t>
      </w:r>
      <w:r w:rsidR="005E2DA0">
        <w:rPr>
          <w:rFonts w:ascii="Arial" w:hAnsi="Arial" w:cs="Arial"/>
          <w:color w:val="000000"/>
          <w:sz w:val="24"/>
          <w:szCs w:val="24"/>
        </w:rPr>
        <w:t xml:space="preserve">2020, </w:t>
      </w:r>
      <w:r w:rsidR="00B430E3">
        <w:rPr>
          <w:rFonts w:ascii="Arial" w:hAnsi="Arial" w:cs="Arial"/>
          <w:color w:val="000000"/>
          <w:sz w:val="24"/>
          <w:szCs w:val="24"/>
        </w:rPr>
        <w:t>se registr</w:t>
      </w:r>
      <w:r w:rsidR="006C0D6F">
        <w:rPr>
          <w:rFonts w:ascii="Arial" w:hAnsi="Arial" w:cs="Arial"/>
          <w:color w:val="000000"/>
          <w:sz w:val="24"/>
          <w:szCs w:val="24"/>
        </w:rPr>
        <w:t>aron</w:t>
      </w:r>
      <w:r w:rsidR="00B430E3">
        <w:rPr>
          <w:rFonts w:ascii="Arial" w:hAnsi="Arial" w:cs="Arial"/>
          <w:color w:val="000000"/>
          <w:sz w:val="24"/>
          <w:szCs w:val="24"/>
        </w:rPr>
        <w:t xml:space="preserve"> </w:t>
      </w:r>
      <w:r w:rsidR="006C0D6F">
        <w:rPr>
          <w:rFonts w:ascii="Arial" w:hAnsi="Arial" w:cs="Arial"/>
          <w:color w:val="000000"/>
          <w:sz w:val="24"/>
          <w:szCs w:val="24"/>
        </w:rPr>
        <w:t>los</w:t>
      </w:r>
      <w:r w:rsidR="00B430E3">
        <w:rPr>
          <w:rFonts w:ascii="Arial" w:hAnsi="Arial" w:cs="Arial"/>
          <w:color w:val="000000"/>
          <w:sz w:val="24"/>
          <w:szCs w:val="24"/>
        </w:rPr>
        <w:t xml:space="preserve"> falleci</w:t>
      </w:r>
      <w:r w:rsidR="006C0D6F">
        <w:rPr>
          <w:rFonts w:ascii="Arial" w:hAnsi="Arial" w:cs="Arial"/>
          <w:color w:val="000000"/>
          <w:sz w:val="24"/>
          <w:szCs w:val="24"/>
        </w:rPr>
        <w:t>mientos de</w:t>
      </w:r>
      <w:r w:rsidR="00B430E3">
        <w:rPr>
          <w:rFonts w:ascii="Arial" w:hAnsi="Arial" w:cs="Arial"/>
          <w:color w:val="000000"/>
          <w:sz w:val="24"/>
          <w:szCs w:val="24"/>
        </w:rPr>
        <w:t xml:space="preserve"> 406 personas adscritas </w:t>
      </w:r>
      <w:r w:rsidR="005E2DA0">
        <w:rPr>
          <w:rFonts w:ascii="Arial" w:hAnsi="Arial" w:cs="Arial"/>
          <w:color w:val="000000"/>
          <w:sz w:val="24"/>
          <w:szCs w:val="24"/>
        </w:rPr>
        <w:t>a las agencias y/o fiscalías del Ministerio Público</w:t>
      </w:r>
      <w:r w:rsidR="00B430E3">
        <w:rPr>
          <w:rFonts w:ascii="Arial" w:hAnsi="Arial" w:cs="Arial"/>
          <w:color w:val="000000"/>
          <w:sz w:val="24"/>
          <w:szCs w:val="24"/>
        </w:rPr>
        <w:t>. Del total</w:t>
      </w:r>
      <w:r w:rsidR="000322A1">
        <w:rPr>
          <w:rFonts w:ascii="Arial" w:hAnsi="Arial" w:cs="Arial"/>
          <w:color w:val="000000"/>
          <w:sz w:val="24"/>
          <w:szCs w:val="24"/>
        </w:rPr>
        <w:t>, 81.8% fueron hombres y 18.2% mujeres. Ciudad de México concentró 27.6</w:t>
      </w:r>
      <w:r w:rsidR="005E2DA0">
        <w:rPr>
          <w:rFonts w:ascii="Arial" w:hAnsi="Arial" w:cs="Arial"/>
          <w:color w:val="000000"/>
          <w:sz w:val="24"/>
          <w:szCs w:val="24"/>
        </w:rPr>
        <w:t xml:space="preserve">% </w:t>
      </w:r>
      <w:r w:rsidR="000322A1">
        <w:rPr>
          <w:rFonts w:ascii="Arial" w:hAnsi="Arial" w:cs="Arial"/>
          <w:color w:val="000000"/>
          <w:sz w:val="24"/>
          <w:szCs w:val="24"/>
        </w:rPr>
        <w:t xml:space="preserve">del total nacional. </w:t>
      </w:r>
    </w:p>
    <w:bookmarkEnd w:id="8"/>
    <w:p w14:paraId="1FE352DE" w14:textId="77777777" w:rsidR="000322A1" w:rsidRDefault="000322A1" w:rsidP="001A5F90">
      <w:pPr>
        <w:autoSpaceDE w:val="0"/>
        <w:autoSpaceDN w:val="0"/>
        <w:adjustRightInd w:val="0"/>
        <w:spacing w:after="0" w:line="240" w:lineRule="auto"/>
        <w:ind w:left="-567"/>
        <w:jc w:val="both"/>
        <w:rPr>
          <w:rFonts w:ascii="Arial" w:hAnsi="Arial" w:cs="Arial"/>
          <w:color w:val="000000"/>
          <w:sz w:val="24"/>
          <w:szCs w:val="24"/>
        </w:rPr>
      </w:pPr>
    </w:p>
    <w:p w14:paraId="399B21FB" w14:textId="77777777" w:rsidR="000322A1" w:rsidRDefault="000322A1" w:rsidP="000322A1">
      <w:pPr>
        <w:autoSpaceDE w:val="0"/>
        <w:autoSpaceDN w:val="0"/>
        <w:adjustRightInd w:val="0"/>
        <w:spacing w:after="0" w:line="240" w:lineRule="auto"/>
        <w:ind w:left="-567"/>
        <w:jc w:val="center"/>
        <w:rPr>
          <w:rFonts w:ascii="Arial" w:hAnsi="Arial" w:cs="Arial"/>
          <w:b/>
          <w:i/>
          <w:color w:val="877A67"/>
          <w:sz w:val="20"/>
          <w:szCs w:val="24"/>
        </w:rPr>
      </w:pPr>
      <w:r w:rsidRPr="00E151A9">
        <w:rPr>
          <w:rFonts w:ascii="Arial" w:hAnsi="Arial" w:cs="Arial"/>
          <w:b/>
          <w:i/>
          <w:color w:val="877A67"/>
          <w:sz w:val="20"/>
          <w:szCs w:val="24"/>
        </w:rPr>
        <w:t xml:space="preserve">Gráfica </w:t>
      </w:r>
      <w:r>
        <w:rPr>
          <w:rFonts w:ascii="Arial" w:hAnsi="Arial" w:cs="Arial"/>
          <w:b/>
          <w:i/>
          <w:color w:val="877A67"/>
          <w:sz w:val="20"/>
          <w:szCs w:val="24"/>
        </w:rPr>
        <w:t>9</w:t>
      </w:r>
      <w:r w:rsidRPr="00E151A9">
        <w:rPr>
          <w:rFonts w:ascii="Arial" w:hAnsi="Arial" w:cs="Arial"/>
          <w:b/>
          <w:i/>
          <w:color w:val="877A67"/>
          <w:sz w:val="20"/>
          <w:szCs w:val="24"/>
        </w:rPr>
        <w:t xml:space="preserve">. </w:t>
      </w:r>
      <w:r w:rsidRPr="000322A1">
        <w:rPr>
          <w:rFonts w:ascii="Arial" w:hAnsi="Arial" w:cs="Arial"/>
          <w:b/>
          <w:i/>
          <w:color w:val="877A67"/>
          <w:sz w:val="20"/>
          <w:szCs w:val="24"/>
        </w:rPr>
        <w:t xml:space="preserve">Personal fallecido adscrito a las agencias y/o fiscalías del Ministerio Público, </w:t>
      </w:r>
    </w:p>
    <w:p w14:paraId="2A2FEEFE" w14:textId="37412169" w:rsidR="000322A1" w:rsidRDefault="000322A1" w:rsidP="000322A1">
      <w:pPr>
        <w:autoSpaceDE w:val="0"/>
        <w:autoSpaceDN w:val="0"/>
        <w:adjustRightInd w:val="0"/>
        <w:spacing w:after="0" w:line="240" w:lineRule="auto"/>
        <w:ind w:left="-567"/>
        <w:jc w:val="center"/>
        <w:rPr>
          <w:rFonts w:ascii="Arial" w:hAnsi="Arial" w:cs="Arial"/>
          <w:b/>
          <w:i/>
          <w:color w:val="877A67"/>
          <w:sz w:val="20"/>
          <w:szCs w:val="24"/>
        </w:rPr>
      </w:pPr>
      <w:r w:rsidRPr="000322A1">
        <w:rPr>
          <w:rFonts w:ascii="Arial" w:hAnsi="Arial" w:cs="Arial"/>
          <w:b/>
          <w:i/>
          <w:color w:val="877A67"/>
          <w:sz w:val="20"/>
          <w:szCs w:val="24"/>
        </w:rPr>
        <w:t xml:space="preserve">según </w:t>
      </w:r>
      <w:r>
        <w:rPr>
          <w:rFonts w:ascii="Arial" w:hAnsi="Arial" w:cs="Arial"/>
          <w:b/>
          <w:i/>
          <w:color w:val="877A67"/>
          <w:sz w:val="20"/>
          <w:szCs w:val="24"/>
        </w:rPr>
        <w:t>entidad federativa, 2020</w:t>
      </w:r>
    </w:p>
    <w:p w14:paraId="3A7C5A65" w14:textId="0F8510F2" w:rsidR="000322A1" w:rsidRDefault="000322A1" w:rsidP="000322A1">
      <w:pPr>
        <w:autoSpaceDE w:val="0"/>
        <w:autoSpaceDN w:val="0"/>
        <w:adjustRightInd w:val="0"/>
        <w:spacing w:after="0" w:line="240" w:lineRule="auto"/>
        <w:ind w:left="-567"/>
        <w:jc w:val="center"/>
        <w:rPr>
          <w:rFonts w:ascii="Arial" w:hAnsi="Arial" w:cs="Arial"/>
          <w:color w:val="000000"/>
          <w:sz w:val="24"/>
          <w:szCs w:val="24"/>
        </w:rPr>
      </w:pPr>
      <w:r w:rsidRPr="000322A1">
        <w:rPr>
          <w:rFonts w:ascii="Arial" w:hAnsi="Arial" w:cs="Arial"/>
          <w:noProof/>
          <w:color w:val="000000"/>
          <w:sz w:val="24"/>
          <w:szCs w:val="24"/>
        </w:rPr>
        <w:drawing>
          <wp:inline distT="0" distB="0" distL="0" distR="0" wp14:anchorId="4A09A929" wp14:editId="24518407">
            <wp:extent cx="5847715" cy="2402958"/>
            <wp:effectExtent l="0" t="0" r="635" b="0"/>
            <wp:docPr id="19" name="Gráfico 19">
              <a:extLst xmlns:a="http://schemas.openxmlformats.org/drawingml/2006/main">
                <a:ext uri="{FF2B5EF4-FFF2-40B4-BE49-F238E27FC236}">
                  <a16:creationId xmlns:a16="http://schemas.microsoft.com/office/drawing/2014/main" id="{2FEEB5DD-1EFB-4BC0-903F-CF0893B532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EE7CF7B" w14:textId="23AF02F9" w:rsidR="000322A1" w:rsidRDefault="000322A1" w:rsidP="000322A1">
      <w:pPr>
        <w:autoSpaceDE w:val="0"/>
        <w:autoSpaceDN w:val="0"/>
        <w:adjustRightInd w:val="0"/>
        <w:spacing w:after="0" w:line="240" w:lineRule="auto"/>
        <w:ind w:left="-567"/>
        <w:jc w:val="center"/>
        <w:rPr>
          <w:rFonts w:ascii="Arial" w:hAnsi="Arial" w:cs="Arial"/>
          <w:color w:val="000000"/>
          <w:sz w:val="24"/>
          <w:szCs w:val="24"/>
        </w:rPr>
      </w:pPr>
      <w:r w:rsidRPr="00A47776">
        <w:rPr>
          <w:rFonts w:ascii="Arial" w:hAnsi="Arial" w:cs="Arial"/>
          <w:color w:val="000000"/>
          <w:sz w:val="16"/>
          <w:szCs w:val="24"/>
        </w:rPr>
        <w:t>Nota: el tema no le aplica a San Luis Potosí y Yucatán, toda vez que informaron no tener registro del fallecimiento de alguno de sus servidores públicos.</w:t>
      </w:r>
    </w:p>
    <w:p w14:paraId="0093339E" w14:textId="77777777" w:rsidR="000322A1" w:rsidRDefault="000322A1" w:rsidP="001A5F90">
      <w:pPr>
        <w:autoSpaceDE w:val="0"/>
        <w:autoSpaceDN w:val="0"/>
        <w:adjustRightInd w:val="0"/>
        <w:spacing w:after="0" w:line="240" w:lineRule="auto"/>
        <w:ind w:left="-567"/>
        <w:jc w:val="both"/>
        <w:rPr>
          <w:rFonts w:ascii="Arial" w:hAnsi="Arial" w:cs="Arial"/>
          <w:color w:val="000000"/>
          <w:sz w:val="24"/>
          <w:szCs w:val="24"/>
        </w:rPr>
      </w:pPr>
    </w:p>
    <w:p w14:paraId="1002D539" w14:textId="77777777" w:rsidR="000322A1" w:rsidRDefault="000322A1" w:rsidP="001A5F90">
      <w:pPr>
        <w:autoSpaceDE w:val="0"/>
        <w:autoSpaceDN w:val="0"/>
        <w:adjustRightInd w:val="0"/>
        <w:spacing w:after="0" w:line="240" w:lineRule="auto"/>
        <w:ind w:left="-567"/>
        <w:jc w:val="both"/>
        <w:rPr>
          <w:rFonts w:ascii="Arial" w:hAnsi="Arial" w:cs="Arial"/>
          <w:color w:val="000000"/>
          <w:sz w:val="24"/>
          <w:szCs w:val="24"/>
        </w:rPr>
      </w:pPr>
    </w:p>
    <w:p w14:paraId="001AE3DF" w14:textId="2A120C89" w:rsidR="001A5F90" w:rsidRDefault="00B430E3" w:rsidP="001A5F90">
      <w:pPr>
        <w:autoSpaceDE w:val="0"/>
        <w:autoSpaceDN w:val="0"/>
        <w:adjustRightInd w:val="0"/>
        <w:spacing w:after="0" w:line="240" w:lineRule="auto"/>
        <w:ind w:left="-567"/>
        <w:jc w:val="both"/>
        <w:rPr>
          <w:rFonts w:ascii="Arial" w:hAnsi="Arial" w:cs="Arial"/>
          <w:color w:val="000000"/>
          <w:sz w:val="24"/>
          <w:szCs w:val="24"/>
        </w:rPr>
      </w:pPr>
      <w:bookmarkStart w:id="9" w:name="_Hlk85032364"/>
      <w:r>
        <w:rPr>
          <w:rFonts w:ascii="Arial" w:hAnsi="Arial" w:cs="Arial"/>
          <w:color w:val="000000"/>
          <w:sz w:val="24"/>
          <w:szCs w:val="24"/>
        </w:rPr>
        <w:t xml:space="preserve">Del personal fallecido durante 2020, las agencias y/o fiscalías del Ministerio Público reportaron que 231 servidoras y servidores públicos fallecieron por COVID-19. Ciudad de México concentró </w:t>
      </w:r>
      <w:r w:rsidR="0031146E">
        <w:rPr>
          <w:rFonts w:ascii="Arial" w:hAnsi="Arial" w:cs="Arial"/>
          <w:color w:val="000000"/>
          <w:sz w:val="24"/>
          <w:szCs w:val="24"/>
        </w:rPr>
        <w:t>32.5%</w:t>
      </w:r>
      <w:r>
        <w:rPr>
          <w:rFonts w:ascii="Arial" w:hAnsi="Arial" w:cs="Arial"/>
          <w:color w:val="000000"/>
          <w:sz w:val="24"/>
          <w:szCs w:val="24"/>
        </w:rPr>
        <w:t xml:space="preserve"> del personal fallecido por esta causa.</w:t>
      </w:r>
      <w:r w:rsidR="001A5F90" w:rsidRPr="00FD2D78">
        <w:rPr>
          <w:rFonts w:ascii="Arial" w:hAnsi="Arial" w:cs="Arial"/>
          <w:color w:val="000000"/>
          <w:sz w:val="24"/>
          <w:szCs w:val="24"/>
        </w:rPr>
        <w:t xml:space="preserve"> </w:t>
      </w:r>
    </w:p>
    <w:p w14:paraId="11779E24" w14:textId="77777777" w:rsidR="00EC2F13" w:rsidRDefault="00EC2F13" w:rsidP="001A5F90">
      <w:pPr>
        <w:autoSpaceDE w:val="0"/>
        <w:autoSpaceDN w:val="0"/>
        <w:adjustRightInd w:val="0"/>
        <w:spacing w:after="0" w:line="240" w:lineRule="auto"/>
        <w:ind w:left="-567"/>
        <w:jc w:val="both"/>
        <w:rPr>
          <w:rFonts w:ascii="Arial" w:hAnsi="Arial" w:cs="Arial"/>
          <w:color w:val="000000"/>
          <w:sz w:val="24"/>
          <w:szCs w:val="24"/>
        </w:rPr>
      </w:pPr>
    </w:p>
    <w:bookmarkEnd w:id="9"/>
    <w:p w14:paraId="6CE21C97" w14:textId="77777777" w:rsidR="0031146E" w:rsidRDefault="0031146E" w:rsidP="001A5F90">
      <w:pPr>
        <w:autoSpaceDE w:val="0"/>
        <w:autoSpaceDN w:val="0"/>
        <w:adjustRightInd w:val="0"/>
        <w:spacing w:after="0" w:line="240" w:lineRule="auto"/>
        <w:ind w:left="-567"/>
        <w:jc w:val="both"/>
        <w:rPr>
          <w:rFonts w:ascii="Arial" w:hAnsi="Arial" w:cs="Arial"/>
          <w:color w:val="000000"/>
          <w:sz w:val="24"/>
          <w:szCs w:val="24"/>
        </w:rPr>
      </w:pPr>
    </w:p>
    <w:p w14:paraId="0684F652" w14:textId="7BF239F2" w:rsidR="0031146E" w:rsidRDefault="0031146E" w:rsidP="0031146E">
      <w:pPr>
        <w:autoSpaceDE w:val="0"/>
        <w:autoSpaceDN w:val="0"/>
        <w:adjustRightInd w:val="0"/>
        <w:spacing w:after="0" w:line="240" w:lineRule="auto"/>
        <w:ind w:left="-567"/>
        <w:jc w:val="center"/>
        <w:rPr>
          <w:rFonts w:ascii="Arial" w:hAnsi="Arial" w:cs="Arial"/>
          <w:color w:val="000000"/>
          <w:sz w:val="24"/>
          <w:szCs w:val="24"/>
        </w:rPr>
      </w:pPr>
      <w:r w:rsidRPr="00E151A9">
        <w:rPr>
          <w:rFonts w:ascii="Arial" w:hAnsi="Arial" w:cs="Arial"/>
          <w:b/>
          <w:i/>
          <w:color w:val="877A67"/>
          <w:sz w:val="20"/>
          <w:szCs w:val="24"/>
        </w:rPr>
        <w:t xml:space="preserve">Gráfica </w:t>
      </w:r>
      <w:r w:rsidR="000322A1">
        <w:rPr>
          <w:rFonts w:ascii="Arial" w:hAnsi="Arial" w:cs="Arial"/>
          <w:b/>
          <w:i/>
          <w:color w:val="877A67"/>
          <w:sz w:val="20"/>
          <w:szCs w:val="24"/>
        </w:rPr>
        <w:t>10</w:t>
      </w:r>
      <w:r w:rsidRPr="00E151A9">
        <w:rPr>
          <w:rFonts w:ascii="Arial" w:hAnsi="Arial" w:cs="Arial"/>
          <w:b/>
          <w:i/>
          <w:color w:val="877A67"/>
          <w:sz w:val="20"/>
          <w:szCs w:val="24"/>
        </w:rPr>
        <w:t xml:space="preserve">. </w:t>
      </w:r>
      <w:r w:rsidRPr="0031146E">
        <w:rPr>
          <w:rFonts w:ascii="Arial" w:hAnsi="Arial" w:cs="Arial"/>
          <w:b/>
          <w:i/>
          <w:color w:val="877A67"/>
          <w:sz w:val="20"/>
          <w:szCs w:val="24"/>
        </w:rPr>
        <w:t>Personal fallecido por COVID-19 adscrito a las agencias y/o fiscalías del Ministerio Público, según</w:t>
      </w:r>
      <w:r>
        <w:rPr>
          <w:rFonts w:ascii="Arial" w:hAnsi="Arial" w:cs="Arial"/>
          <w:b/>
          <w:i/>
          <w:color w:val="877A67"/>
          <w:sz w:val="20"/>
          <w:szCs w:val="24"/>
        </w:rPr>
        <w:t xml:space="preserve"> entidad federativa, 2020 </w:t>
      </w:r>
    </w:p>
    <w:p w14:paraId="31CA3B13" w14:textId="36491109" w:rsidR="0031146E" w:rsidRDefault="0031146E" w:rsidP="001A5F90">
      <w:pPr>
        <w:autoSpaceDE w:val="0"/>
        <w:autoSpaceDN w:val="0"/>
        <w:adjustRightInd w:val="0"/>
        <w:spacing w:after="0" w:line="240" w:lineRule="auto"/>
        <w:ind w:left="-567"/>
        <w:jc w:val="both"/>
        <w:rPr>
          <w:rFonts w:ascii="Arial" w:hAnsi="Arial" w:cs="Arial"/>
          <w:color w:val="000000"/>
          <w:sz w:val="24"/>
          <w:szCs w:val="24"/>
        </w:rPr>
      </w:pPr>
    </w:p>
    <w:p w14:paraId="2C1F500A" w14:textId="05DC9CC6" w:rsidR="0031146E" w:rsidRDefault="0031146E" w:rsidP="0031146E">
      <w:pPr>
        <w:autoSpaceDE w:val="0"/>
        <w:autoSpaceDN w:val="0"/>
        <w:adjustRightInd w:val="0"/>
        <w:spacing w:after="0" w:line="240" w:lineRule="auto"/>
        <w:ind w:left="-567"/>
        <w:jc w:val="center"/>
        <w:rPr>
          <w:rFonts w:ascii="Arial" w:hAnsi="Arial" w:cs="Arial"/>
          <w:color w:val="000000"/>
          <w:sz w:val="24"/>
          <w:szCs w:val="24"/>
        </w:rPr>
      </w:pPr>
      <w:r w:rsidRPr="0031146E">
        <w:rPr>
          <w:rFonts w:ascii="Arial" w:hAnsi="Arial" w:cs="Arial"/>
          <w:noProof/>
          <w:color w:val="000000"/>
          <w:sz w:val="24"/>
          <w:szCs w:val="24"/>
        </w:rPr>
        <w:drawing>
          <wp:inline distT="0" distB="0" distL="0" distR="0" wp14:anchorId="385A19AA" wp14:editId="47270465">
            <wp:extent cx="5943600" cy="1935126"/>
            <wp:effectExtent l="0" t="0" r="0" b="8255"/>
            <wp:docPr id="10" name="Gráfico 10">
              <a:extLst xmlns:a="http://schemas.openxmlformats.org/drawingml/2006/main">
                <a:ext uri="{FF2B5EF4-FFF2-40B4-BE49-F238E27FC236}">
                  <a16:creationId xmlns:a16="http://schemas.microsoft.com/office/drawing/2014/main" id="{0202CD17-6CAE-4070-BBDE-3811417B3D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D7F912E" w14:textId="77777777" w:rsidR="00A47776" w:rsidRDefault="00A47776" w:rsidP="0031146E">
      <w:pPr>
        <w:autoSpaceDE w:val="0"/>
        <w:autoSpaceDN w:val="0"/>
        <w:adjustRightInd w:val="0"/>
        <w:spacing w:after="0" w:line="240" w:lineRule="auto"/>
        <w:ind w:left="-567"/>
        <w:jc w:val="center"/>
        <w:rPr>
          <w:rFonts w:ascii="Arial" w:hAnsi="Arial" w:cs="Arial"/>
          <w:color w:val="000000"/>
          <w:sz w:val="16"/>
          <w:szCs w:val="24"/>
        </w:rPr>
      </w:pPr>
    </w:p>
    <w:p w14:paraId="7B77093B" w14:textId="3A08D7FC" w:rsidR="00523D18" w:rsidRPr="00A47776" w:rsidRDefault="00523D18" w:rsidP="0031146E">
      <w:pPr>
        <w:autoSpaceDE w:val="0"/>
        <w:autoSpaceDN w:val="0"/>
        <w:adjustRightInd w:val="0"/>
        <w:spacing w:after="0" w:line="240" w:lineRule="auto"/>
        <w:ind w:left="-567"/>
        <w:jc w:val="center"/>
        <w:rPr>
          <w:rFonts w:ascii="Arial" w:hAnsi="Arial" w:cs="Arial"/>
          <w:color w:val="000000"/>
          <w:sz w:val="16"/>
          <w:szCs w:val="24"/>
        </w:rPr>
      </w:pPr>
      <w:r w:rsidRPr="00A47776">
        <w:rPr>
          <w:rFonts w:ascii="Arial" w:hAnsi="Arial" w:cs="Arial"/>
          <w:color w:val="000000"/>
          <w:sz w:val="16"/>
          <w:szCs w:val="24"/>
        </w:rPr>
        <w:t xml:space="preserve">Nota: </w:t>
      </w:r>
      <w:r w:rsidR="00A47776" w:rsidRPr="00A47776">
        <w:rPr>
          <w:rFonts w:ascii="Arial" w:hAnsi="Arial" w:cs="Arial"/>
          <w:color w:val="000000"/>
          <w:sz w:val="16"/>
          <w:szCs w:val="24"/>
        </w:rPr>
        <w:t xml:space="preserve">el tema no le aplica a San Luis Potosí y Yucatán, toda vez que informaron no tener registro del fallecimiento de alguno de sus servidores públicos. </w:t>
      </w:r>
      <w:r w:rsidR="00E33A62">
        <w:rPr>
          <w:rFonts w:ascii="Arial" w:hAnsi="Arial" w:cs="Arial"/>
          <w:color w:val="000000"/>
          <w:sz w:val="16"/>
          <w:szCs w:val="24"/>
        </w:rPr>
        <w:t xml:space="preserve">El resto de las entidades reportaron no tener personal fallecido por COVID-19. </w:t>
      </w:r>
    </w:p>
    <w:p w14:paraId="69ABFEC5" w14:textId="77777777" w:rsidR="00B430E3" w:rsidRDefault="00B430E3" w:rsidP="00285E02">
      <w:pPr>
        <w:autoSpaceDE w:val="0"/>
        <w:autoSpaceDN w:val="0"/>
        <w:adjustRightInd w:val="0"/>
        <w:spacing w:after="0" w:line="240" w:lineRule="auto"/>
        <w:ind w:left="-567"/>
        <w:jc w:val="both"/>
        <w:rPr>
          <w:rFonts w:ascii="Arial" w:hAnsi="Arial" w:cs="Arial"/>
          <w:color w:val="000000"/>
          <w:sz w:val="24"/>
          <w:szCs w:val="24"/>
        </w:rPr>
      </w:pPr>
    </w:p>
    <w:p w14:paraId="7336D2F7" w14:textId="77777777" w:rsidR="00736C94" w:rsidRDefault="00736C94" w:rsidP="00285E02">
      <w:pPr>
        <w:autoSpaceDE w:val="0"/>
        <w:autoSpaceDN w:val="0"/>
        <w:adjustRightInd w:val="0"/>
        <w:spacing w:after="0" w:line="240" w:lineRule="auto"/>
        <w:ind w:left="-567"/>
        <w:jc w:val="both"/>
        <w:rPr>
          <w:rFonts w:ascii="Arial" w:hAnsi="Arial" w:cs="Arial"/>
          <w:color w:val="000000"/>
          <w:sz w:val="24"/>
          <w:szCs w:val="24"/>
        </w:rPr>
      </w:pPr>
    </w:p>
    <w:p w14:paraId="3F89922F" w14:textId="77777777" w:rsidR="008F6E44" w:rsidRDefault="008F6E44" w:rsidP="00285E02">
      <w:pPr>
        <w:autoSpaceDE w:val="0"/>
        <w:autoSpaceDN w:val="0"/>
        <w:adjustRightInd w:val="0"/>
        <w:spacing w:after="0" w:line="240" w:lineRule="auto"/>
        <w:ind w:left="-567"/>
        <w:jc w:val="both"/>
        <w:rPr>
          <w:rFonts w:ascii="Arial" w:hAnsi="Arial" w:cs="Arial"/>
          <w:color w:val="000000"/>
          <w:sz w:val="24"/>
          <w:szCs w:val="24"/>
        </w:rPr>
      </w:pPr>
    </w:p>
    <w:p w14:paraId="5D575BBB" w14:textId="1BB9E52D" w:rsidR="000967AD" w:rsidRDefault="00285E02" w:rsidP="00285E02">
      <w:pPr>
        <w:autoSpaceDE w:val="0"/>
        <w:autoSpaceDN w:val="0"/>
        <w:adjustRightInd w:val="0"/>
        <w:spacing w:after="0" w:line="240" w:lineRule="auto"/>
        <w:ind w:left="-567"/>
        <w:jc w:val="both"/>
        <w:rPr>
          <w:rFonts w:ascii="Arial" w:hAnsi="Arial" w:cs="Arial"/>
          <w:color w:val="000000"/>
          <w:sz w:val="24"/>
          <w:szCs w:val="24"/>
        </w:rPr>
      </w:pPr>
      <w:r w:rsidRPr="00285E02">
        <w:rPr>
          <w:rFonts w:ascii="Arial" w:hAnsi="Arial" w:cs="Arial"/>
          <w:color w:val="000000"/>
          <w:sz w:val="24"/>
          <w:szCs w:val="24"/>
        </w:rPr>
        <w:t>Durante 20</w:t>
      </w:r>
      <w:r>
        <w:rPr>
          <w:rFonts w:ascii="Arial" w:hAnsi="Arial" w:cs="Arial"/>
          <w:color w:val="000000"/>
          <w:sz w:val="24"/>
          <w:szCs w:val="24"/>
        </w:rPr>
        <w:t>20</w:t>
      </w:r>
      <w:r w:rsidRPr="00285E02">
        <w:rPr>
          <w:rFonts w:ascii="Arial" w:hAnsi="Arial" w:cs="Arial"/>
          <w:color w:val="000000"/>
          <w:sz w:val="24"/>
          <w:szCs w:val="24"/>
        </w:rPr>
        <w:t>, las Procuradurías o Fiscalías Generales de Justicia ejercieron un presupuesto de 46</w:t>
      </w:r>
      <w:r>
        <w:rPr>
          <w:rFonts w:ascii="Arial" w:hAnsi="Arial" w:cs="Arial"/>
          <w:color w:val="000000"/>
          <w:sz w:val="24"/>
          <w:szCs w:val="24"/>
        </w:rPr>
        <w:t xml:space="preserve"> </w:t>
      </w:r>
      <w:r w:rsidRPr="00285E02">
        <w:rPr>
          <w:rFonts w:ascii="Arial" w:hAnsi="Arial" w:cs="Arial"/>
          <w:color w:val="000000"/>
          <w:sz w:val="24"/>
          <w:szCs w:val="24"/>
        </w:rPr>
        <w:t>015</w:t>
      </w:r>
      <w:r>
        <w:rPr>
          <w:rFonts w:ascii="Arial" w:hAnsi="Arial" w:cs="Arial"/>
          <w:color w:val="000000"/>
          <w:sz w:val="24"/>
          <w:szCs w:val="24"/>
        </w:rPr>
        <w:t xml:space="preserve"> </w:t>
      </w:r>
      <w:r w:rsidRPr="00285E02">
        <w:rPr>
          <w:rFonts w:ascii="Arial" w:hAnsi="Arial" w:cs="Arial"/>
          <w:color w:val="000000"/>
          <w:sz w:val="24"/>
          <w:szCs w:val="24"/>
        </w:rPr>
        <w:t>127</w:t>
      </w:r>
      <w:r>
        <w:rPr>
          <w:rFonts w:ascii="Arial" w:hAnsi="Arial" w:cs="Arial"/>
          <w:color w:val="000000"/>
          <w:sz w:val="24"/>
          <w:szCs w:val="24"/>
        </w:rPr>
        <w:t xml:space="preserve"> </w:t>
      </w:r>
      <w:r w:rsidRPr="00285E02">
        <w:rPr>
          <w:rFonts w:ascii="Arial" w:hAnsi="Arial" w:cs="Arial"/>
          <w:color w:val="000000"/>
          <w:sz w:val="24"/>
          <w:szCs w:val="24"/>
        </w:rPr>
        <w:t>067</w:t>
      </w:r>
      <w:r>
        <w:rPr>
          <w:rFonts w:ascii="Arial" w:hAnsi="Arial" w:cs="Arial"/>
          <w:color w:val="000000"/>
          <w:sz w:val="24"/>
          <w:szCs w:val="24"/>
        </w:rPr>
        <w:t xml:space="preserve"> </w:t>
      </w:r>
      <w:r w:rsidRPr="00285E02">
        <w:rPr>
          <w:rFonts w:ascii="Arial" w:hAnsi="Arial" w:cs="Arial"/>
          <w:color w:val="000000"/>
          <w:sz w:val="24"/>
          <w:szCs w:val="24"/>
        </w:rPr>
        <w:t>pesos</w:t>
      </w:r>
      <w:r w:rsidR="00B430E3">
        <w:rPr>
          <w:rFonts w:ascii="Arial" w:hAnsi="Arial" w:cs="Arial"/>
          <w:color w:val="000000"/>
          <w:sz w:val="24"/>
          <w:szCs w:val="24"/>
        </w:rPr>
        <w:t>.</w:t>
      </w:r>
      <w:r>
        <w:rPr>
          <w:rFonts w:ascii="Arial" w:hAnsi="Arial" w:cs="Arial"/>
          <w:color w:val="000000"/>
          <w:sz w:val="24"/>
          <w:szCs w:val="24"/>
        </w:rPr>
        <w:t xml:space="preserve"> </w:t>
      </w:r>
      <w:r w:rsidR="00B430E3">
        <w:rPr>
          <w:rFonts w:ascii="Arial" w:hAnsi="Arial" w:cs="Arial"/>
          <w:color w:val="000000"/>
          <w:sz w:val="24"/>
          <w:szCs w:val="24"/>
        </w:rPr>
        <w:t>D</w:t>
      </w:r>
      <w:r>
        <w:rPr>
          <w:rFonts w:ascii="Arial" w:hAnsi="Arial" w:cs="Arial"/>
          <w:color w:val="000000"/>
          <w:sz w:val="24"/>
          <w:szCs w:val="24"/>
        </w:rPr>
        <w:t xml:space="preserve">icha cifra representó un aumento de 7.4%, respecto al presupuesto ejercido en 2019. </w:t>
      </w:r>
    </w:p>
    <w:p w14:paraId="08817DFC" w14:textId="6ACADCF3" w:rsidR="00285E02" w:rsidRDefault="00285E02" w:rsidP="00285E02">
      <w:pPr>
        <w:autoSpaceDE w:val="0"/>
        <w:autoSpaceDN w:val="0"/>
        <w:adjustRightInd w:val="0"/>
        <w:spacing w:after="0" w:line="240" w:lineRule="auto"/>
        <w:ind w:left="-567"/>
        <w:jc w:val="both"/>
        <w:rPr>
          <w:rFonts w:ascii="Arial" w:hAnsi="Arial" w:cs="Arial"/>
          <w:color w:val="000000"/>
          <w:sz w:val="24"/>
          <w:szCs w:val="24"/>
        </w:rPr>
      </w:pPr>
    </w:p>
    <w:p w14:paraId="6BF2880F" w14:textId="78DCBF6F" w:rsidR="00285E02" w:rsidRPr="00285E02" w:rsidRDefault="00285E02" w:rsidP="00285E02">
      <w:pPr>
        <w:autoSpaceDE w:val="0"/>
        <w:autoSpaceDN w:val="0"/>
        <w:adjustRightInd w:val="0"/>
        <w:spacing w:after="0" w:line="240" w:lineRule="auto"/>
        <w:ind w:left="-567"/>
        <w:jc w:val="center"/>
        <w:rPr>
          <w:rFonts w:ascii="Arial" w:hAnsi="Arial" w:cs="Arial"/>
          <w:b/>
          <w:i/>
          <w:color w:val="877A67"/>
          <w:sz w:val="20"/>
          <w:szCs w:val="24"/>
        </w:rPr>
      </w:pPr>
      <w:r w:rsidRPr="00E151A9">
        <w:rPr>
          <w:rFonts w:ascii="Arial" w:hAnsi="Arial" w:cs="Arial"/>
          <w:b/>
          <w:i/>
          <w:color w:val="877A67"/>
          <w:sz w:val="20"/>
          <w:szCs w:val="24"/>
        </w:rPr>
        <w:t xml:space="preserve">Gráfica </w:t>
      </w:r>
      <w:r>
        <w:rPr>
          <w:rFonts w:ascii="Arial" w:hAnsi="Arial" w:cs="Arial"/>
          <w:b/>
          <w:i/>
          <w:color w:val="877A67"/>
          <w:sz w:val="20"/>
          <w:szCs w:val="24"/>
        </w:rPr>
        <w:t>1</w:t>
      </w:r>
      <w:r w:rsidR="000322A1">
        <w:rPr>
          <w:rFonts w:ascii="Arial" w:hAnsi="Arial" w:cs="Arial"/>
          <w:b/>
          <w:i/>
          <w:color w:val="877A67"/>
          <w:sz w:val="20"/>
          <w:szCs w:val="24"/>
        </w:rPr>
        <w:t>1</w:t>
      </w:r>
      <w:r w:rsidRPr="00E151A9">
        <w:rPr>
          <w:rFonts w:ascii="Arial" w:hAnsi="Arial" w:cs="Arial"/>
          <w:b/>
          <w:i/>
          <w:color w:val="877A67"/>
          <w:sz w:val="20"/>
          <w:szCs w:val="24"/>
        </w:rPr>
        <w:t xml:space="preserve">. </w:t>
      </w:r>
      <w:r w:rsidRPr="00285E02">
        <w:rPr>
          <w:rFonts w:ascii="Arial" w:hAnsi="Arial" w:cs="Arial"/>
          <w:b/>
          <w:i/>
          <w:color w:val="877A67"/>
          <w:sz w:val="20"/>
          <w:szCs w:val="24"/>
        </w:rPr>
        <w:t>Presupuesto ejercido por las Procuradurías o Fiscalías Generales de Justicia,</w:t>
      </w:r>
    </w:p>
    <w:p w14:paraId="525A925F" w14:textId="568BBEC2" w:rsidR="00285E02" w:rsidRPr="00285E02" w:rsidRDefault="00285E02" w:rsidP="00285E02">
      <w:pPr>
        <w:autoSpaceDE w:val="0"/>
        <w:autoSpaceDN w:val="0"/>
        <w:adjustRightInd w:val="0"/>
        <w:spacing w:after="0" w:line="240" w:lineRule="auto"/>
        <w:ind w:left="-567"/>
        <w:jc w:val="center"/>
        <w:rPr>
          <w:rFonts w:ascii="Arial" w:hAnsi="Arial" w:cs="Arial"/>
          <w:b/>
          <w:i/>
          <w:color w:val="877A67"/>
          <w:sz w:val="20"/>
          <w:szCs w:val="24"/>
        </w:rPr>
      </w:pPr>
      <w:r>
        <w:rPr>
          <w:rFonts w:ascii="Arial" w:hAnsi="Arial" w:cs="Arial"/>
          <w:b/>
          <w:i/>
          <w:color w:val="877A67"/>
          <w:sz w:val="20"/>
          <w:szCs w:val="24"/>
        </w:rPr>
        <w:t>2013 a 2020</w:t>
      </w:r>
    </w:p>
    <w:p w14:paraId="038B3D28" w14:textId="5CB9B37A" w:rsidR="00285E02" w:rsidRDefault="00285E02" w:rsidP="00285E02">
      <w:pPr>
        <w:autoSpaceDE w:val="0"/>
        <w:autoSpaceDN w:val="0"/>
        <w:adjustRightInd w:val="0"/>
        <w:spacing w:after="0" w:line="240" w:lineRule="auto"/>
        <w:ind w:left="-567"/>
        <w:jc w:val="center"/>
        <w:rPr>
          <w:rFonts w:ascii="Arial" w:hAnsi="Arial" w:cs="Arial"/>
          <w:color w:val="000000"/>
          <w:sz w:val="24"/>
          <w:szCs w:val="24"/>
        </w:rPr>
      </w:pPr>
      <w:r w:rsidRPr="00285E02">
        <w:rPr>
          <w:rFonts w:ascii="Arial" w:hAnsi="Arial" w:cs="Arial"/>
          <w:b/>
          <w:i/>
          <w:color w:val="877A67"/>
          <w:sz w:val="20"/>
          <w:szCs w:val="24"/>
        </w:rPr>
        <w:t>(Millones de pesos)</w:t>
      </w:r>
    </w:p>
    <w:p w14:paraId="7BB690E9" w14:textId="77777777" w:rsidR="00285E02" w:rsidRDefault="00285E02" w:rsidP="00285E02">
      <w:pPr>
        <w:autoSpaceDE w:val="0"/>
        <w:autoSpaceDN w:val="0"/>
        <w:adjustRightInd w:val="0"/>
        <w:spacing w:after="0" w:line="240" w:lineRule="auto"/>
        <w:ind w:left="-567"/>
        <w:jc w:val="both"/>
        <w:rPr>
          <w:rFonts w:ascii="Arial" w:hAnsi="Arial" w:cs="Arial"/>
          <w:color w:val="000000"/>
          <w:sz w:val="24"/>
          <w:szCs w:val="24"/>
        </w:rPr>
      </w:pPr>
    </w:p>
    <w:p w14:paraId="3AF0A4EA" w14:textId="6E08CBB2" w:rsidR="000967AD" w:rsidRDefault="000967AD" w:rsidP="000967AD">
      <w:pPr>
        <w:autoSpaceDE w:val="0"/>
        <w:autoSpaceDN w:val="0"/>
        <w:adjustRightInd w:val="0"/>
        <w:spacing w:after="0" w:line="240" w:lineRule="auto"/>
        <w:ind w:left="-567"/>
        <w:jc w:val="center"/>
        <w:rPr>
          <w:rFonts w:ascii="Arial" w:hAnsi="Arial" w:cs="Arial"/>
          <w:color w:val="000000"/>
          <w:sz w:val="24"/>
          <w:szCs w:val="24"/>
        </w:rPr>
      </w:pPr>
      <w:r w:rsidRPr="000967AD">
        <w:rPr>
          <w:rFonts w:ascii="Arial" w:hAnsi="Arial" w:cs="Arial"/>
          <w:noProof/>
          <w:color w:val="000000"/>
          <w:sz w:val="24"/>
          <w:szCs w:val="24"/>
        </w:rPr>
        <w:drawing>
          <wp:inline distT="0" distB="0" distL="0" distR="0" wp14:anchorId="3628CC1F" wp14:editId="1DF2834B">
            <wp:extent cx="5295900" cy="2133600"/>
            <wp:effectExtent l="0" t="0" r="0" b="0"/>
            <wp:docPr id="13" name="Gráfico 13">
              <a:extLst xmlns:a="http://schemas.openxmlformats.org/drawingml/2006/main">
                <a:ext uri="{FF2B5EF4-FFF2-40B4-BE49-F238E27FC236}">
                  <a16:creationId xmlns:a16="http://schemas.microsoft.com/office/drawing/2014/main" id="{3A61B561-564D-4C0F-9304-BB30371FF0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27B4ABF" w14:textId="2EEF6E8F" w:rsidR="00285E02" w:rsidRDefault="00285E02" w:rsidP="000967AD">
      <w:pPr>
        <w:autoSpaceDE w:val="0"/>
        <w:autoSpaceDN w:val="0"/>
        <w:adjustRightInd w:val="0"/>
        <w:spacing w:after="0" w:line="240" w:lineRule="auto"/>
        <w:ind w:left="-567"/>
        <w:jc w:val="center"/>
        <w:rPr>
          <w:rFonts w:ascii="Arial" w:hAnsi="Arial" w:cs="Arial"/>
          <w:color w:val="000000"/>
          <w:sz w:val="24"/>
          <w:szCs w:val="24"/>
        </w:rPr>
      </w:pPr>
    </w:p>
    <w:p w14:paraId="0230B4BB" w14:textId="77777777" w:rsidR="0031146E" w:rsidRDefault="0031146E" w:rsidP="00300973">
      <w:pPr>
        <w:spacing w:after="0"/>
        <w:ind w:left="-567"/>
        <w:rPr>
          <w:rFonts w:ascii="Arial" w:hAnsi="Arial" w:cs="Arial"/>
          <w:b/>
          <w:bCs/>
          <w:iCs/>
          <w:noProof/>
          <w:sz w:val="24"/>
          <w:szCs w:val="24"/>
          <w:lang w:eastAsia="es-MX"/>
        </w:rPr>
      </w:pPr>
    </w:p>
    <w:p w14:paraId="5AFB085B" w14:textId="51FE8814" w:rsidR="00285E02" w:rsidRDefault="00285E02" w:rsidP="00300973">
      <w:pPr>
        <w:spacing w:after="0"/>
        <w:ind w:left="-567"/>
        <w:rPr>
          <w:rFonts w:ascii="Arial" w:hAnsi="Arial" w:cs="Arial"/>
          <w:color w:val="000000"/>
          <w:sz w:val="24"/>
          <w:szCs w:val="24"/>
        </w:rPr>
      </w:pPr>
      <w:r w:rsidRPr="00285E02">
        <w:rPr>
          <w:rFonts w:ascii="Arial" w:hAnsi="Arial" w:cs="Arial"/>
          <w:color w:val="000000"/>
          <w:sz w:val="24"/>
          <w:szCs w:val="24"/>
        </w:rPr>
        <w:t>Las entidades que ejercieron mayor cantidad de recursos fueron Ciudad de México (</w:t>
      </w:r>
      <w:r w:rsidR="0081200C">
        <w:rPr>
          <w:rFonts w:ascii="Arial" w:hAnsi="Arial" w:cs="Arial"/>
          <w:color w:val="000000"/>
          <w:sz w:val="24"/>
          <w:szCs w:val="24"/>
        </w:rPr>
        <w:t>15.5</w:t>
      </w:r>
      <w:r w:rsidRPr="00285E02">
        <w:rPr>
          <w:rFonts w:ascii="Arial" w:hAnsi="Arial" w:cs="Arial"/>
          <w:color w:val="000000"/>
          <w:sz w:val="24"/>
          <w:szCs w:val="24"/>
        </w:rPr>
        <w:t>%), Estado de México (1</w:t>
      </w:r>
      <w:r w:rsidR="0081200C">
        <w:rPr>
          <w:rFonts w:ascii="Arial" w:hAnsi="Arial" w:cs="Arial"/>
          <w:color w:val="000000"/>
          <w:sz w:val="24"/>
          <w:szCs w:val="24"/>
        </w:rPr>
        <w:t>1.9</w:t>
      </w:r>
      <w:r w:rsidRPr="00285E02">
        <w:rPr>
          <w:rFonts w:ascii="Arial" w:hAnsi="Arial" w:cs="Arial"/>
          <w:color w:val="000000"/>
          <w:sz w:val="24"/>
          <w:szCs w:val="24"/>
        </w:rPr>
        <w:t xml:space="preserve">%) y </w:t>
      </w:r>
      <w:r w:rsidR="0081200C">
        <w:rPr>
          <w:rFonts w:ascii="Arial" w:hAnsi="Arial" w:cs="Arial"/>
          <w:color w:val="000000"/>
          <w:sz w:val="24"/>
          <w:szCs w:val="24"/>
        </w:rPr>
        <w:t>Nuevo León</w:t>
      </w:r>
      <w:r w:rsidRPr="00285E02">
        <w:rPr>
          <w:rFonts w:ascii="Arial" w:hAnsi="Arial" w:cs="Arial"/>
          <w:color w:val="000000"/>
          <w:sz w:val="24"/>
          <w:szCs w:val="24"/>
        </w:rPr>
        <w:t xml:space="preserve"> (</w:t>
      </w:r>
      <w:r w:rsidR="0081200C">
        <w:rPr>
          <w:rFonts w:ascii="Arial" w:hAnsi="Arial" w:cs="Arial"/>
          <w:color w:val="000000"/>
          <w:sz w:val="24"/>
          <w:szCs w:val="24"/>
        </w:rPr>
        <w:t>6.7</w:t>
      </w:r>
      <w:r w:rsidR="00E33CDE">
        <w:rPr>
          <w:rFonts w:ascii="Arial" w:hAnsi="Arial" w:cs="Arial"/>
          <w:color w:val="000000"/>
          <w:sz w:val="24"/>
          <w:szCs w:val="24"/>
        </w:rPr>
        <w:t xml:space="preserve"> por ciento</w:t>
      </w:r>
      <w:r w:rsidRPr="00285E02">
        <w:rPr>
          <w:rFonts w:ascii="Arial" w:hAnsi="Arial" w:cs="Arial"/>
          <w:color w:val="000000"/>
          <w:sz w:val="24"/>
          <w:szCs w:val="24"/>
        </w:rPr>
        <w:t>).</w:t>
      </w:r>
    </w:p>
    <w:p w14:paraId="2CB749B9" w14:textId="4927A072" w:rsidR="00EC2F13" w:rsidRDefault="00EC2F13" w:rsidP="00300973">
      <w:pPr>
        <w:spacing w:after="0"/>
        <w:ind w:left="-567"/>
        <w:rPr>
          <w:rFonts w:ascii="Arial" w:hAnsi="Arial" w:cs="Arial"/>
          <w:color w:val="000000"/>
          <w:sz w:val="24"/>
          <w:szCs w:val="24"/>
        </w:rPr>
      </w:pPr>
    </w:p>
    <w:p w14:paraId="5D0C2548" w14:textId="3A59FCF6" w:rsidR="00285E02" w:rsidRPr="00285E02" w:rsidRDefault="00285E02" w:rsidP="00285E02">
      <w:pPr>
        <w:autoSpaceDE w:val="0"/>
        <w:autoSpaceDN w:val="0"/>
        <w:adjustRightInd w:val="0"/>
        <w:spacing w:after="0" w:line="240" w:lineRule="auto"/>
        <w:ind w:left="-567"/>
        <w:jc w:val="center"/>
        <w:rPr>
          <w:rFonts w:ascii="Arial" w:hAnsi="Arial" w:cs="Arial"/>
          <w:b/>
          <w:i/>
          <w:color w:val="877A67"/>
          <w:sz w:val="20"/>
          <w:szCs w:val="24"/>
        </w:rPr>
      </w:pPr>
      <w:r w:rsidRPr="00E151A9">
        <w:rPr>
          <w:rFonts w:ascii="Arial" w:hAnsi="Arial" w:cs="Arial"/>
          <w:b/>
          <w:i/>
          <w:color w:val="877A67"/>
          <w:sz w:val="20"/>
          <w:szCs w:val="24"/>
        </w:rPr>
        <w:t xml:space="preserve">Gráfica </w:t>
      </w:r>
      <w:r>
        <w:rPr>
          <w:rFonts w:ascii="Arial" w:hAnsi="Arial" w:cs="Arial"/>
          <w:b/>
          <w:i/>
          <w:color w:val="877A67"/>
          <w:sz w:val="20"/>
          <w:szCs w:val="24"/>
        </w:rPr>
        <w:t>1</w:t>
      </w:r>
      <w:r w:rsidR="000322A1">
        <w:rPr>
          <w:rFonts w:ascii="Arial" w:hAnsi="Arial" w:cs="Arial"/>
          <w:b/>
          <w:i/>
          <w:color w:val="877A67"/>
          <w:sz w:val="20"/>
          <w:szCs w:val="24"/>
        </w:rPr>
        <w:t>2</w:t>
      </w:r>
      <w:r w:rsidRPr="00E151A9">
        <w:rPr>
          <w:rFonts w:ascii="Arial" w:hAnsi="Arial" w:cs="Arial"/>
          <w:b/>
          <w:i/>
          <w:color w:val="877A67"/>
          <w:sz w:val="20"/>
          <w:szCs w:val="24"/>
        </w:rPr>
        <w:t xml:space="preserve">. </w:t>
      </w:r>
      <w:r w:rsidRPr="00285E02">
        <w:rPr>
          <w:rFonts w:ascii="Arial" w:hAnsi="Arial" w:cs="Arial"/>
          <w:b/>
          <w:i/>
          <w:color w:val="877A67"/>
          <w:sz w:val="20"/>
          <w:szCs w:val="24"/>
        </w:rPr>
        <w:t>Presupuesto ejercido por las Procuradurías o Fiscalías Generales de Justicia,</w:t>
      </w:r>
    </w:p>
    <w:p w14:paraId="35FF1CCA" w14:textId="1BCAD75A" w:rsidR="00285E02" w:rsidRPr="00285E02" w:rsidRDefault="00285E02" w:rsidP="00285E02">
      <w:pPr>
        <w:autoSpaceDE w:val="0"/>
        <w:autoSpaceDN w:val="0"/>
        <w:adjustRightInd w:val="0"/>
        <w:spacing w:after="0" w:line="240" w:lineRule="auto"/>
        <w:ind w:left="-567"/>
        <w:jc w:val="center"/>
        <w:rPr>
          <w:rFonts w:ascii="Arial" w:hAnsi="Arial" w:cs="Arial"/>
          <w:b/>
          <w:i/>
          <w:color w:val="877A67"/>
          <w:sz w:val="20"/>
          <w:szCs w:val="24"/>
        </w:rPr>
      </w:pPr>
      <w:r w:rsidRPr="00285E02">
        <w:rPr>
          <w:rFonts w:ascii="Arial" w:hAnsi="Arial" w:cs="Arial"/>
          <w:b/>
          <w:i/>
          <w:color w:val="877A67"/>
          <w:sz w:val="20"/>
          <w:szCs w:val="24"/>
        </w:rPr>
        <w:t>según entidad federativa, 20</w:t>
      </w:r>
      <w:r>
        <w:rPr>
          <w:rFonts w:ascii="Arial" w:hAnsi="Arial" w:cs="Arial"/>
          <w:b/>
          <w:i/>
          <w:color w:val="877A67"/>
          <w:sz w:val="20"/>
          <w:szCs w:val="24"/>
        </w:rPr>
        <w:t>20</w:t>
      </w:r>
    </w:p>
    <w:p w14:paraId="7FBA2BFE" w14:textId="333D32C6" w:rsidR="0081200C" w:rsidRDefault="00285E02" w:rsidP="00285E02">
      <w:pPr>
        <w:autoSpaceDE w:val="0"/>
        <w:autoSpaceDN w:val="0"/>
        <w:adjustRightInd w:val="0"/>
        <w:spacing w:after="0" w:line="240" w:lineRule="auto"/>
        <w:ind w:left="-567"/>
        <w:jc w:val="center"/>
        <w:rPr>
          <w:rFonts w:ascii="Arial" w:hAnsi="Arial" w:cs="Arial"/>
          <w:b/>
          <w:i/>
          <w:color w:val="877A67"/>
          <w:sz w:val="20"/>
          <w:szCs w:val="24"/>
        </w:rPr>
      </w:pPr>
      <w:r w:rsidRPr="00285E02">
        <w:rPr>
          <w:rFonts w:ascii="Arial" w:hAnsi="Arial" w:cs="Arial"/>
          <w:b/>
          <w:i/>
          <w:color w:val="877A67"/>
          <w:sz w:val="20"/>
          <w:szCs w:val="24"/>
        </w:rPr>
        <w:t>(Millones de pesos)</w:t>
      </w:r>
    </w:p>
    <w:p w14:paraId="4DD19A0A" w14:textId="77777777" w:rsidR="00736C94" w:rsidRDefault="00736C94" w:rsidP="00285E02">
      <w:pPr>
        <w:autoSpaceDE w:val="0"/>
        <w:autoSpaceDN w:val="0"/>
        <w:adjustRightInd w:val="0"/>
        <w:spacing w:after="0" w:line="240" w:lineRule="auto"/>
        <w:ind w:left="-567"/>
        <w:jc w:val="center"/>
        <w:rPr>
          <w:rFonts w:ascii="Arial" w:hAnsi="Arial" w:cs="Arial"/>
          <w:b/>
          <w:bCs/>
          <w:iCs/>
          <w:noProof/>
          <w:sz w:val="24"/>
          <w:szCs w:val="24"/>
          <w:lang w:eastAsia="es-MX"/>
        </w:rPr>
      </w:pPr>
    </w:p>
    <w:p w14:paraId="01F09490" w14:textId="242253F7" w:rsidR="0081200C" w:rsidRDefault="0081200C" w:rsidP="00285E02">
      <w:pPr>
        <w:autoSpaceDE w:val="0"/>
        <w:autoSpaceDN w:val="0"/>
        <w:adjustRightInd w:val="0"/>
        <w:spacing w:after="0" w:line="240" w:lineRule="auto"/>
        <w:ind w:left="-567"/>
        <w:jc w:val="center"/>
        <w:rPr>
          <w:rFonts w:ascii="Arial" w:hAnsi="Arial" w:cs="Arial"/>
          <w:b/>
          <w:bCs/>
          <w:iCs/>
          <w:noProof/>
          <w:sz w:val="24"/>
          <w:szCs w:val="24"/>
          <w:lang w:eastAsia="es-MX"/>
        </w:rPr>
      </w:pPr>
      <w:r w:rsidRPr="0081200C">
        <w:rPr>
          <w:rFonts w:ascii="Arial" w:hAnsi="Arial" w:cs="Arial"/>
          <w:b/>
          <w:bCs/>
          <w:iCs/>
          <w:noProof/>
          <w:sz w:val="24"/>
          <w:szCs w:val="24"/>
          <w:lang w:eastAsia="es-MX"/>
        </w:rPr>
        <w:drawing>
          <wp:inline distT="0" distB="0" distL="0" distR="0" wp14:anchorId="53FBFC7A" wp14:editId="7BA397C1">
            <wp:extent cx="6400800" cy="2286000"/>
            <wp:effectExtent l="0" t="0" r="0" b="0"/>
            <wp:docPr id="18" name="Gráfico 18">
              <a:extLst xmlns:a="http://schemas.openxmlformats.org/drawingml/2006/main">
                <a:ext uri="{FF2B5EF4-FFF2-40B4-BE49-F238E27FC236}">
                  <a16:creationId xmlns:a16="http://schemas.microsoft.com/office/drawing/2014/main" id="{1FAA8BA0-C2E7-498F-AF52-2322F39969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0FABD6A" w14:textId="36D9B230" w:rsidR="00285E02" w:rsidRDefault="00285E02" w:rsidP="00300973">
      <w:pPr>
        <w:spacing w:after="0"/>
        <w:ind w:left="-567"/>
        <w:rPr>
          <w:rFonts w:ascii="Arial" w:hAnsi="Arial" w:cs="Arial"/>
          <w:b/>
          <w:bCs/>
          <w:iCs/>
          <w:noProof/>
          <w:sz w:val="24"/>
          <w:szCs w:val="24"/>
          <w:lang w:eastAsia="es-MX"/>
        </w:rPr>
      </w:pPr>
    </w:p>
    <w:p w14:paraId="08A27CAA" w14:textId="7DF2A925" w:rsidR="0081200C" w:rsidRDefault="0081200C" w:rsidP="0081200C">
      <w:pPr>
        <w:autoSpaceDE w:val="0"/>
        <w:autoSpaceDN w:val="0"/>
        <w:adjustRightInd w:val="0"/>
        <w:spacing w:after="0" w:line="240" w:lineRule="auto"/>
        <w:ind w:left="-567"/>
        <w:rPr>
          <w:rFonts w:ascii="Arial" w:hAnsi="Arial" w:cs="Arial"/>
          <w:b/>
          <w:bCs/>
          <w:sz w:val="24"/>
          <w:szCs w:val="24"/>
        </w:rPr>
      </w:pPr>
      <w:r>
        <w:rPr>
          <w:rFonts w:ascii="Arial" w:hAnsi="Arial" w:cs="Arial"/>
          <w:b/>
          <w:bCs/>
          <w:sz w:val="24"/>
          <w:szCs w:val="24"/>
        </w:rPr>
        <w:lastRenderedPageBreak/>
        <w:t>Servicios periciales</w:t>
      </w:r>
      <w:r w:rsidR="00AD22D5">
        <w:rPr>
          <w:rStyle w:val="Refdenotaalpie"/>
          <w:rFonts w:ascii="Arial" w:hAnsi="Arial" w:cs="Arial"/>
          <w:b/>
          <w:bCs/>
          <w:sz w:val="24"/>
          <w:szCs w:val="24"/>
        </w:rPr>
        <w:footnoteReference w:id="6"/>
      </w:r>
      <w:r>
        <w:rPr>
          <w:rFonts w:ascii="Arial" w:hAnsi="Arial" w:cs="Arial"/>
          <w:b/>
          <w:bCs/>
          <w:sz w:val="24"/>
          <w:szCs w:val="24"/>
        </w:rPr>
        <w:t xml:space="preserve"> </w:t>
      </w:r>
    </w:p>
    <w:p w14:paraId="2A07588B" w14:textId="77777777" w:rsidR="0081200C" w:rsidRDefault="0081200C" w:rsidP="0081200C">
      <w:pPr>
        <w:autoSpaceDE w:val="0"/>
        <w:autoSpaceDN w:val="0"/>
        <w:adjustRightInd w:val="0"/>
        <w:spacing w:after="0" w:line="240" w:lineRule="auto"/>
        <w:ind w:left="-567"/>
        <w:rPr>
          <w:rFonts w:ascii="Arial" w:hAnsi="Arial" w:cs="Arial"/>
          <w:b/>
          <w:bCs/>
          <w:sz w:val="24"/>
          <w:szCs w:val="24"/>
        </w:rPr>
      </w:pPr>
    </w:p>
    <w:p w14:paraId="06064F89" w14:textId="38C911E0" w:rsidR="0081200C" w:rsidRDefault="00436C66" w:rsidP="00DF110E">
      <w:pPr>
        <w:spacing w:after="0"/>
        <w:ind w:left="-567"/>
        <w:jc w:val="both"/>
        <w:rPr>
          <w:rFonts w:ascii="Arial" w:hAnsi="Arial" w:cs="Arial"/>
          <w:color w:val="000000"/>
          <w:sz w:val="24"/>
          <w:szCs w:val="24"/>
        </w:rPr>
      </w:pPr>
      <w:bookmarkStart w:id="10" w:name="_Hlk85032396"/>
      <w:r w:rsidRPr="00436C66">
        <w:rPr>
          <w:rFonts w:ascii="Arial" w:hAnsi="Arial" w:cs="Arial"/>
          <w:color w:val="000000"/>
          <w:sz w:val="24"/>
          <w:szCs w:val="24"/>
        </w:rPr>
        <w:t>Para el ejercicio de la función de los servicios periciales y/o servicio médico forense,</w:t>
      </w:r>
      <w:r>
        <w:rPr>
          <w:rFonts w:ascii="Arial" w:hAnsi="Arial" w:cs="Arial"/>
          <w:color w:val="000000"/>
          <w:sz w:val="24"/>
          <w:szCs w:val="24"/>
        </w:rPr>
        <w:t xml:space="preserve"> al cierre de 2020</w:t>
      </w:r>
      <w:r w:rsidRPr="00436C66">
        <w:rPr>
          <w:rFonts w:ascii="Arial" w:hAnsi="Arial" w:cs="Arial"/>
          <w:color w:val="000000"/>
          <w:sz w:val="24"/>
          <w:szCs w:val="24"/>
        </w:rPr>
        <w:t xml:space="preserve"> se contó con </w:t>
      </w:r>
      <w:r>
        <w:rPr>
          <w:rFonts w:ascii="Arial" w:hAnsi="Arial" w:cs="Arial"/>
          <w:color w:val="000000"/>
          <w:sz w:val="24"/>
          <w:szCs w:val="24"/>
        </w:rPr>
        <w:t>283</w:t>
      </w:r>
      <w:r w:rsidRPr="00436C66">
        <w:rPr>
          <w:rFonts w:ascii="Arial" w:hAnsi="Arial" w:cs="Arial"/>
          <w:color w:val="000000"/>
          <w:sz w:val="24"/>
          <w:szCs w:val="24"/>
        </w:rPr>
        <w:t xml:space="preserve"> unidades</w:t>
      </w:r>
      <w:r w:rsidR="00DF110E">
        <w:rPr>
          <w:rFonts w:ascii="Arial" w:hAnsi="Arial" w:cs="Arial"/>
          <w:color w:val="000000"/>
          <w:sz w:val="24"/>
          <w:szCs w:val="24"/>
        </w:rPr>
        <w:t xml:space="preserve">, 424 laboratorios y 205 anfiteatros. </w:t>
      </w:r>
      <w:r w:rsidR="004332B0">
        <w:rPr>
          <w:rFonts w:ascii="Arial" w:hAnsi="Arial" w:cs="Arial"/>
          <w:color w:val="000000"/>
          <w:sz w:val="24"/>
          <w:szCs w:val="24"/>
        </w:rPr>
        <w:t xml:space="preserve">La distribución de cada uno de estos elementos se presenta a continuación. </w:t>
      </w:r>
      <w:r w:rsidR="00DF110E">
        <w:rPr>
          <w:rFonts w:ascii="Arial" w:hAnsi="Arial" w:cs="Arial"/>
          <w:color w:val="000000"/>
          <w:sz w:val="24"/>
          <w:szCs w:val="24"/>
        </w:rPr>
        <w:t xml:space="preserve"> </w:t>
      </w:r>
    </w:p>
    <w:bookmarkEnd w:id="10"/>
    <w:p w14:paraId="68F574EE" w14:textId="0FC51216" w:rsidR="00DF110E" w:rsidRDefault="00DF110E" w:rsidP="00DF110E">
      <w:pPr>
        <w:spacing w:after="0"/>
        <w:ind w:left="-567"/>
        <w:jc w:val="both"/>
        <w:rPr>
          <w:rFonts w:ascii="Arial" w:hAnsi="Arial" w:cs="Arial"/>
          <w:color w:val="000000"/>
          <w:sz w:val="24"/>
          <w:szCs w:val="24"/>
        </w:rPr>
      </w:pPr>
    </w:p>
    <w:p w14:paraId="500C3E56" w14:textId="71B1DC36" w:rsidR="00736C94" w:rsidRDefault="00DF110E" w:rsidP="00736C94">
      <w:pPr>
        <w:autoSpaceDE w:val="0"/>
        <w:autoSpaceDN w:val="0"/>
        <w:adjustRightInd w:val="0"/>
        <w:spacing w:after="0" w:line="240" w:lineRule="auto"/>
        <w:ind w:left="-567"/>
        <w:jc w:val="center"/>
        <w:rPr>
          <w:rFonts w:ascii="Arial" w:hAnsi="Arial" w:cs="Arial"/>
          <w:b/>
          <w:i/>
          <w:color w:val="877A67"/>
          <w:sz w:val="20"/>
          <w:szCs w:val="24"/>
        </w:rPr>
      </w:pPr>
      <w:r w:rsidRPr="00E151A9">
        <w:rPr>
          <w:rFonts w:ascii="Arial" w:hAnsi="Arial" w:cs="Arial"/>
          <w:b/>
          <w:i/>
          <w:color w:val="877A67"/>
          <w:sz w:val="20"/>
          <w:szCs w:val="24"/>
        </w:rPr>
        <w:t xml:space="preserve">Gráfica </w:t>
      </w:r>
      <w:r>
        <w:rPr>
          <w:rFonts w:ascii="Arial" w:hAnsi="Arial" w:cs="Arial"/>
          <w:b/>
          <w:i/>
          <w:color w:val="877A67"/>
          <w:sz w:val="20"/>
          <w:szCs w:val="24"/>
        </w:rPr>
        <w:t>13.</w:t>
      </w:r>
      <w:r w:rsidRPr="00DF110E">
        <w:t xml:space="preserve"> </w:t>
      </w:r>
      <w:r w:rsidRPr="00DF110E">
        <w:rPr>
          <w:rFonts w:ascii="Arial" w:hAnsi="Arial" w:cs="Arial"/>
          <w:b/>
          <w:i/>
          <w:color w:val="877A67"/>
          <w:sz w:val="20"/>
          <w:szCs w:val="24"/>
        </w:rPr>
        <w:t>Unidades</w:t>
      </w:r>
      <w:r>
        <w:rPr>
          <w:rFonts w:ascii="Arial" w:hAnsi="Arial" w:cs="Arial"/>
          <w:b/>
          <w:i/>
          <w:color w:val="877A67"/>
          <w:sz w:val="20"/>
          <w:szCs w:val="24"/>
        </w:rPr>
        <w:t xml:space="preserve">, </w:t>
      </w:r>
      <w:r w:rsidRPr="00DF110E">
        <w:rPr>
          <w:rFonts w:ascii="Arial" w:hAnsi="Arial" w:cs="Arial"/>
          <w:b/>
          <w:i/>
          <w:color w:val="877A67"/>
          <w:sz w:val="20"/>
          <w:szCs w:val="24"/>
        </w:rPr>
        <w:t>laboratorios</w:t>
      </w:r>
      <w:r>
        <w:rPr>
          <w:rFonts w:ascii="Arial" w:hAnsi="Arial" w:cs="Arial"/>
          <w:b/>
          <w:i/>
          <w:color w:val="877A67"/>
          <w:sz w:val="20"/>
          <w:szCs w:val="24"/>
        </w:rPr>
        <w:t xml:space="preserve"> y anfiteatros</w:t>
      </w:r>
      <w:r w:rsidRPr="00DF110E">
        <w:rPr>
          <w:rFonts w:ascii="Arial" w:hAnsi="Arial" w:cs="Arial"/>
          <w:b/>
          <w:i/>
          <w:color w:val="877A67"/>
          <w:sz w:val="20"/>
          <w:szCs w:val="24"/>
        </w:rPr>
        <w:t xml:space="preserve"> de los servicios periciales y/o servicio médico forense de</w:t>
      </w:r>
      <w:r>
        <w:rPr>
          <w:rFonts w:ascii="Arial" w:hAnsi="Arial" w:cs="Arial"/>
          <w:b/>
          <w:i/>
          <w:color w:val="877A67"/>
          <w:sz w:val="20"/>
          <w:szCs w:val="24"/>
        </w:rPr>
        <w:t xml:space="preserve"> </w:t>
      </w:r>
      <w:r w:rsidRPr="00DF110E">
        <w:rPr>
          <w:rFonts w:ascii="Arial" w:hAnsi="Arial" w:cs="Arial"/>
          <w:b/>
          <w:i/>
          <w:color w:val="877A67"/>
          <w:sz w:val="20"/>
          <w:szCs w:val="24"/>
        </w:rPr>
        <w:t>las Procuradurías o Fiscalías Generales de Justicia, según tipo,</w:t>
      </w:r>
      <w:r>
        <w:rPr>
          <w:rFonts w:ascii="Arial" w:hAnsi="Arial" w:cs="Arial"/>
          <w:b/>
          <w:i/>
          <w:color w:val="877A67"/>
          <w:sz w:val="20"/>
          <w:szCs w:val="24"/>
        </w:rPr>
        <w:t xml:space="preserve"> 2020</w:t>
      </w:r>
      <w:r w:rsidRPr="00DF110E">
        <w:rPr>
          <w:rFonts w:ascii="Arial" w:hAnsi="Arial" w:cs="Arial"/>
          <w:b/>
          <w:i/>
          <w:color w:val="877A67"/>
          <w:sz w:val="20"/>
          <w:szCs w:val="24"/>
        </w:rPr>
        <w:cr/>
      </w:r>
    </w:p>
    <w:p w14:paraId="0A8E589D" w14:textId="3C8EDEF5" w:rsidR="00A7088B" w:rsidRDefault="00736C94" w:rsidP="00736C94">
      <w:pPr>
        <w:autoSpaceDE w:val="0"/>
        <w:autoSpaceDN w:val="0"/>
        <w:adjustRightInd w:val="0"/>
        <w:spacing w:after="0" w:line="240" w:lineRule="auto"/>
        <w:ind w:left="-567"/>
        <w:jc w:val="center"/>
        <w:rPr>
          <w:rFonts w:ascii="Arial" w:hAnsi="Arial" w:cs="Arial"/>
          <w:b/>
          <w:i/>
          <w:color w:val="877A67"/>
          <w:sz w:val="20"/>
          <w:szCs w:val="24"/>
        </w:rPr>
      </w:pPr>
      <w:r w:rsidRPr="00736C94">
        <w:rPr>
          <w:rFonts w:ascii="Arial" w:hAnsi="Arial" w:cs="Arial"/>
          <w:b/>
          <w:i/>
          <w:noProof/>
          <w:color w:val="877A67"/>
          <w:sz w:val="20"/>
          <w:szCs w:val="24"/>
        </w:rPr>
        <w:drawing>
          <wp:inline distT="0" distB="0" distL="0" distR="0" wp14:anchorId="577D3F5A" wp14:editId="4015D71E">
            <wp:extent cx="6322695" cy="2372264"/>
            <wp:effectExtent l="0" t="0" r="1905" b="0"/>
            <wp:docPr id="59" name="Gráfico 59">
              <a:extLst xmlns:a="http://schemas.openxmlformats.org/drawingml/2006/main">
                <a:ext uri="{FF2B5EF4-FFF2-40B4-BE49-F238E27FC236}">
                  <a16:creationId xmlns:a16="http://schemas.microsoft.com/office/drawing/2014/main" id="{7DE663EB-8306-42C9-8F3A-B9B751FA2A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DCB7FB1" w14:textId="7D0F4FBD" w:rsidR="00DF110E" w:rsidRDefault="00DF110E" w:rsidP="00A7088B">
      <w:pPr>
        <w:autoSpaceDE w:val="0"/>
        <w:autoSpaceDN w:val="0"/>
        <w:adjustRightInd w:val="0"/>
        <w:spacing w:after="0" w:line="240" w:lineRule="auto"/>
        <w:ind w:left="-567"/>
        <w:jc w:val="center"/>
        <w:rPr>
          <w:rFonts w:ascii="Arial" w:hAnsi="Arial" w:cs="Arial"/>
          <w:color w:val="000000"/>
          <w:sz w:val="24"/>
          <w:szCs w:val="24"/>
        </w:rPr>
      </w:pPr>
    </w:p>
    <w:p w14:paraId="3BA28FAB" w14:textId="77777777" w:rsidR="005B2BFB" w:rsidRDefault="005B2BFB" w:rsidP="00794E9D">
      <w:pPr>
        <w:autoSpaceDE w:val="0"/>
        <w:autoSpaceDN w:val="0"/>
        <w:adjustRightInd w:val="0"/>
        <w:spacing w:after="0" w:line="240" w:lineRule="auto"/>
        <w:ind w:left="-567"/>
        <w:jc w:val="both"/>
        <w:rPr>
          <w:rFonts w:ascii="Arial" w:hAnsi="Arial" w:cs="Arial"/>
          <w:color w:val="000000"/>
          <w:sz w:val="24"/>
          <w:szCs w:val="24"/>
        </w:rPr>
      </w:pPr>
    </w:p>
    <w:p w14:paraId="53534373" w14:textId="4DF1AA82" w:rsidR="00A7088B" w:rsidRDefault="00794E9D" w:rsidP="00794E9D">
      <w:pPr>
        <w:autoSpaceDE w:val="0"/>
        <w:autoSpaceDN w:val="0"/>
        <w:adjustRightInd w:val="0"/>
        <w:spacing w:after="0" w:line="240" w:lineRule="auto"/>
        <w:ind w:left="-567"/>
        <w:jc w:val="both"/>
        <w:rPr>
          <w:rFonts w:ascii="Arial" w:hAnsi="Arial" w:cs="Arial"/>
          <w:color w:val="000000"/>
          <w:sz w:val="24"/>
          <w:szCs w:val="24"/>
        </w:rPr>
      </w:pPr>
      <w:r>
        <w:rPr>
          <w:rFonts w:ascii="Arial" w:hAnsi="Arial" w:cs="Arial"/>
          <w:color w:val="000000"/>
          <w:sz w:val="24"/>
          <w:szCs w:val="24"/>
        </w:rPr>
        <w:t xml:space="preserve">Veracruz, Tabasco y Chihuahua fueron las entidades que presentaron la mayor cantidad de </w:t>
      </w:r>
      <w:r w:rsidRPr="00794E9D">
        <w:rPr>
          <w:rFonts w:ascii="Arial" w:hAnsi="Arial" w:cs="Arial"/>
          <w:color w:val="000000"/>
          <w:sz w:val="24"/>
          <w:szCs w:val="24"/>
        </w:rPr>
        <w:t>unidad</w:t>
      </w:r>
      <w:r>
        <w:rPr>
          <w:rFonts w:ascii="Arial" w:hAnsi="Arial" w:cs="Arial"/>
          <w:color w:val="000000"/>
          <w:sz w:val="24"/>
          <w:szCs w:val="24"/>
        </w:rPr>
        <w:t>es</w:t>
      </w:r>
      <w:r w:rsidRPr="00794E9D">
        <w:rPr>
          <w:rFonts w:ascii="Arial" w:hAnsi="Arial" w:cs="Arial"/>
          <w:color w:val="000000"/>
          <w:sz w:val="24"/>
          <w:szCs w:val="24"/>
        </w:rPr>
        <w:t xml:space="preserve"> de servicios periciales y/o servicio médico forense</w:t>
      </w:r>
      <w:r>
        <w:rPr>
          <w:rFonts w:ascii="Arial" w:hAnsi="Arial" w:cs="Arial"/>
          <w:color w:val="000000"/>
          <w:sz w:val="24"/>
          <w:szCs w:val="24"/>
        </w:rPr>
        <w:t xml:space="preserve"> con 34, 23 y 22, respectivamente.</w:t>
      </w:r>
    </w:p>
    <w:p w14:paraId="7C353EB4" w14:textId="6CD6FCAD" w:rsidR="00A7088B" w:rsidRDefault="00794E9D" w:rsidP="00EC2F13">
      <w:pPr>
        <w:autoSpaceDE w:val="0"/>
        <w:autoSpaceDN w:val="0"/>
        <w:adjustRightInd w:val="0"/>
        <w:spacing w:after="0" w:line="240" w:lineRule="auto"/>
        <w:ind w:left="-567"/>
        <w:jc w:val="both"/>
        <w:rPr>
          <w:rFonts w:ascii="Arial" w:hAnsi="Arial" w:cs="Arial"/>
          <w:color w:val="000000"/>
          <w:sz w:val="24"/>
          <w:szCs w:val="24"/>
        </w:rPr>
      </w:pPr>
      <w:r>
        <w:rPr>
          <w:rFonts w:ascii="Arial" w:hAnsi="Arial" w:cs="Arial"/>
          <w:color w:val="000000"/>
          <w:sz w:val="24"/>
          <w:szCs w:val="24"/>
        </w:rPr>
        <w:t xml:space="preserve">Por su parte, </w:t>
      </w:r>
      <w:r w:rsidR="00A7088B">
        <w:rPr>
          <w:rFonts w:ascii="Arial" w:hAnsi="Arial" w:cs="Arial"/>
          <w:color w:val="000000"/>
          <w:sz w:val="24"/>
          <w:szCs w:val="24"/>
        </w:rPr>
        <w:t>Ciudad de México, Tabasco, Puebla y estado de México concentraron la mayor cantidad de anfiteatros</w:t>
      </w:r>
      <w:r w:rsidR="007A7673">
        <w:rPr>
          <w:rFonts w:ascii="Arial" w:hAnsi="Arial" w:cs="Arial"/>
          <w:color w:val="000000"/>
          <w:sz w:val="24"/>
          <w:szCs w:val="24"/>
        </w:rPr>
        <w:t>.</w:t>
      </w:r>
    </w:p>
    <w:p w14:paraId="0EA87096" w14:textId="77777777" w:rsidR="00EC2F13" w:rsidRDefault="00EC2F13" w:rsidP="00EC2F13">
      <w:pPr>
        <w:autoSpaceDE w:val="0"/>
        <w:autoSpaceDN w:val="0"/>
        <w:adjustRightInd w:val="0"/>
        <w:spacing w:after="0" w:line="240" w:lineRule="auto"/>
        <w:ind w:left="-567"/>
        <w:jc w:val="both"/>
        <w:rPr>
          <w:rFonts w:ascii="Arial" w:hAnsi="Arial" w:cs="Arial"/>
          <w:b/>
          <w:bCs/>
          <w:iCs/>
          <w:noProof/>
          <w:sz w:val="24"/>
          <w:szCs w:val="24"/>
          <w:lang w:eastAsia="es-MX"/>
        </w:rPr>
      </w:pPr>
    </w:p>
    <w:p w14:paraId="7F859A38" w14:textId="77777777" w:rsidR="000530BE" w:rsidRDefault="000530BE" w:rsidP="00A7088B">
      <w:pPr>
        <w:pStyle w:val="Default"/>
        <w:ind w:left="-567"/>
        <w:jc w:val="center"/>
        <w:rPr>
          <w:b/>
          <w:i/>
          <w:color w:val="877A67"/>
          <w:sz w:val="20"/>
        </w:rPr>
      </w:pPr>
    </w:p>
    <w:p w14:paraId="46C19155" w14:textId="77777777" w:rsidR="000530BE" w:rsidRDefault="000530BE" w:rsidP="00A7088B">
      <w:pPr>
        <w:pStyle w:val="Default"/>
        <w:ind w:left="-567"/>
        <w:jc w:val="center"/>
        <w:rPr>
          <w:b/>
          <w:i/>
          <w:color w:val="877A67"/>
          <w:sz w:val="20"/>
        </w:rPr>
      </w:pPr>
    </w:p>
    <w:p w14:paraId="63586BAE" w14:textId="77777777" w:rsidR="000530BE" w:rsidRDefault="000530BE" w:rsidP="00A7088B">
      <w:pPr>
        <w:pStyle w:val="Default"/>
        <w:ind w:left="-567"/>
        <w:jc w:val="center"/>
        <w:rPr>
          <w:b/>
          <w:i/>
          <w:color w:val="877A67"/>
          <w:sz w:val="20"/>
        </w:rPr>
      </w:pPr>
    </w:p>
    <w:p w14:paraId="5E3024D9" w14:textId="77777777" w:rsidR="000530BE" w:rsidRDefault="000530BE" w:rsidP="00A7088B">
      <w:pPr>
        <w:pStyle w:val="Default"/>
        <w:ind w:left="-567"/>
        <w:jc w:val="center"/>
        <w:rPr>
          <w:b/>
          <w:i/>
          <w:color w:val="877A67"/>
          <w:sz w:val="20"/>
        </w:rPr>
      </w:pPr>
    </w:p>
    <w:p w14:paraId="11941B0C" w14:textId="77777777" w:rsidR="000530BE" w:rsidRDefault="000530BE" w:rsidP="00A7088B">
      <w:pPr>
        <w:pStyle w:val="Default"/>
        <w:ind w:left="-567"/>
        <w:jc w:val="center"/>
        <w:rPr>
          <w:b/>
          <w:i/>
          <w:color w:val="877A67"/>
          <w:sz w:val="20"/>
        </w:rPr>
      </w:pPr>
    </w:p>
    <w:p w14:paraId="60FBF3FB" w14:textId="77777777" w:rsidR="000530BE" w:rsidRDefault="000530BE" w:rsidP="00A7088B">
      <w:pPr>
        <w:pStyle w:val="Default"/>
        <w:ind w:left="-567"/>
        <w:jc w:val="center"/>
        <w:rPr>
          <w:b/>
          <w:i/>
          <w:color w:val="877A67"/>
          <w:sz w:val="20"/>
        </w:rPr>
      </w:pPr>
    </w:p>
    <w:p w14:paraId="72031E4B" w14:textId="77777777" w:rsidR="000530BE" w:rsidRDefault="000530BE" w:rsidP="00A7088B">
      <w:pPr>
        <w:pStyle w:val="Default"/>
        <w:ind w:left="-567"/>
        <w:jc w:val="center"/>
        <w:rPr>
          <w:b/>
          <w:i/>
          <w:color w:val="877A67"/>
          <w:sz w:val="20"/>
        </w:rPr>
      </w:pPr>
    </w:p>
    <w:p w14:paraId="3E4B1345" w14:textId="77777777" w:rsidR="000530BE" w:rsidRDefault="000530BE" w:rsidP="00A7088B">
      <w:pPr>
        <w:pStyle w:val="Default"/>
        <w:ind w:left="-567"/>
        <w:jc w:val="center"/>
        <w:rPr>
          <w:b/>
          <w:i/>
          <w:color w:val="877A67"/>
          <w:sz w:val="20"/>
        </w:rPr>
      </w:pPr>
    </w:p>
    <w:p w14:paraId="635C577E" w14:textId="77777777" w:rsidR="000530BE" w:rsidRDefault="000530BE" w:rsidP="00A7088B">
      <w:pPr>
        <w:pStyle w:val="Default"/>
        <w:ind w:left="-567"/>
        <w:jc w:val="center"/>
        <w:rPr>
          <w:b/>
          <w:i/>
          <w:color w:val="877A67"/>
          <w:sz w:val="20"/>
        </w:rPr>
      </w:pPr>
    </w:p>
    <w:p w14:paraId="442896B5" w14:textId="77777777" w:rsidR="000530BE" w:rsidRDefault="000530BE" w:rsidP="00A7088B">
      <w:pPr>
        <w:pStyle w:val="Default"/>
        <w:ind w:left="-567"/>
        <w:jc w:val="center"/>
        <w:rPr>
          <w:b/>
          <w:i/>
          <w:color w:val="877A67"/>
          <w:sz w:val="20"/>
        </w:rPr>
      </w:pPr>
    </w:p>
    <w:p w14:paraId="4C2994AB" w14:textId="77777777" w:rsidR="000530BE" w:rsidRDefault="000530BE" w:rsidP="00A7088B">
      <w:pPr>
        <w:pStyle w:val="Default"/>
        <w:ind w:left="-567"/>
        <w:jc w:val="center"/>
        <w:rPr>
          <w:b/>
          <w:i/>
          <w:color w:val="877A67"/>
          <w:sz w:val="20"/>
        </w:rPr>
      </w:pPr>
    </w:p>
    <w:p w14:paraId="16EE705B" w14:textId="77777777" w:rsidR="000530BE" w:rsidRDefault="000530BE" w:rsidP="00A7088B">
      <w:pPr>
        <w:pStyle w:val="Default"/>
        <w:ind w:left="-567"/>
        <w:jc w:val="center"/>
        <w:rPr>
          <w:b/>
          <w:i/>
          <w:color w:val="877A67"/>
          <w:sz w:val="20"/>
        </w:rPr>
      </w:pPr>
    </w:p>
    <w:p w14:paraId="77707B06" w14:textId="77777777" w:rsidR="000530BE" w:rsidRDefault="000530BE" w:rsidP="00A7088B">
      <w:pPr>
        <w:pStyle w:val="Default"/>
        <w:ind w:left="-567"/>
        <w:jc w:val="center"/>
        <w:rPr>
          <w:b/>
          <w:i/>
          <w:color w:val="877A67"/>
          <w:sz w:val="20"/>
        </w:rPr>
      </w:pPr>
    </w:p>
    <w:p w14:paraId="148E77D2" w14:textId="77777777" w:rsidR="000530BE" w:rsidRDefault="000530BE" w:rsidP="00A7088B">
      <w:pPr>
        <w:pStyle w:val="Default"/>
        <w:ind w:left="-567"/>
        <w:jc w:val="center"/>
        <w:rPr>
          <w:b/>
          <w:i/>
          <w:color w:val="877A67"/>
          <w:sz w:val="20"/>
        </w:rPr>
      </w:pPr>
    </w:p>
    <w:p w14:paraId="23511EBF" w14:textId="77777777" w:rsidR="000530BE" w:rsidRDefault="000530BE" w:rsidP="00A7088B">
      <w:pPr>
        <w:pStyle w:val="Default"/>
        <w:ind w:left="-567"/>
        <w:jc w:val="center"/>
        <w:rPr>
          <w:b/>
          <w:i/>
          <w:color w:val="877A67"/>
          <w:sz w:val="20"/>
        </w:rPr>
      </w:pPr>
    </w:p>
    <w:p w14:paraId="2043ADA2" w14:textId="77777777" w:rsidR="000530BE" w:rsidRDefault="000530BE" w:rsidP="00A7088B">
      <w:pPr>
        <w:pStyle w:val="Default"/>
        <w:ind w:left="-567"/>
        <w:jc w:val="center"/>
        <w:rPr>
          <w:b/>
          <w:i/>
          <w:color w:val="877A67"/>
          <w:sz w:val="20"/>
        </w:rPr>
      </w:pPr>
    </w:p>
    <w:p w14:paraId="569F2B3C" w14:textId="77777777" w:rsidR="000530BE" w:rsidRDefault="000530BE" w:rsidP="00A7088B">
      <w:pPr>
        <w:pStyle w:val="Default"/>
        <w:ind w:left="-567"/>
        <w:jc w:val="center"/>
        <w:rPr>
          <w:b/>
          <w:i/>
          <w:color w:val="877A67"/>
          <w:sz w:val="20"/>
        </w:rPr>
      </w:pPr>
    </w:p>
    <w:p w14:paraId="05882E99" w14:textId="5F68E828" w:rsidR="00EC2F13" w:rsidRDefault="00A7088B" w:rsidP="00A7088B">
      <w:pPr>
        <w:pStyle w:val="Default"/>
        <w:ind w:left="-567"/>
        <w:jc w:val="center"/>
        <w:rPr>
          <w:b/>
          <w:i/>
          <w:color w:val="877A67"/>
          <w:sz w:val="20"/>
        </w:rPr>
      </w:pPr>
      <w:r>
        <w:rPr>
          <w:b/>
          <w:i/>
          <w:color w:val="877A67"/>
          <w:sz w:val="20"/>
        </w:rPr>
        <w:lastRenderedPageBreak/>
        <w:t>Mapa 2</w:t>
      </w:r>
      <w:r w:rsidRPr="00406821">
        <w:rPr>
          <w:b/>
          <w:i/>
          <w:color w:val="877A67"/>
          <w:sz w:val="20"/>
        </w:rPr>
        <w:t xml:space="preserve">. </w:t>
      </w:r>
      <w:r>
        <w:rPr>
          <w:b/>
          <w:i/>
          <w:color w:val="877A67"/>
          <w:sz w:val="20"/>
        </w:rPr>
        <w:t>U</w:t>
      </w:r>
      <w:r w:rsidRPr="00A7088B">
        <w:rPr>
          <w:b/>
          <w:i/>
          <w:color w:val="877A67"/>
          <w:sz w:val="20"/>
        </w:rPr>
        <w:t>nidad</w:t>
      </w:r>
      <w:r>
        <w:rPr>
          <w:b/>
          <w:i/>
          <w:color w:val="877A67"/>
          <w:sz w:val="20"/>
        </w:rPr>
        <w:t>es</w:t>
      </w:r>
      <w:r w:rsidRPr="00A7088B">
        <w:rPr>
          <w:b/>
          <w:i/>
          <w:color w:val="877A67"/>
          <w:sz w:val="20"/>
        </w:rPr>
        <w:t xml:space="preserve"> de servicios periciales y/o servicio médico forense</w:t>
      </w:r>
      <w:r w:rsidRPr="00406821">
        <w:rPr>
          <w:b/>
          <w:i/>
          <w:color w:val="877A67"/>
          <w:sz w:val="20"/>
        </w:rPr>
        <w:t xml:space="preserve">, </w:t>
      </w:r>
      <w:r>
        <w:rPr>
          <w:b/>
          <w:i/>
          <w:color w:val="877A67"/>
          <w:sz w:val="20"/>
        </w:rPr>
        <w:t>según entidad federativa, 2020</w:t>
      </w:r>
    </w:p>
    <w:p w14:paraId="7DF65EC1" w14:textId="34719C5B" w:rsidR="00A7088B" w:rsidRDefault="00A7088B" w:rsidP="00A7088B">
      <w:pPr>
        <w:pStyle w:val="Default"/>
        <w:ind w:left="-567"/>
        <w:jc w:val="center"/>
        <w:rPr>
          <w:b/>
          <w:bCs/>
          <w:iCs/>
          <w:noProof/>
          <w:lang w:eastAsia="es-MX"/>
        </w:rPr>
      </w:pPr>
      <w:r>
        <w:rPr>
          <w:b/>
          <w:i/>
          <w:color w:val="877A67"/>
          <w:sz w:val="20"/>
        </w:rPr>
        <w:t xml:space="preserve"> </w:t>
      </w:r>
    </w:p>
    <w:p w14:paraId="52C9BDD6" w14:textId="2412DDFF" w:rsidR="00794E9D" w:rsidRDefault="00794E9D" w:rsidP="00EC2F13">
      <w:pPr>
        <w:spacing w:after="0"/>
        <w:ind w:left="-567"/>
        <w:jc w:val="center"/>
        <w:rPr>
          <w:rFonts w:ascii="Arial" w:hAnsi="Arial" w:cs="Arial"/>
          <w:b/>
          <w:bCs/>
          <w:iCs/>
          <w:noProof/>
          <w:sz w:val="24"/>
          <w:szCs w:val="24"/>
          <w:lang w:eastAsia="es-MX"/>
        </w:rPr>
      </w:pPr>
      <w:r>
        <w:rPr>
          <w:rFonts w:ascii="Arial" w:hAnsi="Arial" w:cs="Arial"/>
          <w:b/>
          <w:bCs/>
          <w:iCs/>
          <w:noProof/>
          <w:sz w:val="24"/>
          <w:szCs w:val="24"/>
          <w:lang w:eastAsia="es-MX"/>
        </w:rPr>
        <w:drawing>
          <wp:inline distT="0" distB="0" distL="0" distR="0" wp14:anchorId="55C999EF" wp14:editId="207BAB6D">
            <wp:extent cx="5999186" cy="32194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74647" cy="3259946"/>
                    </a:xfrm>
                    <a:prstGeom prst="rect">
                      <a:avLst/>
                    </a:prstGeom>
                    <a:noFill/>
                  </pic:spPr>
                </pic:pic>
              </a:graphicData>
            </a:graphic>
          </wp:inline>
        </w:drawing>
      </w:r>
    </w:p>
    <w:p w14:paraId="48612036" w14:textId="77777777" w:rsidR="000530BE" w:rsidRDefault="000530BE" w:rsidP="00EC2F13">
      <w:pPr>
        <w:pStyle w:val="Default"/>
        <w:ind w:left="-567"/>
        <w:jc w:val="center"/>
        <w:rPr>
          <w:b/>
          <w:i/>
          <w:color w:val="877A67"/>
          <w:sz w:val="20"/>
        </w:rPr>
      </w:pPr>
    </w:p>
    <w:p w14:paraId="085D05E0" w14:textId="3C0FE215" w:rsidR="00DF2A66" w:rsidRDefault="00A7088B" w:rsidP="00EC2F13">
      <w:pPr>
        <w:pStyle w:val="Default"/>
        <w:ind w:left="-567"/>
        <w:jc w:val="center"/>
        <w:rPr>
          <w:b/>
          <w:bCs/>
          <w:iCs/>
          <w:noProof/>
          <w:lang w:eastAsia="es-MX"/>
        </w:rPr>
      </w:pPr>
      <w:r>
        <w:rPr>
          <w:b/>
          <w:i/>
          <w:color w:val="877A67"/>
          <w:sz w:val="20"/>
        </w:rPr>
        <w:t>Mapa 3</w:t>
      </w:r>
      <w:r w:rsidRPr="00406821">
        <w:rPr>
          <w:b/>
          <w:i/>
          <w:color w:val="877A67"/>
          <w:sz w:val="20"/>
        </w:rPr>
        <w:t xml:space="preserve">. </w:t>
      </w:r>
      <w:r>
        <w:rPr>
          <w:b/>
          <w:i/>
          <w:color w:val="877A67"/>
          <w:sz w:val="20"/>
        </w:rPr>
        <w:t>Anfiteatros</w:t>
      </w:r>
      <w:r w:rsidRPr="00406821">
        <w:rPr>
          <w:b/>
          <w:i/>
          <w:color w:val="877A67"/>
          <w:sz w:val="20"/>
        </w:rPr>
        <w:t xml:space="preserve">, </w:t>
      </w:r>
      <w:r>
        <w:rPr>
          <w:b/>
          <w:i/>
          <w:color w:val="877A67"/>
          <w:sz w:val="20"/>
        </w:rPr>
        <w:t>según entidad federativa, 2020</w:t>
      </w:r>
      <w:r w:rsidR="00057509">
        <w:rPr>
          <w:b/>
          <w:i/>
          <w:color w:val="877A67"/>
          <w:sz w:val="20"/>
        </w:rPr>
        <w:t>*</w:t>
      </w:r>
    </w:p>
    <w:p w14:paraId="6CFB0A8E" w14:textId="4CDD3821" w:rsidR="00EC2F13" w:rsidRDefault="00EC2F13" w:rsidP="00EC2F13">
      <w:pPr>
        <w:pStyle w:val="Default"/>
        <w:ind w:left="-567"/>
        <w:jc w:val="center"/>
        <w:rPr>
          <w:b/>
          <w:bCs/>
          <w:iCs/>
          <w:noProof/>
          <w:lang w:eastAsia="es-MX"/>
        </w:rPr>
      </w:pPr>
      <w:r>
        <w:rPr>
          <w:b/>
          <w:bCs/>
          <w:iCs/>
          <w:noProof/>
          <w:lang w:eastAsia="es-MX"/>
        </w:rPr>
        <w:drawing>
          <wp:inline distT="0" distB="0" distL="0" distR="0" wp14:anchorId="1E503E00" wp14:editId="641CB31A">
            <wp:extent cx="5887658" cy="3606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14617" cy="3623315"/>
                    </a:xfrm>
                    <a:prstGeom prst="rect">
                      <a:avLst/>
                    </a:prstGeom>
                    <a:noFill/>
                  </pic:spPr>
                </pic:pic>
              </a:graphicData>
            </a:graphic>
          </wp:inline>
        </w:drawing>
      </w:r>
    </w:p>
    <w:p w14:paraId="2D49B8C3" w14:textId="56799687" w:rsidR="00057509" w:rsidRDefault="00057509" w:rsidP="00057509">
      <w:pPr>
        <w:spacing w:after="0"/>
        <w:ind w:left="-567"/>
        <w:jc w:val="center"/>
        <w:rPr>
          <w:rFonts w:ascii="Arial" w:hAnsi="Arial" w:cs="Arial"/>
          <w:bCs/>
          <w:iCs/>
          <w:noProof/>
          <w:sz w:val="16"/>
          <w:szCs w:val="24"/>
          <w:lang w:eastAsia="es-MX"/>
        </w:rPr>
      </w:pPr>
      <w:r w:rsidRPr="00057509">
        <w:rPr>
          <w:rFonts w:ascii="Arial" w:hAnsi="Arial" w:cs="Arial"/>
          <w:bCs/>
          <w:iCs/>
          <w:noProof/>
          <w:sz w:val="16"/>
          <w:szCs w:val="24"/>
          <w:lang w:eastAsia="es-MX"/>
        </w:rPr>
        <w:t>*</w:t>
      </w:r>
      <w:r>
        <w:rPr>
          <w:rFonts w:ascii="Arial" w:hAnsi="Arial" w:cs="Arial"/>
          <w:bCs/>
          <w:iCs/>
          <w:noProof/>
          <w:sz w:val="16"/>
          <w:szCs w:val="24"/>
          <w:lang w:eastAsia="es-MX"/>
        </w:rPr>
        <w:t>En</w:t>
      </w:r>
      <w:r w:rsidRPr="00057509">
        <w:rPr>
          <w:rFonts w:ascii="Arial" w:hAnsi="Arial" w:cs="Arial"/>
          <w:bCs/>
          <w:iCs/>
          <w:noProof/>
          <w:sz w:val="16"/>
          <w:szCs w:val="24"/>
          <w:lang w:eastAsia="es-MX"/>
        </w:rPr>
        <w:t xml:space="preserve"> el caso de Baja California, la Fiscalía General reportó que el servicio médico forense no depende de la Fiscalía General de la entidad, sino del Poder Judicial. Al no ser de su competencia, no recibe cadáveres. </w:t>
      </w:r>
      <w:r w:rsidR="00F41A0B">
        <w:rPr>
          <w:rFonts w:ascii="Arial" w:hAnsi="Arial" w:cs="Arial"/>
          <w:bCs/>
          <w:iCs/>
          <w:noProof/>
          <w:sz w:val="16"/>
          <w:szCs w:val="24"/>
          <w:lang w:eastAsia="es-MX"/>
        </w:rPr>
        <w:t>P</w:t>
      </w:r>
      <w:r>
        <w:rPr>
          <w:rFonts w:ascii="Arial" w:hAnsi="Arial" w:cs="Arial"/>
          <w:bCs/>
          <w:iCs/>
          <w:noProof/>
          <w:sz w:val="16"/>
          <w:szCs w:val="24"/>
          <w:lang w:eastAsia="es-MX"/>
        </w:rPr>
        <w:t>ara</w:t>
      </w:r>
      <w:r w:rsidR="00F41A0B">
        <w:rPr>
          <w:rFonts w:ascii="Arial" w:hAnsi="Arial" w:cs="Arial"/>
          <w:bCs/>
          <w:iCs/>
          <w:noProof/>
          <w:sz w:val="16"/>
          <w:szCs w:val="24"/>
          <w:lang w:eastAsia="es-MX"/>
        </w:rPr>
        <w:t xml:space="preserve"> el Estado de</w:t>
      </w:r>
      <w:r>
        <w:rPr>
          <w:rFonts w:ascii="Arial" w:hAnsi="Arial" w:cs="Arial"/>
          <w:bCs/>
          <w:iCs/>
          <w:noProof/>
          <w:sz w:val="16"/>
          <w:szCs w:val="24"/>
          <w:lang w:eastAsia="es-MX"/>
        </w:rPr>
        <w:t xml:space="preserve"> </w:t>
      </w:r>
      <w:r w:rsidRPr="00057509">
        <w:rPr>
          <w:rFonts w:ascii="Arial" w:hAnsi="Arial" w:cs="Arial"/>
          <w:bCs/>
          <w:iCs/>
          <w:noProof/>
          <w:sz w:val="16"/>
          <w:szCs w:val="24"/>
          <w:lang w:eastAsia="es-MX"/>
        </w:rPr>
        <w:t xml:space="preserve">Guerrero, </w:t>
      </w:r>
      <w:r>
        <w:rPr>
          <w:rFonts w:ascii="Arial" w:hAnsi="Arial" w:cs="Arial"/>
          <w:bCs/>
          <w:iCs/>
          <w:noProof/>
          <w:sz w:val="16"/>
          <w:szCs w:val="24"/>
          <w:lang w:eastAsia="es-MX"/>
        </w:rPr>
        <w:t>l</w:t>
      </w:r>
      <w:r w:rsidRPr="00057509">
        <w:rPr>
          <w:rFonts w:ascii="Arial" w:hAnsi="Arial" w:cs="Arial"/>
          <w:bCs/>
          <w:iCs/>
          <w:noProof/>
          <w:sz w:val="16"/>
          <w:szCs w:val="24"/>
          <w:lang w:eastAsia="es-MX"/>
        </w:rPr>
        <w:t>a Fiscalía General d</w:t>
      </w:r>
      <w:r>
        <w:rPr>
          <w:rFonts w:ascii="Arial" w:hAnsi="Arial" w:cs="Arial"/>
          <w:bCs/>
          <w:iCs/>
          <w:noProof/>
          <w:sz w:val="16"/>
          <w:szCs w:val="24"/>
          <w:lang w:eastAsia="es-MX"/>
        </w:rPr>
        <w:t xml:space="preserve">e la entidad </w:t>
      </w:r>
      <w:r w:rsidRPr="00057509">
        <w:rPr>
          <w:rFonts w:ascii="Arial" w:hAnsi="Arial" w:cs="Arial"/>
          <w:bCs/>
          <w:iCs/>
          <w:noProof/>
          <w:sz w:val="16"/>
          <w:szCs w:val="24"/>
          <w:lang w:eastAsia="es-MX"/>
        </w:rPr>
        <w:t>reportó que el servicio médico forense depende directamente de la Secretaría de Salud de la entidad.</w:t>
      </w:r>
    </w:p>
    <w:p w14:paraId="38EEC4E1" w14:textId="77777777" w:rsidR="00057509" w:rsidRPr="00057509" w:rsidRDefault="00057509" w:rsidP="00057509">
      <w:pPr>
        <w:spacing w:after="0"/>
        <w:ind w:left="-567"/>
        <w:jc w:val="center"/>
        <w:rPr>
          <w:rFonts w:ascii="Arial" w:hAnsi="Arial" w:cs="Arial"/>
          <w:bCs/>
          <w:iCs/>
          <w:noProof/>
          <w:sz w:val="16"/>
          <w:szCs w:val="24"/>
          <w:lang w:eastAsia="es-MX"/>
        </w:rPr>
      </w:pPr>
    </w:p>
    <w:p w14:paraId="66F580DD" w14:textId="151678A5" w:rsidR="00012ABF" w:rsidRDefault="00F00401" w:rsidP="00012ABF">
      <w:pPr>
        <w:autoSpaceDE w:val="0"/>
        <w:autoSpaceDN w:val="0"/>
        <w:adjustRightInd w:val="0"/>
        <w:spacing w:after="0" w:line="240" w:lineRule="auto"/>
        <w:ind w:left="-567"/>
        <w:jc w:val="both"/>
        <w:rPr>
          <w:rFonts w:ascii="Arial" w:hAnsi="Arial" w:cs="Arial"/>
          <w:color w:val="000000"/>
          <w:sz w:val="24"/>
          <w:szCs w:val="24"/>
        </w:rPr>
      </w:pPr>
      <w:r>
        <w:rPr>
          <w:rFonts w:ascii="Arial" w:hAnsi="Arial" w:cs="Arial"/>
          <w:color w:val="000000"/>
          <w:sz w:val="24"/>
          <w:szCs w:val="24"/>
        </w:rPr>
        <w:lastRenderedPageBreak/>
        <w:t xml:space="preserve">En tanto, </w:t>
      </w:r>
      <w:r w:rsidR="001334B8">
        <w:rPr>
          <w:rFonts w:ascii="Arial" w:hAnsi="Arial" w:cs="Arial"/>
          <w:color w:val="000000"/>
          <w:sz w:val="24"/>
          <w:szCs w:val="24"/>
        </w:rPr>
        <w:t>Tabasco</w:t>
      </w:r>
      <w:r>
        <w:rPr>
          <w:rFonts w:ascii="Arial" w:hAnsi="Arial" w:cs="Arial"/>
          <w:color w:val="000000"/>
          <w:sz w:val="24"/>
          <w:szCs w:val="24"/>
        </w:rPr>
        <w:t xml:space="preserve"> fue la entidad con mayor cifra de laboratorios (fijos y móviles), </w:t>
      </w:r>
      <w:r w:rsidR="001334B8">
        <w:rPr>
          <w:rFonts w:ascii="Arial" w:hAnsi="Arial" w:cs="Arial"/>
          <w:color w:val="000000"/>
          <w:sz w:val="24"/>
          <w:szCs w:val="24"/>
        </w:rPr>
        <w:t>al igual que</w:t>
      </w:r>
      <w:r>
        <w:rPr>
          <w:rFonts w:ascii="Arial" w:hAnsi="Arial" w:cs="Arial"/>
          <w:color w:val="000000"/>
          <w:sz w:val="24"/>
          <w:szCs w:val="24"/>
        </w:rPr>
        <w:t xml:space="preserve"> </w:t>
      </w:r>
      <w:r w:rsidR="001334B8">
        <w:rPr>
          <w:rFonts w:ascii="Arial" w:hAnsi="Arial" w:cs="Arial"/>
          <w:color w:val="000000"/>
          <w:sz w:val="24"/>
          <w:szCs w:val="24"/>
        </w:rPr>
        <w:t>contó con el mayor número</w:t>
      </w:r>
      <w:r>
        <w:rPr>
          <w:rFonts w:ascii="Arial" w:hAnsi="Arial" w:cs="Arial"/>
          <w:color w:val="000000"/>
          <w:sz w:val="24"/>
          <w:szCs w:val="24"/>
        </w:rPr>
        <w:t xml:space="preserve"> de laboratorios con área para realizar necropsias. </w:t>
      </w:r>
    </w:p>
    <w:p w14:paraId="1A1F17C7" w14:textId="77777777" w:rsidR="001334B8" w:rsidRDefault="001334B8" w:rsidP="001334B8">
      <w:pPr>
        <w:autoSpaceDE w:val="0"/>
        <w:autoSpaceDN w:val="0"/>
        <w:adjustRightInd w:val="0"/>
        <w:spacing w:after="0" w:line="240" w:lineRule="auto"/>
        <w:ind w:left="-567"/>
        <w:jc w:val="center"/>
        <w:rPr>
          <w:rFonts w:ascii="Arial" w:hAnsi="Arial" w:cs="Arial"/>
          <w:color w:val="000000"/>
          <w:sz w:val="24"/>
          <w:szCs w:val="24"/>
        </w:rPr>
      </w:pPr>
    </w:p>
    <w:p w14:paraId="68675513" w14:textId="59338CF0" w:rsidR="001334B8" w:rsidRDefault="001334B8" w:rsidP="00763C3E">
      <w:pPr>
        <w:autoSpaceDE w:val="0"/>
        <w:autoSpaceDN w:val="0"/>
        <w:adjustRightInd w:val="0"/>
        <w:spacing w:after="0" w:line="240" w:lineRule="auto"/>
        <w:ind w:left="-567"/>
        <w:jc w:val="center"/>
        <w:rPr>
          <w:rFonts w:ascii="Arial" w:hAnsi="Arial" w:cs="Arial"/>
          <w:color w:val="000000"/>
          <w:sz w:val="24"/>
          <w:szCs w:val="24"/>
        </w:rPr>
      </w:pPr>
      <w:r w:rsidRPr="00E151A9">
        <w:rPr>
          <w:rFonts w:ascii="Arial" w:hAnsi="Arial" w:cs="Arial"/>
          <w:b/>
          <w:i/>
          <w:color w:val="877A67"/>
          <w:sz w:val="20"/>
          <w:szCs w:val="24"/>
        </w:rPr>
        <w:t xml:space="preserve">Gráfica </w:t>
      </w:r>
      <w:r>
        <w:rPr>
          <w:rFonts w:ascii="Arial" w:hAnsi="Arial" w:cs="Arial"/>
          <w:b/>
          <w:i/>
          <w:color w:val="877A67"/>
          <w:sz w:val="20"/>
          <w:szCs w:val="24"/>
        </w:rPr>
        <w:t>1</w:t>
      </w:r>
      <w:r w:rsidR="005637D3">
        <w:rPr>
          <w:rFonts w:ascii="Arial" w:hAnsi="Arial" w:cs="Arial"/>
          <w:b/>
          <w:i/>
          <w:color w:val="877A67"/>
          <w:sz w:val="20"/>
          <w:szCs w:val="24"/>
        </w:rPr>
        <w:t>4</w:t>
      </w:r>
      <w:r>
        <w:rPr>
          <w:rFonts w:ascii="Arial" w:hAnsi="Arial" w:cs="Arial"/>
          <w:b/>
          <w:i/>
          <w:color w:val="877A67"/>
          <w:sz w:val="20"/>
          <w:szCs w:val="24"/>
        </w:rPr>
        <w:t>.</w:t>
      </w:r>
      <w:r w:rsidR="005637D3">
        <w:rPr>
          <w:rFonts w:ascii="Arial" w:hAnsi="Arial" w:cs="Arial"/>
          <w:b/>
          <w:i/>
          <w:color w:val="877A67"/>
          <w:sz w:val="20"/>
          <w:szCs w:val="24"/>
        </w:rPr>
        <w:t xml:space="preserve"> Laboratorios,</w:t>
      </w:r>
      <w:r w:rsidRPr="00DF110E">
        <w:rPr>
          <w:rFonts w:ascii="Arial" w:hAnsi="Arial" w:cs="Arial"/>
          <w:b/>
          <w:i/>
          <w:color w:val="877A67"/>
          <w:sz w:val="20"/>
          <w:szCs w:val="24"/>
        </w:rPr>
        <w:t xml:space="preserve"> </w:t>
      </w:r>
      <w:r w:rsidR="005637D3">
        <w:rPr>
          <w:rFonts w:ascii="Arial" w:hAnsi="Arial" w:cs="Arial"/>
          <w:b/>
          <w:i/>
          <w:color w:val="877A67"/>
          <w:sz w:val="20"/>
          <w:szCs w:val="24"/>
        </w:rPr>
        <w:t>según tipo, por entidad federativa,</w:t>
      </w:r>
      <w:r>
        <w:rPr>
          <w:rFonts w:ascii="Arial" w:hAnsi="Arial" w:cs="Arial"/>
          <w:b/>
          <w:i/>
          <w:color w:val="877A67"/>
          <w:sz w:val="20"/>
          <w:szCs w:val="24"/>
        </w:rPr>
        <w:t xml:space="preserve"> 2020</w:t>
      </w:r>
    </w:p>
    <w:p w14:paraId="7647C25C" w14:textId="779C294D" w:rsidR="001334B8" w:rsidRDefault="00383EFA" w:rsidP="00D854FA">
      <w:pPr>
        <w:autoSpaceDE w:val="0"/>
        <w:autoSpaceDN w:val="0"/>
        <w:adjustRightInd w:val="0"/>
        <w:spacing w:after="0" w:line="240" w:lineRule="auto"/>
        <w:ind w:left="-567"/>
        <w:jc w:val="center"/>
        <w:rPr>
          <w:rFonts w:ascii="Arial" w:hAnsi="Arial" w:cs="Arial"/>
          <w:color w:val="000000"/>
          <w:sz w:val="24"/>
          <w:szCs w:val="24"/>
        </w:rPr>
      </w:pPr>
      <w:r w:rsidRPr="00383EFA">
        <w:rPr>
          <w:rFonts w:ascii="Arial" w:hAnsi="Arial" w:cs="Arial"/>
          <w:noProof/>
          <w:color w:val="000000"/>
          <w:sz w:val="24"/>
          <w:szCs w:val="24"/>
        </w:rPr>
        <w:drawing>
          <wp:inline distT="0" distB="0" distL="0" distR="0" wp14:anchorId="3CE969EE" wp14:editId="55FE6EA1">
            <wp:extent cx="6129495" cy="1969477"/>
            <wp:effectExtent l="0" t="0" r="5080" b="0"/>
            <wp:docPr id="39" name="Gráfico 39">
              <a:extLst xmlns:a="http://schemas.openxmlformats.org/drawingml/2006/main">
                <a:ext uri="{FF2B5EF4-FFF2-40B4-BE49-F238E27FC236}">
                  <a16:creationId xmlns:a16="http://schemas.microsoft.com/office/drawing/2014/main" id="{3B7E8C62-AE1B-4EBF-B95C-38A9FF0940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EE5E626" w14:textId="1190AC23" w:rsidR="00973E24" w:rsidRDefault="008A6164" w:rsidP="001334B8">
      <w:pPr>
        <w:autoSpaceDE w:val="0"/>
        <w:autoSpaceDN w:val="0"/>
        <w:adjustRightInd w:val="0"/>
        <w:spacing w:after="0" w:line="240" w:lineRule="auto"/>
        <w:ind w:left="-567"/>
        <w:jc w:val="both"/>
        <w:rPr>
          <w:rFonts w:ascii="Arial" w:hAnsi="Arial" w:cs="Arial"/>
          <w:color w:val="000000"/>
          <w:sz w:val="24"/>
          <w:szCs w:val="24"/>
        </w:rPr>
      </w:pPr>
      <w:r>
        <w:rPr>
          <w:rFonts w:ascii="Arial" w:hAnsi="Arial" w:cs="Arial"/>
          <w:color w:val="000000"/>
          <w:sz w:val="24"/>
          <w:szCs w:val="24"/>
        </w:rPr>
        <w:t xml:space="preserve">En cuanto al equipamiento con el que contaron los </w:t>
      </w:r>
      <w:r w:rsidR="0062724C">
        <w:rPr>
          <w:rFonts w:ascii="Arial" w:hAnsi="Arial" w:cs="Arial"/>
          <w:color w:val="000000"/>
          <w:sz w:val="24"/>
          <w:szCs w:val="24"/>
        </w:rPr>
        <w:t>anfiteatros para</w:t>
      </w:r>
      <w:r>
        <w:rPr>
          <w:rFonts w:ascii="Arial" w:hAnsi="Arial" w:cs="Arial"/>
          <w:color w:val="000000"/>
          <w:sz w:val="24"/>
          <w:szCs w:val="24"/>
        </w:rPr>
        <w:t xml:space="preserve"> el </w:t>
      </w:r>
      <w:r w:rsidRPr="008A6164">
        <w:rPr>
          <w:rFonts w:ascii="Arial" w:hAnsi="Arial" w:cs="Arial"/>
          <w:color w:val="000000"/>
          <w:sz w:val="24"/>
          <w:szCs w:val="24"/>
        </w:rPr>
        <w:t>almacenamiento de cadáveres y/o restos humanos</w:t>
      </w:r>
      <w:r w:rsidR="00F41A0B">
        <w:rPr>
          <w:rFonts w:ascii="Arial" w:hAnsi="Arial" w:cs="Arial"/>
          <w:color w:val="000000"/>
          <w:sz w:val="24"/>
          <w:szCs w:val="24"/>
        </w:rPr>
        <w:t>,</w:t>
      </w:r>
      <w:r>
        <w:rPr>
          <w:rFonts w:ascii="Arial" w:hAnsi="Arial" w:cs="Arial"/>
          <w:color w:val="000000"/>
          <w:sz w:val="24"/>
          <w:szCs w:val="24"/>
        </w:rPr>
        <w:t xml:space="preserve"> al cierre de 2020, se presentó la siguiente información:</w:t>
      </w:r>
    </w:p>
    <w:p w14:paraId="00E31120" w14:textId="77777777" w:rsidR="008A6164" w:rsidRDefault="008A6164" w:rsidP="008A6164">
      <w:pPr>
        <w:autoSpaceDE w:val="0"/>
        <w:autoSpaceDN w:val="0"/>
        <w:adjustRightInd w:val="0"/>
        <w:spacing w:after="0" w:line="240" w:lineRule="auto"/>
        <w:ind w:left="-567"/>
        <w:jc w:val="center"/>
        <w:rPr>
          <w:rFonts w:ascii="Arial" w:hAnsi="Arial" w:cs="Arial"/>
          <w:b/>
          <w:i/>
          <w:color w:val="877A67"/>
          <w:sz w:val="20"/>
          <w:szCs w:val="24"/>
        </w:rPr>
      </w:pPr>
    </w:p>
    <w:p w14:paraId="10EB55FC" w14:textId="6FD83DBB" w:rsidR="00B76FBB" w:rsidRDefault="00B01E02" w:rsidP="008A6164">
      <w:pPr>
        <w:autoSpaceDE w:val="0"/>
        <w:autoSpaceDN w:val="0"/>
        <w:adjustRightInd w:val="0"/>
        <w:spacing w:after="0" w:line="240" w:lineRule="auto"/>
        <w:ind w:left="-567"/>
        <w:jc w:val="center"/>
        <w:rPr>
          <w:rFonts w:ascii="Arial" w:hAnsi="Arial" w:cs="Arial"/>
          <w:b/>
          <w:i/>
          <w:color w:val="877A67"/>
          <w:sz w:val="20"/>
          <w:szCs w:val="24"/>
        </w:rPr>
      </w:pPr>
      <w:r>
        <w:rPr>
          <w:rFonts w:ascii="Arial" w:hAnsi="Arial" w:cs="Arial"/>
          <w:b/>
          <w:i/>
          <w:color w:val="877A67"/>
          <w:sz w:val="20"/>
          <w:szCs w:val="24"/>
        </w:rPr>
        <w:t>Cuadro</w:t>
      </w:r>
      <w:r w:rsidR="008A6164">
        <w:rPr>
          <w:rFonts w:ascii="Arial" w:hAnsi="Arial" w:cs="Arial"/>
          <w:b/>
          <w:i/>
          <w:color w:val="877A67"/>
          <w:sz w:val="20"/>
          <w:szCs w:val="24"/>
        </w:rPr>
        <w:t xml:space="preserve"> 1. </w:t>
      </w:r>
      <w:r w:rsidR="008A6164" w:rsidRPr="008A6164">
        <w:rPr>
          <w:rFonts w:ascii="Arial" w:hAnsi="Arial" w:cs="Arial"/>
          <w:b/>
          <w:i/>
          <w:color w:val="877A67"/>
          <w:sz w:val="20"/>
          <w:szCs w:val="24"/>
        </w:rPr>
        <w:t>Equipamiento para el almacenamiento de cadáveres y/o restos humanos</w:t>
      </w:r>
      <w:r w:rsidR="008A6164">
        <w:rPr>
          <w:rFonts w:ascii="Arial" w:hAnsi="Arial" w:cs="Arial"/>
          <w:b/>
          <w:i/>
          <w:color w:val="877A67"/>
          <w:sz w:val="20"/>
          <w:szCs w:val="24"/>
        </w:rPr>
        <w:t xml:space="preserve">, </w:t>
      </w:r>
    </w:p>
    <w:p w14:paraId="6A78CBB6" w14:textId="3A13492F" w:rsidR="008A6164" w:rsidRDefault="008A6164" w:rsidP="008A6164">
      <w:pPr>
        <w:autoSpaceDE w:val="0"/>
        <w:autoSpaceDN w:val="0"/>
        <w:adjustRightInd w:val="0"/>
        <w:spacing w:after="0" w:line="240" w:lineRule="auto"/>
        <w:ind w:left="-567"/>
        <w:jc w:val="center"/>
        <w:rPr>
          <w:rFonts w:ascii="Arial" w:hAnsi="Arial" w:cs="Arial"/>
          <w:color w:val="000000"/>
          <w:sz w:val="24"/>
          <w:szCs w:val="24"/>
        </w:rPr>
      </w:pPr>
      <w:r>
        <w:rPr>
          <w:rFonts w:ascii="Arial" w:hAnsi="Arial" w:cs="Arial"/>
          <w:b/>
          <w:i/>
          <w:color w:val="877A67"/>
          <w:sz w:val="20"/>
          <w:szCs w:val="24"/>
        </w:rPr>
        <w:t>por entidad federativa, 2020</w:t>
      </w:r>
    </w:p>
    <w:p w14:paraId="689DF11C" w14:textId="4D5DD859" w:rsidR="008A6164" w:rsidRDefault="00733A14" w:rsidP="008A6164">
      <w:pPr>
        <w:autoSpaceDE w:val="0"/>
        <w:autoSpaceDN w:val="0"/>
        <w:adjustRightInd w:val="0"/>
        <w:spacing w:after="0" w:line="240" w:lineRule="auto"/>
        <w:ind w:left="-567"/>
        <w:jc w:val="center"/>
        <w:rPr>
          <w:rFonts w:ascii="Arial" w:hAnsi="Arial" w:cs="Arial"/>
          <w:color w:val="000000"/>
          <w:sz w:val="24"/>
          <w:szCs w:val="24"/>
        </w:rPr>
      </w:pPr>
      <w:r w:rsidRPr="00733A14">
        <w:rPr>
          <w:noProof/>
        </w:rPr>
        <w:drawing>
          <wp:inline distT="0" distB="0" distL="0" distR="0" wp14:anchorId="2CF6EBBF" wp14:editId="245A4249">
            <wp:extent cx="3064747" cy="3779555"/>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83057" cy="3802136"/>
                    </a:xfrm>
                    <a:prstGeom prst="rect">
                      <a:avLst/>
                    </a:prstGeom>
                    <a:noFill/>
                    <a:ln>
                      <a:noFill/>
                    </a:ln>
                  </pic:spPr>
                </pic:pic>
              </a:graphicData>
            </a:graphic>
          </wp:inline>
        </w:drawing>
      </w:r>
    </w:p>
    <w:p w14:paraId="429929C7" w14:textId="15D5D8FB" w:rsidR="00B808F4" w:rsidRDefault="00B808F4" w:rsidP="00B808F4">
      <w:pPr>
        <w:autoSpaceDE w:val="0"/>
        <w:autoSpaceDN w:val="0"/>
        <w:adjustRightInd w:val="0"/>
        <w:spacing w:after="0" w:line="240" w:lineRule="auto"/>
        <w:ind w:left="-567"/>
        <w:jc w:val="center"/>
        <w:rPr>
          <w:rFonts w:ascii="Arial" w:hAnsi="Arial" w:cs="Arial"/>
          <w:color w:val="000000"/>
          <w:sz w:val="16"/>
          <w:szCs w:val="24"/>
        </w:rPr>
      </w:pPr>
      <w:r>
        <w:rPr>
          <w:rFonts w:ascii="Arial" w:hAnsi="Arial" w:cs="Arial"/>
          <w:color w:val="000000"/>
          <w:sz w:val="16"/>
          <w:szCs w:val="24"/>
        </w:rPr>
        <w:t>Nota: Sonora reportó en la categoría “Otro equipamiento” 39 espacios en los cuales se resguardaron 86 cadáveres y/o restos humanos.</w:t>
      </w:r>
    </w:p>
    <w:p w14:paraId="47F1E2CF" w14:textId="4481D51E" w:rsidR="00B700DA" w:rsidRDefault="00B700DA" w:rsidP="00B808F4">
      <w:pPr>
        <w:autoSpaceDE w:val="0"/>
        <w:autoSpaceDN w:val="0"/>
        <w:adjustRightInd w:val="0"/>
        <w:spacing w:after="0" w:line="240" w:lineRule="auto"/>
        <w:ind w:left="-567"/>
        <w:jc w:val="center"/>
        <w:rPr>
          <w:rFonts w:ascii="Arial" w:hAnsi="Arial" w:cs="Arial"/>
          <w:color w:val="000000"/>
          <w:sz w:val="16"/>
          <w:szCs w:val="24"/>
        </w:rPr>
      </w:pPr>
      <w:r w:rsidRPr="00B700DA">
        <w:rPr>
          <w:rFonts w:ascii="Arial" w:hAnsi="Arial" w:cs="Arial"/>
          <w:color w:val="000000"/>
          <w:sz w:val="16"/>
          <w:szCs w:val="24"/>
        </w:rPr>
        <w:t xml:space="preserve">Para los estados de Colima, Nayarit, Oaxaca, Sinaloa y Zacatecas, los espacios en cámaras de frío corresponden a espacios colectivos. Para Nayarit, San Luis Potosí, Sinaloa y Zacatecas, los espacios en </w:t>
      </w:r>
      <w:proofErr w:type="spellStart"/>
      <w:r w:rsidRPr="00B700DA">
        <w:rPr>
          <w:rFonts w:ascii="Arial" w:hAnsi="Arial" w:cs="Arial"/>
          <w:color w:val="000000"/>
          <w:sz w:val="16"/>
          <w:szCs w:val="24"/>
        </w:rPr>
        <w:t>osteotecas</w:t>
      </w:r>
      <w:proofErr w:type="spellEnd"/>
      <w:r w:rsidRPr="00B700DA">
        <w:rPr>
          <w:rFonts w:ascii="Arial" w:hAnsi="Arial" w:cs="Arial"/>
          <w:color w:val="000000"/>
          <w:sz w:val="16"/>
          <w:szCs w:val="24"/>
        </w:rPr>
        <w:t xml:space="preserve"> se refieren a espacios colectivos.</w:t>
      </w:r>
    </w:p>
    <w:p w14:paraId="08E4A18C" w14:textId="77777777" w:rsidR="00B808F4" w:rsidRDefault="00B808F4" w:rsidP="00B808F4">
      <w:pPr>
        <w:autoSpaceDE w:val="0"/>
        <w:autoSpaceDN w:val="0"/>
        <w:adjustRightInd w:val="0"/>
        <w:spacing w:after="0" w:line="240" w:lineRule="auto"/>
        <w:ind w:left="-567"/>
        <w:jc w:val="center"/>
        <w:rPr>
          <w:rFonts w:ascii="Arial" w:hAnsi="Arial" w:cs="Arial"/>
          <w:color w:val="000000"/>
          <w:sz w:val="16"/>
          <w:szCs w:val="24"/>
        </w:rPr>
      </w:pPr>
      <w:r w:rsidRPr="007C6DC9">
        <w:rPr>
          <w:rFonts w:ascii="Arial" w:hAnsi="Arial" w:cs="Arial"/>
          <w:color w:val="000000"/>
          <w:sz w:val="16"/>
          <w:szCs w:val="24"/>
        </w:rPr>
        <w:t xml:space="preserve">NA: no aplica, debido a que se reportó que la función de los servicios periciales y/o servicio médico forense no se encontraba a cargo de la Procuraduría General de Justicia o Fiscalía General </w:t>
      </w:r>
      <w:r>
        <w:rPr>
          <w:rFonts w:ascii="Arial" w:hAnsi="Arial" w:cs="Arial"/>
          <w:color w:val="000000"/>
          <w:sz w:val="16"/>
          <w:szCs w:val="24"/>
        </w:rPr>
        <w:t>o</w:t>
      </w:r>
      <w:r w:rsidRPr="007C6DC9">
        <w:rPr>
          <w:rFonts w:ascii="Arial" w:hAnsi="Arial" w:cs="Arial"/>
          <w:color w:val="000000"/>
          <w:sz w:val="16"/>
          <w:szCs w:val="24"/>
        </w:rPr>
        <w:t xml:space="preserve"> bien no contó con anfiteatros </w:t>
      </w:r>
      <w:r>
        <w:rPr>
          <w:rFonts w:ascii="Arial" w:hAnsi="Arial" w:cs="Arial"/>
          <w:color w:val="000000"/>
          <w:sz w:val="16"/>
          <w:szCs w:val="24"/>
        </w:rPr>
        <w:t>o</w:t>
      </w:r>
      <w:r w:rsidRPr="007C6DC9">
        <w:rPr>
          <w:rFonts w:ascii="Arial" w:hAnsi="Arial" w:cs="Arial"/>
          <w:color w:val="000000"/>
          <w:sz w:val="16"/>
          <w:szCs w:val="24"/>
        </w:rPr>
        <w:t xml:space="preserve"> no contó con el tipo de equipamiento para el almacenamiento de cadáveres y/o restos humanos.</w:t>
      </w:r>
    </w:p>
    <w:p w14:paraId="46161AB3" w14:textId="77777777" w:rsidR="00B808F4" w:rsidRDefault="00B808F4" w:rsidP="00B808F4">
      <w:pPr>
        <w:autoSpaceDE w:val="0"/>
        <w:autoSpaceDN w:val="0"/>
        <w:adjustRightInd w:val="0"/>
        <w:spacing w:after="0" w:line="240" w:lineRule="auto"/>
        <w:ind w:left="-567"/>
        <w:jc w:val="center"/>
        <w:rPr>
          <w:rFonts w:ascii="Arial" w:hAnsi="Arial" w:cs="Arial"/>
          <w:color w:val="000000"/>
          <w:sz w:val="16"/>
          <w:szCs w:val="24"/>
        </w:rPr>
      </w:pPr>
      <w:r w:rsidRPr="007C6DC9">
        <w:rPr>
          <w:rFonts w:ascii="Arial" w:hAnsi="Arial" w:cs="Arial"/>
          <w:color w:val="000000"/>
          <w:sz w:val="16"/>
          <w:szCs w:val="24"/>
        </w:rPr>
        <w:t>(-): no contó con datos o elementos para responder.</w:t>
      </w:r>
      <w:r>
        <w:rPr>
          <w:rFonts w:ascii="Arial" w:hAnsi="Arial" w:cs="Arial"/>
          <w:color w:val="000000"/>
          <w:sz w:val="16"/>
          <w:szCs w:val="24"/>
        </w:rPr>
        <w:t xml:space="preserve"> </w:t>
      </w:r>
    </w:p>
    <w:p w14:paraId="1152BD19" w14:textId="77777777" w:rsidR="003B5500" w:rsidRPr="00D854FA" w:rsidRDefault="003B5500" w:rsidP="00D854FA">
      <w:pPr>
        <w:autoSpaceDE w:val="0"/>
        <w:autoSpaceDN w:val="0"/>
        <w:adjustRightInd w:val="0"/>
        <w:spacing w:after="0" w:line="240" w:lineRule="auto"/>
        <w:ind w:left="-567"/>
        <w:jc w:val="center"/>
        <w:rPr>
          <w:rFonts w:ascii="Arial" w:hAnsi="Arial" w:cs="Arial"/>
          <w:color w:val="000000"/>
          <w:sz w:val="16"/>
          <w:szCs w:val="24"/>
        </w:rPr>
      </w:pPr>
    </w:p>
    <w:p w14:paraId="67536F1D" w14:textId="6702CCBD" w:rsidR="00F00401" w:rsidRDefault="005637D3" w:rsidP="00157B43">
      <w:pPr>
        <w:autoSpaceDE w:val="0"/>
        <w:autoSpaceDN w:val="0"/>
        <w:adjustRightInd w:val="0"/>
        <w:spacing w:after="0" w:line="240" w:lineRule="auto"/>
        <w:ind w:left="-567"/>
        <w:jc w:val="both"/>
        <w:rPr>
          <w:rFonts w:ascii="Arial" w:hAnsi="Arial" w:cs="Arial"/>
          <w:color w:val="000000"/>
          <w:sz w:val="24"/>
          <w:szCs w:val="24"/>
        </w:rPr>
      </w:pPr>
      <w:r w:rsidRPr="005637D3">
        <w:rPr>
          <w:rFonts w:ascii="Arial" w:hAnsi="Arial" w:cs="Arial"/>
          <w:color w:val="000000"/>
          <w:sz w:val="24"/>
          <w:szCs w:val="24"/>
        </w:rPr>
        <w:lastRenderedPageBreak/>
        <w:t>Respecto del personal adscrito a las unidades de los</w:t>
      </w:r>
      <w:r w:rsidR="00157B43">
        <w:rPr>
          <w:rFonts w:ascii="Arial" w:hAnsi="Arial" w:cs="Arial"/>
          <w:color w:val="000000"/>
          <w:sz w:val="24"/>
          <w:szCs w:val="24"/>
        </w:rPr>
        <w:t xml:space="preserve"> </w:t>
      </w:r>
      <w:r w:rsidRPr="005637D3">
        <w:rPr>
          <w:rFonts w:ascii="Arial" w:hAnsi="Arial" w:cs="Arial"/>
          <w:color w:val="000000"/>
          <w:sz w:val="24"/>
          <w:szCs w:val="24"/>
        </w:rPr>
        <w:t xml:space="preserve">servicios periciales y/o servicio médico forense, </w:t>
      </w:r>
      <w:r w:rsidR="000C1AF8">
        <w:rPr>
          <w:rFonts w:ascii="Arial" w:hAnsi="Arial" w:cs="Arial"/>
          <w:color w:val="000000"/>
          <w:sz w:val="24"/>
          <w:szCs w:val="24"/>
        </w:rPr>
        <w:t xml:space="preserve">en 2020, </w:t>
      </w:r>
      <w:r w:rsidRPr="005637D3">
        <w:rPr>
          <w:rFonts w:ascii="Arial" w:hAnsi="Arial" w:cs="Arial"/>
          <w:color w:val="000000"/>
          <w:sz w:val="24"/>
          <w:szCs w:val="24"/>
        </w:rPr>
        <w:t xml:space="preserve">a nivel nacional se contó con </w:t>
      </w:r>
      <w:r w:rsidR="00DA015F" w:rsidRPr="00DA015F">
        <w:rPr>
          <w:rFonts w:ascii="Arial" w:hAnsi="Arial" w:cs="Arial"/>
          <w:color w:val="000000"/>
          <w:sz w:val="24"/>
          <w:szCs w:val="24"/>
        </w:rPr>
        <w:t>10</w:t>
      </w:r>
      <w:r w:rsidR="00DA015F">
        <w:rPr>
          <w:rFonts w:ascii="Arial" w:hAnsi="Arial" w:cs="Arial"/>
          <w:color w:val="000000"/>
          <w:sz w:val="24"/>
          <w:szCs w:val="24"/>
        </w:rPr>
        <w:t xml:space="preserve"> </w:t>
      </w:r>
      <w:r w:rsidR="00DA015F" w:rsidRPr="00DA015F">
        <w:rPr>
          <w:rFonts w:ascii="Arial" w:hAnsi="Arial" w:cs="Arial"/>
          <w:color w:val="000000"/>
          <w:sz w:val="24"/>
          <w:szCs w:val="24"/>
        </w:rPr>
        <w:t>119</w:t>
      </w:r>
      <w:r w:rsidR="00DA015F">
        <w:rPr>
          <w:rFonts w:ascii="Arial" w:hAnsi="Arial" w:cs="Arial"/>
          <w:color w:val="000000"/>
          <w:sz w:val="24"/>
          <w:szCs w:val="24"/>
        </w:rPr>
        <w:t xml:space="preserve"> </w:t>
      </w:r>
      <w:r w:rsidRPr="005637D3">
        <w:rPr>
          <w:rFonts w:ascii="Arial" w:hAnsi="Arial" w:cs="Arial"/>
          <w:color w:val="000000"/>
          <w:sz w:val="24"/>
          <w:szCs w:val="24"/>
        </w:rPr>
        <w:t>personas,</w:t>
      </w:r>
      <w:r w:rsidR="000530BE">
        <w:rPr>
          <w:rFonts w:ascii="Arial" w:hAnsi="Arial" w:cs="Arial"/>
          <w:color w:val="000000"/>
          <w:sz w:val="24"/>
          <w:szCs w:val="24"/>
        </w:rPr>
        <w:t xml:space="preserve"> </w:t>
      </w:r>
      <w:r w:rsidR="00DA015F">
        <w:rPr>
          <w:rFonts w:ascii="Arial" w:hAnsi="Arial" w:cs="Arial"/>
          <w:color w:val="000000"/>
          <w:sz w:val="24"/>
          <w:szCs w:val="24"/>
        </w:rPr>
        <w:t xml:space="preserve">esta cifra representó un </w:t>
      </w:r>
      <w:r w:rsidR="008D28D9">
        <w:rPr>
          <w:rFonts w:ascii="Arial" w:hAnsi="Arial" w:cs="Arial"/>
          <w:color w:val="000000"/>
          <w:sz w:val="24"/>
          <w:szCs w:val="24"/>
        </w:rPr>
        <w:t>aumento</w:t>
      </w:r>
      <w:r w:rsidR="00DA015F">
        <w:rPr>
          <w:rFonts w:ascii="Arial" w:hAnsi="Arial" w:cs="Arial"/>
          <w:color w:val="000000"/>
          <w:sz w:val="24"/>
          <w:szCs w:val="24"/>
        </w:rPr>
        <w:t xml:space="preserve"> de 3.9% en comparación a lo reportado en 2019</w:t>
      </w:r>
      <w:r w:rsidR="00DA015F">
        <w:rPr>
          <w:rStyle w:val="Refdenotaalpie"/>
          <w:rFonts w:ascii="Arial" w:hAnsi="Arial" w:cs="Arial"/>
          <w:color w:val="000000"/>
          <w:sz w:val="24"/>
          <w:szCs w:val="24"/>
        </w:rPr>
        <w:footnoteReference w:id="7"/>
      </w:r>
      <w:r w:rsidR="00DA015F">
        <w:rPr>
          <w:rFonts w:ascii="Arial" w:hAnsi="Arial" w:cs="Arial"/>
          <w:color w:val="000000"/>
          <w:sz w:val="24"/>
          <w:szCs w:val="24"/>
        </w:rPr>
        <w:t xml:space="preserve">. Del total de dicho personal, </w:t>
      </w:r>
      <w:r w:rsidR="00DA015F" w:rsidRPr="00DA015F">
        <w:rPr>
          <w:rFonts w:ascii="Arial" w:hAnsi="Arial" w:cs="Arial"/>
          <w:color w:val="000000"/>
          <w:sz w:val="24"/>
          <w:szCs w:val="24"/>
        </w:rPr>
        <w:t>52.3%</w:t>
      </w:r>
      <w:r w:rsidR="00DA015F">
        <w:rPr>
          <w:rFonts w:ascii="Arial" w:hAnsi="Arial" w:cs="Arial"/>
          <w:color w:val="000000"/>
          <w:sz w:val="24"/>
          <w:szCs w:val="24"/>
        </w:rPr>
        <w:t xml:space="preserve"> </w:t>
      </w:r>
      <w:r w:rsidRPr="005637D3">
        <w:rPr>
          <w:rFonts w:ascii="Arial" w:hAnsi="Arial" w:cs="Arial"/>
          <w:color w:val="000000"/>
          <w:sz w:val="24"/>
          <w:szCs w:val="24"/>
        </w:rPr>
        <w:t xml:space="preserve">fueron hombres y </w:t>
      </w:r>
      <w:r w:rsidR="00DA015F" w:rsidRPr="00DA015F">
        <w:rPr>
          <w:rFonts w:ascii="Arial" w:hAnsi="Arial" w:cs="Arial"/>
          <w:color w:val="000000"/>
          <w:sz w:val="24"/>
          <w:szCs w:val="24"/>
        </w:rPr>
        <w:t>47.7%</w:t>
      </w:r>
      <w:r w:rsidRPr="005637D3">
        <w:rPr>
          <w:rFonts w:ascii="Arial" w:hAnsi="Arial" w:cs="Arial"/>
          <w:color w:val="000000"/>
          <w:sz w:val="24"/>
          <w:szCs w:val="24"/>
        </w:rPr>
        <w:t xml:space="preserve"> mujeres.</w:t>
      </w:r>
    </w:p>
    <w:p w14:paraId="2B78E21E" w14:textId="77777777" w:rsidR="00FB20DD" w:rsidRDefault="00FB20DD" w:rsidP="005637D3">
      <w:pPr>
        <w:autoSpaceDE w:val="0"/>
        <w:autoSpaceDN w:val="0"/>
        <w:adjustRightInd w:val="0"/>
        <w:spacing w:after="0" w:line="240" w:lineRule="auto"/>
        <w:ind w:left="-567"/>
        <w:jc w:val="both"/>
        <w:rPr>
          <w:rFonts w:ascii="Arial" w:hAnsi="Arial" w:cs="Arial"/>
          <w:color w:val="000000"/>
          <w:sz w:val="24"/>
          <w:szCs w:val="24"/>
        </w:rPr>
      </w:pPr>
    </w:p>
    <w:p w14:paraId="418D6A86" w14:textId="18A1E908" w:rsidR="00A51680" w:rsidRPr="00A51680" w:rsidRDefault="00FB20DD" w:rsidP="00A51680">
      <w:pPr>
        <w:autoSpaceDE w:val="0"/>
        <w:autoSpaceDN w:val="0"/>
        <w:adjustRightInd w:val="0"/>
        <w:spacing w:after="0" w:line="240" w:lineRule="auto"/>
        <w:ind w:left="-567"/>
        <w:jc w:val="center"/>
        <w:rPr>
          <w:rFonts w:ascii="Arial" w:hAnsi="Arial" w:cs="Arial"/>
          <w:b/>
          <w:i/>
          <w:color w:val="877A67"/>
          <w:sz w:val="20"/>
          <w:szCs w:val="24"/>
        </w:rPr>
      </w:pPr>
      <w:r w:rsidRPr="00E151A9">
        <w:rPr>
          <w:rFonts w:ascii="Arial" w:hAnsi="Arial" w:cs="Arial"/>
          <w:b/>
          <w:i/>
          <w:color w:val="877A67"/>
          <w:sz w:val="20"/>
          <w:szCs w:val="24"/>
        </w:rPr>
        <w:t xml:space="preserve">Gráfica </w:t>
      </w:r>
      <w:r>
        <w:rPr>
          <w:rFonts w:ascii="Arial" w:hAnsi="Arial" w:cs="Arial"/>
          <w:b/>
          <w:i/>
          <w:color w:val="877A67"/>
          <w:sz w:val="20"/>
          <w:szCs w:val="24"/>
        </w:rPr>
        <w:t>1</w:t>
      </w:r>
      <w:r w:rsidR="00DA20EE">
        <w:rPr>
          <w:rFonts w:ascii="Arial" w:hAnsi="Arial" w:cs="Arial"/>
          <w:b/>
          <w:i/>
          <w:color w:val="877A67"/>
          <w:sz w:val="20"/>
          <w:szCs w:val="24"/>
        </w:rPr>
        <w:t>5</w:t>
      </w:r>
      <w:r>
        <w:rPr>
          <w:rFonts w:ascii="Arial" w:hAnsi="Arial" w:cs="Arial"/>
          <w:b/>
          <w:i/>
          <w:color w:val="877A67"/>
          <w:sz w:val="20"/>
          <w:szCs w:val="24"/>
        </w:rPr>
        <w:t>.</w:t>
      </w:r>
      <w:r w:rsidRPr="00DF110E">
        <w:t xml:space="preserve"> </w:t>
      </w:r>
      <w:r w:rsidR="00A51680">
        <w:rPr>
          <w:rFonts w:ascii="Arial" w:hAnsi="Arial" w:cs="Arial"/>
          <w:b/>
          <w:i/>
          <w:color w:val="877A67"/>
          <w:sz w:val="20"/>
          <w:szCs w:val="24"/>
        </w:rPr>
        <w:t>P</w:t>
      </w:r>
      <w:r w:rsidR="00A51680" w:rsidRPr="00A51680">
        <w:rPr>
          <w:rFonts w:ascii="Arial" w:hAnsi="Arial" w:cs="Arial"/>
          <w:b/>
          <w:i/>
          <w:color w:val="877A67"/>
          <w:sz w:val="20"/>
          <w:szCs w:val="24"/>
        </w:rPr>
        <w:t>ersonal adscrito a las unidades administrativas encargadas de la función de los</w:t>
      </w:r>
    </w:p>
    <w:p w14:paraId="0D208855" w14:textId="06C64CCA" w:rsidR="00A51680" w:rsidRDefault="00A51680" w:rsidP="00A51680">
      <w:pPr>
        <w:autoSpaceDE w:val="0"/>
        <w:autoSpaceDN w:val="0"/>
        <w:adjustRightInd w:val="0"/>
        <w:spacing w:after="0" w:line="240" w:lineRule="auto"/>
        <w:ind w:left="-567"/>
        <w:jc w:val="center"/>
        <w:rPr>
          <w:rFonts w:ascii="Arial" w:hAnsi="Arial" w:cs="Arial"/>
          <w:color w:val="000000"/>
          <w:sz w:val="24"/>
          <w:szCs w:val="24"/>
        </w:rPr>
      </w:pPr>
      <w:r w:rsidRPr="00A51680">
        <w:rPr>
          <w:rFonts w:ascii="Arial" w:hAnsi="Arial" w:cs="Arial"/>
          <w:b/>
          <w:i/>
          <w:color w:val="877A67"/>
          <w:sz w:val="20"/>
          <w:szCs w:val="24"/>
        </w:rPr>
        <w:t>servicios periciales y/o servicio médico forense</w:t>
      </w:r>
      <w:r>
        <w:rPr>
          <w:rFonts w:ascii="Arial" w:hAnsi="Arial" w:cs="Arial"/>
          <w:b/>
          <w:i/>
          <w:color w:val="877A67"/>
          <w:sz w:val="20"/>
          <w:szCs w:val="24"/>
        </w:rPr>
        <w:t>, según cargo</w:t>
      </w:r>
      <w:r w:rsidR="006D1419">
        <w:rPr>
          <w:rFonts w:ascii="Arial" w:hAnsi="Arial" w:cs="Arial"/>
          <w:b/>
          <w:i/>
          <w:color w:val="877A67"/>
          <w:sz w:val="20"/>
          <w:szCs w:val="24"/>
        </w:rPr>
        <w:t xml:space="preserve"> y sexo</w:t>
      </w:r>
      <w:r>
        <w:rPr>
          <w:rFonts w:ascii="Arial" w:hAnsi="Arial" w:cs="Arial"/>
          <w:b/>
          <w:i/>
          <w:color w:val="877A67"/>
          <w:sz w:val="20"/>
          <w:szCs w:val="24"/>
        </w:rPr>
        <w:t>, 2020</w:t>
      </w:r>
    </w:p>
    <w:p w14:paraId="0B955551" w14:textId="66742ADE" w:rsidR="00FB20DD" w:rsidRDefault="008D28D9" w:rsidP="00FB20DD">
      <w:pPr>
        <w:autoSpaceDE w:val="0"/>
        <w:autoSpaceDN w:val="0"/>
        <w:adjustRightInd w:val="0"/>
        <w:spacing w:after="0" w:line="240" w:lineRule="auto"/>
        <w:ind w:left="-567"/>
        <w:jc w:val="center"/>
        <w:rPr>
          <w:rFonts w:ascii="Arial" w:hAnsi="Arial" w:cs="Arial"/>
          <w:color w:val="000000"/>
          <w:sz w:val="24"/>
          <w:szCs w:val="24"/>
        </w:rPr>
      </w:pPr>
      <w:r w:rsidRPr="008D28D9">
        <w:rPr>
          <w:rFonts w:ascii="Arial" w:hAnsi="Arial" w:cs="Arial"/>
          <w:noProof/>
          <w:color w:val="000000"/>
          <w:sz w:val="24"/>
          <w:szCs w:val="24"/>
        </w:rPr>
        <w:drawing>
          <wp:inline distT="0" distB="0" distL="0" distR="0" wp14:anchorId="119D692F" wp14:editId="561D2F2B">
            <wp:extent cx="6288405" cy="1880006"/>
            <wp:effectExtent l="0" t="0" r="0" b="6350"/>
            <wp:docPr id="62" name="Gráfico 62">
              <a:extLst xmlns:a="http://schemas.openxmlformats.org/drawingml/2006/main">
                <a:ext uri="{FF2B5EF4-FFF2-40B4-BE49-F238E27FC236}">
                  <a16:creationId xmlns:a16="http://schemas.microsoft.com/office/drawing/2014/main" id="{6CF7D3D8-F5A4-4022-B8E6-9037721D53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DC1C5EC" w14:textId="37F71E77" w:rsidR="00F00401" w:rsidRDefault="00A51680" w:rsidP="00A51680">
      <w:pPr>
        <w:autoSpaceDE w:val="0"/>
        <w:autoSpaceDN w:val="0"/>
        <w:adjustRightInd w:val="0"/>
        <w:spacing w:after="0" w:line="240" w:lineRule="auto"/>
        <w:ind w:left="-567"/>
        <w:jc w:val="both"/>
        <w:rPr>
          <w:rFonts w:ascii="Arial" w:hAnsi="Arial" w:cs="Arial"/>
          <w:color w:val="000000"/>
          <w:sz w:val="24"/>
          <w:szCs w:val="24"/>
        </w:rPr>
      </w:pPr>
      <w:r w:rsidRPr="00A51680">
        <w:rPr>
          <w:rFonts w:ascii="Arial" w:hAnsi="Arial" w:cs="Arial"/>
          <w:color w:val="000000"/>
          <w:sz w:val="24"/>
          <w:szCs w:val="24"/>
        </w:rPr>
        <w:t>A nivel nacional, se contó con 8</w:t>
      </w:r>
      <w:r>
        <w:rPr>
          <w:rFonts w:ascii="Arial" w:hAnsi="Arial" w:cs="Arial"/>
          <w:color w:val="000000"/>
          <w:sz w:val="24"/>
          <w:szCs w:val="24"/>
        </w:rPr>
        <w:t xml:space="preserve"> </w:t>
      </w:r>
      <w:r w:rsidRPr="00A51680">
        <w:rPr>
          <w:rFonts w:ascii="Arial" w:hAnsi="Arial" w:cs="Arial"/>
          <w:color w:val="000000"/>
          <w:sz w:val="24"/>
          <w:szCs w:val="24"/>
        </w:rPr>
        <w:t>176 peritos de los servicios periciales y/o servicio médico</w:t>
      </w:r>
      <w:r w:rsidR="00EB78A8">
        <w:rPr>
          <w:rFonts w:ascii="Arial" w:hAnsi="Arial" w:cs="Arial"/>
          <w:color w:val="000000"/>
          <w:sz w:val="24"/>
          <w:szCs w:val="24"/>
        </w:rPr>
        <w:t xml:space="preserve"> </w:t>
      </w:r>
      <w:r w:rsidRPr="00A51680">
        <w:rPr>
          <w:rFonts w:ascii="Arial" w:hAnsi="Arial" w:cs="Arial"/>
          <w:color w:val="000000"/>
          <w:sz w:val="24"/>
          <w:szCs w:val="24"/>
        </w:rPr>
        <w:t>forense de las Procuradurías o Fiscalías Generales de Justicia</w:t>
      </w:r>
      <w:r w:rsidR="005B1BA8">
        <w:rPr>
          <w:rFonts w:ascii="Arial" w:hAnsi="Arial" w:cs="Arial"/>
          <w:color w:val="000000"/>
          <w:sz w:val="24"/>
          <w:szCs w:val="24"/>
        </w:rPr>
        <w:t>,</w:t>
      </w:r>
      <w:r w:rsidR="00EB78A8">
        <w:rPr>
          <w:rFonts w:ascii="Arial" w:hAnsi="Arial" w:cs="Arial"/>
          <w:color w:val="000000"/>
          <w:sz w:val="24"/>
          <w:szCs w:val="24"/>
        </w:rPr>
        <w:t xml:space="preserve"> esta cifra representó un aumento de 31.0% respecto a lo registrado en 2019</w:t>
      </w:r>
      <w:r w:rsidR="00EB78A8">
        <w:rPr>
          <w:rStyle w:val="Refdenotaalpie"/>
          <w:rFonts w:ascii="Arial" w:hAnsi="Arial" w:cs="Arial"/>
          <w:color w:val="000000"/>
          <w:sz w:val="24"/>
          <w:szCs w:val="24"/>
        </w:rPr>
        <w:footnoteReference w:id="8"/>
      </w:r>
      <w:r w:rsidR="00EB78A8">
        <w:rPr>
          <w:rFonts w:ascii="Arial" w:hAnsi="Arial" w:cs="Arial"/>
          <w:color w:val="000000"/>
          <w:sz w:val="24"/>
          <w:szCs w:val="24"/>
        </w:rPr>
        <w:t>.</w:t>
      </w:r>
      <w:r w:rsidRPr="00A51680">
        <w:rPr>
          <w:rFonts w:ascii="Arial" w:hAnsi="Arial" w:cs="Arial"/>
          <w:color w:val="000000"/>
          <w:sz w:val="24"/>
          <w:szCs w:val="24"/>
        </w:rPr>
        <w:t xml:space="preserve"> </w:t>
      </w:r>
      <w:r w:rsidR="00EB78A8">
        <w:rPr>
          <w:rFonts w:ascii="Arial" w:hAnsi="Arial" w:cs="Arial"/>
          <w:color w:val="000000"/>
          <w:sz w:val="24"/>
          <w:szCs w:val="24"/>
        </w:rPr>
        <w:t>Del total de peritos,</w:t>
      </w:r>
      <w:r>
        <w:rPr>
          <w:rFonts w:ascii="Arial" w:hAnsi="Arial" w:cs="Arial"/>
          <w:color w:val="000000"/>
          <w:sz w:val="24"/>
          <w:szCs w:val="24"/>
        </w:rPr>
        <w:t xml:space="preserve"> 15.7% se concentró en la Ciudad de México. </w:t>
      </w:r>
    </w:p>
    <w:p w14:paraId="7AF4C74E" w14:textId="77777777" w:rsidR="008D28D9" w:rsidRDefault="008D28D9" w:rsidP="00EB78A8">
      <w:pPr>
        <w:pStyle w:val="Default"/>
        <w:ind w:left="-567"/>
        <w:jc w:val="center"/>
        <w:rPr>
          <w:b/>
          <w:i/>
          <w:color w:val="877A67"/>
          <w:sz w:val="20"/>
        </w:rPr>
      </w:pPr>
      <w:bookmarkStart w:id="11" w:name="_Hlk84843315"/>
    </w:p>
    <w:p w14:paraId="549A2E3B" w14:textId="77777777" w:rsidR="008D28D9" w:rsidRDefault="008D28D9" w:rsidP="00EB78A8">
      <w:pPr>
        <w:pStyle w:val="Default"/>
        <w:ind w:left="-567"/>
        <w:jc w:val="center"/>
        <w:rPr>
          <w:b/>
          <w:i/>
          <w:color w:val="877A67"/>
          <w:sz w:val="20"/>
        </w:rPr>
      </w:pPr>
    </w:p>
    <w:p w14:paraId="4B024C9B" w14:textId="1B8EE955" w:rsidR="00EB78A8" w:rsidRDefault="00A51680" w:rsidP="00EB78A8">
      <w:pPr>
        <w:pStyle w:val="Default"/>
        <w:ind w:left="-567"/>
        <w:jc w:val="center"/>
        <w:rPr>
          <w:b/>
          <w:i/>
          <w:color w:val="877A67"/>
          <w:sz w:val="20"/>
        </w:rPr>
      </w:pPr>
      <w:r>
        <w:rPr>
          <w:b/>
          <w:i/>
          <w:color w:val="877A67"/>
          <w:sz w:val="20"/>
        </w:rPr>
        <w:t>Mapa 4</w:t>
      </w:r>
      <w:r w:rsidRPr="00406821">
        <w:rPr>
          <w:b/>
          <w:i/>
          <w:color w:val="877A67"/>
          <w:sz w:val="20"/>
        </w:rPr>
        <w:t xml:space="preserve">. </w:t>
      </w:r>
      <w:r w:rsidR="00EB78A8">
        <w:rPr>
          <w:b/>
          <w:i/>
          <w:color w:val="877A67"/>
          <w:sz w:val="20"/>
        </w:rPr>
        <w:t>P</w:t>
      </w:r>
      <w:r w:rsidR="00EB78A8" w:rsidRPr="00EB78A8">
        <w:rPr>
          <w:b/>
          <w:i/>
          <w:color w:val="877A67"/>
          <w:sz w:val="20"/>
        </w:rPr>
        <w:t>eritos de los servicios periciales y/o servicio</w:t>
      </w:r>
      <w:r w:rsidR="00EB78A8">
        <w:rPr>
          <w:b/>
          <w:i/>
          <w:color w:val="877A67"/>
          <w:sz w:val="20"/>
        </w:rPr>
        <w:t xml:space="preserve"> </w:t>
      </w:r>
      <w:r w:rsidR="00EB78A8" w:rsidRPr="00EB78A8">
        <w:rPr>
          <w:b/>
          <w:i/>
          <w:color w:val="877A67"/>
          <w:sz w:val="20"/>
        </w:rPr>
        <w:t xml:space="preserve">médico forense, según </w:t>
      </w:r>
      <w:r w:rsidR="00EB78A8">
        <w:rPr>
          <w:b/>
          <w:i/>
          <w:color w:val="877A67"/>
          <w:sz w:val="20"/>
        </w:rPr>
        <w:t>entidad federativa</w:t>
      </w:r>
      <w:r w:rsidR="00EB78A8" w:rsidRPr="00EB78A8">
        <w:rPr>
          <w:b/>
          <w:i/>
          <w:color w:val="877A67"/>
          <w:sz w:val="20"/>
        </w:rPr>
        <w:t>, 20</w:t>
      </w:r>
      <w:r w:rsidR="00EB78A8">
        <w:rPr>
          <w:b/>
          <w:i/>
          <w:color w:val="877A67"/>
          <w:sz w:val="20"/>
        </w:rPr>
        <w:t>20</w:t>
      </w:r>
      <w:bookmarkEnd w:id="11"/>
    </w:p>
    <w:p w14:paraId="51D8756D" w14:textId="77777777" w:rsidR="00EB78A8" w:rsidRDefault="00EB78A8" w:rsidP="00EB78A8">
      <w:pPr>
        <w:pStyle w:val="Default"/>
        <w:ind w:left="-567"/>
        <w:jc w:val="center"/>
        <w:rPr>
          <w:b/>
          <w:i/>
          <w:color w:val="877A67"/>
          <w:sz w:val="20"/>
        </w:rPr>
      </w:pPr>
    </w:p>
    <w:p w14:paraId="2378F353" w14:textId="06D64B12" w:rsidR="00A51680" w:rsidRPr="00FD2D78" w:rsidRDefault="00B01E02" w:rsidP="00EB78A8">
      <w:pPr>
        <w:pStyle w:val="Default"/>
        <w:ind w:left="-567"/>
        <w:jc w:val="center"/>
      </w:pPr>
      <w:r>
        <w:rPr>
          <w:noProof/>
        </w:rPr>
        <w:drawing>
          <wp:inline distT="0" distB="0" distL="0" distR="0" wp14:anchorId="0F9DA1FF" wp14:editId="2D07DD57">
            <wp:extent cx="5530502" cy="3339661"/>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30502" cy="3339661"/>
                    </a:xfrm>
                    <a:prstGeom prst="rect">
                      <a:avLst/>
                    </a:prstGeom>
                    <a:noFill/>
                  </pic:spPr>
                </pic:pic>
              </a:graphicData>
            </a:graphic>
          </wp:inline>
        </w:drawing>
      </w:r>
    </w:p>
    <w:p w14:paraId="4AC526ED" w14:textId="77777777" w:rsidR="00EB78A8" w:rsidRDefault="00EB78A8" w:rsidP="00EB78A8">
      <w:pPr>
        <w:autoSpaceDE w:val="0"/>
        <w:autoSpaceDN w:val="0"/>
        <w:adjustRightInd w:val="0"/>
        <w:spacing w:after="0" w:line="240" w:lineRule="auto"/>
        <w:rPr>
          <w:rFonts w:ascii="Arial" w:hAnsi="Arial" w:cs="Arial"/>
          <w:color w:val="000000"/>
        </w:rPr>
      </w:pPr>
    </w:p>
    <w:p w14:paraId="08732F9D" w14:textId="4BEFC9FA" w:rsidR="00EB78A8" w:rsidRDefault="00EB78A8" w:rsidP="00EB78A8">
      <w:pPr>
        <w:autoSpaceDE w:val="0"/>
        <w:autoSpaceDN w:val="0"/>
        <w:adjustRightInd w:val="0"/>
        <w:spacing w:after="0" w:line="240" w:lineRule="auto"/>
        <w:ind w:left="-567"/>
        <w:jc w:val="both"/>
        <w:rPr>
          <w:rFonts w:ascii="Arial" w:hAnsi="Arial" w:cs="Arial"/>
          <w:color w:val="000000"/>
          <w:sz w:val="24"/>
          <w:szCs w:val="24"/>
        </w:rPr>
      </w:pPr>
      <w:bookmarkStart w:id="12" w:name="_Hlk85032434"/>
      <w:r>
        <w:rPr>
          <w:rFonts w:ascii="Arial" w:hAnsi="Arial" w:cs="Arial"/>
          <w:color w:val="000000"/>
          <w:sz w:val="24"/>
          <w:szCs w:val="24"/>
        </w:rPr>
        <w:t xml:space="preserve">Respecto de las solicitudes de intervención </w:t>
      </w:r>
      <w:r w:rsidR="00DE6734">
        <w:rPr>
          <w:rFonts w:ascii="Arial" w:hAnsi="Arial" w:cs="Arial"/>
          <w:color w:val="000000"/>
          <w:sz w:val="24"/>
          <w:szCs w:val="24"/>
        </w:rPr>
        <w:t>p</w:t>
      </w:r>
      <w:r w:rsidR="0060742D">
        <w:rPr>
          <w:rFonts w:ascii="Arial" w:hAnsi="Arial" w:cs="Arial"/>
          <w:color w:val="000000"/>
          <w:sz w:val="24"/>
          <w:szCs w:val="24"/>
        </w:rPr>
        <w:t>ericial</w:t>
      </w:r>
      <w:r w:rsidR="00FE00A5">
        <w:rPr>
          <w:rFonts w:ascii="Arial" w:hAnsi="Arial" w:cs="Arial"/>
          <w:color w:val="000000"/>
          <w:sz w:val="24"/>
          <w:szCs w:val="24"/>
        </w:rPr>
        <w:t xml:space="preserve">, durante 2020 se admitieron </w:t>
      </w:r>
      <w:r w:rsidR="00FE00A5" w:rsidRPr="00FE00A5">
        <w:rPr>
          <w:rFonts w:ascii="Arial" w:hAnsi="Arial" w:cs="Arial"/>
          <w:color w:val="000000"/>
          <w:sz w:val="24"/>
          <w:szCs w:val="24"/>
        </w:rPr>
        <w:t>3</w:t>
      </w:r>
      <w:r w:rsidR="00FE00A5">
        <w:rPr>
          <w:rFonts w:ascii="Arial" w:hAnsi="Arial" w:cs="Arial"/>
          <w:color w:val="000000"/>
          <w:sz w:val="24"/>
          <w:szCs w:val="24"/>
        </w:rPr>
        <w:t xml:space="preserve"> </w:t>
      </w:r>
      <w:r w:rsidR="00FE00A5" w:rsidRPr="00FE00A5">
        <w:rPr>
          <w:rFonts w:ascii="Arial" w:hAnsi="Arial" w:cs="Arial"/>
          <w:color w:val="000000"/>
          <w:sz w:val="24"/>
          <w:szCs w:val="24"/>
        </w:rPr>
        <w:t>499</w:t>
      </w:r>
      <w:r w:rsidR="00FE00A5">
        <w:rPr>
          <w:rFonts w:ascii="Arial" w:hAnsi="Arial" w:cs="Arial"/>
          <w:color w:val="000000"/>
          <w:sz w:val="24"/>
          <w:szCs w:val="24"/>
        </w:rPr>
        <w:t xml:space="preserve"> </w:t>
      </w:r>
      <w:r w:rsidR="00FE00A5" w:rsidRPr="00FE00A5">
        <w:rPr>
          <w:rFonts w:ascii="Arial" w:hAnsi="Arial" w:cs="Arial"/>
          <w:color w:val="000000"/>
          <w:sz w:val="24"/>
          <w:szCs w:val="24"/>
        </w:rPr>
        <w:t>259</w:t>
      </w:r>
      <w:r w:rsidR="00FE00A5">
        <w:rPr>
          <w:rFonts w:ascii="Arial" w:hAnsi="Arial" w:cs="Arial"/>
          <w:color w:val="000000"/>
          <w:sz w:val="24"/>
          <w:szCs w:val="24"/>
        </w:rPr>
        <w:t xml:space="preserve">, esta cifra representó una disminución de 21.8% respecto a la cantidad reportada en 2019. Por su parte, se concluyeron </w:t>
      </w:r>
      <w:r w:rsidR="00FE00A5" w:rsidRPr="00FE00A5">
        <w:rPr>
          <w:rFonts w:ascii="Arial" w:hAnsi="Arial" w:cs="Arial"/>
          <w:color w:val="000000"/>
          <w:sz w:val="24"/>
          <w:szCs w:val="24"/>
        </w:rPr>
        <w:t>3</w:t>
      </w:r>
      <w:r w:rsidR="00FE00A5">
        <w:rPr>
          <w:rFonts w:ascii="Arial" w:hAnsi="Arial" w:cs="Arial"/>
          <w:color w:val="000000"/>
          <w:sz w:val="24"/>
          <w:szCs w:val="24"/>
        </w:rPr>
        <w:t xml:space="preserve"> </w:t>
      </w:r>
      <w:r w:rsidR="00FE00A5" w:rsidRPr="00FE00A5">
        <w:rPr>
          <w:rFonts w:ascii="Arial" w:hAnsi="Arial" w:cs="Arial"/>
          <w:color w:val="000000"/>
          <w:sz w:val="24"/>
          <w:szCs w:val="24"/>
        </w:rPr>
        <w:t>674</w:t>
      </w:r>
      <w:r w:rsidR="00FE00A5">
        <w:rPr>
          <w:rFonts w:ascii="Arial" w:hAnsi="Arial" w:cs="Arial"/>
          <w:color w:val="000000"/>
          <w:sz w:val="24"/>
          <w:szCs w:val="24"/>
        </w:rPr>
        <w:t xml:space="preserve"> </w:t>
      </w:r>
      <w:r w:rsidR="00FE00A5" w:rsidRPr="00FE00A5">
        <w:rPr>
          <w:rFonts w:ascii="Arial" w:hAnsi="Arial" w:cs="Arial"/>
          <w:color w:val="000000"/>
          <w:sz w:val="24"/>
          <w:szCs w:val="24"/>
        </w:rPr>
        <w:t>002</w:t>
      </w:r>
      <w:r w:rsidR="00FE00A5">
        <w:rPr>
          <w:rFonts w:ascii="Arial" w:hAnsi="Arial" w:cs="Arial"/>
          <w:color w:val="000000"/>
          <w:sz w:val="24"/>
          <w:szCs w:val="24"/>
        </w:rPr>
        <w:t xml:space="preserve"> solicitudes, lo que representó una disminución de 15.8%, </w:t>
      </w:r>
      <w:r w:rsidR="004377F1">
        <w:rPr>
          <w:rFonts w:ascii="Arial" w:hAnsi="Arial" w:cs="Arial"/>
          <w:color w:val="000000"/>
          <w:sz w:val="24"/>
          <w:szCs w:val="24"/>
        </w:rPr>
        <w:t xml:space="preserve">en comparación con lo registrado en 2019. </w:t>
      </w:r>
    </w:p>
    <w:bookmarkEnd w:id="12"/>
    <w:p w14:paraId="03659439" w14:textId="77777777" w:rsidR="00FE00A5" w:rsidRDefault="00FE00A5" w:rsidP="00EB78A8">
      <w:pPr>
        <w:autoSpaceDE w:val="0"/>
        <w:autoSpaceDN w:val="0"/>
        <w:adjustRightInd w:val="0"/>
        <w:spacing w:after="0" w:line="240" w:lineRule="auto"/>
        <w:ind w:left="-567"/>
        <w:jc w:val="both"/>
        <w:rPr>
          <w:rFonts w:ascii="Arial" w:hAnsi="Arial" w:cs="Arial"/>
          <w:color w:val="000000"/>
          <w:sz w:val="24"/>
          <w:szCs w:val="24"/>
        </w:rPr>
      </w:pPr>
    </w:p>
    <w:p w14:paraId="77BC3828" w14:textId="0E2DFB87" w:rsidR="00B01E02" w:rsidRDefault="00FE00A5" w:rsidP="00FE00A5">
      <w:pPr>
        <w:autoSpaceDE w:val="0"/>
        <w:autoSpaceDN w:val="0"/>
        <w:adjustRightInd w:val="0"/>
        <w:spacing w:after="0" w:line="240" w:lineRule="auto"/>
        <w:ind w:left="-567"/>
        <w:jc w:val="center"/>
        <w:rPr>
          <w:rFonts w:ascii="Arial" w:hAnsi="Arial" w:cs="Arial"/>
          <w:b/>
          <w:i/>
          <w:color w:val="877A67"/>
          <w:sz w:val="20"/>
          <w:szCs w:val="24"/>
        </w:rPr>
      </w:pPr>
      <w:r w:rsidRPr="00E151A9">
        <w:rPr>
          <w:rFonts w:ascii="Arial" w:hAnsi="Arial" w:cs="Arial"/>
          <w:b/>
          <w:i/>
          <w:color w:val="877A67"/>
          <w:sz w:val="20"/>
          <w:szCs w:val="24"/>
        </w:rPr>
        <w:t xml:space="preserve">Gráfica </w:t>
      </w:r>
      <w:r>
        <w:rPr>
          <w:rFonts w:ascii="Arial" w:hAnsi="Arial" w:cs="Arial"/>
          <w:b/>
          <w:i/>
          <w:color w:val="877A67"/>
          <w:sz w:val="20"/>
          <w:szCs w:val="24"/>
        </w:rPr>
        <w:t>1</w:t>
      </w:r>
      <w:r w:rsidR="00DA20EE">
        <w:rPr>
          <w:rFonts w:ascii="Arial" w:hAnsi="Arial" w:cs="Arial"/>
          <w:b/>
          <w:i/>
          <w:color w:val="877A67"/>
          <w:sz w:val="20"/>
          <w:szCs w:val="24"/>
        </w:rPr>
        <w:t>6</w:t>
      </w:r>
      <w:r>
        <w:rPr>
          <w:rFonts w:ascii="Arial" w:hAnsi="Arial" w:cs="Arial"/>
          <w:b/>
          <w:i/>
          <w:color w:val="877A67"/>
          <w:sz w:val="20"/>
          <w:szCs w:val="24"/>
        </w:rPr>
        <w:t>.</w:t>
      </w:r>
      <w:r w:rsidRPr="00DF110E">
        <w:t xml:space="preserve"> </w:t>
      </w:r>
      <w:r w:rsidRPr="00FE00A5">
        <w:rPr>
          <w:rFonts w:ascii="Arial" w:hAnsi="Arial" w:cs="Arial"/>
          <w:b/>
          <w:i/>
          <w:color w:val="877A67"/>
          <w:sz w:val="20"/>
          <w:szCs w:val="24"/>
        </w:rPr>
        <w:t>Solicitudes de intervención pericial</w:t>
      </w:r>
      <w:r>
        <w:rPr>
          <w:rFonts w:ascii="Arial" w:hAnsi="Arial" w:cs="Arial"/>
          <w:b/>
          <w:i/>
          <w:color w:val="877A67"/>
          <w:sz w:val="20"/>
          <w:szCs w:val="24"/>
        </w:rPr>
        <w:t>, según estatus, 20</w:t>
      </w:r>
      <w:r w:rsidR="00B01E02">
        <w:rPr>
          <w:rFonts w:ascii="Arial" w:hAnsi="Arial" w:cs="Arial"/>
          <w:b/>
          <w:i/>
          <w:color w:val="877A67"/>
          <w:sz w:val="20"/>
          <w:szCs w:val="24"/>
        </w:rPr>
        <w:t>16 a 2020</w:t>
      </w:r>
    </w:p>
    <w:p w14:paraId="61D4B17C" w14:textId="77777777" w:rsidR="00FE00A5" w:rsidRDefault="00FE00A5" w:rsidP="00FE00A5">
      <w:pPr>
        <w:autoSpaceDE w:val="0"/>
        <w:autoSpaceDN w:val="0"/>
        <w:adjustRightInd w:val="0"/>
        <w:spacing w:after="0" w:line="240" w:lineRule="auto"/>
        <w:ind w:left="-567"/>
        <w:jc w:val="center"/>
        <w:rPr>
          <w:rFonts w:ascii="Arial" w:hAnsi="Arial" w:cs="Arial"/>
          <w:color w:val="000000"/>
          <w:sz w:val="24"/>
          <w:szCs w:val="24"/>
        </w:rPr>
      </w:pPr>
    </w:p>
    <w:p w14:paraId="3F069E70" w14:textId="2F6E7DFE" w:rsidR="00BA77FA" w:rsidRDefault="00BA77FA" w:rsidP="00FE00A5">
      <w:pPr>
        <w:autoSpaceDE w:val="0"/>
        <w:autoSpaceDN w:val="0"/>
        <w:adjustRightInd w:val="0"/>
        <w:spacing w:after="0" w:line="240" w:lineRule="auto"/>
        <w:ind w:left="-567"/>
        <w:jc w:val="center"/>
        <w:rPr>
          <w:rFonts w:ascii="Arial" w:hAnsi="Arial" w:cs="Arial"/>
          <w:color w:val="000000"/>
          <w:sz w:val="24"/>
          <w:szCs w:val="24"/>
        </w:rPr>
      </w:pPr>
      <w:r w:rsidRPr="00BA77FA">
        <w:rPr>
          <w:rFonts w:ascii="Arial" w:hAnsi="Arial" w:cs="Arial"/>
          <w:noProof/>
          <w:color w:val="000000"/>
          <w:sz w:val="24"/>
          <w:szCs w:val="24"/>
        </w:rPr>
        <w:drawing>
          <wp:inline distT="0" distB="0" distL="0" distR="0" wp14:anchorId="1F48AE30" wp14:editId="3BFAD7B9">
            <wp:extent cx="5930900" cy="1746250"/>
            <wp:effectExtent l="0" t="0" r="0" b="6350"/>
            <wp:docPr id="3" name="Gráfico 3">
              <a:extLst xmlns:a="http://schemas.openxmlformats.org/drawingml/2006/main">
                <a:ext uri="{FF2B5EF4-FFF2-40B4-BE49-F238E27FC236}">
                  <a16:creationId xmlns:a16="http://schemas.microsoft.com/office/drawing/2014/main" id="{7616165A-7F4D-4989-BF21-50389CC23A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CE436B7" w14:textId="77777777" w:rsidR="00B01E02" w:rsidRDefault="00B01E02" w:rsidP="00FE00A5">
      <w:pPr>
        <w:autoSpaceDE w:val="0"/>
        <w:autoSpaceDN w:val="0"/>
        <w:adjustRightInd w:val="0"/>
        <w:spacing w:after="0" w:line="240" w:lineRule="auto"/>
        <w:ind w:left="-567"/>
        <w:jc w:val="center"/>
        <w:rPr>
          <w:rFonts w:ascii="Arial" w:hAnsi="Arial" w:cs="Arial"/>
          <w:color w:val="000000"/>
          <w:sz w:val="24"/>
          <w:szCs w:val="24"/>
        </w:rPr>
      </w:pPr>
    </w:p>
    <w:p w14:paraId="45ED3615" w14:textId="091E2077" w:rsidR="001118FC" w:rsidRPr="001118FC" w:rsidRDefault="001118FC" w:rsidP="00FE00A5">
      <w:pPr>
        <w:autoSpaceDE w:val="0"/>
        <w:autoSpaceDN w:val="0"/>
        <w:adjustRightInd w:val="0"/>
        <w:spacing w:after="0" w:line="240" w:lineRule="auto"/>
        <w:ind w:left="-567"/>
        <w:jc w:val="center"/>
        <w:rPr>
          <w:rFonts w:ascii="Arial" w:hAnsi="Arial" w:cs="Arial"/>
          <w:color w:val="000000"/>
          <w:sz w:val="16"/>
          <w:szCs w:val="24"/>
        </w:rPr>
      </w:pPr>
      <w:r w:rsidRPr="001118FC">
        <w:rPr>
          <w:rFonts w:ascii="Arial" w:hAnsi="Arial" w:cs="Arial"/>
          <w:color w:val="000000"/>
          <w:sz w:val="16"/>
          <w:szCs w:val="24"/>
        </w:rPr>
        <w:t xml:space="preserve">Nota: la cantidad de solicitudes concluidas puede ser mayor a las solicitudes admitidas, toda vez </w:t>
      </w:r>
      <w:r>
        <w:rPr>
          <w:rFonts w:ascii="Arial" w:hAnsi="Arial" w:cs="Arial"/>
          <w:color w:val="000000"/>
          <w:sz w:val="16"/>
          <w:szCs w:val="24"/>
        </w:rPr>
        <w:t xml:space="preserve">que </w:t>
      </w:r>
      <w:r w:rsidRPr="001118FC">
        <w:rPr>
          <w:rFonts w:ascii="Arial" w:hAnsi="Arial" w:cs="Arial"/>
          <w:color w:val="000000"/>
          <w:sz w:val="16"/>
          <w:szCs w:val="24"/>
        </w:rPr>
        <w:t>se pudieron concluir solicitudes de años anteriores.</w:t>
      </w:r>
      <w:r w:rsidRPr="001118FC">
        <w:rPr>
          <w:rFonts w:ascii="Arial" w:hAnsi="Arial" w:cs="Arial"/>
          <w:color w:val="000000"/>
          <w:sz w:val="16"/>
          <w:szCs w:val="24"/>
        </w:rPr>
        <w:cr/>
      </w:r>
    </w:p>
    <w:p w14:paraId="0506BFD4" w14:textId="77777777" w:rsidR="00FE00A5" w:rsidRDefault="00FE00A5" w:rsidP="00FE00A5">
      <w:pPr>
        <w:autoSpaceDE w:val="0"/>
        <w:autoSpaceDN w:val="0"/>
        <w:adjustRightInd w:val="0"/>
        <w:spacing w:after="0" w:line="240" w:lineRule="auto"/>
        <w:ind w:left="-567"/>
        <w:jc w:val="both"/>
        <w:rPr>
          <w:rFonts w:ascii="Arial" w:hAnsi="Arial" w:cs="Arial"/>
          <w:color w:val="000000"/>
          <w:sz w:val="24"/>
          <w:szCs w:val="24"/>
        </w:rPr>
      </w:pPr>
    </w:p>
    <w:p w14:paraId="3D2C3066" w14:textId="040F77FD" w:rsidR="00AA7D2F" w:rsidRDefault="00FE00A5" w:rsidP="006749C0">
      <w:pPr>
        <w:autoSpaceDE w:val="0"/>
        <w:autoSpaceDN w:val="0"/>
        <w:adjustRightInd w:val="0"/>
        <w:spacing w:after="0" w:line="240" w:lineRule="auto"/>
        <w:ind w:left="-567"/>
        <w:jc w:val="both"/>
        <w:rPr>
          <w:rFonts w:ascii="Arial" w:hAnsi="Arial" w:cs="Arial"/>
          <w:color w:val="000000"/>
          <w:sz w:val="24"/>
          <w:szCs w:val="24"/>
        </w:rPr>
      </w:pPr>
      <w:r>
        <w:rPr>
          <w:rFonts w:ascii="Arial" w:hAnsi="Arial" w:cs="Arial"/>
          <w:color w:val="000000"/>
          <w:sz w:val="24"/>
          <w:szCs w:val="24"/>
        </w:rPr>
        <w:t xml:space="preserve">En tanto, </w:t>
      </w:r>
      <w:r w:rsidR="00557D9A">
        <w:rPr>
          <w:rFonts w:ascii="Arial" w:hAnsi="Arial" w:cs="Arial"/>
          <w:color w:val="000000"/>
          <w:sz w:val="24"/>
          <w:szCs w:val="24"/>
        </w:rPr>
        <w:t xml:space="preserve">Ciudad de México, estado de México, Sonora y Nuevo León concentraron 39.9% del total de solicitudes admitidas. </w:t>
      </w:r>
    </w:p>
    <w:p w14:paraId="5D033595" w14:textId="77777777" w:rsidR="00FE00A5" w:rsidRDefault="00FE00A5" w:rsidP="00FE00A5">
      <w:pPr>
        <w:autoSpaceDE w:val="0"/>
        <w:autoSpaceDN w:val="0"/>
        <w:adjustRightInd w:val="0"/>
        <w:spacing w:after="0" w:line="240" w:lineRule="auto"/>
        <w:ind w:left="-567"/>
        <w:jc w:val="center"/>
        <w:rPr>
          <w:rFonts w:ascii="Arial" w:hAnsi="Arial" w:cs="Arial"/>
          <w:b/>
          <w:i/>
          <w:color w:val="877A67"/>
          <w:sz w:val="20"/>
          <w:szCs w:val="24"/>
        </w:rPr>
      </w:pPr>
    </w:p>
    <w:p w14:paraId="153C110C" w14:textId="4BDBC6B2" w:rsidR="00FE00A5" w:rsidRDefault="00FE00A5" w:rsidP="00FE00A5">
      <w:pPr>
        <w:autoSpaceDE w:val="0"/>
        <w:autoSpaceDN w:val="0"/>
        <w:adjustRightInd w:val="0"/>
        <w:spacing w:after="0" w:line="240" w:lineRule="auto"/>
        <w:ind w:left="-567"/>
        <w:jc w:val="center"/>
        <w:rPr>
          <w:rFonts w:ascii="Arial" w:hAnsi="Arial" w:cs="Arial"/>
          <w:b/>
          <w:i/>
          <w:color w:val="877A67"/>
          <w:sz w:val="20"/>
          <w:szCs w:val="24"/>
        </w:rPr>
      </w:pPr>
      <w:r w:rsidRPr="00FE00A5">
        <w:rPr>
          <w:rFonts w:ascii="Arial" w:hAnsi="Arial" w:cs="Arial"/>
          <w:b/>
          <w:i/>
          <w:color w:val="877A67"/>
          <w:sz w:val="20"/>
          <w:szCs w:val="24"/>
        </w:rPr>
        <w:t xml:space="preserve">Mapa </w:t>
      </w:r>
      <w:r w:rsidR="00557D9A">
        <w:rPr>
          <w:rFonts w:ascii="Arial" w:hAnsi="Arial" w:cs="Arial"/>
          <w:b/>
          <w:i/>
          <w:color w:val="877A67"/>
          <w:sz w:val="20"/>
          <w:szCs w:val="24"/>
        </w:rPr>
        <w:t>5</w:t>
      </w:r>
      <w:r w:rsidRPr="00FE00A5">
        <w:rPr>
          <w:rFonts w:ascii="Arial" w:hAnsi="Arial" w:cs="Arial"/>
          <w:b/>
          <w:i/>
          <w:color w:val="877A67"/>
          <w:sz w:val="20"/>
          <w:szCs w:val="24"/>
        </w:rPr>
        <w:t xml:space="preserve">. </w:t>
      </w:r>
      <w:r w:rsidR="00557D9A" w:rsidRPr="00FE00A5">
        <w:rPr>
          <w:rFonts w:ascii="Arial" w:hAnsi="Arial" w:cs="Arial"/>
          <w:b/>
          <w:i/>
          <w:color w:val="877A67"/>
          <w:sz w:val="20"/>
          <w:szCs w:val="24"/>
        </w:rPr>
        <w:t>Solicitudes de intervención pericial</w:t>
      </w:r>
      <w:r w:rsidR="00557D9A">
        <w:rPr>
          <w:rFonts w:ascii="Arial" w:hAnsi="Arial" w:cs="Arial"/>
          <w:b/>
          <w:i/>
          <w:color w:val="877A67"/>
          <w:sz w:val="20"/>
          <w:szCs w:val="24"/>
        </w:rPr>
        <w:t xml:space="preserve"> admitidas, según entidad federativa, 2020</w:t>
      </w:r>
    </w:p>
    <w:p w14:paraId="2118111E" w14:textId="77777777" w:rsidR="00557D9A" w:rsidRDefault="00557D9A" w:rsidP="00FE00A5">
      <w:pPr>
        <w:autoSpaceDE w:val="0"/>
        <w:autoSpaceDN w:val="0"/>
        <w:adjustRightInd w:val="0"/>
        <w:spacing w:after="0" w:line="240" w:lineRule="auto"/>
        <w:ind w:left="-567"/>
        <w:jc w:val="center"/>
        <w:rPr>
          <w:rFonts w:ascii="Arial" w:hAnsi="Arial" w:cs="Arial"/>
          <w:b/>
          <w:i/>
          <w:color w:val="877A67"/>
          <w:sz w:val="20"/>
          <w:szCs w:val="24"/>
        </w:rPr>
      </w:pPr>
    </w:p>
    <w:p w14:paraId="7096716A" w14:textId="12EDE0DC" w:rsidR="006749C0" w:rsidRPr="00FD2D78" w:rsidRDefault="006749C0" w:rsidP="00FE00A5">
      <w:pPr>
        <w:autoSpaceDE w:val="0"/>
        <w:autoSpaceDN w:val="0"/>
        <w:adjustRightInd w:val="0"/>
        <w:spacing w:after="0" w:line="240" w:lineRule="auto"/>
        <w:ind w:left="-567"/>
        <w:jc w:val="center"/>
        <w:rPr>
          <w:rFonts w:ascii="Arial" w:hAnsi="Arial" w:cs="Arial"/>
          <w:color w:val="000000"/>
          <w:sz w:val="24"/>
          <w:szCs w:val="24"/>
        </w:rPr>
      </w:pPr>
      <w:r>
        <w:rPr>
          <w:rFonts w:ascii="Arial" w:hAnsi="Arial" w:cs="Arial"/>
          <w:noProof/>
          <w:color w:val="000000"/>
          <w:sz w:val="24"/>
          <w:szCs w:val="24"/>
        </w:rPr>
        <w:drawing>
          <wp:inline distT="0" distB="0" distL="0" distR="0" wp14:anchorId="5E97645F" wp14:editId="36FE7B20">
            <wp:extent cx="5629311" cy="3521948"/>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6250" cy="3570084"/>
                    </a:xfrm>
                    <a:prstGeom prst="rect">
                      <a:avLst/>
                    </a:prstGeom>
                    <a:noFill/>
                  </pic:spPr>
                </pic:pic>
              </a:graphicData>
            </a:graphic>
          </wp:inline>
        </w:drawing>
      </w:r>
    </w:p>
    <w:p w14:paraId="6A2EE30A" w14:textId="25935886" w:rsidR="00557D9A" w:rsidRDefault="00557D9A" w:rsidP="00300973">
      <w:pPr>
        <w:spacing w:after="0"/>
        <w:ind w:left="-567"/>
        <w:rPr>
          <w:rFonts w:ascii="Arial" w:hAnsi="Arial" w:cs="Arial"/>
          <w:b/>
          <w:bCs/>
          <w:iCs/>
          <w:noProof/>
          <w:sz w:val="24"/>
          <w:szCs w:val="24"/>
          <w:lang w:eastAsia="es-MX"/>
        </w:rPr>
      </w:pPr>
    </w:p>
    <w:p w14:paraId="7C9FC67B" w14:textId="119A4E23" w:rsidR="00D55AF3" w:rsidRDefault="00557D9A" w:rsidP="00557D9A">
      <w:pPr>
        <w:spacing w:after="0"/>
        <w:ind w:left="-567"/>
        <w:jc w:val="both"/>
        <w:rPr>
          <w:rFonts w:ascii="Arial" w:hAnsi="Arial" w:cs="Arial"/>
          <w:color w:val="000000"/>
          <w:sz w:val="24"/>
          <w:szCs w:val="24"/>
        </w:rPr>
      </w:pPr>
      <w:bookmarkStart w:id="13" w:name="_Hlk85032452"/>
      <w:r>
        <w:rPr>
          <w:rFonts w:ascii="Arial" w:hAnsi="Arial" w:cs="Arial"/>
          <w:color w:val="000000"/>
          <w:sz w:val="24"/>
          <w:szCs w:val="24"/>
        </w:rPr>
        <w:t xml:space="preserve">Durante 2020, </w:t>
      </w:r>
      <w:r w:rsidR="004A663D" w:rsidRPr="00557D9A">
        <w:rPr>
          <w:rFonts w:ascii="Arial" w:hAnsi="Arial" w:cs="Arial"/>
          <w:color w:val="000000"/>
          <w:sz w:val="24"/>
          <w:szCs w:val="24"/>
        </w:rPr>
        <w:t>la</w:t>
      </w:r>
      <w:r w:rsidR="004A663D">
        <w:rPr>
          <w:rFonts w:ascii="Arial" w:hAnsi="Arial" w:cs="Arial"/>
          <w:color w:val="000000"/>
          <w:sz w:val="24"/>
          <w:szCs w:val="24"/>
        </w:rPr>
        <w:t>s</w:t>
      </w:r>
      <w:r w:rsidR="004A663D" w:rsidRPr="00557D9A">
        <w:rPr>
          <w:rFonts w:ascii="Arial" w:hAnsi="Arial" w:cs="Arial"/>
          <w:color w:val="000000"/>
          <w:sz w:val="24"/>
          <w:szCs w:val="24"/>
        </w:rPr>
        <w:t xml:space="preserve"> unidad</w:t>
      </w:r>
      <w:r w:rsidR="004A663D">
        <w:rPr>
          <w:rFonts w:ascii="Arial" w:hAnsi="Arial" w:cs="Arial"/>
          <w:color w:val="000000"/>
          <w:sz w:val="24"/>
          <w:szCs w:val="24"/>
        </w:rPr>
        <w:t>es</w:t>
      </w:r>
      <w:r w:rsidR="004A663D" w:rsidRPr="00557D9A">
        <w:rPr>
          <w:rFonts w:ascii="Arial" w:hAnsi="Arial" w:cs="Arial"/>
          <w:color w:val="000000"/>
          <w:sz w:val="24"/>
          <w:szCs w:val="24"/>
        </w:rPr>
        <w:t xml:space="preserve"> de los servicios periciales y/o médico forense</w:t>
      </w:r>
      <w:r w:rsidR="004A663D">
        <w:rPr>
          <w:rFonts w:ascii="Arial" w:hAnsi="Arial" w:cs="Arial"/>
          <w:color w:val="000000"/>
          <w:sz w:val="24"/>
          <w:szCs w:val="24"/>
        </w:rPr>
        <w:t xml:space="preserve"> de las Procuradurías y Fiscalías Generales de Justicia estatales</w:t>
      </w:r>
      <w:r w:rsidR="004A663D" w:rsidRPr="00557D9A">
        <w:rPr>
          <w:rFonts w:ascii="Arial" w:hAnsi="Arial" w:cs="Arial"/>
          <w:color w:val="000000"/>
          <w:sz w:val="24"/>
          <w:szCs w:val="24"/>
        </w:rPr>
        <w:t xml:space="preserve"> </w:t>
      </w:r>
      <w:r w:rsidR="004A663D">
        <w:rPr>
          <w:rFonts w:ascii="Arial" w:hAnsi="Arial" w:cs="Arial"/>
          <w:color w:val="000000"/>
          <w:sz w:val="24"/>
          <w:szCs w:val="24"/>
        </w:rPr>
        <w:t xml:space="preserve">reportaron </w:t>
      </w:r>
      <w:r w:rsidR="004A663D" w:rsidRPr="00804DDF">
        <w:rPr>
          <w:rFonts w:ascii="Arial" w:hAnsi="Arial" w:cs="Arial"/>
          <w:color w:val="000000"/>
          <w:sz w:val="24"/>
          <w:szCs w:val="24"/>
        </w:rPr>
        <w:t>49</w:t>
      </w:r>
      <w:r w:rsidR="004A663D">
        <w:rPr>
          <w:rFonts w:ascii="Arial" w:hAnsi="Arial" w:cs="Arial"/>
          <w:color w:val="000000"/>
          <w:sz w:val="24"/>
          <w:szCs w:val="24"/>
        </w:rPr>
        <w:t xml:space="preserve"> </w:t>
      </w:r>
      <w:r w:rsidR="004A663D" w:rsidRPr="00804DDF">
        <w:rPr>
          <w:rFonts w:ascii="Arial" w:hAnsi="Arial" w:cs="Arial"/>
          <w:color w:val="000000"/>
          <w:sz w:val="24"/>
          <w:szCs w:val="24"/>
        </w:rPr>
        <w:t>503</w:t>
      </w:r>
      <w:r w:rsidR="004A663D">
        <w:rPr>
          <w:rFonts w:ascii="Arial" w:hAnsi="Arial" w:cs="Arial"/>
          <w:color w:val="000000"/>
          <w:sz w:val="24"/>
          <w:szCs w:val="24"/>
        </w:rPr>
        <w:t xml:space="preserve"> </w:t>
      </w:r>
      <w:r w:rsidRPr="00557D9A">
        <w:rPr>
          <w:rFonts w:ascii="Arial" w:hAnsi="Arial" w:cs="Arial"/>
          <w:color w:val="000000"/>
          <w:sz w:val="24"/>
          <w:szCs w:val="24"/>
        </w:rPr>
        <w:t xml:space="preserve">cadáveres y/o restos humanos </w:t>
      </w:r>
      <w:r w:rsidR="00064046">
        <w:rPr>
          <w:rFonts w:ascii="Arial" w:hAnsi="Arial" w:cs="Arial"/>
          <w:color w:val="000000"/>
          <w:sz w:val="24"/>
          <w:szCs w:val="24"/>
        </w:rPr>
        <w:t>identificados, 9</w:t>
      </w:r>
      <w:r w:rsidR="00804DDF">
        <w:rPr>
          <w:rFonts w:ascii="Arial" w:hAnsi="Arial" w:cs="Arial"/>
          <w:color w:val="000000"/>
          <w:sz w:val="24"/>
          <w:szCs w:val="24"/>
        </w:rPr>
        <w:t xml:space="preserve"> </w:t>
      </w:r>
      <w:r w:rsidR="00804DDF" w:rsidRPr="00804DDF">
        <w:rPr>
          <w:rFonts w:ascii="Arial" w:hAnsi="Arial" w:cs="Arial"/>
          <w:color w:val="000000"/>
          <w:sz w:val="24"/>
          <w:szCs w:val="24"/>
        </w:rPr>
        <w:t>908</w:t>
      </w:r>
      <w:r w:rsidR="00B96B9C">
        <w:rPr>
          <w:rFonts w:ascii="Arial" w:hAnsi="Arial" w:cs="Arial"/>
          <w:color w:val="000000"/>
          <w:sz w:val="24"/>
          <w:szCs w:val="24"/>
        </w:rPr>
        <w:t xml:space="preserve"> no identificados, mientras </w:t>
      </w:r>
      <w:r w:rsidR="00064046">
        <w:rPr>
          <w:rFonts w:ascii="Arial" w:hAnsi="Arial" w:cs="Arial"/>
          <w:color w:val="000000"/>
          <w:sz w:val="24"/>
          <w:szCs w:val="24"/>
        </w:rPr>
        <w:t>que 2</w:t>
      </w:r>
      <w:r w:rsidR="00804DDF">
        <w:rPr>
          <w:rFonts w:ascii="Arial" w:hAnsi="Arial" w:cs="Arial"/>
          <w:color w:val="000000"/>
          <w:sz w:val="24"/>
          <w:szCs w:val="24"/>
        </w:rPr>
        <w:t xml:space="preserve"> 254 quedaron pendientes de identificar. </w:t>
      </w:r>
    </w:p>
    <w:bookmarkEnd w:id="13"/>
    <w:p w14:paraId="1A529E0F" w14:textId="77777777" w:rsidR="00D14F6D" w:rsidRDefault="00D14F6D" w:rsidP="00557D9A">
      <w:pPr>
        <w:spacing w:after="0"/>
        <w:ind w:left="-567"/>
        <w:jc w:val="both"/>
        <w:rPr>
          <w:rFonts w:ascii="Arial" w:hAnsi="Arial" w:cs="Arial"/>
          <w:color w:val="000000"/>
          <w:sz w:val="24"/>
          <w:szCs w:val="24"/>
        </w:rPr>
      </w:pPr>
    </w:p>
    <w:p w14:paraId="35C8B82B" w14:textId="5EC7A020" w:rsidR="00D55AF3" w:rsidRDefault="00D55AF3" w:rsidP="00D55AF3">
      <w:pPr>
        <w:autoSpaceDE w:val="0"/>
        <w:autoSpaceDN w:val="0"/>
        <w:adjustRightInd w:val="0"/>
        <w:spacing w:after="0" w:line="240" w:lineRule="auto"/>
        <w:ind w:left="-567"/>
        <w:jc w:val="center"/>
        <w:rPr>
          <w:rFonts w:ascii="Arial" w:hAnsi="Arial" w:cs="Arial"/>
          <w:b/>
          <w:i/>
          <w:color w:val="877A67"/>
          <w:sz w:val="20"/>
          <w:szCs w:val="24"/>
        </w:rPr>
      </w:pPr>
      <w:r w:rsidRPr="00E151A9">
        <w:rPr>
          <w:rFonts w:ascii="Arial" w:hAnsi="Arial" w:cs="Arial"/>
          <w:b/>
          <w:i/>
          <w:color w:val="877A67"/>
          <w:sz w:val="20"/>
          <w:szCs w:val="24"/>
        </w:rPr>
        <w:t xml:space="preserve">Gráfica </w:t>
      </w:r>
      <w:r>
        <w:rPr>
          <w:rFonts w:ascii="Arial" w:hAnsi="Arial" w:cs="Arial"/>
          <w:b/>
          <w:i/>
          <w:color w:val="877A67"/>
          <w:sz w:val="20"/>
          <w:szCs w:val="24"/>
        </w:rPr>
        <w:t>1</w:t>
      </w:r>
      <w:r w:rsidR="00DA20EE">
        <w:rPr>
          <w:rFonts w:ascii="Arial" w:hAnsi="Arial" w:cs="Arial"/>
          <w:b/>
          <w:i/>
          <w:color w:val="877A67"/>
          <w:sz w:val="20"/>
          <w:szCs w:val="24"/>
        </w:rPr>
        <w:t>7</w:t>
      </w:r>
      <w:r>
        <w:rPr>
          <w:rFonts w:ascii="Arial" w:hAnsi="Arial" w:cs="Arial"/>
          <w:b/>
          <w:i/>
          <w:color w:val="877A67"/>
          <w:sz w:val="20"/>
          <w:szCs w:val="24"/>
        </w:rPr>
        <w:t>.</w:t>
      </w:r>
      <w:r w:rsidRPr="00DF110E">
        <w:t xml:space="preserve"> </w:t>
      </w:r>
      <w:r w:rsidRPr="00D55AF3">
        <w:rPr>
          <w:rFonts w:ascii="Arial" w:hAnsi="Arial" w:cs="Arial"/>
          <w:b/>
          <w:i/>
          <w:color w:val="877A67"/>
          <w:sz w:val="20"/>
          <w:szCs w:val="24"/>
        </w:rPr>
        <w:t>Cadáveres y/o restos humanos identificados y no identificados recibidos, según sexo</w:t>
      </w:r>
      <w:r>
        <w:rPr>
          <w:rFonts w:ascii="Arial" w:hAnsi="Arial" w:cs="Arial"/>
          <w:b/>
          <w:i/>
          <w:color w:val="877A67"/>
          <w:sz w:val="20"/>
          <w:szCs w:val="24"/>
        </w:rPr>
        <w:t xml:space="preserve"> y estatus de identificación, 2020</w:t>
      </w:r>
    </w:p>
    <w:p w14:paraId="4026BC1D" w14:textId="77777777" w:rsidR="00064046" w:rsidRDefault="00064046" w:rsidP="00D55AF3">
      <w:pPr>
        <w:autoSpaceDE w:val="0"/>
        <w:autoSpaceDN w:val="0"/>
        <w:adjustRightInd w:val="0"/>
        <w:spacing w:after="0" w:line="240" w:lineRule="auto"/>
        <w:ind w:left="-567"/>
        <w:jc w:val="center"/>
        <w:rPr>
          <w:rFonts w:ascii="Arial" w:hAnsi="Arial" w:cs="Arial"/>
          <w:b/>
          <w:i/>
          <w:color w:val="877A67"/>
          <w:sz w:val="20"/>
          <w:szCs w:val="24"/>
        </w:rPr>
      </w:pPr>
    </w:p>
    <w:p w14:paraId="7D151CEA" w14:textId="6D1E2604" w:rsidR="00064046" w:rsidRDefault="00064046" w:rsidP="00D55AF3">
      <w:pPr>
        <w:autoSpaceDE w:val="0"/>
        <w:autoSpaceDN w:val="0"/>
        <w:adjustRightInd w:val="0"/>
        <w:spacing w:after="0" w:line="240" w:lineRule="auto"/>
        <w:ind w:left="-567"/>
        <w:jc w:val="center"/>
        <w:rPr>
          <w:rFonts w:ascii="Arial" w:hAnsi="Arial" w:cs="Arial"/>
          <w:b/>
          <w:i/>
          <w:color w:val="877A67"/>
          <w:sz w:val="20"/>
          <w:szCs w:val="24"/>
        </w:rPr>
      </w:pPr>
      <w:r>
        <w:rPr>
          <w:rFonts w:ascii="Arial" w:hAnsi="Arial" w:cs="Arial"/>
          <w:b/>
          <w:i/>
          <w:noProof/>
          <w:color w:val="877A67"/>
          <w:sz w:val="20"/>
          <w:szCs w:val="24"/>
        </w:rPr>
        <w:drawing>
          <wp:inline distT="0" distB="0" distL="0" distR="0" wp14:anchorId="732D2D8D" wp14:editId="3A96EFA3">
            <wp:extent cx="6462215" cy="158784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43983" cy="1607940"/>
                    </a:xfrm>
                    <a:prstGeom prst="rect">
                      <a:avLst/>
                    </a:prstGeom>
                    <a:noFill/>
                  </pic:spPr>
                </pic:pic>
              </a:graphicData>
            </a:graphic>
          </wp:inline>
        </w:drawing>
      </w:r>
      <w:r w:rsidR="00B359D4" w:rsidRPr="00B359D4">
        <w:rPr>
          <w:rFonts w:ascii="Arial" w:hAnsi="Arial" w:cs="Arial"/>
          <w:color w:val="000000"/>
          <w:sz w:val="16"/>
          <w:szCs w:val="24"/>
        </w:rPr>
        <w:t xml:space="preserve"> </w:t>
      </w:r>
      <w:r w:rsidR="00AA7D2F" w:rsidRPr="00AA7D2F">
        <w:rPr>
          <w:rFonts w:ascii="Arial" w:hAnsi="Arial" w:cs="Arial"/>
          <w:color w:val="000000"/>
          <w:sz w:val="16"/>
          <w:szCs w:val="24"/>
        </w:rPr>
        <w:t>Nota: la cantidad de cadáveres y/o restos humanos identificados y no identificados no incluye información de Jalisco, Baja California y Guerrero, así como de la Fiscalía General de la República. Ciudad de México y Quintana Roo no contaron con datos o elementos para responder sobre el tema.</w:t>
      </w:r>
    </w:p>
    <w:p w14:paraId="35D43EE3" w14:textId="77777777" w:rsidR="00064046" w:rsidRDefault="00064046" w:rsidP="001F0AC8">
      <w:pPr>
        <w:spacing w:after="0"/>
        <w:ind w:left="-567"/>
        <w:rPr>
          <w:rFonts w:ascii="Arial" w:hAnsi="Arial" w:cs="Arial"/>
          <w:b/>
          <w:bCs/>
          <w:iCs/>
          <w:noProof/>
          <w:sz w:val="24"/>
          <w:szCs w:val="24"/>
          <w:lang w:eastAsia="es-MX"/>
        </w:rPr>
      </w:pPr>
    </w:p>
    <w:p w14:paraId="28C08C98" w14:textId="290B6952" w:rsidR="001F0AC8" w:rsidRPr="00D40C2A" w:rsidRDefault="001F0AC8" w:rsidP="001F0AC8">
      <w:pPr>
        <w:spacing w:after="0"/>
        <w:ind w:left="-567"/>
        <w:rPr>
          <w:rFonts w:ascii="Arial" w:hAnsi="Arial" w:cs="Arial"/>
          <w:b/>
          <w:bCs/>
          <w:iCs/>
          <w:noProof/>
          <w:sz w:val="24"/>
          <w:szCs w:val="24"/>
          <w:lang w:eastAsia="es-MX"/>
        </w:rPr>
      </w:pPr>
      <w:r>
        <w:rPr>
          <w:rFonts w:ascii="Arial" w:hAnsi="Arial" w:cs="Arial"/>
          <w:b/>
          <w:bCs/>
          <w:iCs/>
          <w:noProof/>
          <w:sz w:val="24"/>
          <w:szCs w:val="24"/>
          <w:lang w:eastAsia="es-MX"/>
        </w:rPr>
        <w:t>Procuración de Justicia</w:t>
      </w:r>
      <w:r>
        <w:rPr>
          <w:rStyle w:val="Refdenotaalpie"/>
          <w:rFonts w:ascii="Arial" w:hAnsi="Arial" w:cs="Arial"/>
          <w:b/>
          <w:bCs/>
          <w:iCs/>
          <w:noProof/>
          <w:sz w:val="24"/>
          <w:szCs w:val="24"/>
          <w:lang w:eastAsia="es-MX"/>
        </w:rPr>
        <w:footnoteReference w:id="9"/>
      </w:r>
    </w:p>
    <w:p w14:paraId="7DDE690C" w14:textId="77777777" w:rsidR="001F0AC8" w:rsidRDefault="001F0AC8" w:rsidP="001F0AC8">
      <w:pPr>
        <w:autoSpaceDE w:val="0"/>
        <w:autoSpaceDN w:val="0"/>
        <w:adjustRightInd w:val="0"/>
        <w:spacing w:after="0" w:line="240" w:lineRule="auto"/>
        <w:rPr>
          <w:rFonts w:ascii="Arial" w:hAnsi="Arial" w:cs="Arial"/>
          <w:color w:val="000000"/>
        </w:rPr>
      </w:pPr>
    </w:p>
    <w:p w14:paraId="775EA7E9" w14:textId="7B809044" w:rsidR="00D14F6D" w:rsidRPr="00D14F6D" w:rsidRDefault="00D14F6D" w:rsidP="00D14F6D">
      <w:pPr>
        <w:autoSpaceDE w:val="0"/>
        <w:autoSpaceDN w:val="0"/>
        <w:adjustRightInd w:val="0"/>
        <w:spacing w:after="0" w:line="240" w:lineRule="auto"/>
        <w:ind w:left="-567"/>
        <w:jc w:val="both"/>
        <w:rPr>
          <w:rFonts w:ascii="Arial" w:hAnsi="Arial" w:cs="Arial"/>
          <w:color w:val="000000"/>
          <w:sz w:val="24"/>
          <w:szCs w:val="24"/>
        </w:rPr>
      </w:pPr>
      <w:bookmarkStart w:id="14" w:name="_Hlk85032468"/>
      <w:r w:rsidRPr="00D14F6D">
        <w:rPr>
          <w:rFonts w:ascii="Arial" w:hAnsi="Arial" w:cs="Arial"/>
          <w:color w:val="000000"/>
          <w:sz w:val="24"/>
          <w:szCs w:val="24"/>
        </w:rPr>
        <w:t xml:space="preserve">Durante </w:t>
      </w:r>
      <w:r w:rsidR="00515088">
        <w:rPr>
          <w:rFonts w:ascii="Arial" w:hAnsi="Arial" w:cs="Arial"/>
          <w:color w:val="000000"/>
          <w:sz w:val="24"/>
          <w:szCs w:val="24"/>
        </w:rPr>
        <w:t>2020</w:t>
      </w:r>
      <w:r w:rsidRPr="00D14F6D">
        <w:rPr>
          <w:rFonts w:ascii="Arial" w:hAnsi="Arial" w:cs="Arial"/>
          <w:color w:val="000000"/>
          <w:sz w:val="24"/>
          <w:szCs w:val="24"/>
        </w:rPr>
        <w:t xml:space="preserve">, se iniciaron y/o abrieron </w:t>
      </w:r>
      <w:r w:rsidR="00585530" w:rsidRPr="00585530">
        <w:rPr>
          <w:rFonts w:ascii="Arial" w:hAnsi="Arial" w:cs="Arial"/>
          <w:color w:val="000000"/>
          <w:sz w:val="24"/>
          <w:szCs w:val="24"/>
        </w:rPr>
        <w:t>1 820 243</w:t>
      </w:r>
      <w:r w:rsidR="00585530">
        <w:rPr>
          <w:rFonts w:ascii="Arial" w:hAnsi="Arial" w:cs="Arial"/>
          <w:color w:val="000000"/>
          <w:sz w:val="24"/>
          <w:szCs w:val="24"/>
        </w:rPr>
        <w:t xml:space="preserve"> </w:t>
      </w:r>
      <w:r w:rsidRPr="00D14F6D">
        <w:rPr>
          <w:rFonts w:ascii="Arial" w:hAnsi="Arial" w:cs="Arial"/>
          <w:color w:val="000000"/>
          <w:sz w:val="24"/>
          <w:szCs w:val="24"/>
        </w:rPr>
        <w:t>averiguaciones previas e investigaciones y</w:t>
      </w:r>
    </w:p>
    <w:p w14:paraId="28014552" w14:textId="46CA0E94" w:rsidR="00D14F6D" w:rsidRDefault="00D14F6D" w:rsidP="009C71EA">
      <w:pPr>
        <w:autoSpaceDE w:val="0"/>
        <w:autoSpaceDN w:val="0"/>
        <w:adjustRightInd w:val="0"/>
        <w:spacing w:after="0" w:line="240" w:lineRule="auto"/>
        <w:ind w:left="-567"/>
        <w:jc w:val="both"/>
        <w:rPr>
          <w:rFonts w:ascii="Arial" w:hAnsi="Arial" w:cs="Arial"/>
          <w:color w:val="000000"/>
          <w:sz w:val="24"/>
          <w:szCs w:val="24"/>
        </w:rPr>
      </w:pPr>
      <w:r w:rsidRPr="00D14F6D">
        <w:rPr>
          <w:rFonts w:ascii="Arial" w:hAnsi="Arial" w:cs="Arial"/>
          <w:color w:val="000000"/>
          <w:sz w:val="24"/>
          <w:szCs w:val="24"/>
        </w:rPr>
        <w:t>carpetas de investigación (98.</w:t>
      </w:r>
      <w:r w:rsidR="007123DE">
        <w:rPr>
          <w:rFonts w:ascii="Arial" w:hAnsi="Arial" w:cs="Arial"/>
          <w:color w:val="000000"/>
          <w:sz w:val="24"/>
          <w:szCs w:val="24"/>
        </w:rPr>
        <w:t>8</w:t>
      </w:r>
      <w:r w:rsidRPr="00D14F6D">
        <w:rPr>
          <w:rFonts w:ascii="Arial" w:hAnsi="Arial" w:cs="Arial"/>
          <w:color w:val="000000"/>
          <w:sz w:val="24"/>
          <w:szCs w:val="24"/>
        </w:rPr>
        <w:t>% para adultos y 1.</w:t>
      </w:r>
      <w:r w:rsidR="007123DE">
        <w:rPr>
          <w:rFonts w:ascii="Arial" w:hAnsi="Arial" w:cs="Arial"/>
          <w:color w:val="000000"/>
          <w:sz w:val="24"/>
          <w:szCs w:val="24"/>
        </w:rPr>
        <w:t>2</w:t>
      </w:r>
      <w:r w:rsidRPr="00D14F6D">
        <w:rPr>
          <w:rFonts w:ascii="Arial" w:hAnsi="Arial" w:cs="Arial"/>
          <w:color w:val="000000"/>
          <w:sz w:val="24"/>
          <w:szCs w:val="24"/>
        </w:rPr>
        <w:t>% para adolescentes).</w:t>
      </w:r>
      <w:r w:rsidR="009C71EA">
        <w:rPr>
          <w:rFonts w:ascii="Arial" w:hAnsi="Arial" w:cs="Arial"/>
          <w:color w:val="000000"/>
          <w:sz w:val="24"/>
          <w:szCs w:val="24"/>
        </w:rPr>
        <w:t xml:space="preserve"> Respecto a lo reportado en 2019, </w:t>
      </w:r>
      <w:r w:rsidR="00B96B9C">
        <w:rPr>
          <w:rFonts w:ascii="Arial" w:hAnsi="Arial" w:cs="Arial"/>
          <w:color w:val="000000"/>
          <w:sz w:val="24"/>
          <w:szCs w:val="24"/>
        </w:rPr>
        <w:t xml:space="preserve">esta </w:t>
      </w:r>
      <w:r w:rsidR="009C71EA">
        <w:rPr>
          <w:rFonts w:ascii="Arial" w:hAnsi="Arial" w:cs="Arial"/>
          <w:color w:val="000000"/>
          <w:sz w:val="24"/>
          <w:szCs w:val="24"/>
        </w:rPr>
        <w:t xml:space="preserve">cantidad disminuyó </w:t>
      </w:r>
      <w:r w:rsidR="007123DE">
        <w:rPr>
          <w:rFonts w:ascii="Arial" w:hAnsi="Arial" w:cs="Arial"/>
          <w:color w:val="000000"/>
          <w:sz w:val="24"/>
          <w:szCs w:val="24"/>
        </w:rPr>
        <w:t>12.3</w:t>
      </w:r>
      <w:r w:rsidR="009C71EA">
        <w:rPr>
          <w:rFonts w:ascii="Arial" w:hAnsi="Arial" w:cs="Arial"/>
          <w:color w:val="000000"/>
          <w:sz w:val="24"/>
          <w:szCs w:val="24"/>
        </w:rPr>
        <w:t xml:space="preserve">% en 2020. </w:t>
      </w:r>
    </w:p>
    <w:p w14:paraId="7D94C509" w14:textId="77777777" w:rsidR="00D14F6D" w:rsidRDefault="00D14F6D" w:rsidP="00D14F6D">
      <w:pPr>
        <w:autoSpaceDE w:val="0"/>
        <w:autoSpaceDN w:val="0"/>
        <w:adjustRightInd w:val="0"/>
        <w:spacing w:after="0" w:line="240" w:lineRule="auto"/>
        <w:ind w:left="-567"/>
        <w:jc w:val="both"/>
        <w:rPr>
          <w:rFonts w:ascii="Arial" w:hAnsi="Arial" w:cs="Arial"/>
          <w:color w:val="000000"/>
          <w:sz w:val="24"/>
          <w:szCs w:val="24"/>
        </w:rPr>
      </w:pPr>
    </w:p>
    <w:p w14:paraId="0C491C48" w14:textId="31CAECB0" w:rsidR="00D14F6D" w:rsidRDefault="00D14F6D" w:rsidP="009C71EA">
      <w:pPr>
        <w:autoSpaceDE w:val="0"/>
        <w:autoSpaceDN w:val="0"/>
        <w:adjustRightInd w:val="0"/>
        <w:spacing w:after="0" w:line="240" w:lineRule="auto"/>
        <w:ind w:left="-567"/>
        <w:jc w:val="both"/>
        <w:rPr>
          <w:rFonts w:ascii="Arial" w:hAnsi="Arial" w:cs="Arial"/>
          <w:color w:val="000000"/>
          <w:sz w:val="24"/>
          <w:szCs w:val="24"/>
        </w:rPr>
      </w:pPr>
      <w:r w:rsidRPr="00D14F6D">
        <w:rPr>
          <w:rFonts w:ascii="Arial" w:hAnsi="Arial" w:cs="Arial"/>
          <w:color w:val="000000"/>
          <w:sz w:val="24"/>
          <w:szCs w:val="24"/>
        </w:rPr>
        <w:t>También se registraron 1</w:t>
      </w:r>
      <w:r w:rsidR="009C71EA">
        <w:rPr>
          <w:rFonts w:ascii="Arial" w:hAnsi="Arial" w:cs="Arial"/>
          <w:color w:val="000000"/>
          <w:sz w:val="24"/>
          <w:szCs w:val="24"/>
        </w:rPr>
        <w:t>74 243</w:t>
      </w:r>
      <w:r w:rsidRPr="00D14F6D">
        <w:rPr>
          <w:rFonts w:ascii="Arial" w:hAnsi="Arial" w:cs="Arial"/>
          <w:color w:val="000000"/>
          <w:sz w:val="24"/>
          <w:szCs w:val="24"/>
        </w:rPr>
        <w:t xml:space="preserve"> determinaciones y/o conclusiones en las averiguaciones</w:t>
      </w:r>
      <w:r>
        <w:rPr>
          <w:rFonts w:ascii="Arial" w:hAnsi="Arial" w:cs="Arial"/>
          <w:color w:val="000000"/>
          <w:sz w:val="24"/>
          <w:szCs w:val="24"/>
        </w:rPr>
        <w:t xml:space="preserve"> </w:t>
      </w:r>
      <w:r w:rsidRPr="00D14F6D">
        <w:rPr>
          <w:rFonts w:ascii="Arial" w:hAnsi="Arial" w:cs="Arial"/>
          <w:color w:val="000000"/>
          <w:sz w:val="24"/>
          <w:szCs w:val="24"/>
        </w:rPr>
        <w:t xml:space="preserve">previas </w:t>
      </w:r>
      <w:r w:rsidR="009C71EA">
        <w:rPr>
          <w:rFonts w:ascii="Arial" w:hAnsi="Arial" w:cs="Arial"/>
          <w:color w:val="000000"/>
          <w:sz w:val="24"/>
          <w:szCs w:val="24"/>
        </w:rPr>
        <w:t xml:space="preserve">iniciadas </w:t>
      </w:r>
      <w:r w:rsidRPr="00D14F6D">
        <w:rPr>
          <w:rFonts w:ascii="Arial" w:hAnsi="Arial" w:cs="Arial"/>
          <w:color w:val="000000"/>
          <w:sz w:val="24"/>
          <w:szCs w:val="24"/>
        </w:rPr>
        <w:t>e investigaciones</w:t>
      </w:r>
      <w:r w:rsidR="00542551">
        <w:rPr>
          <w:rFonts w:ascii="Arial" w:hAnsi="Arial" w:cs="Arial"/>
          <w:color w:val="000000"/>
          <w:sz w:val="24"/>
          <w:szCs w:val="24"/>
        </w:rPr>
        <w:t xml:space="preserve">; </w:t>
      </w:r>
      <w:r w:rsidR="00542551" w:rsidRPr="00D14F6D">
        <w:rPr>
          <w:rFonts w:ascii="Arial" w:hAnsi="Arial" w:cs="Arial"/>
          <w:color w:val="000000"/>
          <w:sz w:val="24"/>
          <w:szCs w:val="24"/>
        </w:rPr>
        <w:t>en la etapa de investigación inicial</w:t>
      </w:r>
      <w:r w:rsidR="00542551">
        <w:rPr>
          <w:rFonts w:ascii="Arial" w:hAnsi="Arial" w:cs="Arial"/>
          <w:color w:val="000000"/>
          <w:sz w:val="24"/>
          <w:szCs w:val="24"/>
        </w:rPr>
        <w:t xml:space="preserve"> se registraron</w:t>
      </w:r>
      <w:r w:rsidRPr="00D14F6D">
        <w:rPr>
          <w:rFonts w:ascii="Arial" w:hAnsi="Arial" w:cs="Arial"/>
          <w:color w:val="000000"/>
          <w:sz w:val="24"/>
          <w:szCs w:val="24"/>
        </w:rPr>
        <w:t xml:space="preserve"> 1 </w:t>
      </w:r>
      <w:r w:rsidR="009C71EA">
        <w:rPr>
          <w:rFonts w:ascii="Arial" w:hAnsi="Arial" w:cs="Arial"/>
          <w:color w:val="000000"/>
          <w:sz w:val="24"/>
          <w:szCs w:val="24"/>
        </w:rPr>
        <w:t>157 777</w:t>
      </w:r>
      <w:r w:rsidRPr="00D14F6D">
        <w:rPr>
          <w:rFonts w:ascii="Arial" w:hAnsi="Arial" w:cs="Arial"/>
          <w:color w:val="000000"/>
          <w:sz w:val="24"/>
          <w:szCs w:val="24"/>
        </w:rPr>
        <w:t xml:space="preserve"> determinaciones y/o conclusiones efectuadas en las</w:t>
      </w:r>
      <w:r>
        <w:rPr>
          <w:rFonts w:ascii="Arial" w:hAnsi="Arial" w:cs="Arial"/>
          <w:color w:val="000000"/>
          <w:sz w:val="24"/>
          <w:szCs w:val="24"/>
        </w:rPr>
        <w:t xml:space="preserve"> </w:t>
      </w:r>
      <w:r w:rsidRPr="00D14F6D">
        <w:rPr>
          <w:rFonts w:ascii="Arial" w:hAnsi="Arial" w:cs="Arial"/>
          <w:color w:val="000000"/>
          <w:sz w:val="24"/>
          <w:szCs w:val="24"/>
        </w:rPr>
        <w:t>carpetas de investigación</w:t>
      </w:r>
      <w:r w:rsidR="00542551">
        <w:rPr>
          <w:rFonts w:ascii="Arial" w:hAnsi="Arial" w:cs="Arial"/>
          <w:color w:val="000000"/>
          <w:sz w:val="24"/>
          <w:szCs w:val="24"/>
        </w:rPr>
        <w:t>,</w:t>
      </w:r>
      <w:r w:rsidRPr="00D14F6D">
        <w:rPr>
          <w:rFonts w:ascii="Arial" w:hAnsi="Arial" w:cs="Arial"/>
          <w:color w:val="000000"/>
          <w:sz w:val="24"/>
          <w:szCs w:val="24"/>
        </w:rPr>
        <w:t xml:space="preserve"> y </w:t>
      </w:r>
      <w:r w:rsidR="00F81762">
        <w:rPr>
          <w:rFonts w:ascii="Arial" w:hAnsi="Arial" w:cs="Arial"/>
          <w:color w:val="000000"/>
          <w:sz w:val="24"/>
          <w:szCs w:val="24"/>
        </w:rPr>
        <w:t>112 200</w:t>
      </w:r>
      <w:r w:rsidRPr="00D14F6D">
        <w:rPr>
          <w:rFonts w:ascii="Arial" w:hAnsi="Arial" w:cs="Arial"/>
          <w:color w:val="000000"/>
          <w:sz w:val="24"/>
          <w:szCs w:val="24"/>
        </w:rPr>
        <w:t xml:space="preserve"> determinaciones y/o</w:t>
      </w:r>
      <w:r>
        <w:rPr>
          <w:rFonts w:ascii="Arial" w:hAnsi="Arial" w:cs="Arial"/>
          <w:color w:val="000000"/>
          <w:sz w:val="24"/>
          <w:szCs w:val="24"/>
        </w:rPr>
        <w:t xml:space="preserve"> </w:t>
      </w:r>
      <w:r w:rsidRPr="00D14F6D">
        <w:rPr>
          <w:rFonts w:ascii="Arial" w:hAnsi="Arial" w:cs="Arial"/>
          <w:color w:val="000000"/>
          <w:sz w:val="24"/>
          <w:szCs w:val="24"/>
        </w:rPr>
        <w:t xml:space="preserve">conclusiones efectuadas en las </w:t>
      </w:r>
      <w:r w:rsidR="00F81762">
        <w:rPr>
          <w:rFonts w:ascii="Arial" w:hAnsi="Arial" w:cs="Arial"/>
          <w:color w:val="000000"/>
          <w:sz w:val="24"/>
          <w:szCs w:val="24"/>
        </w:rPr>
        <w:t xml:space="preserve">investigaciones y </w:t>
      </w:r>
      <w:r w:rsidRPr="00D14F6D">
        <w:rPr>
          <w:rFonts w:ascii="Arial" w:hAnsi="Arial" w:cs="Arial"/>
          <w:color w:val="000000"/>
          <w:sz w:val="24"/>
          <w:szCs w:val="24"/>
        </w:rPr>
        <w:t>carpetas de investigación en la etapa de investigación</w:t>
      </w:r>
      <w:r>
        <w:rPr>
          <w:rFonts w:ascii="Arial" w:hAnsi="Arial" w:cs="Arial"/>
          <w:color w:val="000000"/>
          <w:sz w:val="24"/>
          <w:szCs w:val="24"/>
        </w:rPr>
        <w:t xml:space="preserve"> </w:t>
      </w:r>
      <w:r w:rsidRPr="00D14F6D">
        <w:rPr>
          <w:rFonts w:ascii="Arial" w:hAnsi="Arial" w:cs="Arial"/>
          <w:color w:val="000000"/>
          <w:sz w:val="24"/>
          <w:szCs w:val="24"/>
        </w:rPr>
        <w:t>complementaria.</w:t>
      </w:r>
    </w:p>
    <w:p w14:paraId="68939C9F" w14:textId="01EC7E78" w:rsidR="00D14F6D" w:rsidRDefault="00D14F6D" w:rsidP="00D14F6D">
      <w:pPr>
        <w:autoSpaceDE w:val="0"/>
        <w:autoSpaceDN w:val="0"/>
        <w:adjustRightInd w:val="0"/>
        <w:spacing w:after="0" w:line="240" w:lineRule="auto"/>
        <w:ind w:left="-567"/>
        <w:jc w:val="both"/>
        <w:rPr>
          <w:rFonts w:ascii="Arial" w:hAnsi="Arial" w:cs="Arial"/>
          <w:color w:val="000000"/>
          <w:sz w:val="24"/>
          <w:szCs w:val="24"/>
        </w:rPr>
      </w:pPr>
    </w:p>
    <w:p w14:paraId="68BC7AFD" w14:textId="607ADADB" w:rsidR="00D14F6D" w:rsidRDefault="00372711" w:rsidP="00D14F6D">
      <w:pPr>
        <w:autoSpaceDE w:val="0"/>
        <w:autoSpaceDN w:val="0"/>
        <w:adjustRightInd w:val="0"/>
        <w:spacing w:after="0" w:line="240" w:lineRule="auto"/>
        <w:ind w:left="-567"/>
        <w:jc w:val="both"/>
        <w:rPr>
          <w:rFonts w:ascii="Arial" w:hAnsi="Arial" w:cs="Arial"/>
          <w:color w:val="000000"/>
          <w:sz w:val="24"/>
          <w:szCs w:val="24"/>
        </w:rPr>
      </w:pPr>
      <w:r>
        <w:rPr>
          <w:rFonts w:ascii="Arial" w:hAnsi="Arial" w:cs="Arial"/>
          <w:color w:val="000000"/>
          <w:sz w:val="24"/>
          <w:szCs w:val="24"/>
        </w:rPr>
        <w:t>A</w:t>
      </w:r>
      <w:r w:rsidR="00D14F6D" w:rsidRPr="00D14F6D">
        <w:rPr>
          <w:rFonts w:ascii="Arial" w:hAnsi="Arial" w:cs="Arial"/>
          <w:color w:val="000000"/>
          <w:sz w:val="24"/>
          <w:szCs w:val="24"/>
        </w:rPr>
        <w:t>l cierre de 2</w:t>
      </w:r>
      <w:r w:rsidR="00F81762">
        <w:rPr>
          <w:rFonts w:ascii="Arial" w:hAnsi="Arial" w:cs="Arial"/>
          <w:color w:val="000000"/>
          <w:sz w:val="24"/>
          <w:szCs w:val="24"/>
        </w:rPr>
        <w:t>020</w:t>
      </w:r>
      <w:r w:rsidR="00D14F6D" w:rsidRPr="00D14F6D">
        <w:rPr>
          <w:rFonts w:ascii="Arial" w:hAnsi="Arial" w:cs="Arial"/>
          <w:color w:val="000000"/>
          <w:sz w:val="24"/>
          <w:szCs w:val="24"/>
        </w:rPr>
        <w:t xml:space="preserve">, quedaron </w:t>
      </w:r>
      <w:r w:rsidR="00EC7D63">
        <w:rPr>
          <w:rFonts w:ascii="Arial" w:hAnsi="Arial" w:cs="Arial"/>
          <w:color w:val="000000"/>
          <w:sz w:val="24"/>
          <w:szCs w:val="24"/>
        </w:rPr>
        <w:t xml:space="preserve">pendientes de concluir </w:t>
      </w:r>
      <w:r w:rsidR="00F81762" w:rsidRPr="00F81762">
        <w:rPr>
          <w:rFonts w:ascii="Arial" w:hAnsi="Arial" w:cs="Arial"/>
          <w:color w:val="000000"/>
          <w:sz w:val="24"/>
          <w:szCs w:val="24"/>
        </w:rPr>
        <w:t>2</w:t>
      </w:r>
      <w:r w:rsidR="00F81762">
        <w:rPr>
          <w:rFonts w:ascii="Arial" w:hAnsi="Arial" w:cs="Arial"/>
          <w:color w:val="000000"/>
          <w:sz w:val="24"/>
          <w:szCs w:val="24"/>
        </w:rPr>
        <w:t xml:space="preserve"> </w:t>
      </w:r>
      <w:r w:rsidR="00F81762" w:rsidRPr="00F81762">
        <w:rPr>
          <w:rFonts w:ascii="Arial" w:hAnsi="Arial" w:cs="Arial"/>
          <w:color w:val="000000"/>
          <w:sz w:val="24"/>
          <w:szCs w:val="24"/>
        </w:rPr>
        <w:t>452</w:t>
      </w:r>
      <w:r w:rsidR="00F81762">
        <w:rPr>
          <w:rFonts w:ascii="Arial" w:hAnsi="Arial" w:cs="Arial"/>
          <w:color w:val="000000"/>
          <w:sz w:val="24"/>
          <w:szCs w:val="24"/>
        </w:rPr>
        <w:t xml:space="preserve"> </w:t>
      </w:r>
      <w:r w:rsidR="00F81762" w:rsidRPr="00F81762">
        <w:rPr>
          <w:rFonts w:ascii="Arial" w:hAnsi="Arial" w:cs="Arial"/>
          <w:color w:val="000000"/>
          <w:sz w:val="24"/>
          <w:szCs w:val="24"/>
        </w:rPr>
        <w:t xml:space="preserve">739 </w:t>
      </w:r>
      <w:r w:rsidR="00D14F6D" w:rsidRPr="00D14F6D">
        <w:rPr>
          <w:rFonts w:ascii="Arial" w:hAnsi="Arial" w:cs="Arial"/>
          <w:color w:val="000000"/>
          <w:sz w:val="24"/>
          <w:szCs w:val="24"/>
        </w:rPr>
        <w:t>averiguaciones previas e investigaciones</w:t>
      </w:r>
      <w:r w:rsidR="00D14F6D">
        <w:rPr>
          <w:rFonts w:ascii="Arial" w:hAnsi="Arial" w:cs="Arial"/>
          <w:color w:val="000000"/>
          <w:sz w:val="24"/>
          <w:szCs w:val="24"/>
        </w:rPr>
        <w:t xml:space="preserve"> </w:t>
      </w:r>
      <w:r w:rsidR="00D14F6D" w:rsidRPr="00D14F6D">
        <w:rPr>
          <w:rFonts w:ascii="Arial" w:hAnsi="Arial" w:cs="Arial"/>
          <w:color w:val="000000"/>
          <w:sz w:val="24"/>
          <w:szCs w:val="24"/>
        </w:rPr>
        <w:t>y carpetas de investigación</w:t>
      </w:r>
      <w:r w:rsidR="00EC7D63">
        <w:rPr>
          <w:rFonts w:ascii="Arial" w:hAnsi="Arial" w:cs="Arial"/>
          <w:color w:val="000000"/>
          <w:sz w:val="24"/>
          <w:szCs w:val="24"/>
        </w:rPr>
        <w:t>,</w:t>
      </w:r>
      <w:r w:rsidR="00D14F6D" w:rsidRPr="00D14F6D">
        <w:rPr>
          <w:rFonts w:ascii="Arial" w:hAnsi="Arial" w:cs="Arial"/>
          <w:color w:val="000000"/>
          <w:sz w:val="24"/>
          <w:szCs w:val="24"/>
        </w:rPr>
        <w:t xml:space="preserve"> tanto en la etapa de investigación inicial</w:t>
      </w:r>
      <w:r w:rsidR="007123DE">
        <w:rPr>
          <w:rFonts w:ascii="Arial" w:hAnsi="Arial" w:cs="Arial"/>
          <w:color w:val="000000"/>
          <w:sz w:val="24"/>
          <w:szCs w:val="24"/>
        </w:rPr>
        <w:t xml:space="preserve"> </w:t>
      </w:r>
      <w:r w:rsidR="00D14F6D" w:rsidRPr="00D14F6D">
        <w:rPr>
          <w:rFonts w:ascii="Arial" w:hAnsi="Arial" w:cs="Arial"/>
          <w:color w:val="000000"/>
          <w:sz w:val="24"/>
          <w:szCs w:val="24"/>
        </w:rPr>
        <w:t>como en la etapa de investigación complementaria</w:t>
      </w:r>
      <w:r w:rsidR="00D14F6D">
        <w:rPr>
          <w:rFonts w:ascii="Arial" w:hAnsi="Arial" w:cs="Arial"/>
          <w:color w:val="000000"/>
          <w:sz w:val="24"/>
          <w:szCs w:val="24"/>
        </w:rPr>
        <w:t>.</w:t>
      </w:r>
    </w:p>
    <w:p w14:paraId="642AFB5E" w14:textId="5FFA2FFF" w:rsidR="000530BE" w:rsidRDefault="000530BE" w:rsidP="00D14F6D">
      <w:pPr>
        <w:autoSpaceDE w:val="0"/>
        <w:autoSpaceDN w:val="0"/>
        <w:adjustRightInd w:val="0"/>
        <w:spacing w:after="0" w:line="240" w:lineRule="auto"/>
        <w:ind w:left="-567"/>
        <w:jc w:val="both"/>
        <w:rPr>
          <w:rFonts w:ascii="Arial" w:hAnsi="Arial" w:cs="Arial"/>
          <w:color w:val="000000"/>
          <w:sz w:val="24"/>
          <w:szCs w:val="24"/>
        </w:rPr>
      </w:pPr>
    </w:p>
    <w:p w14:paraId="1C10243A" w14:textId="324A8FB3" w:rsidR="000530BE" w:rsidRDefault="000530BE" w:rsidP="00D14F6D">
      <w:pPr>
        <w:autoSpaceDE w:val="0"/>
        <w:autoSpaceDN w:val="0"/>
        <w:adjustRightInd w:val="0"/>
        <w:spacing w:after="0" w:line="240" w:lineRule="auto"/>
        <w:ind w:left="-567"/>
        <w:jc w:val="both"/>
        <w:rPr>
          <w:rFonts w:ascii="Arial" w:hAnsi="Arial" w:cs="Arial"/>
          <w:color w:val="000000"/>
          <w:sz w:val="24"/>
          <w:szCs w:val="24"/>
        </w:rPr>
      </w:pPr>
    </w:p>
    <w:p w14:paraId="71779C91" w14:textId="14BE5F03" w:rsidR="000530BE" w:rsidRDefault="000530BE" w:rsidP="00D14F6D">
      <w:pPr>
        <w:autoSpaceDE w:val="0"/>
        <w:autoSpaceDN w:val="0"/>
        <w:adjustRightInd w:val="0"/>
        <w:spacing w:after="0" w:line="240" w:lineRule="auto"/>
        <w:ind w:left="-567"/>
        <w:jc w:val="both"/>
        <w:rPr>
          <w:rFonts w:ascii="Arial" w:hAnsi="Arial" w:cs="Arial"/>
          <w:color w:val="000000"/>
          <w:sz w:val="24"/>
          <w:szCs w:val="24"/>
        </w:rPr>
      </w:pPr>
    </w:p>
    <w:p w14:paraId="664FC523" w14:textId="1D4AC1C2" w:rsidR="000530BE" w:rsidRDefault="000530BE" w:rsidP="00D14F6D">
      <w:pPr>
        <w:autoSpaceDE w:val="0"/>
        <w:autoSpaceDN w:val="0"/>
        <w:adjustRightInd w:val="0"/>
        <w:spacing w:after="0" w:line="240" w:lineRule="auto"/>
        <w:ind w:left="-567"/>
        <w:jc w:val="both"/>
        <w:rPr>
          <w:rFonts w:ascii="Arial" w:hAnsi="Arial" w:cs="Arial"/>
          <w:color w:val="000000"/>
          <w:sz w:val="24"/>
          <w:szCs w:val="24"/>
        </w:rPr>
      </w:pPr>
    </w:p>
    <w:p w14:paraId="57F7F47C" w14:textId="77777777" w:rsidR="000530BE" w:rsidRDefault="000530BE" w:rsidP="00D14F6D">
      <w:pPr>
        <w:autoSpaceDE w:val="0"/>
        <w:autoSpaceDN w:val="0"/>
        <w:adjustRightInd w:val="0"/>
        <w:spacing w:after="0" w:line="240" w:lineRule="auto"/>
        <w:ind w:left="-567"/>
        <w:jc w:val="both"/>
        <w:rPr>
          <w:rFonts w:ascii="Arial" w:hAnsi="Arial" w:cs="Arial"/>
          <w:color w:val="000000"/>
          <w:sz w:val="24"/>
          <w:szCs w:val="24"/>
        </w:rPr>
      </w:pPr>
    </w:p>
    <w:p w14:paraId="40C8361D" w14:textId="42F21190" w:rsidR="00064046" w:rsidRDefault="00064046" w:rsidP="00D14F6D">
      <w:pPr>
        <w:autoSpaceDE w:val="0"/>
        <w:autoSpaceDN w:val="0"/>
        <w:adjustRightInd w:val="0"/>
        <w:spacing w:after="0" w:line="240" w:lineRule="auto"/>
        <w:ind w:left="-567"/>
        <w:jc w:val="both"/>
        <w:rPr>
          <w:rFonts w:ascii="Arial" w:hAnsi="Arial" w:cs="Arial"/>
          <w:color w:val="000000"/>
          <w:sz w:val="24"/>
          <w:szCs w:val="24"/>
        </w:rPr>
      </w:pPr>
    </w:p>
    <w:p w14:paraId="5B988B1E" w14:textId="77777777" w:rsidR="00064046" w:rsidRDefault="00064046" w:rsidP="00D14F6D">
      <w:pPr>
        <w:autoSpaceDE w:val="0"/>
        <w:autoSpaceDN w:val="0"/>
        <w:adjustRightInd w:val="0"/>
        <w:spacing w:after="0" w:line="240" w:lineRule="auto"/>
        <w:ind w:left="-567"/>
        <w:jc w:val="both"/>
        <w:rPr>
          <w:rFonts w:ascii="Arial" w:hAnsi="Arial" w:cs="Arial"/>
          <w:color w:val="000000"/>
          <w:sz w:val="24"/>
          <w:szCs w:val="24"/>
        </w:rPr>
      </w:pPr>
    </w:p>
    <w:bookmarkEnd w:id="14"/>
    <w:p w14:paraId="41854254" w14:textId="3E96CD3A" w:rsidR="00931FE9" w:rsidRDefault="00D14F6D" w:rsidP="00B0465A">
      <w:pPr>
        <w:autoSpaceDE w:val="0"/>
        <w:autoSpaceDN w:val="0"/>
        <w:adjustRightInd w:val="0"/>
        <w:spacing w:after="0" w:line="240" w:lineRule="auto"/>
        <w:ind w:left="-567"/>
        <w:jc w:val="center"/>
        <w:rPr>
          <w:rFonts w:ascii="Arial" w:hAnsi="Arial" w:cs="Arial"/>
          <w:b/>
          <w:i/>
          <w:color w:val="877A67"/>
          <w:sz w:val="20"/>
          <w:szCs w:val="24"/>
        </w:rPr>
      </w:pPr>
      <w:r>
        <w:rPr>
          <w:rFonts w:ascii="Arial" w:hAnsi="Arial" w:cs="Arial"/>
          <w:b/>
          <w:i/>
          <w:color w:val="877A67"/>
          <w:sz w:val="20"/>
          <w:szCs w:val="24"/>
        </w:rPr>
        <w:lastRenderedPageBreak/>
        <w:t>G</w:t>
      </w:r>
      <w:r w:rsidRPr="00E151A9">
        <w:rPr>
          <w:rFonts w:ascii="Arial" w:hAnsi="Arial" w:cs="Arial"/>
          <w:b/>
          <w:i/>
          <w:color w:val="877A67"/>
          <w:sz w:val="20"/>
          <w:szCs w:val="24"/>
        </w:rPr>
        <w:t xml:space="preserve">ráfica </w:t>
      </w:r>
      <w:r>
        <w:rPr>
          <w:rFonts w:ascii="Arial" w:hAnsi="Arial" w:cs="Arial"/>
          <w:b/>
          <w:i/>
          <w:color w:val="877A67"/>
          <w:sz w:val="20"/>
          <w:szCs w:val="24"/>
        </w:rPr>
        <w:t>1</w:t>
      </w:r>
      <w:r w:rsidR="00DA20EE">
        <w:rPr>
          <w:rFonts w:ascii="Arial" w:hAnsi="Arial" w:cs="Arial"/>
          <w:b/>
          <w:i/>
          <w:color w:val="877A67"/>
          <w:sz w:val="20"/>
          <w:szCs w:val="24"/>
        </w:rPr>
        <w:t>8</w:t>
      </w:r>
      <w:r>
        <w:rPr>
          <w:rFonts w:ascii="Arial" w:hAnsi="Arial" w:cs="Arial"/>
          <w:b/>
          <w:i/>
          <w:color w:val="877A67"/>
          <w:sz w:val="20"/>
          <w:szCs w:val="24"/>
        </w:rPr>
        <w:t>.</w:t>
      </w:r>
      <w:r w:rsidRPr="00DF110E">
        <w:t xml:space="preserve"> </w:t>
      </w:r>
      <w:r w:rsidR="008D4CF0" w:rsidRPr="008D4CF0">
        <w:rPr>
          <w:rFonts w:ascii="Arial" w:hAnsi="Arial" w:cs="Arial"/>
          <w:b/>
          <w:i/>
          <w:color w:val="877A67"/>
          <w:sz w:val="20"/>
          <w:szCs w:val="24"/>
        </w:rPr>
        <w:t>Flujo de averiguaciones previas e investigaciones y carpetas de</w:t>
      </w:r>
      <w:r w:rsidR="00013EA0">
        <w:rPr>
          <w:rFonts w:ascii="Arial" w:hAnsi="Arial" w:cs="Arial"/>
          <w:b/>
          <w:i/>
          <w:color w:val="877A67"/>
          <w:sz w:val="20"/>
          <w:szCs w:val="24"/>
        </w:rPr>
        <w:t xml:space="preserve"> </w:t>
      </w:r>
      <w:r w:rsidR="008D4CF0" w:rsidRPr="008D4CF0">
        <w:rPr>
          <w:rFonts w:ascii="Arial" w:hAnsi="Arial" w:cs="Arial"/>
          <w:b/>
          <w:i/>
          <w:color w:val="877A67"/>
          <w:sz w:val="20"/>
          <w:szCs w:val="24"/>
        </w:rPr>
        <w:t>investigaci</w:t>
      </w:r>
      <w:r w:rsidR="00013EA0">
        <w:rPr>
          <w:rFonts w:ascii="Arial" w:hAnsi="Arial" w:cs="Arial"/>
          <w:b/>
          <w:i/>
          <w:color w:val="877A67"/>
          <w:sz w:val="20"/>
          <w:szCs w:val="24"/>
        </w:rPr>
        <w:t>ón</w:t>
      </w:r>
      <w:r w:rsidR="008D4CF0" w:rsidRPr="008D4CF0">
        <w:rPr>
          <w:rFonts w:ascii="Arial" w:hAnsi="Arial" w:cs="Arial"/>
          <w:b/>
          <w:i/>
          <w:color w:val="877A67"/>
          <w:sz w:val="20"/>
          <w:szCs w:val="24"/>
        </w:rPr>
        <w:t xml:space="preserve"> conocidas por las Procuradurías</w:t>
      </w:r>
      <w:r w:rsidR="00013EA0">
        <w:rPr>
          <w:rFonts w:ascii="Arial" w:hAnsi="Arial" w:cs="Arial"/>
          <w:b/>
          <w:i/>
          <w:color w:val="877A67"/>
          <w:sz w:val="20"/>
          <w:szCs w:val="24"/>
        </w:rPr>
        <w:t xml:space="preserve"> </w:t>
      </w:r>
      <w:r w:rsidR="008D4CF0" w:rsidRPr="008D4CF0">
        <w:rPr>
          <w:rFonts w:ascii="Arial" w:hAnsi="Arial" w:cs="Arial"/>
          <w:b/>
          <w:i/>
          <w:color w:val="877A67"/>
          <w:sz w:val="20"/>
          <w:szCs w:val="24"/>
        </w:rPr>
        <w:t>o Fiscalías Generales de Justicia, según estatus, 2013 a 20</w:t>
      </w:r>
      <w:r w:rsidR="00013EA0">
        <w:rPr>
          <w:rFonts w:ascii="Arial" w:hAnsi="Arial" w:cs="Arial"/>
          <w:b/>
          <w:i/>
          <w:color w:val="877A67"/>
          <w:sz w:val="20"/>
          <w:szCs w:val="24"/>
        </w:rPr>
        <w:t>20</w:t>
      </w:r>
    </w:p>
    <w:p w14:paraId="4BAC12B9" w14:textId="72BF8EB9" w:rsidR="00931FE9" w:rsidRDefault="00C31036" w:rsidP="00C31036">
      <w:pPr>
        <w:autoSpaceDE w:val="0"/>
        <w:autoSpaceDN w:val="0"/>
        <w:adjustRightInd w:val="0"/>
        <w:spacing w:after="0" w:line="240" w:lineRule="auto"/>
        <w:ind w:left="-567"/>
        <w:rPr>
          <w:rFonts w:ascii="Arial" w:hAnsi="Arial" w:cs="Arial"/>
          <w:color w:val="000000"/>
          <w:sz w:val="24"/>
          <w:szCs w:val="24"/>
        </w:rPr>
      </w:pPr>
      <w:r>
        <w:rPr>
          <w:rFonts w:ascii="Arial" w:hAnsi="Arial" w:cs="Arial"/>
          <w:noProof/>
          <w:color w:val="000000"/>
          <w:sz w:val="24"/>
          <w:szCs w:val="24"/>
        </w:rPr>
        <w:drawing>
          <wp:inline distT="0" distB="0" distL="0" distR="0" wp14:anchorId="3D006590" wp14:editId="5900934B">
            <wp:extent cx="6365174" cy="2059357"/>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02695" cy="2071496"/>
                    </a:xfrm>
                    <a:prstGeom prst="rect">
                      <a:avLst/>
                    </a:prstGeom>
                    <a:noFill/>
                  </pic:spPr>
                </pic:pic>
              </a:graphicData>
            </a:graphic>
          </wp:inline>
        </w:drawing>
      </w:r>
    </w:p>
    <w:p w14:paraId="7E7EB285" w14:textId="77777777" w:rsidR="006D1E34" w:rsidRDefault="006D1E34" w:rsidP="00D14F6D">
      <w:pPr>
        <w:autoSpaceDE w:val="0"/>
        <w:autoSpaceDN w:val="0"/>
        <w:adjustRightInd w:val="0"/>
        <w:spacing w:after="0" w:line="240" w:lineRule="auto"/>
        <w:ind w:left="-567"/>
        <w:jc w:val="center"/>
        <w:rPr>
          <w:rFonts w:ascii="Arial" w:hAnsi="Arial" w:cs="Arial"/>
          <w:sz w:val="16"/>
        </w:rPr>
      </w:pPr>
    </w:p>
    <w:p w14:paraId="52306C0B" w14:textId="1D95E9ED" w:rsidR="00D14F6D" w:rsidRPr="00542551" w:rsidRDefault="00D14F6D" w:rsidP="00542551">
      <w:pPr>
        <w:autoSpaceDE w:val="0"/>
        <w:autoSpaceDN w:val="0"/>
        <w:adjustRightInd w:val="0"/>
        <w:spacing w:after="0" w:line="240" w:lineRule="auto"/>
        <w:ind w:left="-567"/>
        <w:jc w:val="center"/>
        <w:rPr>
          <w:rFonts w:ascii="Arial" w:hAnsi="Arial" w:cs="Arial"/>
          <w:sz w:val="16"/>
        </w:rPr>
      </w:pPr>
      <w:r w:rsidRPr="00D14F6D">
        <w:rPr>
          <w:rFonts w:ascii="Arial" w:hAnsi="Arial" w:cs="Arial"/>
          <w:sz w:val="16"/>
        </w:rPr>
        <w:t>Nota: la categoría Determinadas incluye las determinaciones y/o conclusiones registradas en averiguaciones previas e investigaciones y en carpetas de investigación en etapa de investigación inicial. La categoría Cerradas se refiere a las determinaciones y/o conclusiones registradas en carpetas de investigación en etapa de investigación complementaria. En el caso de la categoría Pendientes, la cifra pued</w:t>
      </w:r>
      <w:r w:rsidR="00542551">
        <w:rPr>
          <w:rFonts w:ascii="Arial" w:hAnsi="Arial" w:cs="Arial"/>
          <w:sz w:val="16"/>
        </w:rPr>
        <w:t xml:space="preserve">e </w:t>
      </w:r>
      <w:r w:rsidRPr="00D14F6D">
        <w:rPr>
          <w:rFonts w:ascii="Arial" w:hAnsi="Arial" w:cs="Arial"/>
          <w:sz w:val="16"/>
        </w:rPr>
        <w:t>corresponder a las pendientes de concluir que fueron abiertas en 20</w:t>
      </w:r>
      <w:r>
        <w:rPr>
          <w:rFonts w:ascii="Arial" w:hAnsi="Arial" w:cs="Arial"/>
          <w:sz w:val="16"/>
        </w:rPr>
        <w:t>20</w:t>
      </w:r>
      <w:r w:rsidRPr="00D14F6D">
        <w:rPr>
          <w:rFonts w:ascii="Arial" w:hAnsi="Arial" w:cs="Arial"/>
          <w:sz w:val="16"/>
        </w:rPr>
        <w:t xml:space="preserve"> o de años anteriores</w:t>
      </w:r>
      <w:r w:rsidRPr="00542551">
        <w:rPr>
          <w:rFonts w:ascii="Arial" w:hAnsi="Arial" w:cs="Arial"/>
          <w:sz w:val="16"/>
        </w:rPr>
        <w:t>.</w:t>
      </w:r>
    </w:p>
    <w:p w14:paraId="529FE25A" w14:textId="77777777" w:rsidR="00AA7D2F" w:rsidRDefault="00AA7D2F" w:rsidP="00ED17D3">
      <w:pPr>
        <w:autoSpaceDE w:val="0"/>
        <w:autoSpaceDN w:val="0"/>
        <w:adjustRightInd w:val="0"/>
        <w:spacing w:after="0" w:line="240" w:lineRule="auto"/>
        <w:ind w:left="-567"/>
        <w:jc w:val="both"/>
        <w:rPr>
          <w:rFonts w:ascii="Arial" w:hAnsi="Arial" w:cs="Arial"/>
          <w:color w:val="000000"/>
          <w:sz w:val="24"/>
          <w:szCs w:val="24"/>
        </w:rPr>
      </w:pPr>
    </w:p>
    <w:p w14:paraId="7B5AA127" w14:textId="242FA37E" w:rsidR="00013EA0" w:rsidRDefault="00ED17D3" w:rsidP="00ED17D3">
      <w:pPr>
        <w:autoSpaceDE w:val="0"/>
        <w:autoSpaceDN w:val="0"/>
        <w:adjustRightInd w:val="0"/>
        <w:spacing w:after="0" w:line="240" w:lineRule="auto"/>
        <w:ind w:left="-567"/>
        <w:jc w:val="both"/>
        <w:rPr>
          <w:rFonts w:ascii="Arial" w:hAnsi="Arial" w:cs="Arial"/>
          <w:color w:val="000000"/>
          <w:sz w:val="24"/>
          <w:szCs w:val="24"/>
        </w:rPr>
      </w:pPr>
      <w:r>
        <w:rPr>
          <w:rFonts w:ascii="Arial" w:hAnsi="Arial" w:cs="Arial"/>
          <w:color w:val="000000"/>
          <w:sz w:val="24"/>
          <w:szCs w:val="24"/>
        </w:rPr>
        <w:t xml:space="preserve">Estado de México y </w:t>
      </w:r>
      <w:r w:rsidR="00C15B4A">
        <w:rPr>
          <w:rFonts w:ascii="Arial" w:hAnsi="Arial" w:cs="Arial"/>
          <w:color w:val="000000"/>
          <w:sz w:val="24"/>
          <w:szCs w:val="24"/>
        </w:rPr>
        <w:t>Ciudad de México</w:t>
      </w:r>
      <w:r>
        <w:rPr>
          <w:rFonts w:ascii="Arial" w:hAnsi="Arial" w:cs="Arial"/>
          <w:color w:val="000000"/>
          <w:sz w:val="24"/>
          <w:szCs w:val="24"/>
        </w:rPr>
        <w:t xml:space="preserve"> concentraron la mayor cantidad de</w:t>
      </w:r>
      <w:r w:rsidRPr="00ED17D3">
        <w:t xml:space="preserve"> </w:t>
      </w:r>
      <w:r>
        <w:rPr>
          <w:rFonts w:ascii="Arial" w:hAnsi="Arial" w:cs="Arial"/>
          <w:color w:val="000000"/>
          <w:sz w:val="24"/>
          <w:szCs w:val="24"/>
        </w:rPr>
        <w:t>a</w:t>
      </w:r>
      <w:r w:rsidRPr="00ED17D3">
        <w:rPr>
          <w:rFonts w:ascii="Arial" w:hAnsi="Arial" w:cs="Arial"/>
          <w:color w:val="000000"/>
          <w:sz w:val="24"/>
          <w:szCs w:val="24"/>
        </w:rPr>
        <w:t>veriguaciones previas, investigaciones iniciadas y carpetas de investigación</w:t>
      </w:r>
      <w:r>
        <w:rPr>
          <w:rFonts w:ascii="Arial" w:hAnsi="Arial" w:cs="Arial"/>
          <w:color w:val="000000"/>
          <w:sz w:val="24"/>
          <w:szCs w:val="24"/>
        </w:rPr>
        <w:t xml:space="preserve"> </w:t>
      </w:r>
      <w:r w:rsidRPr="00ED17D3">
        <w:rPr>
          <w:rFonts w:ascii="Arial" w:hAnsi="Arial" w:cs="Arial"/>
          <w:color w:val="000000"/>
          <w:sz w:val="24"/>
          <w:szCs w:val="24"/>
        </w:rPr>
        <w:t>abiertas</w:t>
      </w:r>
      <w:r>
        <w:rPr>
          <w:rFonts w:ascii="Arial" w:hAnsi="Arial" w:cs="Arial"/>
          <w:color w:val="000000"/>
          <w:sz w:val="24"/>
          <w:szCs w:val="24"/>
        </w:rPr>
        <w:t xml:space="preserve"> con 343 775 y </w:t>
      </w:r>
      <w:r w:rsidR="00C15B4A" w:rsidRPr="00C15B4A">
        <w:rPr>
          <w:rFonts w:ascii="Arial" w:hAnsi="Arial" w:cs="Arial"/>
          <w:color w:val="000000"/>
          <w:sz w:val="24"/>
          <w:szCs w:val="24"/>
        </w:rPr>
        <w:t>199</w:t>
      </w:r>
      <w:r w:rsidR="00C15B4A">
        <w:rPr>
          <w:rFonts w:ascii="Arial" w:hAnsi="Arial" w:cs="Arial"/>
          <w:color w:val="000000"/>
          <w:sz w:val="24"/>
          <w:szCs w:val="24"/>
        </w:rPr>
        <w:t xml:space="preserve"> </w:t>
      </w:r>
      <w:r w:rsidR="00C15B4A" w:rsidRPr="00C15B4A">
        <w:rPr>
          <w:rFonts w:ascii="Arial" w:hAnsi="Arial" w:cs="Arial"/>
          <w:color w:val="000000"/>
          <w:sz w:val="24"/>
          <w:szCs w:val="24"/>
        </w:rPr>
        <w:t>761</w:t>
      </w:r>
      <w:r>
        <w:rPr>
          <w:rFonts w:ascii="Arial" w:hAnsi="Arial" w:cs="Arial"/>
          <w:color w:val="000000"/>
          <w:sz w:val="24"/>
          <w:szCs w:val="24"/>
        </w:rPr>
        <w:t>, respectivamente.</w:t>
      </w:r>
      <w:r w:rsidR="00013EA0" w:rsidRPr="00FD2D78">
        <w:rPr>
          <w:rFonts w:ascii="Arial" w:hAnsi="Arial" w:cs="Arial"/>
          <w:color w:val="000000"/>
          <w:sz w:val="24"/>
          <w:szCs w:val="24"/>
        </w:rPr>
        <w:t xml:space="preserve"> </w:t>
      </w:r>
    </w:p>
    <w:p w14:paraId="4C066F87" w14:textId="2205A02D" w:rsidR="00013EA0" w:rsidRDefault="00013EA0" w:rsidP="00013EA0">
      <w:pPr>
        <w:autoSpaceDE w:val="0"/>
        <w:autoSpaceDN w:val="0"/>
        <w:adjustRightInd w:val="0"/>
        <w:spacing w:after="0" w:line="240" w:lineRule="auto"/>
        <w:ind w:left="-567"/>
        <w:jc w:val="center"/>
        <w:rPr>
          <w:rFonts w:ascii="Arial" w:hAnsi="Arial" w:cs="Arial"/>
          <w:color w:val="000000"/>
          <w:sz w:val="24"/>
          <w:szCs w:val="24"/>
        </w:rPr>
      </w:pPr>
    </w:p>
    <w:p w14:paraId="793E1F6A" w14:textId="29F8FBF6" w:rsidR="00013EA0" w:rsidRPr="00013EA0" w:rsidRDefault="00013EA0" w:rsidP="00013EA0">
      <w:pPr>
        <w:autoSpaceDE w:val="0"/>
        <w:autoSpaceDN w:val="0"/>
        <w:adjustRightInd w:val="0"/>
        <w:spacing w:after="0" w:line="240" w:lineRule="auto"/>
        <w:ind w:left="-567"/>
        <w:jc w:val="center"/>
        <w:rPr>
          <w:rFonts w:ascii="Arial" w:hAnsi="Arial" w:cs="Arial"/>
          <w:b/>
          <w:i/>
          <w:color w:val="877A67"/>
          <w:sz w:val="20"/>
          <w:szCs w:val="24"/>
        </w:rPr>
      </w:pPr>
      <w:r w:rsidRPr="00FE00A5">
        <w:rPr>
          <w:rFonts w:ascii="Arial" w:hAnsi="Arial" w:cs="Arial"/>
          <w:b/>
          <w:i/>
          <w:color w:val="877A67"/>
          <w:sz w:val="20"/>
          <w:szCs w:val="24"/>
        </w:rPr>
        <w:t xml:space="preserve">Mapa </w:t>
      </w:r>
      <w:r>
        <w:rPr>
          <w:rFonts w:ascii="Arial" w:hAnsi="Arial" w:cs="Arial"/>
          <w:b/>
          <w:i/>
          <w:color w:val="877A67"/>
          <w:sz w:val="20"/>
          <w:szCs w:val="24"/>
        </w:rPr>
        <w:t>6</w:t>
      </w:r>
      <w:r w:rsidRPr="00FE00A5">
        <w:rPr>
          <w:rFonts w:ascii="Arial" w:hAnsi="Arial" w:cs="Arial"/>
          <w:b/>
          <w:i/>
          <w:color w:val="877A67"/>
          <w:sz w:val="20"/>
          <w:szCs w:val="24"/>
        </w:rPr>
        <w:t xml:space="preserve">. </w:t>
      </w:r>
      <w:r>
        <w:rPr>
          <w:rFonts w:ascii="Arial" w:hAnsi="Arial" w:cs="Arial"/>
          <w:b/>
          <w:i/>
          <w:color w:val="877A67"/>
          <w:sz w:val="20"/>
          <w:szCs w:val="24"/>
        </w:rPr>
        <w:t>A</w:t>
      </w:r>
      <w:r w:rsidRPr="00013EA0">
        <w:rPr>
          <w:rFonts w:ascii="Arial" w:hAnsi="Arial" w:cs="Arial"/>
          <w:b/>
          <w:i/>
          <w:color w:val="877A67"/>
          <w:sz w:val="20"/>
          <w:szCs w:val="24"/>
        </w:rPr>
        <w:t>veriguaciones previas,</w:t>
      </w:r>
      <w:r>
        <w:rPr>
          <w:rFonts w:ascii="Arial" w:hAnsi="Arial" w:cs="Arial"/>
          <w:b/>
          <w:i/>
          <w:color w:val="877A67"/>
          <w:sz w:val="20"/>
          <w:szCs w:val="24"/>
        </w:rPr>
        <w:t xml:space="preserve"> </w:t>
      </w:r>
      <w:r w:rsidRPr="00013EA0">
        <w:rPr>
          <w:rFonts w:ascii="Arial" w:hAnsi="Arial" w:cs="Arial"/>
          <w:b/>
          <w:i/>
          <w:color w:val="877A67"/>
          <w:sz w:val="20"/>
          <w:szCs w:val="24"/>
        </w:rPr>
        <w:t>investigaciones iniciadas y carpetas de investigación</w:t>
      </w:r>
    </w:p>
    <w:p w14:paraId="17E01497" w14:textId="2ABC7D68" w:rsidR="00557D9A" w:rsidRDefault="00013EA0" w:rsidP="00057509">
      <w:pPr>
        <w:autoSpaceDE w:val="0"/>
        <w:autoSpaceDN w:val="0"/>
        <w:adjustRightInd w:val="0"/>
        <w:spacing w:after="0" w:line="240" w:lineRule="auto"/>
        <w:ind w:left="-567"/>
        <w:jc w:val="center"/>
        <w:rPr>
          <w:rFonts w:ascii="Arial" w:hAnsi="Arial" w:cs="Arial"/>
          <w:b/>
          <w:bCs/>
          <w:iCs/>
          <w:noProof/>
          <w:sz w:val="24"/>
          <w:szCs w:val="24"/>
          <w:lang w:eastAsia="es-MX"/>
        </w:rPr>
      </w:pPr>
      <w:r w:rsidRPr="00013EA0">
        <w:rPr>
          <w:rFonts w:ascii="Arial" w:hAnsi="Arial" w:cs="Arial"/>
          <w:b/>
          <w:i/>
          <w:color w:val="877A67"/>
          <w:sz w:val="20"/>
          <w:szCs w:val="24"/>
        </w:rPr>
        <w:t xml:space="preserve">abiertas, según </w:t>
      </w:r>
      <w:r w:rsidR="00ED17D3">
        <w:rPr>
          <w:rFonts w:ascii="Arial" w:hAnsi="Arial" w:cs="Arial"/>
          <w:b/>
          <w:i/>
          <w:color w:val="877A67"/>
          <w:sz w:val="20"/>
          <w:szCs w:val="24"/>
        </w:rPr>
        <w:t>entidad federativa</w:t>
      </w:r>
      <w:r w:rsidRPr="00013EA0">
        <w:rPr>
          <w:rFonts w:ascii="Arial" w:hAnsi="Arial" w:cs="Arial"/>
          <w:b/>
          <w:i/>
          <w:color w:val="877A67"/>
          <w:sz w:val="20"/>
          <w:szCs w:val="24"/>
        </w:rPr>
        <w:t>, 20</w:t>
      </w:r>
      <w:r w:rsidR="00ED17D3">
        <w:rPr>
          <w:rFonts w:ascii="Arial" w:hAnsi="Arial" w:cs="Arial"/>
          <w:b/>
          <w:i/>
          <w:color w:val="877A67"/>
          <w:sz w:val="20"/>
          <w:szCs w:val="24"/>
        </w:rPr>
        <w:t>20</w:t>
      </w:r>
    </w:p>
    <w:p w14:paraId="1C23C42B" w14:textId="3161C6D1" w:rsidR="00C15B4A" w:rsidRDefault="00C15B4A" w:rsidP="00057509">
      <w:pPr>
        <w:autoSpaceDE w:val="0"/>
        <w:autoSpaceDN w:val="0"/>
        <w:adjustRightInd w:val="0"/>
        <w:spacing w:after="0" w:line="240" w:lineRule="auto"/>
        <w:ind w:left="-567"/>
        <w:jc w:val="center"/>
        <w:rPr>
          <w:rFonts w:ascii="Arial" w:hAnsi="Arial" w:cs="Arial"/>
          <w:b/>
          <w:bCs/>
          <w:iCs/>
          <w:noProof/>
          <w:sz w:val="24"/>
          <w:szCs w:val="24"/>
          <w:lang w:eastAsia="es-MX"/>
        </w:rPr>
      </w:pPr>
      <w:r>
        <w:rPr>
          <w:rFonts w:ascii="Arial" w:hAnsi="Arial" w:cs="Arial"/>
          <w:b/>
          <w:bCs/>
          <w:iCs/>
          <w:noProof/>
          <w:sz w:val="24"/>
          <w:szCs w:val="24"/>
          <w:lang w:eastAsia="es-MX"/>
        </w:rPr>
        <w:drawing>
          <wp:inline distT="0" distB="0" distL="0" distR="0" wp14:anchorId="798AFD03" wp14:editId="5C6207EE">
            <wp:extent cx="5970736" cy="3498850"/>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87862" cy="3508886"/>
                    </a:xfrm>
                    <a:prstGeom prst="rect">
                      <a:avLst/>
                    </a:prstGeom>
                    <a:noFill/>
                  </pic:spPr>
                </pic:pic>
              </a:graphicData>
            </a:graphic>
          </wp:inline>
        </w:drawing>
      </w:r>
    </w:p>
    <w:p w14:paraId="3DFF3485" w14:textId="77777777" w:rsidR="005779D9" w:rsidRDefault="005779D9" w:rsidP="00ED17D3">
      <w:pPr>
        <w:autoSpaceDE w:val="0"/>
        <w:autoSpaceDN w:val="0"/>
        <w:adjustRightInd w:val="0"/>
        <w:spacing w:after="0" w:line="240" w:lineRule="auto"/>
        <w:ind w:left="-567"/>
        <w:jc w:val="both"/>
        <w:rPr>
          <w:rFonts w:ascii="Arial" w:hAnsi="Arial" w:cs="Arial"/>
          <w:color w:val="000000"/>
          <w:sz w:val="24"/>
          <w:szCs w:val="24"/>
        </w:rPr>
      </w:pPr>
      <w:bookmarkStart w:id="15" w:name="_Hlk85032486"/>
    </w:p>
    <w:p w14:paraId="2BE8A1AF" w14:textId="77777777" w:rsidR="00C31036" w:rsidRDefault="00C31036" w:rsidP="000530BE">
      <w:pPr>
        <w:autoSpaceDE w:val="0"/>
        <w:autoSpaceDN w:val="0"/>
        <w:adjustRightInd w:val="0"/>
        <w:spacing w:after="0" w:line="240" w:lineRule="auto"/>
        <w:ind w:left="-567"/>
        <w:jc w:val="both"/>
        <w:rPr>
          <w:rFonts w:ascii="Arial" w:hAnsi="Arial" w:cs="Arial"/>
          <w:color w:val="000000"/>
          <w:sz w:val="24"/>
          <w:szCs w:val="24"/>
        </w:rPr>
      </w:pPr>
    </w:p>
    <w:p w14:paraId="3206E7B6" w14:textId="03D560A1" w:rsidR="00AA7D2F" w:rsidRDefault="00ED17D3" w:rsidP="000530BE">
      <w:pPr>
        <w:autoSpaceDE w:val="0"/>
        <w:autoSpaceDN w:val="0"/>
        <w:adjustRightInd w:val="0"/>
        <w:spacing w:after="0" w:line="240" w:lineRule="auto"/>
        <w:ind w:left="-567"/>
        <w:jc w:val="both"/>
        <w:rPr>
          <w:rFonts w:ascii="Arial" w:hAnsi="Arial" w:cs="Arial"/>
          <w:b/>
          <w:i/>
          <w:color w:val="877A67"/>
          <w:sz w:val="20"/>
          <w:szCs w:val="24"/>
        </w:rPr>
      </w:pPr>
      <w:r w:rsidRPr="00372711">
        <w:rPr>
          <w:rFonts w:ascii="Arial" w:hAnsi="Arial" w:cs="Arial"/>
          <w:color w:val="000000"/>
          <w:sz w:val="24"/>
          <w:szCs w:val="24"/>
        </w:rPr>
        <w:lastRenderedPageBreak/>
        <w:t>Con relación a los delitos registrados en las averiguaciones previas iniciadas, investigaciones y carpetas de investigación abiertas,</w:t>
      </w:r>
      <w:r w:rsidR="00E20B70">
        <w:rPr>
          <w:rFonts w:ascii="Arial" w:hAnsi="Arial" w:cs="Arial"/>
          <w:color w:val="000000"/>
          <w:sz w:val="24"/>
          <w:szCs w:val="24"/>
        </w:rPr>
        <w:t xml:space="preserve"> en 2020,</w:t>
      </w:r>
      <w:r w:rsidRPr="00372711">
        <w:rPr>
          <w:rFonts w:ascii="Arial" w:hAnsi="Arial" w:cs="Arial"/>
          <w:color w:val="000000"/>
          <w:sz w:val="24"/>
          <w:szCs w:val="24"/>
        </w:rPr>
        <w:t xml:space="preserve"> a nivel nacional se registraron </w:t>
      </w:r>
      <w:r w:rsidR="00CC1B81" w:rsidRPr="00CC1B81">
        <w:rPr>
          <w:rFonts w:ascii="Arial" w:hAnsi="Arial" w:cs="Arial"/>
          <w:color w:val="000000"/>
          <w:sz w:val="24"/>
          <w:szCs w:val="24"/>
        </w:rPr>
        <w:t xml:space="preserve">1 856 805 </w:t>
      </w:r>
      <w:r w:rsidR="00372711">
        <w:rPr>
          <w:rFonts w:ascii="Arial" w:hAnsi="Arial" w:cs="Arial"/>
          <w:color w:val="000000"/>
          <w:sz w:val="24"/>
          <w:szCs w:val="24"/>
        </w:rPr>
        <w:t>(</w:t>
      </w:r>
      <w:r w:rsidRPr="00372711">
        <w:rPr>
          <w:rFonts w:ascii="Arial" w:hAnsi="Arial" w:cs="Arial"/>
          <w:color w:val="000000"/>
          <w:sz w:val="24"/>
          <w:szCs w:val="24"/>
        </w:rPr>
        <w:t>9</w:t>
      </w:r>
      <w:r w:rsidR="00372711">
        <w:rPr>
          <w:rFonts w:ascii="Arial" w:hAnsi="Arial" w:cs="Arial"/>
          <w:color w:val="000000"/>
          <w:sz w:val="24"/>
          <w:szCs w:val="24"/>
        </w:rPr>
        <w:t>8.8</w:t>
      </w:r>
      <w:r w:rsidRPr="00372711">
        <w:rPr>
          <w:rFonts w:ascii="Arial" w:hAnsi="Arial" w:cs="Arial"/>
          <w:color w:val="000000"/>
          <w:sz w:val="24"/>
          <w:szCs w:val="24"/>
        </w:rPr>
        <w:t>% correspondió al sistema de justicia para adultos y 1.</w:t>
      </w:r>
      <w:r w:rsidR="00372711">
        <w:rPr>
          <w:rFonts w:ascii="Arial" w:hAnsi="Arial" w:cs="Arial"/>
          <w:color w:val="000000"/>
          <w:sz w:val="24"/>
          <w:szCs w:val="24"/>
        </w:rPr>
        <w:t>2</w:t>
      </w:r>
      <w:r w:rsidRPr="00372711">
        <w:rPr>
          <w:rFonts w:ascii="Arial" w:hAnsi="Arial" w:cs="Arial"/>
          <w:color w:val="000000"/>
          <w:sz w:val="24"/>
          <w:szCs w:val="24"/>
        </w:rPr>
        <w:t>% al sistema de adolescentes</w:t>
      </w:r>
      <w:r w:rsidR="00372711">
        <w:rPr>
          <w:rFonts w:ascii="Arial" w:hAnsi="Arial" w:cs="Arial"/>
          <w:color w:val="000000"/>
          <w:sz w:val="24"/>
          <w:szCs w:val="24"/>
        </w:rPr>
        <w:t>), esta cifra representó una disminución de 11.0% respecto a lo registrado en 2019</w:t>
      </w:r>
      <w:r w:rsidR="00202B0C">
        <w:rPr>
          <w:rStyle w:val="Refdenotaalpie"/>
          <w:rFonts w:ascii="Arial" w:hAnsi="Arial" w:cs="Arial"/>
          <w:color w:val="000000"/>
          <w:sz w:val="24"/>
          <w:szCs w:val="24"/>
        </w:rPr>
        <w:footnoteReference w:id="10"/>
      </w:r>
      <w:r w:rsidRPr="00372711">
        <w:rPr>
          <w:rFonts w:ascii="Arial" w:hAnsi="Arial" w:cs="Arial"/>
          <w:color w:val="000000"/>
          <w:sz w:val="24"/>
          <w:szCs w:val="24"/>
        </w:rPr>
        <w:t>. E</w:t>
      </w:r>
      <w:r w:rsidR="00590467">
        <w:rPr>
          <w:rFonts w:ascii="Arial" w:hAnsi="Arial" w:cs="Arial"/>
          <w:color w:val="000000"/>
          <w:sz w:val="24"/>
          <w:szCs w:val="24"/>
        </w:rPr>
        <w:t>l delito de</w:t>
      </w:r>
      <w:r w:rsidR="00372711">
        <w:rPr>
          <w:rFonts w:ascii="Arial" w:hAnsi="Arial" w:cs="Arial"/>
          <w:color w:val="000000"/>
          <w:sz w:val="24"/>
          <w:szCs w:val="24"/>
        </w:rPr>
        <w:t xml:space="preserve"> </w:t>
      </w:r>
      <w:r w:rsidR="00372711" w:rsidRPr="00372711">
        <w:rPr>
          <w:rFonts w:ascii="Arial" w:hAnsi="Arial" w:cs="Arial"/>
          <w:i/>
          <w:color w:val="000000"/>
          <w:sz w:val="24"/>
          <w:szCs w:val="24"/>
        </w:rPr>
        <w:t>Robo</w:t>
      </w:r>
      <w:r w:rsidR="00372711">
        <w:rPr>
          <w:rFonts w:ascii="Arial" w:hAnsi="Arial" w:cs="Arial"/>
          <w:color w:val="000000"/>
          <w:sz w:val="24"/>
          <w:szCs w:val="24"/>
        </w:rPr>
        <w:t xml:space="preserve"> </w:t>
      </w:r>
      <w:r w:rsidR="00590467">
        <w:rPr>
          <w:rFonts w:ascii="Arial" w:hAnsi="Arial" w:cs="Arial"/>
          <w:color w:val="000000"/>
          <w:sz w:val="24"/>
          <w:szCs w:val="24"/>
        </w:rPr>
        <w:t>registró la</w:t>
      </w:r>
      <w:r w:rsidRPr="00372711">
        <w:rPr>
          <w:rFonts w:ascii="Arial" w:hAnsi="Arial" w:cs="Arial"/>
          <w:color w:val="000000"/>
          <w:sz w:val="24"/>
          <w:szCs w:val="24"/>
        </w:rPr>
        <w:t xml:space="preserve"> mayor frecuencia al concentrar 3</w:t>
      </w:r>
      <w:r w:rsidR="00372711">
        <w:rPr>
          <w:rFonts w:ascii="Arial" w:hAnsi="Arial" w:cs="Arial"/>
          <w:color w:val="000000"/>
          <w:sz w:val="24"/>
          <w:szCs w:val="24"/>
        </w:rPr>
        <w:t>3.0</w:t>
      </w:r>
      <w:r w:rsidRPr="00372711">
        <w:rPr>
          <w:rFonts w:ascii="Arial" w:hAnsi="Arial" w:cs="Arial"/>
          <w:color w:val="000000"/>
          <w:sz w:val="24"/>
          <w:szCs w:val="24"/>
        </w:rPr>
        <w:t>% del total nacional.</w:t>
      </w:r>
      <w:r w:rsidR="00372711">
        <w:rPr>
          <w:rFonts w:ascii="Arial" w:hAnsi="Arial" w:cs="Arial"/>
          <w:color w:val="000000"/>
          <w:sz w:val="24"/>
          <w:szCs w:val="24"/>
        </w:rPr>
        <w:t xml:space="preserve"> </w:t>
      </w:r>
      <w:bookmarkEnd w:id="15"/>
    </w:p>
    <w:p w14:paraId="7F2B21AE" w14:textId="77777777" w:rsidR="00AA7D2F" w:rsidRDefault="00AA7D2F" w:rsidP="00372711">
      <w:pPr>
        <w:autoSpaceDE w:val="0"/>
        <w:autoSpaceDN w:val="0"/>
        <w:adjustRightInd w:val="0"/>
        <w:spacing w:after="0" w:line="240" w:lineRule="auto"/>
        <w:ind w:left="-567"/>
        <w:jc w:val="center"/>
        <w:rPr>
          <w:rFonts w:ascii="Arial" w:hAnsi="Arial" w:cs="Arial"/>
          <w:b/>
          <w:i/>
          <w:color w:val="877A67"/>
          <w:sz w:val="20"/>
          <w:szCs w:val="24"/>
        </w:rPr>
      </w:pPr>
    </w:p>
    <w:p w14:paraId="5295AC6C" w14:textId="2E39EC4D" w:rsidR="00372711" w:rsidRPr="00372711" w:rsidRDefault="00372711" w:rsidP="00372711">
      <w:pPr>
        <w:autoSpaceDE w:val="0"/>
        <w:autoSpaceDN w:val="0"/>
        <w:adjustRightInd w:val="0"/>
        <w:spacing w:after="0" w:line="240" w:lineRule="auto"/>
        <w:ind w:left="-567"/>
        <w:jc w:val="center"/>
        <w:rPr>
          <w:rFonts w:ascii="Arial" w:hAnsi="Arial" w:cs="Arial"/>
          <w:b/>
          <w:i/>
          <w:color w:val="877A67"/>
          <w:sz w:val="20"/>
          <w:szCs w:val="24"/>
        </w:rPr>
      </w:pPr>
      <w:r>
        <w:rPr>
          <w:rFonts w:ascii="Arial" w:hAnsi="Arial" w:cs="Arial"/>
          <w:b/>
          <w:i/>
          <w:color w:val="877A67"/>
          <w:sz w:val="20"/>
          <w:szCs w:val="24"/>
        </w:rPr>
        <w:t>G</w:t>
      </w:r>
      <w:r w:rsidRPr="00E151A9">
        <w:rPr>
          <w:rFonts w:ascii="Arial" w:hAnsi="Arial" w:cs="Arial"/>
          <w:b/>
          <w:i/>
          <w:color w:val="877A67"/>
          <w:sz w:val="20"/>
          <w:szCs w:val="24"/>
        </w:rPr>
        <w:t xml:space="preserve">ráfica </w:t>
      </w:r>
      <w:r w:rsidR="00DA20EE">
        <w:rPr>
          <w:rFonts w:ascii="Arial" w:hAnsi="Arial" w:cs="Arial"/>
          <w:b/>
          <w:i/>
          <w:color w:val="877A67"/>
          <w:sz w:val="20"/>
          <w:szCs w:val="24"/>
        </w:rPr>
        <w:t>19</w:t>
      </w:r>
      <w:r>
        <w:rPr>
          <w:rFonts w:ascii="Arial" w:hAnsi="Arial" w:cs="Arial"/>
          <w:b/>
          <w:i/>
          <w:color w:val="877A67"/>
          <w:sz w:val="20"/>
          <w:szCs w:val="24"/>
        </w:rPr>
        <w:t>.</w:t>
      </w:r>
      <w:r w:rsidRPr="00DF110E">
        <w:t xml:space="preserve"> </w:t>
      </w:r>
      <w:r w:rsidRPr="00372711">
        <w:rPr>
          <w:rFonts w:ascii="Arial" w:hAnsi="Arial" w:cs="Arial"/>
          <w:b/>
          <w:i/>
          <w:color w:val="877A67"/>
          <w:sz w:val="20"/>
          <w:szCs w:val="24"/>
        </w:rPr>
        <w:t>Principales delitos registrados en las averiguaciones previas, investigaciones y</w:t>
      </w:r>
    </w:p>
    <w:p w14:paraId="4E2DC132" w14:textId="3E4E145B" w:rsidR="00372711" w:rsidRDefault="00372711" w:rsidP="00372711">
      <w:pPr>
        <w:autoSpaceDE w:val="0"/>
        <w:autoSpaceDN w:val="0"/>
        <w:adjustRightInd w:val="0"/>
        <w:spacing w:after="0" w:line="240" w:lineRule="auto"/>
        <w:ind w:left="-567"/>
        <w:jc w:val="center"/>
        <w:rPr>
          <w:rFonts w:ascii="Arial" w:hAnsi="Arial" w:cs="Arial"/>
          <w:color w:val="000000"/>
          <w:sz w:val="24"/>
          <w:szCs w:val="24"/>
        </w:rPr>
      </w:pPr>
      <w:r w:rsidRPr="00372711">
        <w:rPr>
          <w:rFonts w:ascii="Arial" w:hAnsi="Arial" w:cs="Arial"/>
          <w:b/>
          <w:i/>
          <w:color w:val="877A67"/>
          <w:sz w:val="20"/>
          <w:szCs w:val="24"/>
        </w:rPr>
        <w:t>carpetas de investigación abiertas, según tipo, 2019</w:t>
      </w:r>
      <w:r w:rsidR="00202B0C">
        <w:rPr>
          <w:rFonts w:ascii="Arial" w:hAnsi="Arial" w:cs="Arial"/>
          <w:b/>
          <w:i/>
          <w:color w:val="877A67"/>
          <w:sz w:val="20"/>
          <w:szCs w:val="24"/>
        </w:rPr>
        <w:t xml:space="preserve"> a 2020</w:t>
      </w:r>
    </w:p>
    <w:p w14:paraId="50F14AA9" w14:textId="77777777" w:rsidR="00372711" w:rsidRDefault="00372711" w:rsidP="00ED17D3">
      <w:pPr>
        <w:autoSpaceDE w:val="0"/>
        <w:autoSpaceDN w:val="0"/>
        <w:adjustRightInd w:val="0"/>
        <w:spacing w:after="0" w:line="240" w:lineRule="auto"/>
        <w:ind w:left="-567"/>
        <w:jc w:val="both"/>
        <w:rPr>
          <w:rFonts w:ascii="Arial" w:hAnsi="Arial" w:cs="Arial"/>
          <w:color w:val="000000"/>
          <w:sz w:val="24"/>
          <w:szCs w:val="24"/>
        </w:rPr>
      </w:pPr>
    </w:p>
    <w:p w14:paraId="55B26884" w14:textId="3E5ADDB2" w:rsidR="00372711" w:rsidRDefault="00372711" w:rsidP="00ED17D3">
      <w:pPr>
        <w:autoSpaceDE w:val="0"/>
        <w:autoSpaceDN w:val="0"/>
        <w:adjustRightInd w:val="0"/>
        <w:spacing w:after="0" w:line="240" w:lineRule="auto"/>
        <w:ind w:left="-567"/>
        <w:jc w:val="both"/>
        <w:rPr>
          <w:rFonts w:ascii="Arial" w:hAnsi="Arial" w:cs="Arial"/>
          <w:color w:val="000000"/>
          <w:sz w:val="24"/>
          <w:szCs w:val="24"/>
        </w:rPr>
      </w:pPr>
      <w:r w:rsidRPr="00372711">
        <w:rPr>
          <w:rFonts w:ascii="Arial" w:hAnsi="Arial" w:cs="Arial"/>
          <w:noProof/>
          <w:color w:val="000000"/>
          <w:sz w:val="24"/>
          <w:szCs w:val="24"/>
        </w:rPr>
        <w:drawing>
          <wp:inline distT="0" distB="0" distL="0" distR="0" wp14:anchorId="1FC0BFCF" wp14:editId="39754878">
            <wp:extent cx="6332562" cy="2517775"/>
            <wp:effectExtent l="0" t="0" r="0" b="0"/>
            <wp:docPr id="11" name="Gráfico 11">
              <a:extLst xmlns:a="http://schemas.openxmlformats.org/drawingml/2006/main">
                <a:ext uri="{FF2B5EF4-FFF2-40B4-BE49-F238E27FC236}">
                  <a16:creationId xmlns:a16="http://schemas.microsoft.com/office/drawing/2014/main" id="{E4276EB6-A843-4BB2-BDEF-AFE30D74D2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EF7CA1C" w14:textId="67AA0BDE" w:rsidR="00202B0C" w:rsidRDefault="00202B0C" w:rsidP="00202B0C">
      <w:pPr>
        <w:autoSpaceDE w:val="0"/>
        <w:autoSpaceDN w:val="0"/>
        <w:adjustRightInd w:val="0"/>
        <w:spacing w:after="0" w:line="240" w:lineRule="auto"/>
        <w:ind w:left="-567"/>
        <w:jc w:val="center"/>
        <w:rPr>
          <w:rFonts w:ascii="Arial" w:hAnsi="Arial" w:cs="Arial"/>
          <w:color w:val="000000"/>
          <w:sz w:val="16"/>
          <w:szCs w:val="24"/>
        </w:rPr>
      </w:pPr>
      <w:r w:rsidRPr="00202B0C">
        <w:rPr>
          <w:rFonts w:ascii="Arial" w:hAnsi="Arial" w:cs="Arial"/>
          <w:color w:val="000000"/>
          <w:sz w:val="16"/>
          <w:szCs w:val="24"/>
        </w:rPr>
        <w:t>*Incluye todas las modalidades de Robo.</w:t>
      </w:r>
    </w:p>
    <w:p w14:paraId="0196237C" w14:textId="01E6E3B2" w:rsidR="0062736A" w:rsidRDefault="0062736A" w:rsidP="0062736A">
      <w:pPr>
        <w:autoSpaceDE w:val="0"/>
        <w:autoSpaceDN w:val="0"/>
        <w:adjustRightInd w:val="0"/>
        <w:spacing w:after="0" w:line="240" w:lineRule="auto"/>
        <w:ind w:left="-567"/>
        <w:jc w:val="center"/>
        <w:rPr>
          <w:rFonts w:ascii="Arial" w:hAnsi="Arial" w:cs="Arial"/>
          <w:color w:val="000000"/>
          <w:sz w:val="16"/>
          <w:szCs w:val="24"/>
        </w:rPr>
      </w:pPr>
      <w:r>
        <w:rPr>
          <w:rFonts w:ascii="Arial" w:hAnsi="Arial" w:cs="Arial"/>
          <w:color w:val="000000"/>
          <w:sz w:val="16"/>
          <w:szCs w:val="24"/>
        </w:rPr>
        <w:t xml:space="preserve">Nota: </w:t>
      </w:r>
      <w:r w:rsidRPr="0062736A">
        <w:rPr>
          <w:rFonts w:ascii="Arial" w:hAnsi="Arial" w:cs="Arial"/>
          <w:color w:val="000000"/>
          <w:sz w:val="16"/>
          <w:szCs w:val="24"/>
        </w:rPr>
        <w:t>Se muestran l</w:t>
      </w:r>
      <w:r>
        <w:rPr>
          <w:rFonts w:ascii="Arial" w:hAnsi="Arial" w:cs="Arial"/>
          <w:color w:val="000000"/>
          <w:sz w:val="16"/>
          <w:szCs w:val="24"/>
        </w:rPr>
        <w:t>o</w:t>
      </w:r>
      <w:r w:rsidRPr="0062736A">
        <w:rPr>
          <w:rFonts w:ascii="Arial" w:hAnsi="Arial" w:cs="Arial"/>
          <w:color w:val="000000"/>
          <w:sz w:val="16"/>
          <w:szCs w:val="24"/>
        </w:rPr>
        <w:t xml:space="preserve">s diez principales </w:t>
      </w:r>
      <w:r>
        <w:rPr>
          <w:rFonts w:ascii="Arial" w:hAnsi="Arial" w:cs="Arial"/>
          <w:color w:val="000000"/>
          <w:sz w:val="16"/>
          <w:szCs w:val="24"/>
        </w:rPr>
        <w:t>delitos</w:t>
      </w:r>
      <w:r w:rsidRPr="0062736A">
        <w:rPr>
          <w:rFonts w:ascii="Arial" w:hAnsi="Arial" w:cs="Arial"/>
          <w:color w:val="000000"/>
          <w:sz w:val="16"/>
          <w:szCs w:val="24"/>
        </w:rPr>
        <w:t>, de acuerdo con la mayor frecuencia de registros.</w:t>
      </w:r>
      <w:r>
        <w:rPr>
          <w:rFonts w:ascii="Arial" w:hAnsi="Arial" w:cs="Arial"/>
          <w:color w:val="000000"/>
          <w:sz w:val="16"/>
          <w:szCs w:val="24"/>
        </w:rPr>
        <w:t xml:space="preserve"> </w:t>
      </w:r>
    </w:p>
    <w:p w14:paraId="02FAEF2A" w14:textId="77777777" w:rsidR="00202B0C" w:rsidRPr="00202B0C" w:rsidRDefault="00202B0C" w:rsidP="00202B0C">
      <w:pPr>
        <w:autoSpaceDE w:val="0"/>
        <w:autoSpaceDN w:val="0"/>
        <w:adjustRightInd w:val="0"/>
        <w:spacing w:after="0" w:line="240" w:lineRule="auto"/>
        <w:ind w:left="-567"/>
        <w:jc w:val="center"/>
        <w:rPr>
          <w:rFonts w:ascii="Arial" w:hAnsi="Arial" w:cs="Arial"/>
          <w:color w:val="000000"/>
          <w:sz w:val="16"/>
          <w:szCs w:val="24"/>
        </w:rPr>
      </w:pPr>
    </w:p>
    <w:p w14:paraId="22B63ADB" w14:textId="77777777" w:rsidR="001F0AC8" w:rsidRDefault="001F0AC8" w:rsidP="00300973">
      <w:pPr>
        <w:spacing w:after="0"/>
        <w:ind w:left="-567"/>
        <w:rPr>
          <w:rFonts w:ascii="Arial" w:hAnsi="Arial" w:cs="Arial"/>
          <w:b/>
          <w:bCs/>
          <w:iCs/>
          <w:noProof/>
          <w:sz w:val="24"/>
          <w:szCs w:val="24"/>
          <w:lang w:eastAsia="es-MX"/>
        </w:rPr>
      </w:pPr>
    </w:p>
    <w:p w14:paraId="4E011976" w14:textId="7203F4B4" w:rsidR="00040201" w:rsidRDefault="007A7B51" w:rsidP="00040201">
      <w:pPr>
        <w:autoSpaceDE w:val="0"/>
        <w:autoSpaceDN w:val="0"/>
        <w:adjustRightInd w:val="0"/>
        <w:spacing w:after="0" w:line="240" w:lineRule="auto"/>
        <w:ind w:left="-567"/>
        <w:jc w:val="both"/>
        <w:rPr>
          <w:rFonts w:ascii="Arial" w:hAnsi="Arial" w:cs="Arial"/>
          <w:color w:val="000000"/>
          <w:sz w:val="24"/>
          <w:szCs w:val="24"/>
        </w:rPr>
      </w:pPr>
      <w:r>
        <w:rPr>
          <w:rFonts w:ascii="Arial" w:hAnsi="Arial" w:cs="Arial"/>
          <w:color w:val="000000"/>
          <w:sz w:val="24"/>
          <w:szCs w:val="24"/>
        </w:rPr>
        <w:t>Estado de México</w:t>
      </w:r>
      <w:r w:rsidR="00040201">
        <w:rPr>
          <w:rFonts w:ascii="Arial" w:hAnsi="Arial" w:cs="Arial"/>
          <w:color w:val="000000"/>
          <w:sz w:val="24"/>
          <w:szCs w:val="24"/>
        </w:rPr>
        <w:t>,</w:t>
      </w:r>
      <w:r>
        <w:rPr>
          <w:rFonts w:ascii="Arial" w:hAnsi="Arial" w:cs="Arial"/>
          <w:color w:val="000000"/>
          <w:sz w:val="24"/>
          <w:szCs w:val="24"/>
        </w:rPr>
        <w:t xml:space="preserve"> Ciudad de México, Jalisco</w:t>
      </w:r>
      <w:r w:rsidR="00040201">
        <w:rPr>
          <w:rFonts w:ascii="Arial" w:hAnsi="Arial" w:cs="Arial"/>
          <w:color w:val="000000"/>
          <w:sz w:val="24"/>
          <w:szCs w:val="24"/>
        </w:rPr>
        <w:t xml:space="preserve"> y </w:t>
      </w:r>
      <w:r>
        <w:rPr>
          <w:rFonts w:ascii="Arial" w:hAnsi="Arial" w:cs="Arial"/>
          <w:color w:val="000000"/>
          <w:sz w:val="24"/>
          <w:szCs w:val="24"/>
        </w:rPr>
        <w:t>Guanajuato concentraron 42.8</w:t>
      </w:r>
      <w:r w:rsidR="00040201">
        <w:rPr>
          <w:rFonts w:ascii="Arial" w:hAnsi="Arial" w:cs="Arial"/>
          <w:color w:val="000000"/>
          <w:sz w:val="24"/>
          <w:szCs w:val="24"/>
        </w:rPr>
        <w:t>% del total de los delitos registrados</w:t>
      </w:r>
      <w:r>
        <w:rPr>
          <w:rFonts w:ascii="Arial" w:hAnsi="Arial" w:cs="Arial"/>
          <w:color w:val="000000"/>
          <w:sz w:val="24"/>
          <w:szCs w:val="24"/>
        </w:rPr>
        <w:t>.</w:t>
      </w:r>
    </w:p>
    <w:p w14:paraId="7F6205D9" w14:textId="77777777" w:rsidR="007A7B51" w:rsidRDefault="007A7B51" w:rsidP="00040201">
      <w:pPr>
        <w:autoSpaceDE w:val="0"/>
        <w:autoSpaceDN w:val="0"/>
        <w:adjustRightInd w:val="0"/>
        <w:spacing w:after="0" w:line="240" w:lineRule="auto"/>
        <w:ind w:left="-567"/>
        <w:jc w:val="both"/>
        <w:rPr>
          <w:rFonts w:ascii="Arial" w:hAnsi="Arial" w:cs="Arial"/>
          <w:color w:val="000000"/>
          <w:sz w:val="24"/>
          <w:szCs w:val="24"/>
        </w:rPr>
      </w:pPr>
    </w:p>
    <w:p w14:paraId="198FBA29" w14:textId="3BB301DE" w:rsidR="007A7B51" w:rsidRPr="00372711" w:rsidRDefault="007A7B51" w:rsidP="007A7B51">
      <w:pPr>
        <w:autoSpaceDE w:val="0"/>
        <w:autoSpaceDN w:val="0"/>
        <w:adjustRightInd w:val="0"/>
        <w:spacing w:after="0" w:line="240" w:lineRule="auto"/>
        <w:ind w:left="-567"/>
        <w:jc w:val="center"/>
        <w:rPr>
          <w:rFonts w:ascii="Arial" w:hAnsi="Arial" w:cs="Arial"/>
          <w:b/>
          <w:i/>
          <w:color w:val="877A67"/>
          <w:sz w:val="20"/>
          <w:szCs w:val="24"/>
        </w:rPr>
      </w:pPr>
      <w:r>
        <w:rPr>
          <w:rFonts w:ascii="Arial" w:hAnsi="Arial" w:cs="Arial"/>
          <w:b/>
          <w:i/>
          <w:color w:val="877A67"/>
          <w:sz w:val="20"/>
          <w:szCs w:val="24"/>
        </w:rPr>
        <w:t>G</w:t>
      </w:r>
      <w:r w:rsidRPr="00E151A9">
        <w:rPr>
          <w:rFonts w:ascii="Arial" w:hAnsi="Arial" w:cs="Arial"/>
          <w:b/>
          <w:i/>
          <w:color w:val="877A67"/>
          <w:sz w:val="20"/>
          <w:szCs w:val="24"/>
        </w:rPr>
        <w:t xml:space="preserve">ráfica </w:t>
      </w:r>
      <w:r>
        <w:rPr>
          <w:rFonts w:ascii="Arial" w:hAnsi="Arial" w:cs="Arial"/>
          <w:b/>
          <w:i/>
          <w:color w:val="877A67"/>
          <w:sz w:val="20"/>
          <w:szCs w:val="24"/>
        </w:rPr>
        <w:t>2</w:t>
      </w:r>
      <w:r w:rsidR="00DA20EE">
        <w:rPr>
          <w:rFonts w:ascii="Arial" w:hAnsi="Arial" w:cs="Arial"/>
          <w:b/>
          <w:i/>
          <w:color w:val="877A67"/>
          <w:sz w:val="20"/>
          <w:szCs w:val="24"/>
        </w:rPr>
        <w:t>0</w:t>
      </w:r>
      <w:r>
        <w:rPr>
          <w:rFonts w:ascii="Arial" w:hAnsi="Arial" w:cs="Arial"/>
          <w:b/>
          <w:i/>
          <w:color w:val="877A67"/>
          <w:sz w:val="20"/>
          <w:szCs w:val="24"/>
        </w:rPr>
        <w:t>. De</w:t>
      </w:r>
      <w:r w:rsidRPr="00372711">
        <w:rPr>
          <w:rFonts w:ascii="Arial" w:hAnsi="Arial" w:cs="Arial"/>
          <w:b/>
          <w:i/>
          <w:color w:val="877A67"/>
          <w:sz w:val="20"/>
          <w:szCs w:val="24"/>
        </w:rPr>
        <w:t>litos registrados en las averiguaciones previas, investigaciones y</w:t>
      </w:r>
    </w:p>
    <w:p w14:paraId="4E2A19A2" w14:textId="723DFB8B" w:rsidR="007A7B51" w:rsidRDefault="007A7B51" w:rsidP="007A7B51">
      <w:pPr>
        <w:autoSpaceDE w:val="0"/>
        <w:autoSpaceDN w:val="0"/>
        <w:adjustRightInd w:val="0"/>
        <w:spacing w:after="0" w:line="240" w:lineRule="auto"/>
        <w:ind w:left="-567"/>
        <w:jc w:val="center"/>
        <w:rPr>
          <w:rFonts w:ascii="Arial" w:hAnsi="Arial" w:cs="Arial"/>
          <w:color w:val="000000"/>
          <w:sz w:val="24"/>
          <w:szCs w:val="24"/>
        </w:rPr>
      </w:pPr>
      <w:r w:rsidRPr="00372711">
        <w:rPr>
          <w:rFonts w:ascii="Arial" w:hAnsi="Arial" w:cs="Arial"/>
          <w:b/>
          <w:i/>
          <w:color w:val="877A67"/>
          <w:sz w:val="20"/>
          <w:szCs w:val="24"/>
        </w:rPr>
        <w:t xml:space="preserve">carpetas de investigación abiertas, según </w:t>
      </w:r>
      <w:r>
        <w:rPr>
          <w:rFonts w:ascii="Arial" w:hAnsi="Arial" w:cs="Arial"/>
          <w:b/>
          <w:i/>
          <w:color w:val="877A67"/>
          <w:sz w:val="20"/>
          <w:szCs w:val="24"/>
        </w:rPr>
        <w:t>entidad federativa, 2020</w:t>
      </w:r>
    </w:p>
    <w:p w14:paraId="6D85098B" w14:textId="28DE2FC9" w:rsidR="007A7B51" w:rsidRPr="00FD2D78" w:rsidRDefault="00484B5D" w:rsidP="00040201">
      <w:pPr>
        <w:autoSpaceDE w:val="0"/>
        <w:autoSpaceDN w:val="0"/>
        <w:adjustRightInd w:val="0"/>
        <w:spacing w:after="0" w:line="240" w:lineRule="auto"/>
        <w:ind w:left="-567"/>
        <w:jc w:val="both"/>
        <w:rPr>
          <w:rFonts w:ascii="Arial" w:hAnsi="Arial" w:cs="Arial"/>
          <w:color w:val="000000"/>
          <w:sz w:val="24"/>
          <w:szCs w:val="24"/>
        </w:rPr>
      </w:pPr>
      <w:r w:rsidRPr="00484B5D">
        <w:rPr>
          <w:rFonts w:ascii="Arial" w:hAnsi="Arial" w:cs="Arial"/>
          <w:noProof/>
          <w:color w:val="000000"/>
          <w:sz w:val="24"/>
          <w:szCs w:val="24"/>
        </w:rPr>
        <w:drawing>
          <wp:inline distT="0" distB="0" distL="0" distR="0" wp14:anchorId="6EDBF5AD" wp14:editId="7499AFD2">
            <wp:extent cx="6223000" cy="1944806"/>
            <wp:effectExtent l="0" t="0" r="6350" b="0"/>
            <wp:docPr id="34" name="Gráfico 34">
              <a:extLst xmlns:a="http://schemas.openxmlformats.org/drawingml/2006/main">
                <a:ext uri="{FF2B5EF4-FFF2-40B4-BE49-F238E27FC236}">
                  <a16:creationId xmlns:a16="http://schemas.microsoft.com/office/drawing/2014/main" id="{1F00B845-6C5E-403C-8158-7952BEFEA9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8F80203" w14:textId="77777777" w:rsidR="007A7B51" w:rsidRDefault="007A7B51" w:rsidP="00D214BC">
      <w:pPr>
        <w:autoSpaceDE w:val="0"/>
        <w:autoSpaceDN w:val="0"/>
        <w:adjustRightInd w:val="0"/>
        <w:spacing w:after="0" w:line="240" w:lineRule="auto"/>
        <w:ind w:left="-567"/>
        <w:jc w:val="both"/>
        <w:rPr>
          <w:rFonts w:ascii="Arial" w:hAnsi="Arial" w:cs="Arial"/>
          <w:color w:val="000000"/>
          <w:sz w:val="24"/>
          <w:szCs w:val="24"/>
        </w:rPr>
      </w:pPr>
    </w:p>
    <w:p w14:paraId="7FDE81B1" w14:textId="043BB19C" w:rsidR="00762590" w:rsidRDefault="00D214BC" w:rsidP="00762590">
      <w:pPr>
        <w:spacing w:after="0"/>
        <w:ind w:left="-567"/>
        <w:jc w:val="both"/>
        <w:rPr>
          <w:rFonts w:ascii="Arial" w:hAnsi="Arial" w:cs="Arial"/>
          <w:color w:val="000000"/>
          <w:sz w:val="24"/>
          <w:szCs w:val="24"/>
        </w:rPr>
      </w:pPr>
      <w:r w:rsidRPr="00D214BC">
        <w:rPr>
          <w:rFonts w:ascii="Arial" w:hAnsi="Arial" w:cs="Arial"/>
          <w:color w:val="000000"/>
          <w:sz w:val="24"/>
          <w:szCs w:val="24"/>
        </w:rPr>
        <w:lastRenderedPageBreak/>
        <w:t>Respecto de las víctimas registradas en las averiguaciones previas, investigaciones y</w:t>
      </w:r>
      <w:r>
        <w:rPr>
          <w:rFonts w:ascii="Arial" w:hAnsi="Arial" w:cs="Arial"/>
          <w:color w:val="000000"/>
          <w:sz w:val="24"/>
          <w:szCs w:val="24"/>
        </w:rPr>
        <w:t xml:space="preserve"> </w:t>
      </w:r>
      <w:r w:rsidRPr="00D214BC">
        <w:rPr>
          <w:rFonts w:ascii="Arial" w:hAnsi="Arial" w:cs="Arial"/>
          <w:color w:val="000000"/>
          <w:sz w:val="24"/>
          <w:szCs w:val="24"/>
        </w:rPr>
        <w:t>carpetas</w:t>
      </w:r>
      <w:r>
        <w:rPr>
          <w:rFonts w:ascii="Arial" w:hAnsi="Arial" w:cs="Arial"/>
          <w:color w:val="000000"/>
          <w:sz w:val="24"/>
          <w:szCs w:val="24"/>
        </w:rPr>
        <w:t xml:space="preserve"> </w:t>
      </w:r>
      <w:r w:rsidRPr="00D214BC">
        <w:rPr>
          <w:rFonts w:ascii="Arial" w:hAnsi="Arial" w:cs="Arial"/>
          <w:color w:val="000000"/>
          <w:sz w:val="24"/>
          <w:szCs w:val="24"/>
        </w:rPr>
        <w:t xml:space="preserve">de investigación abiertas, </w:t>
      </w:r>
      <w:r w:rsidR="00792D40">
        <w:rPr>
          <w:rFonts w:ascii="Arial" w:hAnsi="Arial" w:cs="Arial"/>
          <w:color w:val="000000"/>
          <w:sz w:val="24"/>
          <w:szCs w:val="24"/>
        </w:rPr>
        <w:t xml:space="preserve">durante 2020 </w:t>
      </w:r>
      <w:r w:rsidRPr="00D214BC">
        <w:rPr>
          <w:rFonts w:ascii="Arial" w:hAnsi="Arial" w:cs="Arial"/>
          <w:color w:val="000000"/>
          <w:sz w:val="24"/>
          <w:szCs w:val="24"/>
        </w:rPr>
        <w:t xml:space="preserve">se reportaron </w:t>
      </w:r>
      <w:r w:rsidR="00762590" w:rsidRPr="00762590">
        <w:rPr>
          <w:rFonts w:ascii="Arial" w:hAnsi="Arial" w:cs="Arial"/>
          <w:color w:val="000000"/>
          <w:sz w:val="24"/>
          <w:szCs w:val="24"/>
        </w:rPr>
        <w:t>2</w:t>
      </w:r>
      <w:r w:rsidR="00762590">
        <w:rPr>
          <w:rFonts w:ascii="Arial" w:hAnsi="Arial" w:cs="Arial"/>
          <w:color w:val="000000"/>
          <w:sz w:val="24"/>
          <w:szCs w:val="24"/>
        </w:rPr>
        <w:t xml:space="preserve"> </w:t>
      </w:r>
      <w:r w:rsidR="00762590" w:rsidRPr="00762590">
        <w:rPr>
          <w:rFonts w:ascii="Arial" w:hAnsi="Arial" w:cs="Arial"/>
          <w:color w:val="000000"/>
          <w:sz w:val="24"/>
          <w:szCs w:val="24"/>
        </w:rPr>
        <w:t>001</w:t>
      </w:r>
      <w:r w:rsidR="00762590">
        <w:rPr>
          <w:rFonts w:ascii="Arial" w:hAnsi="Arial" w:cs="Arial"/>
          <w:color w:val="000000"/>
          <w:sz w:val="24"/>
          <w:szCs w:val="24"/>
        </w:rPr>
        <w:t xml:space="preserve"> </w:t>
      </w:r>
      <w:r w:rsidR="00762590" w:rsidRPr="00762590">
        <w:rPr>
          <w:rFonts w:ascii="Arial" w:hAnsi="Arial" w:cs="Arial"/>
          <w:color w:val="000000"/>
          <w:sz w:val="24"/>
          <w:szCs w:val="24"/>
        </w:rPr>
        <w:t>587</w:t>
      </w:r>
      <w:r w:rsidRPr="00D214BC">
        <w:rPr>
          <w:rFonts w:ascii="Arial" w:hAnsi="Arial" w:cs="Arial"/>
          <w:color w:val="000000"/>
          <w:sz w:val="24"/>
          <w:szCs w:val="24"/>
        </w:rPr>
        <w:t xml:space="preserve">, </w:t>
      </w:r>
      <w:r w:rsidR="00762590">
        <w:rPr>
          <w:rFonts w:ascii="Arial" w:hAnsi="Arial" w:cs="Arial"/>
          <w:color w:val="000000"/>
          <w:sz w:val="24"/>
          <w:szCs w:val="24"/>
        </w:rPr>
        <w:t>(98.8% c</w:t>
      </w:r>
      <w:r w:rsidRPr="00D214BC">
        <w:rPr>
          <w:rFonts w:ascii="Arial" w:hAnsi="Arial" w:cs="Arial"/>
          <w:color w:val="000000"/>
          <w:sz w:val="24"/>
          <w:szCs w:val="24"/>
        </w:rPr>
        <w:t>orrespondió a</w:t>
      </w:r>
      <w:r w:rsidR="00762590">
        <w:rPr>
          <w:rFonts w:ascii="Arial" w:hAnsi="Arial" w:cs="Arial"/>
          <w:color w:val="000000"/>
          <w:sz w:val="24"/>
          <w:szCs w:val="24"/>
        </w:rPr>
        <w:t xml:space="preserve">l </w:t>
      </w:r>
      <w:r w:rsidRPr="00D214BC">
        <w:rPr>
          <w:rFonts w:ascii="Arial" w:hAnsi="Arial" w:cs="Arial"/>
          <w:color w:val="000000"/>
          <w:sz w:val="24"/>
          <w:szCs w:val="24"/>
        </w:rPr>
        <w:t>sistema de justicia para adultos</w:t>
      </w:r>
      <w:r w:rsidR="00762590">
        <w:rPr>
          <w:rFonts w:ascii="Arial" w:hAnsi="Arial" w:cs="Arial"/>
          <w:color w:val="000000"/>
          <w:sz w:val="24"/>
          <w:szCs w:val="24"/>
        </w:rPr>
        <w:t xml:space="preserve"> y 1.2% al sistema de j</w:t>
      </w:r>
      <w:r w:rsidR="00762590" w:rsidRPr="00762590">
        <w:rPr>
          <w:rFonts w:ascii="Arial" w:hAnsi="Arial" w:cs="Arial"/>
          <w:color w:val="000000"/>
          <w:sz w:val="24"/>
          <w:szCs w:val="24"/>
        </w:rPr>
        <w:t>usticia para</w:t>
      </w:r>
      <w:r w:rsidR="00762590">
        <w:rPr>
          <w:rFonts w:ascii="Arial" w:hAnsi="Arial" w:cs="Arial"/>
          <w:color w:val="000000"/>
          <w:sz w:val="24"/>
          <w:szCs w:val="24"/>
        </w:rPr>
        <w:t xml:space="preserve"> </w:t>
      </w:r>
      <w:r w:rsidR="00762590" w:rsidRPr="00762590">
        <w:rPr>
          <w:rFonts w:ascii="Arial" w:hAnsi="Arial" w:cs="Arial"/>
          <w:color w:val="000000"/>
          <w:sz w:val="24"/>
          <w:szCs w:val="24"/>
        </w:rPr>
        <w:t>adolescentes</w:t>
      </w:r>
      <w:r w:rsidR="00DA766C">
        <w:rPr>
          <w:rFonts w:ascii="Arial" w:hAnsi="Arial" w:cs="Arial"/>
          <w:color w:val="000000"/>
          <w:sz w:val="24"/>
          <w:szCs w:val="24"/>
        </w:rPr>
        <w:t>)</w:t>
      </w:r>
      <w:r w:rsidR="00590467">
        <w:rPr>
          <w:rFonts w:ascii="Arial" w:hAnsi="Arial" w:cs="Arial"/>
          <w:color w:val="000000"/>
          <w:sz w:val="24"/>
          <w:szCs w:val="24"/>
        </w:rPr>
        <w:t>.</w:t>
      </w:r>
      <w:r w:rsidR="00DA766C">
        <w:rPr>
          <w:rFonts w:ascii="Arial" w:hAnsi="Arial" w:cs="Arial"/>
          <w:color w:val="000000"/>
          <w:sz w:val="24"/>
          <w:szCs w:val="24"/>
        </w:rPr>
        <w:t xml:space="preserve"> </w:t>
      </w:r>
      <w:r w:rsidR="00590467">
        <w:rPr>
          <w:rFonts w:ascii="Arial" w:hAnsi="Arial" w:cs="Arial"/>
          <w:color w:val="000000"/>
          <w:sz w:val="24"/>
          <w:szCs w:val="24"/>
        </w:rPr>
        <w:t>E</w:t>
      </w:r>
      <w:r w:rsidR="00DA766C">
        <w:rPr>
          <w:rFonts w:ascii="Arial" w:hAnsi="Arial" w:cs="Arial"/>
          <w:color w:val="000000"/>
          <w:sz w:val="24"/>
          <w:szCs w:val="24"/>
        </w:rPr>
        <w:t>sta cifra representó un</w:t>
      </w:r>
      <w:r w:rsidR="008A43E1">
        <w:rPr>
          <w:rFonts w:ascii="Arial" w:hAnsi="Arial" w:cs="Arial"/>
          <w:color w:val="000000"/>
          <w:sz w:val="24"/>
          <w:szCs w:val="24"/>
        </w:rPr>
        <w:t>a</w:t>
      </w:r>
      <w:r w:rsidR="00DA766C">
        <w:rPr>
          <w:rFonts w:ascii="Arial" w:hAnsi="Arial" w:cs="Arial"/>
          <w:color w:val="000000"/>
          <w:sz w:val="24"/>
          <w:szCs w:val="24"/>
        </w:rPr>
        <w:t xml:space="preserve"> </w:t>
      </w:r>
      <w:r w:rsidR="008A43E1">
        <w:rPr>
          <w:rFonts w:ascii="Arial" w:hAnsi="Arial" w:cs="Arial"/>
          <w:color w:val="000000"/>
          <w:sz w:val="24"/>
          <w:szCs w:val="24"/>
        </w:rPr>
        <w:t>disminución</w:t>
      </w:r>
      <w:r w:rsidR="00DA766C">
        <w:rPr>
          <w:rFonts w:ascii="Arial" w:hAnsi="Arial" w:cs="Arial"/>
          <w:color w:val="000000"/>
          <w:sz w:val="24"/>
          <w:szCs w:val="24"/>
        </w:rPr>
        <w:t xml:space="preserve"> de </w:t>
      </w:r>
      <w:r w:rsidR="008A43E1">
        <w:rPr>
          <w:rFonts w:ascii="Arial" w:hAnsi="Arial" w:cs="Arial"/>
          <w:color w:val="000000"/>
          <w:sz w:val="24"/>
          <w:szCs w:val="24"/>
        </w:rPr>
        <w:t>11.3</w:t>
      </w:r>
      <w:r w:rsidR="00DA766C">
        <w:rPr>
          <w:rFonts w:ascii="Arial" w:hAnsi="Arial" w:cs="Arial"/>
          <w:color w:val="000000"/>
          <w:sz w:val="24"/>
          <w:szCs w:val="24"/>
        </w:rPr>
        <w:t xml:space="preserve">% en comparación </w:t>
      </w:r>
      <w:r w:rsidR="00590467">
        <w:rPr>
          <w:rFonts w:ascii="Arial" w:hAnsi="Arial" w:cs="Arial"/>
          <w:color w:val="000000"/>
          <w:sz w:val="24"/>
          <w:szCs w:val="24"/>
        </w:rPr>
        <w:t>con</w:t>
      </w:r>
      <w:r w:rsidR="00DA766C">
        <w:rPr>
          <w:rFonts w:ascii="Arial" w:hAnsi="Arial" w:cs="Arial"/>
          <w:color w:val="000000"/>
          <w:sz w:val="24"/>
          <w:szCs w:val="24"/>
        </w:rPr>
        <w:t xml:space="preserve"> lo registrado en 2019</w:t>
      </w:r>
      <w:r w:rsidR="00DA766C">
        <w:rPr>
          <w:rStyle w:val="Refdenotaalpie"/>
          <w:rFonts w:ascii="Arial" w:hAnsi="Arial" w:cs="Arial"/>
          <w:color w:val="000000"/>
          <w:sz w:val="24"/>
          <w:szCs w:val="24"/>
        </w:rPr>
        <w:footnoteReference w:id="11"/>
      </w:r>
      <w:r w:rsidR="00DA766C">
        <w:rPr>
          <w:rFonts w:ascii="Arial" w:hAnsi="Arial" w:cs="Arial"/>
          <w:color w:val="000000"/>
          <w:sz w:val="24"/>
          <w:szCs w:val="24"/>
        </w:rPr>
        <w:t xml:space="preserve">. </w:t>
      </w:r>
    </w:p>
    <w:p w14:paraId="51F973E6" w14:textId="77777777" w:rsidR="00762590" w:rsidRDefault="00762590" w:rsidP="00762590">
      <w:pPr>
        <w:spacing w:after="0"/>
        <w:ind w:left="-567"/>
        <w:jc w:val="both"/>
        <w:rPr>
          <w:rFonts w:ascii="Arial" w:hAnsi="Arial" w:cs="Arial"/>
          <w:color w:val="000000"/>
          <w:sz w:val="24"/>
          <w:szCs w:val="24"/>
        </w:rPr>
      </w:pPr>
    </w:p>
    <w:p w14:paraId="425169A0" w14:textId="77777777" w:rsidR="00AA7D2F" w:rsidRDefault="00AA7D2F" w:rsidP="00762590">
      <w:pPr>
        <w:autoSpaceDE w:val="0"/>
        <w:autoSpaceDN w:val="0"/>
        <w:adjustRightInd w:val="0"/>
        <w:spacing w:after="0" w:line="240" w:lineRule="auto"/>
        <w:ind w:left="-567"/>
        <w:jc w:val="center"/>
        <w:rPr>
          <w:rFonts w:ascii="Arial" w:hAnsi="Arial" w:cs="Arial"/>
          <w:b/>
          <w:i/>
          <w:color w:val="877A67"/>
          <w:sz w:val="20"/>
          <w:szCs w:val="24"/>
        </w:rPr>
      </w:pPr>
    </w:p>
    <w:p w14:paraId="582D9D83" w14:textId="4DC60F9A" w:rsidR="00762590" w:rsidRPr="00762590" w:rsidRDefault="00762590" w:rsidP="00762590">
      <w:pPr>
        <w:autoSpaceDE w:val="0"/>
        <w:autoSpaceDN w:val="0"/>
        <w:adjustRightInd w:val="0"/>
        <w:spacing w:after="0" w:line="240" w:lineRule="auto"/>
        <w:ind w:left="-567"/>
        <w:jc w:val="center"/>
        <w:rPr>
          <w:rFonts w:ascii="Arial" w:hAnsi="Arial" w:cs="Arial"/>
          <w:b/>
          <w:i/>
          <w:color w:val="877A67"/>
          <w:sz w:val="20"/>
          <w:szCs w:val="24"/>
        </w:rPr>
      </w:pPr>
      <w:r>
        <w:rPr>
          <w:rFonts w:ascii="Arial" w:hAnsi="Arial" w:cs="Arial"/>
          <w:b/>
          <w:i/>
          <w:color w:val="877A67"/>
          <w:sz w:val="20"/>
          <w:szCs w:val="24"/>
        </w:rPr>
        <w:t>G</w:t>
      </w:r>
      <w:r w:rsidRPr="00E151A9">
        <w:rPr>
          <w:rFonts w:ascii="Arial" w:hAnsi="Arial" w:cs="Arial"/>
          <w:b/>
          <w:i/>
          <w:color w:val="877A67"/>
          <w:sz w:val="20"/>
          <w:szCs w:val="24"/>
        </w:rPr>
        <w:t xml:space="preserve">ráfica </w:t>
      </w:r>
      <w:r>
        <w:rPr>
          <w:rFonts w:ascii="Arial" w:hAnsi="Arial" w:cs="Arial"/>
          <w:b/>
          <w:i/>
          <w:color w:val="877A67"/>
          <w:sz w:val="20"/>
          <w:szCs w:val="24"/>
        </w:rPr>
        <w:t>2</w:t>
      </w:r>
      <w:r w:rsidR="00DA20EE">
        <w:rPr>
          <w:rFonts w:ascii="Arial" w:hAnsi="Arial" w:cs="Arial"/>
          <w:b/>
          <w:i/>
          <w:color w:val="877A67"/>
          <w:sz w:val="20"/>
          <w:szCs w:val="24"/>
        </w:rPr>
        <w:t>1</w:t>
      </w:r>
      <w:r>
        <w:rPr>
          <w:rFonts w:ascii="Arial" w:hAnsi="Arial" w:cs="Arial"/>
          <w:b/>
          <w:i/>
          <w:color w:val="877A67"/>
          <w:sz w:val="20"/>
          <w:szCs w:val="24"/>
        </w:rPr>
        <w:t xml:space="preserve">. </w:t>
      </w:r>
      <w:r w:rsidRPr="00762590">
        <w:rPr>
          <w:rFonts w:ascii="Arial" w:hAnsi="Arial" w:cs="Arial"/>
          <w:b/>
          <w:i/>
          <w:color w:val="877A67"/>
          <w:sz w:val="20"/>
          <w:szCs w:val="24"/>
        </w:rPr>
        <w:t>Víctimas registradas en las averiguaciones previas, investigaciones y carpetas de</w:t>
      </w:r>
    </w:p>
    <w:p w14:paraId="299ABAC3" w14:textId="74A9A992" w:rsidR="00762590" w:rsidRDefault="00762590" w:rsidP="00762590">
      <w:pPr>
        <w:autoSpaceDE w:val="0"/>
        <w:autoSpaceDN w:val="0"/>
        <w:adjustRightInd w:val="0"/>
        <w:spacing w:after="0" w:line="240" w:lineRule="auto"/>
        <w:ind w:left="-567"/>
        <w:jc w:val="center"/>
        <w:rPr>
          <w:rFonts w:ascii="Arial" w:hAnsi="Arial" w:cs="Arial"/>
          <w:b/>
          <w:bCs/>
          <w:iCs/>
          <w:noProof/>
          <w:sz w:val="24"/>
          <w:szCs w:val="24"/>
          <w:lang w:eastAsia="es-MX"/>
        </w:rPr>
      </w:pPr>
      <w:proofErr w:type="gramStart"/>
      <w:r w:rsidRPr="00762590">
        <w:rPr>
          <w:rFonts w:ascii="Arial" w:hAnsi="Arial" w:cs="Arial"/>
          <w:b/>
          <w:i/>
          <w:color w:val="877A67"/>
          <w:sz w:val="20"/>
          <w:szCs w:val="24"/>
        </w:rPr>
        <w:t>investigación abiertas</w:t>
      </w:r>
      <w:proofErr w:type="gramEnd"/>
      <w:r w:rsidRPr="00762590">
        <w:rPr>
          <w:rFonts w:ascii="Arial" w:hAnsi="Arial" w:cs="Arial"/>
          <w:b/>
          <w:i/>
          <w:color w:val="877A67"/>
          <w:sz w:val="20"/>
          <w:szCs w:val="24"/>
        </w:rPr>
        <w:t>, según tipo</w:t>
      </w:r>
      <w:r>
        <w:rPr>
          <w:rFonts w:ascii="Arial" w:hAnsi="Arial" w:cs="Arial"/>
          <w:b/>
          <w:i/>
          <w:color w:val="877A67"/>
          <w:sz w:val="20"/>
          <w:szCs w:val="24"/>
        </w:rPr>
        <w:t>, 2020</w:t>
      </w:r>
    </w:p>
    <w:p w14:paraId="620BC463" w14:textId="3AA775D1" w:rsidR="00040201" w:rsidRDefault="00762590" w:rsidP="00300973">
      <w:pPr>
        <w:spacing w:after="0"/>
        <w:ind w:left="-567"/>
        <w:rPr>
          <w:rFonts w:ascii="Arial" w:hAnsi="Arial" w:cs="Arial"/>
          <w:b/>
          <w:bCs/>
          <w:iCs/>
          <w:noProof/>
          <w:sz w:val="24"/>
          <w:szCs w:val="24"/>
          <w:lang w:eastAsia="es-MX"/>
        </w:rPr>
      </w:pPr>
      <w:r w:rsidRPr="00762590">
        <w:rPr>
          <w:rFonts w:ascii="Arial" w:hAnsi="Arial" w:cs="Arial"/>
          <w:b/>
          <w:bCs/>
          <w:iCs/>
          <w:noProof/>
          <w:sz w:val="24"/>
          <w:szCs w:val="24"/>
          <w:lang w:eastAsia="es-MX"/>
        </w:rPr>
        <w:drawing>
          <wp:inline distT="0" distB="0" distL="0" distR="0" wp14:anchorId="455F9EC1" wp14:editId="60BD1E8C">
            <wp:extent cx="6650355" cy="2562046"/>
            <wp:effectExtent l="0" t="0" r="0" b="0"/>
            <wp:docPr id="15" name="Gráfico 15">
              <a:extLst xmlns:a="http://schemas.openxmlformats.org/drawingml/2006/main">
                <a:ext uri="{FF2B5EF4-FFF2-40B4-BE49-F238E27FC236}">
                  <a16:creationId xmlns:a16="http://schemas.microsoft.com/office/drawing/2014/main" id="{7DDBF85F-0BB3-4FB2-9B3C-78A64A17AC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0484319" w14:textId="77777777" w:rsidR="00762590" w:rsidRDefault="00762590" w:rsidP="00762590">
      <w:pPr>
        <w:autoSpaceDE w:val="0"/>
        <w:autoSpaceDN w:val="0"/>
        <w:adjustRightInd w:val="0"/>
        <w:spacing w:after="0" w:line="240" w:lineRule="auto"/>
        <w:rPr>
          <w:rFonts w:ascii="Arial" w:hAnsi="Arial" w:cs="Arial"/>
          <w:color w:val="000000"/>
        </w:rPr>
      </w:pPr>
    </w:p>
    <w:p w14:paraId="4F42F52A" w14:textId="49444FDD" w:rsidR="00762590" w:rsidRDefault="00CC1264" w:rsidP="00762590">
      <w:pPr>
        <w:autoSpaceDE w:val="0"/>
        <w:autoSpaceDN w:val="0"/>
        <w:adjustRightInd w:val="0"/>
        <w:spacing w:after="0" w:line="240" w:lineRule="auto"/>
        <w:ind w:left="-567"/>
        <w:jc w:val="both"/>
        <w:rPr>
          <w:rFonts w:ascii="Arial" w:hAnsi="Arial" w:cs="Arial"/>
          <w:color w:val="000000"/>
          <w:sz w:val="24"/>
          <w:szCs w:val="24"/>
        </w:rPr>
      </w:pPr>
      <w:r>
        <w:rPr>
          <w:rFonts w:ascii="Arial" w:hAnsi="Arial" w:cs="Arial"/>
          <w:color w:val="000000"/>
          <w:sz w:val="24"/>
          <w:szCs w:val="24"/>
        </w:rPr>
        <w:t xml:space="preserve">Estado de México concentró 17.7% del total de víctimas, seguido de la Ciudad de México con 10.5 por ciento. </w:t>
      </w:r>
    </w:p>
    <w:p w14:paraId="330A9547" w14:textId="77777777" w:rsidR="00CC1264" w:rsidRDefault="00CC1264" w:rsidP="00762590">
      <w:pPr>
        <w:autoSpaceDE w:val="0"/>
        <w:autoSpaceDN w:val="0"/>
        <w:adjustRightInd w:val="0"/>
        <w:spacing w:after="0" w:line="240" w:lineRule="auto"/>
        <w:ind w:left="-567"/>
        <w:jc w:val="both"/>
        <w:rPr>
          <w:rFonts w:ascii="Arial" w:hAnsi="Arial" w:cs="Arial"/>
          <w:color w:val="000000"/>
          <w:sz w:val="24"/>
          <w:szCs w:val="24"/>
        </w:rPr>
      </w:pPr>
    </w:p>
    <w:p w14:paraId="7A46E449" w14:textId="3D9E3CD2" w:rsidR="00CC1264" w:rsidRPr="00762590" w:rsidRDefault="00CC1264" w:rsidP="00CC1264">
      <w:pPr>
        <w:autoSpaceDE w:val="0"/>
        <w:autoSpaceDN w:val="0"/>
        <w:adjustRightInd w:val="0"/>
        <w:spacing w:after="0" w:line="240" w:lineRule="auto"/>
        <w:ind w:left="-567"/>
        <w:jc w:val="center"/>
        <w:rPr>
          <w:rFonts w:ascii="Arial" w:hAnsi="Arial" w:cs="Arial"/>
          <w:b/>
          <w:i/>
          <w:color w:val="877A67"/>
          <w:sz w:val="20"/>
          <w:szCs w:val="24"/>
        </w:rPr>
      </w:pPr>
      <w:r>
        <w:rPr>
          <w:rFonts w:ascii="Arial" w:hAnsi="Arial" w:cs="Arial"/>
          <w:b/>
          <w:i/>
          <w:color w:val="877A67"/>
          <w:sz w:val="20"/>
          <w:szCs w:val="24"/>
        </w:rPr>
        <w:t>G</w:t>
      </w:r>
      <w:r w:rsidRPr="00E151A9">
        <w:rPr>
          <w:rFonts w:ascii="Arial" w:hAnsi="Arial" w:cs="Arial"/>
          <w:b/>
          <w:i/>
          <w:color w:val="877A67"/>
          <w:sz w:val="20"/>
          <w:szCs w:val="24"/>
        </w:rPr>
        <w:t xml:space="preserve">ráfica </w:t>
      </w:r>
      <w:r>
        <w:rPr>
          <w:rFonts w:ascii="Arial" w:hAnsi="Arial" w:cs="Arial"/>
          <w:b/>
          <w:i/>
          <w:color w:val="877A67"/>
          <w:sz w:val="20"/>
          <w:szCs w:val="24"/>
        </w:rPr>
        <w:t>2</w:t>
      </w:r>
      <w:r w:rsidR="00DA20EE">
        <w:rPr>
          <w:rFonts w:ascii="Arial" w:hAnsi="Arial" w:cs="Arial"/>
          <w:b/>
          <w:i/>
          <w:color w:val="877A67"/>
          <w:sz w:val="20"/>
          <w:szCs w:val="24"/>
        </w:rPr>
        <w:t>2</w:t>
      </w:r>
      <w:r>
        <w:rPr>
          <w:rFonts w:ascii="Arial" w:hAnsi="Arial" w:cs="Arial"/>
          <w:b/>
          <w:i/>
          <w:color w:val="877A67"/>
          <w:sz w:val="20"/>
          <w:szCs w:val="24"/>
        </w:rPr>
        <w:t xml:space="preserve">. </w:t>
      </w:r>
      <w:r w:rsidRPr="00762590">
        <w:rPr>
          <w:rFonts w:ascii="Arial" w:hAnsi="Arial" w:cs="Arial"/>
          <w:b/>
          <w:i/>
          <w:color w:val="877A67"/>
          <w:sz w:val="20"/>
          <w:szCs w:val="24"/>
        </w:rPr>
        <w:t>Víctimas registradas en las averiguaciones previas, investigaciones y carpetas de</w:t>
      </w:r>
    </w:p>
    <w:p w14:paraId="165EB782" w14:textId="5CB8A4C1" w:rsidR="00CC1264" w:rsidRDefault="00CC1264" w:rsidP="00CC1264">
      <w:pPr>
        <w:autoSpaceDE w:val="0"/>
        <w:autoSpaceDN w:val="0"/>
        <w:adjustRightInd w:val="0"/>
        <w:spacing w:after="0" w:line="240" w:lineRule="auto"/>
        <w:ind w:left="-567"/>
        <w:jc w:val="center"/>
        <w:rPr>
          <w:rFonts w:ascii="Arial" w:hAnsi="Arial" w:cs="Arial"/>
          <w:color w:val="000000"/>
          <w:sz w:val="24"/>
          <w:szCs w:val="24"/>
        </w:rPr>
      </w:pPr>
      <w:proofErr w:type="gramStart"/>
      <w:r w:rsidRPr="00762590">
        <w:rPr>
          <w:rFonts w:ascii="Arial" w:hAnsi="Arial" w:cs="Arial"/>
          <w:b/>
          <w:i/>
          <w:color w:val="877A67"/>
          <w:sz w:val="20"/>
          <w:szCs w:val="24"/>
        </w:rPr>
        <w:t>investigación abiertas</w:t>
      </w:r>
      <w:proofErr w:type="gramEnd"/>
      <w:r w:rsidRPr="00762590">
        <w:rPr>
          <w:rFonts w:ascii="Arial" w:hAnsi="Arial" w:cs="Arial"/>
          <w:b/>
          <w:i/>
          <w:color w:val="877A67"/>
          <w:sz w:val="20"/>
          <w:szCs w:val="24"/>
        </w:rPr>
        <w:t xml:space="preserve">, según </w:t>
      </w:r>
      <w:r>
        <w:rPr>
          <w:rFonts w:ascii="Arial" w:hAnsi="Arial" w:cs="Arial"/>
          <w:b/>
          <w:i/>
          <w:color w:val="877A67"/>
          <w:sz w:val="20"/>
          <w:szCs w:val="24"/>
        </w:rPr>
        <w:t>entidad federativa, 2020</w:t>
      </w:r>
    </w:p>
    <w:p w14:paraId="2A7FA822" w14:textId="7E61D9BE" w:rsidR="008A43E1" w:rsidRDefault="008A43E1" w:rsidP="00762590">
      <w:pPr>
        <w:autoSpaceDE w:val="0"/>
        <w:autoSpaceDN w:val="0"/>
        <w:adjustRightInd w:val="0"/>
        <w:spacing w:after="0" w:line="240" w:lineRule="auto"/>
        <w:ind w:left="-567"/>
        <w:jc w:val="both"/>
        <w:rPr>
          <w:rFonts w:ascii="Arial" w:hAnsi="Arial" w:cs="Arial"/>
          <w:color w:val="000000"/>
          <w:sz w:val="24"/>
          <w:szCs w:val="24"/>
        </w:rPr>
      </w:pPr>
    </w:p>
    <w:p w14:paraId="0AEB5379" w14:textId="3D5B75F6" w:rsidR="008A43E1" w:rsidRPr="00FD2D78" w:rsidRDefault="008A43E1" w:rsidP="00762590">
      <w:pPr>
        <w:autoSpaceDE w:val="0"/>
        <w:autoSpaceDN w:val="0"/>
        <w:adjustRightInd w:val="0"/>
        <w:spacing w:after="0" w:line="240" w:lineRule="auto"/>
        <w:ind w:left="-567"/>
        <w:jc w:val="both"/>
        <w:rPr>
          <w:rFonts w:ascii="Arial" w:hAnsi="Arial" w:cs="Arial"/>
          <w:color w:val="000000"/>
          <w:sz w:val="24"/>
          <w:szCs w:val="24"/>
        </w:rPr>
      </w:pPr>
      <w:r w:rsidRPr="008A43E1">
        <w:rPr>
          <w:rFonts w:ascii="Arial" w:hAnsi="Arial" w:cs="Arial"/>
          <w:noProof/>
          <w:color w:val="000000"/>
          <w:sz w:val="24"/>
          <w:szCs w:val="24"/>
        </w:rPr>
        <w:drawing>
          <wp:inline distT="0" distB="0" distL="0" distR="0" wp14:anchorId="78C92F83" wp14:editId="260B0B2B">
            <wp:extent cx="6469812" cy="2415396"/>
            <wp:effectExtent l="0" t="0" r="7620" b="4445"/>
            <wp:docPr id="20" name="Gráfico 20">
              <a:extLst xmlns:a="http://schemas.openxmlformats.org/drawingml/2006/main">
                <a:ext uri="{FF2B5EF4-FFF2-40B4-BE49-F238E27FC236}">
                  <a16:creationId xmlns:a16="http://schemas.microsoft.com/office/drawing/2014/main" id="{98E72109-397E-4C2F-9580-E42FB30516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61EB608" w14:textId="77777777" w:rsidR="00040201" w:rsidRDefault="00040201" w:rsidP="00300973">
      <w:pPr>
        <w:spacing w:after="0"/>
        <w:ind w:left="-567"/>
        <w:rPr>
          <w:rFonts w:ascii="Arial" w:hAnsi="Arial" w:cs="Arial"/>
          <w:b/>
          <w:bCs/>
          <w:iCs/>
          <w:noProof/>
          <w:sz w:val="24"/>
          <w:szCs w:val="24"/>
          <w:lang w:eastAsia="es-MX"/>
        </w:rPr>
      </w:pPr>
    </w:p>
    <w:p w14:paraId="31098EDB" w14:textId="40BD0A66" w:rsidR="00040201" w:rsidRDefault="00CC1264" w:rsidP="00B359D4">
      <w:pPr>
        <w:spacing w:after="0"/>
        <w:ind w:left="-567"/>
        <w:jc w:val="both"/>
        <w:rPr>
          <w:rFonts w:ascii="Arial" w:hAnsi="Arial" w:cs="Arial"/>
          <w:color w:val="000000"/>
          <w:sz w:val="24"/>
          <w:szCs w:val="24"/>
        </w:rPr>
      </w:pPr>
      <w:r w:rsidRPr="00CC1264">
        <w:rPr>
          <w:rFonts w:ascii="Arial" w:hAnsi="Arial" w:cs="Arial"/>
          <w:color w:val="000000"/>
          <w:sz w:val="24"/>
          <w:szCs w:val="24"/>
        </w:rPr>
        <w:lastRenderedPageBreak/>
        <w:t xml:space="preserve">Sobre </w:t>
      </w:r>
      <w:r w:rsidR="00B359D4">
        <w:rPr>
          <w:rFonts w:ascii="Arial" w:hAnsi="Arial" w:cs="Arial"/>
          <w:color w:val="000000"/>
          <w:sz w:val="24"/>
          <w:szCs w:val="24"/>
        </w:rPr>
        <w:t xml:space="preserve">las personas </w:t>
      </w:r>
      <w:r w:rsidRPr="00CC1264">
        <w:rPr>
          <w:rFonts w:ascii="Arial" w:hAnsi="Arial" w:cs="Arial"/>
          <w:color w:val="000000"/>
          <w:sz w:val="24"/>
          <w:szCs w:val="24"/>
        </w:rPr>
        <w:t>inculpad</w:t>
      </w:r>
      <w:r w:rsidR="00B359D4">
        <w:rPr>
          <w:rFonts w:ascii="Arial" w:hAnsi="Arial" w:cs="Arial"/>
          <w:color w:val="000000"/>
          <w:sz w:val="24"/>
          <w:szCs w:val="24"/>
        </w:rPr>
        <w:t>a</w:t>
      </w:r>
      <w:r w:rsidRPr="00CC1264">
        <w:rPr>
          <w:rFonts w:ascii="Arial" w:hAnsi="Arial" w:cs="Arial"/>
          <w:color w:val="000000"/>
          <w:sz w:val="24"/>
          <w:szCs w:val="24"/>
        </w:rPr>
        <w:t>s y/o imputad</w:t>
      </w:r>
      <w:r w:rsidR="00B359D4">
        <w:rPr>
          <w:rFonts w:ascii="Arial" w:hAnsi="Arial" w:cs="Arial"/>
          <w:color w:val="000000"/>
          <w:sz w:val="24"/>
          <w:szCs w:val="24"/>
        </w:rPr>
        <w:t>a</w:t>
      </w:r>
      <w:r w:rsidRPr="00CC1264">
        <w:rPr>
          <w:rFonts w:ascii="Arial" w:hAnsi="Arial" w:cs="Arial"/>
          <w:color w:val="000000"/>
          <w:sz w:val="24"/>
          <w:szCs w:val="24"/>
        </w:rPr>
        <w:t>s registrad</w:t>
      </w:r>
      <w:r w:rsidR="00B359D4">
        <w:rPr>
          <w:rFonts w:ascii="Arial" w:hAnsi="Arial" w:cs="Arial"/>
          <w:color w:val="000000"/>
          <w:sz w:val="24"/>
          <w:szCs w:val="24"/>
        </w:rPr>
        <w:t>a</w:t>
      </w:r>
      <w:r w:rsidRPr="00CC1264">
        <w:rPr>
          <w:rFonts w:ascii="Arial" w:hAnsi="Arial" w:cs="Arial"/>
          <w:color w:val="000000"/>
          <w:sz w:val="24"/>
          <w:szCs w:val="24"/>
        </w:rPr>
        <w:t>s en las averiguaciones previas,</w:t>
      </w:r>
      <w:r>
        <w:rPr>
          <w:rFonts w:ascii="Arial" w:hAnsi="Arial" w:cs="Arial"/>
          <w:color w:val="000000"/>
          <w:sz w:val="24"/>
          <w:szCs w:val="24"/>
        </w:rPr>
        <w:t xml:space="preserve"> </w:t>
      </w:r>
      <w:r w:rsidRPr="00CC1264">
        <w:rPr>
          <w:rFonts w:ascii="Arial" w:hAnsi="Arial" w:cs="Arial"/>
          <w:color w:val="000000"/>
          <w:sz w:val="24"/>
          <w:szCs w:val="24"/>
        </w:rPr>
        <w:t>investigaciones</w:t>
      </w:r>
      <w:r w:rsidR="00B359D4">
        <w:rPr>
          <w:rFonts w:ascii="Arial" w:hAnsi="Arial" w:cs="Arial"/>
          <w:color w:val="000000"/>
          <w:sz w:val="24"/>
          <w:szCs w:val="24"/>
        </w:rPr>
        <w:t xml:space="preserve"> </w:t>
      </w:r>
      <w:r w:rsidRPr="00CC1264">
        <w:rPr>
          <w:rFonts w:ascii="Arial" w:hAnsi="Arial" w:cs="Arial"/>
          <w:color w:val="000000"/>
          <w:sz w:val="24"/>
          <w:szCs w:val="24"/>
        </w:rPr>
        <w:t>y carpetas de investigación abiertas, durante 20</w:t>
      </w:r>
      <w:r w:rsidR="00407BA9">
        <w:rPr>
          <w:rFonts w:ascii="Arial" w:hAnsi="Arial" w:cs="Arial"/>
          <w:color w:val="000000"/>
          <w:sz w:val="24"/>
          <w:szCs w:val="24"/>
        </w:rPr>
        <w:t>20</w:t>
      </w:r>
      <w:r w:rsidRPr="00CC1264">
        <w:rPr>
          <w:rFonts w:ascii="Arial" w:hAnsi="Arial" w:cs="Arial"/>
          <w:color w:val="000000"/>
          <w:sz w:val="24"/>
          <w:szCs w:val="24"/>
        </w:rPr>
        <w:t xml:space="preserve"> se reportaron</w:t>
      </w:r>
      <w:r w:rsidR="00BB65FC">
        <w:rPr>
          <w:rFonts w:ascii="Arial" w:hAnsi="Arial" w:cs="Arial"/>
          <w:color w:val="000000"/>
          <w:sz w:val="24"/>
          <w:szCs w:val="24"/>
        </w:rPr>
        <w:t xml:space="preserve"> </w:t>
      </w:r>
      <w:r w:rsidR="00765BB2" w:rsidRPr="00765BB2">
        <w:rPr>
          <w:rFonts w:ascii="Arial" w:hAnsi="Arial" w:cs="Arial"/>
          <w:color w:val="000000"/>
          <w:sz w:val="24"/>
          <w:szCs w:val="24"/>
        </w:rPr>
        <w:t>1</w:t>
      </w:r>
      <w:r w:rsidR="00765BB2">
        <w:rPr>
          <w:rFonts w:ascii="Arial" w:hAnsi="Arial" w:cs="Arial"/>
          <w:color w:val="000000"/>
          <w:sz w:val="24"/>
          <w:szCs w:val="24"/>
        </w:rPr>
        <w:t xml:space="preserve"> </w:t>
      </w:r>
      <w:r w:rsidR="00765BB2" w:rsidRPr="00765BB2">
        <w:rPr>
          <w:rFonts w:ascii="Arial" w:hAnsi="Arial" w:cs="Arial"/>
          <w:color w:val="000000"/>
          <w:sz w:val="24"/>
          <w:szCs w:val="24"/>
        </w:rPr>
        <w:t>815</w:t>
      </w:r>
      <w:r w:rsidR="00765BB2">
        <w:rPr>
          <w:rFonts w:ascii="Arial" w:hAnsi="Arial" w:cs="Arial"/>
          <w:color w:val="000000"/>
          <w:sz w:val="24"/>
          <w:szCs w:val="24"/>
        </w:rPr>
        <w:t xml:space="preserve"> </w:t>
      </w:r>
      <w:r w:rsidR="00765BB2" w:rsidRPr="00765BB2">
        <w:rPr>
          <w:rFonts w:ascii="Arial" w:hAnsi="Arial" w:cs="Arial"/>
          <w:color w:val="000000"/>
          <w:sz w:val="24"/>
          <w:szCs w:val="24"/>
        </w:rPr>
        <w:t>507</w:t>
      </w:r>
      <w:r w:rsidR="00765BB2">
        <w:rPr>
          <w:rFonts w:ascii="Arial" w:hAnsi="Arial" w:cs="Arial"/>
          <w:color w:val="000000"/>
          <w:sz w:val="24"/>
          <w:szCs w:val="24"/>
        </w:rPr>
        <w:t xml:space="preserve"> (</w:t>
      </w:r>
      <w:r w:rsidR="00765BB2" w:rsidRPr="00765BB2">
        <w:rPr>
          <w:rFonts w:ascii="Arial" w:hAnsi="Arial" w:cs="Arial"/>
          <w:color w:val="000000"/>
          <w:sz w:val="24"/>
          <w:szCs w:val="24"/>
        </w:rPr>
        <w:t>98.</w:t>
      </w:r>
      <w:r w:rsidR="00765BB2">
        <w:rPr>
          <w:rFonts w:ascii="Arial" w:hAnsi="Arial" w:cs="Arial"/>
          <w:color w:val="000000"/>
          <w:sz w:val="24"/>
          <w:szCs w:val="24"/>
        </w:rPr>
        <w:t>7</w:t>
      </w:r>
      <w:r w:rsidR="00765BB2" w:rsidRPr="00765BB2">
        <w:rPr>
          <w:rFonts w:ascii="Arial" w:hAnsi="Arial" w:cs="Arial"/>
          <w:color w:val="000000"/>
          <w:sz w:val="24"/>
          <w:szCs w:val="24"/>
        </w:rPr>
        <w:t>% correspondió al sistema de justicia para adultos y 1.</w:t>
      </w:r>
      <w:r w:rsidR="00765BB2">
        <w:rPr>
          <w:rFonts w:ascii="Arial" w:hAnsi="Arial" w:cs="Arial"/>
          <w:color w:val="000000"/>
          <w:sz w:val="24"/>
          <w:szCs w:val="24"/>
        </w:rPr>
        <w:t>3</w:t>
      </w:r>
      <w:r w:rsidR="00765BB2" w:rsidRPr="00765BB2">
        <w:rPr>
          <w:rFonts w:ascii="Arial" w:hAnsi="Arial" w:cs="Arial"/>
          <w:color w:val="000000"/>
          <w:sz w:val="24"/>
          <w:szCs w:val="24"/>
        </w:rPr>
        <w:t>% al sistema de justicia para adolescentes)</w:t>
      </w:r>
      <w:r w:rsidR="00590467">
        <w:rPr>
          <w:rFonts w:ascii="Arial" w:hAnsi="Arial" w:cs="Arial"/>
          <w:color w:val="000000"/>
          <w:sz w:val="24"/>
          <w:szCs w:val="24"/>
        </w:rPr>
        <w:t>.</w:t>
      </w:r>
      <w:r w:rsidR="00765BB2">
        <w:rPr>
          <w:rFonts w:ascii="Arial" w:hAnsi="Arial" w:cs="Arial"/>
          <w:color w:val="000000"/>
          <w:sz w:val="24"/>
          <w:szCs w:val="24"/>
        </w:rPr>
        <w:t xml:space="preserve"> </w:t>
      </w:r>
      <w:r w:rsidR="00590467">
        <w:rPr>
          <w:rFonts w:ascii="Arial" w:hAnsi="Arial" w:cs="Arial"/>
          <w:color w:val="000000"/>
          <w:sz w:val="24"/>
          <w:szCs w:val="24"/>
        </w:rPr>
        <w:t>D</w:t>
      </w:r>
      <w:r w:rsidR="00765BB2">
        <w:rPr>
          <w:rFonts w:ascii="Arial" w:hAnsi="Arial" w:cs="Arial"/>
          <w:color w:val="000000"/>
          <w:sz w:val="24"/>
          <w:szCs w:val="24"/>
        </w:rPr>
        <w:t>icha cifra representó una disminución de 2.3% en comparación con lo reportado en 2019</w:t>
      </w:r>
      <w:r w:rsidR="00765BB2">
        <w:rPr>
          <w:rStyle w:val="Refdenotaalpie"/>
          <w:rFonts w:ascii="Arial" w:hAnsi="Arial" w:cs="Arial"/>
          <w:color w:val="000000"/>
          <w:sz w:val="24"/>
          <w:szCs w:val="24"/>
        </w:rPr>
        <w:footnoteReference w:id="12"/>
      </w:r>
      <w:r w:rsidR="00765BB2">
        <w:rPr>
          <w:rFonts w:ascii="Arial" w:hAnsi="Arial" w:cs="Arial"/>
          <w:color w:val="000000"/>
          <w:sz w:val="24"/>
          <w:szCs w:val="24"/>
        </w:rPr>
        <w:t xml:space="preserve">. </w:t>
      </w:r>
    </w:p>
    <w:p w14:paraId="372B8C9C" w14:textId="6E22E670" w:rsidR="00765BB2" w:rsidRDefault="00765BB2" w:rsidP="00765BB2">
      <w:pPr>
        <w:spacing w:after="0"/>
        <w:ind w:left="-567"/>
        <w:jc w:val="center"/>
        <w:rPr>
          <w:rFonts w:ascii="Arial" w:hAnsi="Arial" w:cs="Arial"/>
          <w:color w:val="000000"/>
          <w:sz w:val="24"/>
          <w:szCs w:val="24"/>
        </w:rPr>
      </w:pPr>
    </w:p>
    <w:p w14:paraId="087DA416" w14:textId="6974B186" w:rsidR="00765BB2" w:rsidRPr="00765BB2" w:rsidRDefault="00765BB2" w:rsidP="00765BB2">
      <w:pPr>
        <w:autoSpaceDE w:val="0"/>
        <w:autoSpaceDN w:val="0"/>
        <w:adjustRightInd w:val="0"/>
        <w:spacing w:after="0" w:line="240" w:lineRule="auto"/>
        <w:ind w:left="-567"/>
        <w:jc w:val="center"/>
        <w:rPr>
          <w:rFonts w:ascii="Arial" w:hAnsi="Arial" w:cs="Arial"/>
          <w:b/>
          <w:i/>
          <w:color w:val="877A67"/>
          <w:sz w:val="20"/>
          <w:szCs w:val="24"/>
        </w:rPr>
      </w:pPr>
      <w:r>
        <w:rPr>
          <w:rFonts w:ascii="Arial" w:hAnsi="Arial" w:cs="Arial"/>
          <w:b/>
          <w:i/>
          <w:color w:val="877A67"/>
          <w:sz w:val="20"/>
          <w:szCs w:val="24"/>
        </w:rPr>
        <w:t>G</w:t>
      </w:r>
      <w:r w:rsidRPr="00E151A9">
        <w:rPr>
          <w:rFonts w:ascii="Arial" w:hAnsi="Arial" w:cs="Arial"/>
          <w:b/>
          <w:i/>
          <w:color w:val="877A67"/>
          <w:sz w:val="20"/>
          <w:szCs w:val="24"/>
        </w:rPr>
        <w:t xml:space="preserve">ráfica </w:t>
      </w:r>
      <w:r>
        <w:rPr>
          <w:rFonts w:ascii="Arial" w:hAnsi="Arial" w:cs="Arial"/>
          <w:b/>
          <w:i/>
          <w:color w:val="877A67"/>
          <w:sz w:val="20"/>
          <w:szCs w:val="24"/>
        </w:rPr>
        <w:t>2</w:t>
      </w:r>
      <w:r w:rsidR="00DA20EE">
        <w:rPr>
          <w:rFonts w:ascii="Arial" w:hAnsi="Arial" w:cs="Arial"/>
          <w:b/>
          <w:i/>
          <w:color w:val="877A67"/>
          <w:sz w:val="20"/>
          <w:szCs w:val="24"/>
        </w:rPr>
        <w:t>3</w:t>
      </w:r>
      <w:r>
        <w:rPr>
          <w:rFonts w:ascii="Arial" w:hAnsi="Arial" w:cs="Arial"/>
          <w:b/>
          <w:i/>
          <w:color w:val="877A67"/>
          <w:sz w:val="20"/>
          <w:szCs w:val="24"/>
        </w:rPr>
        <w:t xml:space="preserve">. </w:t>
      </w:r>
      <w:r w:rsidR="00542551">
        <w:rPr>
          <w:rFonts w:ascii="Arial" w:hAnsi="Arial" w:cs="Arial"/>
          <w:b/>
          <w:i/>
          <w:color w:val="877A67"/>
          <w:sz w:val="20"/>
          <w:szCs w:val="24"/>
        </w:rPr>
        <w:t>Personas i</w:t>
      </w:r>
      <w:r w:rsidRPr="00765BB2">
        <w:rPr>
          <w:rFonts w:ascii="Arial" w:hAnsi="Arial" w:cs="Arial"/>
          <w:b/>
          <w:i/>
          <w:color w:val="877A67"/>
          <w:sz w:val="20"/>
          <w:szCs w:val="24"/>
        </w:rPr>
        <w:t>nculpad</w:t>
      </w:r>
      <w:r w:rsidR="00542551">
        <w:rPr>
          <w:rFonts w:ascii="Arial" w:hAnsi="Arial" w:cs="Arial"/>
          <w:b/>
          <w:i/>
          <w:color w:val="877A67"/>
          <w:sz w:val="20"/>
          <w:szCs w:val="24"/>
        </w:rPr>
        <w:t>a</w:t>
      </w:r>
      <w:r w:rsidRPr="00765BB2">
        <w:rPr>
          <w:rFonts w:ascii="Arial" w:hAnsi="Arial" w:cs="Arial"/>
          <w:b/>
          <w:i/>
          <w:color w:val="877A67"/>
          <w:sz w:val="20"/>
          <w:szCs w:val="24"/>
        </w:rPr>
        <w:t>s y/o imputad</w:t>
      </w:r>
      <w:r w:rsidR="00542551">
        <w:rPr>
          <w:rFonts w:ascii="Arial" w:hAnsi="Arial" w:cs="Arial"/>
          <w:b/>
          <w:i/>
          <w:color w:val="877A67"/>
          <w:sz w:val="20"/>
          <w:szCs w:val="24"/>
        </w:rPr>
        <w:t>a</w:t>
      </w:r>
      <w:r w:rsidRPr="00765BB2">
        <w:rPr>
          <w:rFonts w:ascii="Arial" w:hAnsi="Arial" w:cs="Arial"/>
          <w:b/>
          <w:i/>
          <w:color w:val="877A67"/>
          <w:sz w:val="20"/>
          <w:szCs w:val="24"/>
        </w:rPr>
        <w:t>s registrad</w:t>
      </w:r>
      <w:r w:rsidR="00542551">
        <w:rPr>
          <w:rFonts w:ascii="Arial" w:hAnsi="Arial" w:cs="Arial"/>
          <w:b/>
          <w:i/>
          <w:color w:val="877A67"/>
          <w:sz w:val="20"/>
          <w:szCs w:val="24"/>
        </w:rPr>
        <w:t>a</w:t>
      </w:r>
      <w:r w:rsidRPr="00765BB2">
        <w:rPr>
          <w:rFonts w:ascii="Arial" w:hAnsi="Arial" w:cs="Arial"/>
          <w:b/>
          <w:i/>
          <w:color w:val="877A67"/>
          <w:sz w:val="20"/>
          <w:szCs w:val="24"/>
        </w:rPr>
        <w:t>s en las averiguaciones previas,</w:t>
      </w:r>
    </w:p>
    <w:p w14:paraId="734FCCE6" w14:textId="73A77CF2" w:rsidR="00765BB2" w:rsidRDefault="00765BB2" w:rsidP="00765BB2">
      <w:pPr>
        <w:autoSpaceDE w:val="0"/>
        <w:autoSpaceDN w:val="0"/>
        <w:adjustRightInd w:val="0"/>
        <w:spacing w:after="0" w:line="240" w:lineRule="auto"/>
        <w:ind w:left="-567"/>
        <w:jc w:val="center"/>
        <w:rPr>
          <w:rFonts w:ascii="Arial" w:hAnsi="Arial" w:cs="Arial"/>
          <w:b/>
          <w:i/>
          <w:color w:val="877A67"/>
          <w:sz w:val="20"/>
          <w:szCs w:val="24"/>
        </w:rPr>
      </w:pPr>
      <w:r w:rsidRPr="00765BB2">
        <w:rPr>
          <w:rFonts w:ascii="Arial" w:hAnsi="Arial" w:cs="Arial"/>
          <w:b/>
          <w:i/>
          <w:color w:val="877A67"/>
          <w:sz w:val="20"/>
          <w:szCs w:val="24"/>
        </w:rPr>
        <w:t>investigaciones y carpetas de investigación abiertas, según tipo, 20</w:t>
      </w:r>
      <w:r>
        <w:rPr>
          <w:rFonts w:ascii="Arial" w:hAnsi="Arial" w:cs="Arial"/>
          <w:b/>
          <w:i/>
          <w:color w:val="877A67"/>
          <w:sz w:val="20"/>
          <w:szCs w:val="24"/>
        </w:rPr>
        <w:t>20</w:t>
      </w:r>
      <w:r w:rsidRPr="00765BB2">
        <w:rPr>
          <w:rFonts w:ascii="Arial" w:hAnsi="Arial" w:cs="Arial"/>
          <w:b/>
          <w:i/>
          <w:color w:val="877A67"/>
          <w:sz w:val="20"/>
          <w:szCs w:val="24"/>
        </w:rPr>
        <w:cr/>
      </w:r>
      <w:r w:rsidRPr="00765BB2">
        <w:rPr>
          <w:rFonts w:ascii="Arial" w:hAnsi="Arial" w:cs="Arial"/>
          <w:noProof/>
          <w:color w:val="000000"/>
          <w:sz w:val="24"/>
          <w:szCs w:val="24"/>
        </w:rPr>
        <w:drawing>
          <wp:inline distT="0" distB="0" distL="0" distR="0" wp14:anchorId="43047B36" wp14:editId="689E7AE7">
            <wp:extent cx="6120765" cy="1936750"/>
            <wp:effectExtent l="0" t="0" r="0" b="6350"/>
            <wp:docPr id="22" name="Gráfico 22">
              <a:extLst xmlns:a="http://schemas.openxmlformats.org/drawingml/2006/main">
                <a:ext uri="{FF2B5EF4-FFF2-40B4-BE49-F238E27FC236}">
                  <a16:creationId xmlns:a16="http://schemas.microsoft.com/office/drawing/2014/main" id="{46F6C085-7683-4246-B646-EF5268FD5C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B715462" w14:textId="57434FF1" w:rsidR="00765BB2" w:rsidRDefault="00765BB2" w:rsidP="00765BB2">
      <w:pPr>
        <w:autoSpaceDE w:val="0"/>
        <w:autoSpaceDN w:val="0"/>
        <w:adjustRightInd w:val="0"/>
        <w:spacing w:after="0" w:line="240" w:lineRule="auto"/>
        <w:ind w:left="-567"/>
        <w:jc w:val="center"/>
        <w:rPr>
          <w:rFonts w:ascii="Arial" w:hAnsi="Arial" w:cs="Arial"/>
          <w:color w:val="000000"/>
          <w:sz w:val="16"/>
          <w:szCs w:val="24"/>
        </w:rPr>
      </w:pPr>
      <w:r w:rsidRPr="00765BB2">
        <w:rPr>
          <w:rFonts w:ascii="Arial" w:hAnsi="Arial" w:cs="Arial"/>
          <w:color w:val="000000"/>
          <w:sz w:val="16"/>
          <w:szCs w:val="24"/>
        </w:rPr>
        <w:t>*No aplica el tipo de inculpado y/o imputado.</w:t>
      </w:r>
    </w:p>
    <w:p w14:paraId="2C0CFB69" w14:textId="77777777" w:rsidR="00AB5518" w:rsidRPr="00765BB2" w:rsidRDefault="00AB5518" w:rsidP="00765BB2">
      <w:pPr>
        <w:autoSpaceDE w:val="0"/>
        <w:autoSpaceDN w:val="0"/>
        <w:adjustRightInd w:val="0"/>
        <w:spacing w:after="0" w:line="240" w:lineRule="auto"/>
        <w:ind w:left="-567"/>
        <w:jc w:val="center"/>
        <w:rPr>
          <w:rFonts w:ascii="Arial" w:hAnsi="Arial" w:cs="Arial"/>
          <w:color w:val="000000"/>
          <w:sz w:val="16"/>
          <w:szCs w:val="24"/>
        </w:rPr>
      </w:pPr>
    </w:p>
    <w:p w14:paraId="3A4BE691" w14:textId="0CD91C4D" w:rsidR="00CC1264" w:rsidRDefault="00CC1264" w:rsidP="00CC1264">
      <w:pPr>
        <w:spacing w:after="0"/>
        <w:ind w:left="-567"/>
        <w:jc w:val="both"/>
        <w:rPr>
          <w:rFonts w:ascii="Arial" w:hAnsi="Arial" w:cs="Arial"/>
          <w:b/>
          <w:bCs/>
          <w:iCs/>
          <w:noProof/>
          <w:sz w:val="24"/>
          <w:szCs w:val="24"/>
          <w:lang w:eastAsia="es-MX"/>
        </w:rPr>
      </w:pPr>
    </w:p>
    <w:p w14:paraId="6F769026" w14:textId="03178AE8" w:rsidR="00AB5518" w:rsidRDefault="00F26487" w:rsidP="00966292">
      <w:pPr>
        <w:autoSpaceDE w:val="0"/>
        <w:autoSpaceDN w:val="0"/>
        <w:adjustRightInd w:val="0"/>
        <w:spacing w:after="0" w:line="240" w:lineRule="auto"/>
        <w:ind w:left="-567"/>
        <w:jc w:val="both"/>
        <w:rPr>
          <w:rFonts w:ascii="Arial" w:hAnsi="Arial" w:cs="Arial"/>
          <w:color w:val="000000"/>
          <w:sz w:val="24"/>
          <w:szCs w:val="24"/>
        </w:rPr>
      </w:pPr>
      <w:r w:rsidRPr="00F26487">
        <w:rPr>
          <w:rFonts w:ascii="Arial" w:hAnsi="Arial" w:cs="Arial"/>
          <w:color w:val="000000"/>
          <w:sz w:val="24"/>
          <w:szCs w:val="24"/>
        </w:rPr>
        <w:t>Con relación a las determinaciones y/o conclusiones efectuadas en las averiguaciones previas</w:t>
      </w:r>
      <w:r>
        <w:rPr>
          <w:rFonts w:ascii="Arial" w:hAnsi="Arial" w:cs="Arial"/>
          <w:color w:val="000000"/>
          <w:sz w:val="24"/>
          <w:szCs w:val="24"/>
        </w:rPr>
        <w:t xml:space="preserve"> </w:t>
      </w:r>
      <w:r w:rsidRPr="00F26487">
        <w:rPr>
          <w:rFonts w:ascii="Arial" w:hAnsi="Arial" w:cs="Arial"/>
          <w:color w:val="000000"/>
          <w:sz w:val="24"/>
          <w:szCs w:val="24"/>
        </w:rPr>
        <w:t>e investigaciones</w:t>
      </w:r>
      <w:r w:rsidR="00590467">
        <w:rPr>
          <w:rFonts w:ascii="Arial" w:hAnsi="Arial" w:cs="Arial"/>
          <w:color w:val="000000"/>
          <w:sz w:val="24"/>
          <w:szCs w:val="24"/>
        </w:rPr>
        <w:t>,</w:t>
      </w:r>
      <w:r w:rsidRPr="00F26487">
        <w:rPr>
          <w:rFonts w:ascii="Arial" w:hAnsi="Arial" w:cs="Arial"/>
          <w:color w:val="000000"/>
          <w:sz w:val="24"/>
          <w:szCs w:val="24"/>
        </w:rPr>
        <w:t xml:space="preserve"> </w:t>
      </w:r>
      <w:r w:rsidR="0093166D">
        <w:rPr>
          <w:rFonts w:ascii="Arial" w:hAnsi="Arial" w:cs="Arial"/>
          <w:color w:val="000000"/>
          <w:sz w:val="24"/>
          <w:szCs w:val="24"/>
        </w:rPr>
        <w:t xml:space="preserve">en 2020, </w:t>
      </w:r>
      <w:r w:rsidRPr="00F26487">
        <w:rPr>
          <w:rFonts w:ascii="Arial" w:hAnsi="Arial" w:cs="Arial"/>
          <w:color w:val="000000"/>
          <w:sz w:val="24"/>
          <w:szCs w:val="24"/>
        </w:rPr>
        <w:t xml:space="preserve">a nivel nacional se registraron </w:t>
      </w:r>
      <w:r w:rsidR="008A0882" w:rsidRPr="008A0882">
        <w:rPr>
          <w:rFonts w:ascii="Arial" w:hAnsi="Arial" w:cs="Arial"/>
          <w:color w:val="000000"/>
          <w:sz w:val="24"/>
          <w:szCs w:val="24"/>
        </w:rPr>
        <w:t>174</w:t>
      </w:r>
      <w:r w:rsidR="008A0882">
        <w:rPr>
          <w:rFonts w:ascii="Arial" w:hAnsi="Arial" w:cs="Arial"/>
          <w:color w:val="000000"/>
          <w:sz w:val="24"/>
          <w:szCs w:val="24"/>
        </w:rPr>
        <w:t xml:space="preserve"> </w:t>
      </w:r>
      <w:r w:rsidR="008A0882" w:rsidRPr="008A0882">
        <w:rPr>
          <w:rFonts w:ascii="Arial" w:hAnsi="Arial" w:cs="Arial"/>
          <w:color w:val="000000"/>
          <w:sz w:val="24"/>
          <w:szCs w:val="24"/>
        </w:rPr>
        <w:t>243</w:t>
      </w:r>
      <w:r w:rsidR="0093166D">
        <w:rPr>
          <w:rFonts w:ascii="Arial" w:hAnsi="Arial" w:cs="Arial"/>
          <w:color w:val="000000"/>
          <w:sz w:val="24"/>
          <w:szCs w:val="24"/>
        </w:rPr>
        <w:t>,</w:t>
      </w:r>
      <w:r w:rsidR="00590467">
        <w:rPr>
          <w:rFonts w:ascii="Arial" w:hAnsi="Arial" w:cs="Arial"/>
          <w:color w:val="000000"/>
          <w:sz w:val="24"/>
          <w:szCs w:val="24"/>
        </w:rPr>
        <w:t xml:space="preserve"> esto</w:t>
      </w:r>
      <w:r w:rsidR="008A0882">
        <w:rPr>
          <w:rFonts w:ascii="Arial" w:hAnsi="Arial" w:cs="Arial"/>
          <w:color w:val="000000"/>
          <w:sz w:val="24"/>
          <w:szCs w:val="24"/>
        </w:rPr>
        <w:t xml:space="preserve"> represent</w:t>
      </w:r>
      <w:r w:rsidR="00590467">
        <w:rPr>
          <w:rFonts w:ascii="Arial" w:hAnsi="Arial" w:cs="Arial"/>
          <w:color w:val="000000"/>
          <w:sz w:val="24"/>
          <w:szCs w:val="24"/>
        </w:rPr>
        <w:t>ó</w:t>
      </w:r>
      <w:r w:rsidR="008A0882">
        <w:rPr>
          <w:rFonts w:ascii="Arial" w:hAnsi="Arial" w:cs="Arial"/>
          <w:color w:val="000000"/>
          <w:sz w:val="24"/>
          <w:szCs w:val="24"/>
        </w:rPr>
        <w:t xml:space="preserve"> una disminución de 36.7% con respecto a l</w:t>
      </w:r>
      <w:r w:rsidR="00966292">
        <w:rPr>
          <w:rFonts w:ascii="Arial" w:hAnsi="Arial" w:cs="Arial"/>
          <w:color w:val="000000"/>
          <w:sz w:val="24"/>
          <w:szCs w:val="24"/>
        </w:rPr>
        <w:t>o reportado</w:t>
      </w:r>
      <w:r w:rsidR="008A0882">
        <w:rPr>
          <w:rFonts w:ascii="Arial" w:hAnsi="Arial" w:cs="Arial"/>
          <w:color w:val="000000"/>
          <w:sz w:val="24"/>
          <w:szCs w:val="24"/>
        </w:rPr>
        <w:t xml:space="preserve"> en 2019</w:t>
      </w:r>
      <w:r w:rsidR="00966292">
        <w:rPr>
          <w:rStyle w:val="Refdenotaalpie"/>
          <w:rFonts w:ascii="Arial" w:hAnsi="Arial" w:cs="Arial"/>
          <w:color w:val="000000"/>
          <w:sz w:val="24"/>
          <w:szCs w:val="24"/>
        </w:rPr>
        <w:footnoteReference w:id="13"/>
      </w:r>
      <w:r w:rsidR="00966292">
        <w:rPr>
          <w:rFonts w:ascii="Arial" w:hAnsi="Arial" w:cs="Arial"/>
          <w:color w:val="000000"/>
          <w:sz w:val="24"/>
          <w:szCs w:val="24"/>
        </w:rPr>
        <w:t>. Del total, 81.5</w:t>
      </w:r>
      <w:r w:rsidRPr="00F26487">
        <w:rPr>
          <w:rFonts w:ascii="Arial" w:hAnsi="Arial" w:cs="Arial"/>
          <w:color w:val="000000"/>
          <w:sz w:val="24"/>
          <w:szCs w:val="24"/>
        </w:rPr>
        <w:t>% correspondió</w:t>
      </w:r>
      <w:r>
        <w:rPr>
          <w:rFonts w:ascii="Arial" w:hAnsi="Arial" w:cs="Arial"/>
          <w:color w:val="000000"/>
          <w:sz w:val="24"/>
          <w:szCs w:val="24"/>
        </w:rPr>
        <w:t xml:space="preserve"> </w:t>
      </w:r>
      <w:r w:rsidRPr="00F26487">
        <w:rPr>
          <w:rFonts w:ascii="Arial" w:hAnsi="Arial" w:cs="Arial"/>
          <w:color w:val="000000"/>
          <w:sz w:val="24"/>
          <w:szCs w:val="24"/>
        </w:rPr>
        <w:t xml:space="preserve">a </w:t>
      </w:r>
      <w:r w:rsidRPr="00966292">
        <w:rPr>
          <w:rFonts w:ascii="Arial" w:hAnsi="Arial" w:cs="Arial"/>
          <w:i/>
          <w:color w:val="000000"/>
          <w:sz w:val="24"/>
          <w:szCs w:val="24"/>
        </w:rPr>
        <w:t>No ejercicio de la acción penal / Improcedencia</w:t>
      </w:r>
      <w:r w:rsidRPr="00F26487">
        <w:rPr>
          <w:rFonts w:ascii="Arial" w:hAnsi="Arial" w:cs="Arial"/>
          <w:color w:val="000000"/>
          <w:sz w:val="24"/>
          <w:szCs w:val="24"/>
        </w:rPr>
        <w:t>.</w:t>
      </w:r>
    </w:p>
    <w:p w14:paraId="43284BC6" w14:textId="77777777" w:rsidR="00966292" w:rsidRDefault="00966292" w:rsidP="00966292">
      <w:pPr>
        <w:autoSpaceDE w:val="0"/>
        <w:autoSpaceDN w:val="0"/>
        <w:adjustRightInd w:val="0"/>
        <w:spacing w:after="0" w:line="240" w:lineRule="auto"/>
        <w:ind w:left="-567"/>
        <w:jc w:val="both"/>
        <w:rPr>
          <w:rFonts w:ascii="Arial" w:hAnsi="Arial" w:cs="Arial"/>
          <w:color w:val="000000"/>
          <w:sz w:val="24"/>
          <w:szCs w:val="24"/>
        </w:rPr>
      </w:pPr>
    </w:p>
    <w:p w14:paraId="7EAC42CA" w14:textId="0C2C978E" w:rsidR="008A0882" w:rsidRDefault="00966292" w:rsidP="00966292">
      <w:pPr>
        <w:autoSpaceDE w:val="0"/>
        <w:autoSpaceDN w:val="0"/>
        <w:adjustRightInd w:val="0"/>
        <w:spacing w:after="0" w:line="240" w:lineRule="auto"/>
        <w:ind w:left="-567"/>
        <w:jc w:val="center"/>
        <w:rPr>
          <w:rFonts w:ascii="Arial" w:hAnsi="Arial" w:cs="Arial"/>
          <w:color w:val="000000"/>
          <w:sz w:val="24"/>
          <w:szCs w:val="24"/>
        </w:rPr>
      </w:pPr>
      <w:r>
        <w:rPr>
          <w:rFonts w:ascii="Arial" w:hAnsi="Arial" w:cs="Arial"/>
          <w:b/>
          <w:i/>
          <w:color w:val="877A67"/>
          <w:sz w:val="20"/>
          <w:szCs w:val="24"/>
        </w:rPr>
        <w:t>G</w:t>
      </w:r>
      <w:r w:rsidRPr="00E151A9">
        <w:rPr>
          <w:rFonts w:ascii="Arial" w:hAnsi="Arial" w:cs="Arial"/>
          <w:b/>
          <w:i/>
          <w:color w:val="877A67"/>
          <w:sz w:val="20"/>
          <w:szCs w:val="24"/>
        </w:rPr>
        <w:t xml:space="preserve">ráfica </w:t>
      </w:r>
      <w:r>
        <w:rPr>
          <w:rFonts w:ascii="Arial" w:hAnsi="Arial" w:cs="Arial"/>
          <w:b/>
          <w:i/>
          <w:color w:val="877A67"/>
          <w:sz w:val="20"/>
          <w:szCs w:val="24"/>
        </w:rPr>
        <w:t>2</w:t>
      </w:r>
      <w:r w:rsidR="00DA20EE">
        <w:rPr>
          <w:rFonts w:ascii="Arial" w:hAnsi="Arial" w:cs="Arial"/>
          <w:b/>
          <w:i/>
          <w:color w:val="877A67"/>
          <w:sz w:val="20"/>
          <w:szCs w:val="24"/>
        </w:rPr>
        <w:t>4</w:t>
      </w:r>
      <w:r>
        <w:rPr>
          <w:rFonts w:ascii="Arial" w:hAnsi="Arial" w:cs="Arial"/>
          <w:b/>
          <w:i/>
          <w:color w:val="877A67"/>
          <w:sz w:val="20"/>
          <w:szCs w:val="24"/>
        </w:rPr>
        <w:t xml:space="preserve">. </w:t>
      </w:r>
      <w:r w:rsidRPr="00966292">
        <w:rPr>
          <w:rFonts w:ascii="Arial" w:hAnsi="Arial" w:cs="Arial"/>
          <w:b/>
          <w:i/>
          <w:color w:val="877A67"/>
          <w:sz w:val="20"/>
          <w:szCs w:val="24"/>
        </w:rPr>
        <w:t>Determinaciones</w:t>
      </w:r>
      <w:r>
        <w:rPr>
          <w:rFonts w:ascii="Arial" w:hAnsi="Arial" w:cs="Arial"/>
          <w:b/>
          <w:i/>
          <w:color w:val="877A67"/>
          <w:sz w:val="20"/>
          <w:szCs w:val="24"/>
        </w:rPr>
        <w:t xml:space="preserve"> </w:t>
      </w:r>
      <w:r w:rsidRPr="00966292">
        <w:rPr>
          <w:rFonts w:ascii="Arial" w:hAnsi="Arial" w:cs="Arial"/>
          <w:b/>
          <w:i/>
          <w:color w:val="877A67"/>
          <w:sz w:val="20"/>
          <w:szCs w:val="24"/>
        </w:rPr>
        <w:t>y/o conclusiones efectuadas en las</w:t>
      </w:r>
      <w:r>
        <w:rPr>
          <w:rFonts w:ascii="Arial" w:hAnsi="Arial" w:cs="Arial"/>
          <w:b/>
          <w:i/>
          <w:color w:val="877A67"/>
          <w:sz w:val="20"/>
          <w:szCs w:val="24"/>
        </w:rPr>
        <w:t xml:space="preserve"> </w:t>
      </w:r>
      <w:r w:rsidRPr="00966292">
        <w:rPr>
          <w:rFonts w:ascii="Arial" w:hAnsi="Arial" w:cs="Arial"/>
          <w:b/>
          <w:i/>
          <w:color w:val="877A67"/>
          <w:sz w:val="20"/>
          <w:szCs w:val="24"/>
        </w:rPr>
        <w:t>averiguaciones previas e</w:t>
      </w:r>
      <w:r>
        <w:rPr>
          <w:rFonts w:ascii="Arial" w:hAnsi="Arial" w:cs="Arial"/>
          <w:b/>
          <w:i/>
          <w:color w:val="877A67"/>
          <w:sz w:val="20"/>
          <w:szCs w:val="24"/>
        </w:rPr>
        <w:t xml:space="preserve"> </w:t>
      </w:r>
      <w:r w:rsidRPr="00966292">
        <w:rPr>
          <w:rFonts w:ascii="Arial" w:hAnsi="Arial" w:cs="Arial"/>
          <w:b/>
          <w:i/>
          <w:color w:val="877A67"/>
          <w:sz w:val="20"/>
          <w:szCs w:val="24"/>
        </w:rPr>
        <w:t>investigaciones,</w:t>
      </w:r>
      <w:r>
        <w:rPr>
          <w:rFonts w:ascii="Arial" w:hAnsi="Arial" w:cs="Arial"/>
          <w:b/>
          <w:i/>
          <w:color w:val="877A67"/>
          <w:sz w:val="20"/>
          <w:szCs w:val="24"/>
        </w:rPr>
        <w:t xml:space="preserve"> </w:t>
      </w:r>
      <w:r w:rsidRPr="00966292">
        <w:rPr>
          <w:rFonts w:ascii="Arial" w:hAnsi="Arial" w:cs="Arial"/>
          <w:b/>
          <w:i/>
          <w:color w:val="877A67"/>
          <w:sz w:val="20"/>
          <w:szCs w:val="24"/>
        </w:rPr>
        <w:t>según tipo, 2019</w:t>
      </w:r>
      <w:r>
        <w:rPr>
          <w:rFonts w:ascii="Arial" w:hAnsi="Arial" w:cs="Arial"/>
          <w:b/>
          <w:i/>
          <w:color w:val="877A67"/>
          <w:sz w:val="20"/>
          <w:szCs w:val="24"/>
        </w:rPr>
        <w:t xml:space="preserve"> a 2020</w:t>
      </w:r>
    </w:p>
    <w:p w14:paraId="4521BA1A" w14:textId="0DEBB154" w:rsidR="008A0882" w:rsidRDefault="008A0882" w:rsidP="00F26487">
      <w:pPr>
        <w:autoSpaceDE w:val="0"/>
        <w:autoSpaceDN w:val="0"/>
        <w:adjustRightInd w:val="0"/>
        <w:spacing w:after="0" w:line="240" w:lineRule="auto"/>
        <w:ind w:left="-567"/>
        <w:jc w:val="both"/>
        <w:rPr>
          <w:rFonts w:ascii="Arial" w:hAnsi="Arial" w:cs="Arial"/>
          <w:color w:val="000000"/>
          <w:sz w:val="24"/>
          <w:szCs w:val="24"/>
        </w:rPr>
      </w:pPr>
      <w:r w:rsidRPr="008A0882">
        <w:rPr>
          <w:rFonts w:ascii="Arial" w:hAnsi="Arial" w:cs="Arial"/>
          <w:noProof/>
          <w:color w:val="000000"/>
          <w:sz w:val="24"/>
          <w:szCs w:val="24"/>
        </w:rPr>
        <w:drawing>
          <wp:inline distT="0" distB="0" distL="0" distR="0" wp14:anchorId="25FE97AB" wp14:editId="3C32C12B">
            <wp:extent cx="6581775" cy="2413000"/>
            <wp:effectExtent l="0" t="0" r="0" b="6350"/>
            <wp:docPr id="23" name="Gráfico 23">
              <a:extLst xmlns:a="http://schemas.openxmlformats.org/drawingml/2006/main">
                <a:ext uri="{FF2B5EF4-FFF2-40B4-BE49-F238E27FC236}">
                  <a16:creationId xmlns:a16="http://schemas.microsoft.com/office/drawing/2014/main" id="{2A4A84DC-F60C-415B-93A6-EFF86CE44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5D4542D" w14:textId="4DAE2C39" w:rsidR="00F26487" w:rsidRDefault="00F26487" w:rsidP="00F26487">
      <w:pPr>
        <w:autoSpaceDE w:val="0"/>
        <w:autoSpaceDN w:val="0"/>
        <w:adjustRightInd w:val="0"/>
        <w:spacing w:after="0" w:line="240" w:lineRule="auto"/>
        <w:ind w:left="-567"/>
        <w:jc w:val="both"/>
        <w:rPr>
          <w:rFonts w:ascii="Arial" w:hAnsi="Arial" w:cs="Arial"/>
          <w:color w:val="000000"/>
          <w:sz w:val="24"/>
          <w:szCs w:val="24"/>
        </w:rPr>
      </w:pPr>
    </w:p>
    <w:p w14:paraId="0036BC0C" w14:textId="77777777" w:rsidR="006D1E34" w:rsidRDefault="006D1E34" w:rsidP="006C3CF5">
      <w:pPr>
        <w:autoSpaceDE w:val="0"/>
        <w:autoSpaceDN w:val="0"/>
        <w:adjustRightInd w:val="0"/>
        <w:spacing w:after="0" w:line="240" w:lineRule="auto"/>
        <w:ind w:left="-567"/>
        <w:jc w:val="both"/>
        <w:rPr>
          <w:rFonts w:ascii="Arial" w:hAnsi="Arial" w:cs="Arial"/>
          <w:color w:val="000000"/>
          <w:sz w:val="24"/>
          <w:szCs w:val="24"/>
        </w:rPr>
      </w:pPr>
    </w:p>
    <w:p w14:paraId="2DE3536F" w14:textId="405FC83D" w:rsidR="00F26487" w:rsidRDefault="006C3CF5" w:rsidP="006C3CF5">
      <w:pPr>
        <w:autoSpaceDE w:val="0"/>
        <w:autoSpaceDN w:val="0"/>
        <w:adjustRightInd w:val="0"/>
        <w:spacing w:after="0" w:line="240" w:lineRule="auto"/>
        <w:ind w:left="-567"/>
        <w:jc w:val="both"/>
        <w:rPr>
          <w:rFonts w:ascii="Arial" w:hAnsi="Arial" w:cs="Arial"/>
          <w:color w:val="000000"/>
          <w:sz w:val="24"/>
          <w:szCs w:val="24"/>
        </w:rPr>
      </w:pPr>
      <w:r w:rsidRPr="006C3CF5">
        <w:rPr>
          <w:rFonts w:ascii="Arial" w:hAnsi="Arial" w:cs="Arial"/>
          <w:color w:val="000000"/>
          <w:sz w:val="24"/>
          <w:szCs w:val="24"/>
        </w:rPr>
        <w:t xml:space="preserve">Por su parte, </w:t>
      </w:r>
      <w:r w:rsidR="008D597A">
        <w:rPr>
          <w:rFonts w:ascii="Arial" w:hAnsi="Arial" w:cs="Arial"/>
          <w:color w:val="000000"/>
          <w:sz w:val="24"/>
          <w:szCs w:val="24"/>
        </w:rPr>
        <w:t xml:space="preserve">durante 2020, </w:t>
      </w:r>
      <w:r w:rsidRPr="006C3CF5">
        <w:rPr>
          <w:rFonts w:ascii="Arial" w:hAnsi="Arial" w:cs="Arial"/>
          <w:color w:val="000000"/>
          <w:sz w:val="24"/>
          <w:szCs w:val="24"/>
        </w:rPr>
        <w:t>el total nacional de determinaciones y/o conclusiones efectuadas en las carpetas</w:t>
      </w:r>
      <w:r>
        <w:rPr>
          <w:rFonts w:ascii="Arial" w:hAnsi="Arial" w:cs="Arial"/>
          <w:color w:val="000000"/>
          <w:sz w:val="24"/>
          <w:szCs w:val="24"/>
        </w:rPr>
        <w:t xml:space="preserve"> </w:t>
      </w:r>
      <w:r w:rsidRPr="006C3CF5">
        <w:rPr>
          <w:rFonts w:ascii="Arial" w:hAnsi="Arial" w:cs="Arial"/>
          <w:color w:val="000000"/>
          <w:sz w:val="24"/>
          <w:szCs w:val="24"/>
        </w:rPr>
        <w:t xml:space="preserve">de investigación en la etapa de investigación inicial fue de </w:t>
      </w:r>
      <w:r w:rsidR="00B80539" w:rsidRPr="00B80539">
        <w:rPr>
          <w:rFonts w:ascii="Arial" w:hAnsi="Arial" w:cs="Arial"/>
          <w:color w:val="000000"/>
          <w:sz w:val="24"/>
          <w:szCs w:val="24"/>
        </w:rPr>
        <w:t>1</w:t>
      </w:r>
      <w:r w:rsidR="00B80539">
        <w:rPr>
          <w:rFonts w:ascii="Arial" w:hAnsi="Arial" w:cs="Arial"/>
          <w:color w:val="000000"/>
          <w:sz w:val="24"/>
          <w:szCs w:val="24"/>
        </w:rPr>
        <w:t xml:space="preserve"> </w:t>
      </w:r>
      <w:r w:rsidR="00B80539" w:rsidRPr="00B80539">
        <w:rPr>
          <w:rFonts w:ascii="Arial" w:hAnsi="Arial" w:cs="Arial"/>
          <w:color w:val="000000"/>
          <w:sz w:val="24"/>
          <w:szCs w:val="24"/>
        </w:rPr>
        <w:t>157</w:t>
      </w:r>
      <w:r w:rsidR="00B80539">
        <w:rPr>
          <w:rFonts w:ascii="Arial" w:hAnsi="Arial" w:cs="Arial"/>
          <w:color w:val="000000"/>
          <w:sz w:val="24"/>
          <w:szCs w:val="24"/>
        </w:rPr>
        <w:t xml:space="preserve"> </w:t>
      </w:r>
      <w:r w:rsidR="00B80539" w:rsidRPr="00B80539">
        <w:rPr>
          <w:rFonts w:ascii="Arial" w:hAnsi="Arial" w:cs="Arial"/>
          <w:color w:val="000000"/>
          <w:sz w:val="24"/>
          <w:szCs w:val="24"/>
        </w:rPr>
        <w:t>777</w:t>
      </w:r>
      <w:r w:rsidR="00B80539">
        <w:rPr>
          <w:rFonts w:ascii="Arial" w:hAnsi="Arial" w:cs="Arial"/>
          <w:color w:val="000000"/>
          <w:sz w:val="24"/>
          <w:szCs w:val="24"/>
        </w:rPr>
        <w:t>, esta cifra representó una disminución de 18.9%, respecto a lo registrado en 2019</w:t>
      </w:r>
      <w:r w:rsidR="00B80539">
        <w:rPr>
          <w:rStyle w:val="Refdenotaalpie"/>
          <w:rFonts w:ascii="Arial" w:hAnsi="Arial" w:cs="Arial"/>
          <w:color w:val="000000"/>
          <w:sz w:val="24"/>
          <w:szCs w:val="24"/>
        </w:rPr>
        <w:footnoteReference w:id="14"/>
      </w:r>
      <w:r w:rsidR="00B80539">
        <w:rPr>
          <w:rFonts w:ascii="Arial" w:hAnsi="Arial" w:cs="Arial"/>
          <w:color w:val="000000"/>
          <w:sz w:val="24"/>
          <w:szCs w:val="24"/>
        </w:rPr>
        <w:t>. Del total, 47.9% se trató de</w:t>
      </w:r>
      <w:r w:rsidRPr="006C3CF5">
        <w:rPr>
          <w:rFonts w:ascii="Arial" w:hAnsi="Arial" w:cs="Arial"/>
          <w:color w:val="000000"/>
          <w:sz w:val="24"/>
          <w:szCs w:val="24"/>
        </w:rPr>
        <w:t xml:space="preserve"> </w:t>
      </w:r>
      <w:r w:rsidRPr="00B80539">
        <w:rPr>
          <w:rFonts w:ascii="Arial" w:hAnsi="Arial" w:cs="Arial"/>
          <w:i/>
          <w:color w:val="000000"/>
          <w:sz w:val="24"/>
          <w:szCs w:val="24"/>
        </w:rPr>
        <w:t>Archivo temporal</w:t>
      </w:r>
      <w:r w:rsidR="00B80539">
        <w:rPr>
          <w:rFonts w:ascii="Arial" w:hAnsi="Arial" w:cs="Arial"/>
          <w:color w:val="000000"/>
          <w:sz w:val="24"/>
          <w:szCs w:val="24"/>
        </w:rPr>
        <w:t xml:space="preserve">. </w:t>
      </w:r>
    </w:p>
    <w:p w14:paraId="6E9A9C35" w14:textId="77777777" w:rsidR="006D1E34" w:rsidRDefault="006D1E34" w:rsidP="006C3CF5">
      <w:pPr>
        <w:autoSpaceDE w:val="0"/>
        <w:autoSpaceDN w:val="0"/>
        <w:adjustRightInd w:val="0"/>
        <w:spacing w:after="0" w:line="240" w:lineRule="auto"/>
        <w:ind w:left="-567"/>
        <w:jc w:val="both"/>
        <w:rPr>
          <w:rFonts w:ascii="Arial" w:hAnsi="Arial" w:cs="Arial"/>
          <w:color w:val="000000"/>
          <w:sz w:val="24"/>
          <w:szCs w:val="24"/>
        </w:rPr>
      </w:pPr>
    </w:p>
    <w:p w14:paraId="568A7C5C" w14:textId="282952D4" w:rsidR="00B435DB" w:rsidRDefault="00B435DB" w:rsidP="00B435DB">
      <w:pPr>
        <w:autoSpaceDE w:val="0"/>
        <w:autoSpaceDN w:val="0"/>
        <w:adjustRightInd w:val="0"/>
        <w:spacing w:after="0" w:line="240" w:lineRule="auto"/>
        <w:ind w:left="-567"/>
        <w:jc w:val="center"/>
        <w:rPr>
          <w:rFonts w:ascii="Arial" w:hAnsi="Arial" w:cs="Arial"/>
          <w:color w:val="000000"/>
          <w:sz w:val="24"/>
          <w:szCs w:val="24"/>
        </w:rPr>
      </w:pPr>
      <w:r>
        <w:rPr>
          <w:rFonts w:ascii="Arial" w:hAnsi="Arial" w:cs="Arial"/>
          <w:b/>
          <w:i/>
          <w:color w:val="877A67"/>
          <w:sz w:val="20"/>
          <w:szCs w:val="24"/>
        </w:rPr>
        <w:t>G</w:t>
      </w:r>
      <w:r w:rsidRPr="00E151A9">
        <w:rPr>
          <w:rFonts w:ascii="Arial" w:hAnsi="Arial" w:cs="Arial"/>
          <w:b/>
          <w:i/>
          <w:color w:val="877A67"/>
          <w:sz w:val="20"/>
          <w:szCs w:val="24"/>
        </w:rPr>
        <w:t xml:space="preserve">ráfica </w:t>
      </w:r>
      <w:r>
        <w:rPr>
          <w:rFonts w:ascii="Arial" w:hAnsi="Arial" w:cs="Arial"/>
          <w:b/>
          <w:i/>
          <w:color w:val="877A67"/>
          <w:sz w:val="20"/>
          <w:szCs w:val="24"/>
        </w:rPr>
        <w:t>2</w:t>
      </w:r>
      <w:r w:rsidR="00DA20EE">
        <w:rPr>
          <w:rFonts w:ascii="Arial" w:hAnsi="Arial" w:cs="Arial"/>
          <w:b/>
          <w:i/>
          <w:color w:val="877A67"/>
          <w:sz w:val="20"/>
          <w:szCs w:val="24"/>
        </w:rPr>
        <w:t>5</w:t>
      </w:r>
      <w:r>
        <w:rPr>
          <w:rFonts w:ascii="Arial" w:hAnsi="Arial" w:cs="Arial"/>
          <w:b/>
          <w:i/>
          <w:color w:val="877A67"/>
          <w:sz w:val="20"/>
          <w:szCs w:val="24"/>
        </w:rPr>
        <w:t>. D</w:t>
      </w:r>
      <w:r w:rsidRPr="00B435DB">
        <w:rPr>
          <w:rFonts w:ascii="Arial" w:hAnsi="Arial" w:cs="Arial"/>
          <w:b/>
          <w:i/>
          <w:color w:val="877A67"/>
          <w:sz w:val="20"/>
          <w:szCs w:val="24"/>
        </w:rPr>
        <w:t>eterminaciones y/o</w:t>
      </w:r>
      <w:r>
        <w:rPr>
          <w:rFonts w:ascii="Arial" w:hAnsi="Arial" w:cs="Arial"/>
          <w:b/>
          <w:i/>
          <w:color w:val="877A67"/>
          <w:sz w:val="20"/>
          <w:szCs w:val="24"/>
        </w:rPr>
        <w:t xml:space="preserve"> </w:t>
      </w:r>
      <w:r w:rsidRPr="00B435DB">
        <w:rPr>
          <w:rFonts w:ascii="Arial" w:hAnsi="Arial" w:cs="Arial"/>
          <w:b/>
          <w:i/>
          <w:color w:val="877A67"/>
          <w:sz w:val="20"/>
          <w:szCs w:val="24"/>
        </w:rPr>
        <w:t>conclusiones efectuadas en las carpetas de</w:t>
      </w:r>
      <w:r>
        <w:rPr>
          <w:rFonts w:ascii="Arial" w:hAnsi="Arial" w:cs="Arial"/>
          <w:b/>
          <w:i/>
          <w:color w:val="877A67"/>
          <w:sz w:val="20"/>
          <w:szCs w:val="24"/>
        </w:rPr>
        <w:t xml:space="preserve"> </w:t>
      </w:r>
      <w:r w:rsidRPr="00B435DB">
        <w:rPr>
          <w:rFonts w:ascii="Arial" w:hAnsi="Arial" w:cs="Arial"/>
          <w:b/>
          <w:i/>
          <w:color w:val="877A67"/>
          <w:sz w:val="20"/>
          <w:szCs w:val="24"/>
        </w:rPr>
        <w:t>investigación en la etapa de investigación</w:t>
      </w:r>
      <w:r>
        <w:rPr>
          <w:rFonts w:ascii="Arial" w:hAnsi="Arial" w:cs="Arial"/>
          <w:b/>
          <w:i/>
          <w:color w:val="877A67"/>
          <w:sz w:val="20"/>
          <w:szCs w:val="24"/>
        </w:rPr>
        <w:t xml:space="preserve"> </w:t>
      </w:r>
      <w:r w:rsidRPr="00B435DB">
        <w:rPr>
          <w:rFonts w:ascii="Arial" w:hAnsi="Arial" w:cs="Arial"/>
          <w:b/>
          <w:i/>
          <w:color w:val="877A67"/>
          <w:sz w:val="20"/>
          <w:szCs w:val="24"/>
        </w:rPr>
        <w:t>inicial, según tipo, 2019</w:t>
      </w:r>
      <w:r>
        <w:rPr>
          <w:rFonts w:ascii="Arial" w:hAnsi="Arial" w:cs="Arial"/>
          <w:b/>
          <w:i/>
          <w:color w:val="877A67"/>
          <w:sz w:val="20"/>
          <w:szCs w:val="24"/>
        </w:rPr>
        <w:t xml:space="preserve"> a 2020</w:t>
      </w:r>
    </w:p>
    <w:p w14:paraId="1E70D5AB" w14:textId="39533508" w:rsidR="00B435DB" w:rsidRDefault="00B435DB" w:rsidP="00B435DB">
      <w:pPr>
        <w:autoSpaceDE w:val="0"/>
        <w:autoSpaceDN w:val="0"/>
        <w:adjustRightInd w:val="0"/>
        <w:spacing w:after="0" w:line="240" w:lineRule="auto"/>
        <w:ind w:left="-567"/>
        <w:jc w:val="center"/>
        <w:rPr>
          <w:rFonts w:ascii="Arial" w:hAnsi="Arial" w:cs="Arial"/>
          <w:color w:val="000000"/>
          <w:sz w:val="24"/>
          <w:szCs w:val="24"/>
        </w:rPr>
      </w:pPr>
      <w:r w:rsidRPr="00B435DB">
        <w:rPr>
          <w:rFonts w:ascii="Arial" w:hAnsi="Arial" w:cs="Arial"/>
          <w:noProof/>
          <w:color w:val="000000"/>
          <w:sz w:val="24"/>
          <w:szCs w:val="24"/>
        </w:rPr>
        <w:drawing>
          <wp:inline distT="0" distB="0" distL="0" distR="0" wp14:anchorId="7F4A756D" wp14:editId="50D5CC6C">
            <wp:extent cx="6055360" cy="2825087"/>
            <wp:effectExtent l="0" t="0" r="2540" b="0"/>
            <wp:docPr id="25" name="Gráfico 25">
              <a:extLst xmlns:a="http://schemas.openxmlformats.org/drawingml/2006/main">
                <a:ext uri="{FF2B5EF4-FFF2-40B4-BE49-F238E27FC236}">
                  <a16:creationId xmlns:a16="http://schemas.microsoft.com/office/drawing/2014/main" id="{50BD515B-DBE0-4AED-A553-934179F70C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82649A0" w14:textId="763F91A8" w:rsidR="00B80539" w:rsidRDefault="00B80539" w:rsidP="00B435DB">
      <w:pPr>
        <w:autoSpaceDE w:val="0"/>
        <w:autoSpaceDN w:val="0"/>
        <w:adjustRightInd w:val="0"/>
        <w:spacing w:after="0" w:line="240" w:lineRule="auto"/>
        <w:ind w:left="-567"/>
        <w:jc w:val="center"/>
        <w:rPr>
          <w:rFonts w:ascii="Arial" w:hAnsi="Arial" w:cs="Arial"/>
          <w:color w:val="000000"/>
          <w:sz w:val="24"/>
          <w:szCs w:val="24"/>
        </w:rPr>
      </w:pPr>
      <w:r w:rsidRPr="00E067B8">
        <w:rPr>
          <w:rFonts w:ascii="Arial" w:hAnsi="Arial" w:cs="Arial"/>
          <w:color w:val="000000"/>
          <w:sz w:val="16"/>
          <w:szCs w:val="24"/>
        </w:rPr>
        <w:t>Nota:</w:t>
      </w:r>
      <w:r w:rsidR="00E067B8" w:rsidRPr="00E067B8">
        <w:rPr>
          <w:rFonts w:ascii="Arial" w:hAnsi="Arial" w:cs="Arial"/>
          <w:color w:val="000000"/>
          <w:sz w:val="16"/>
          <w:szCs w:val="24"/>
        </w:rPr>
        <w:t xml:space="preserve"> no se grafica la categoría No especificado que en 2019 registró 265 determinaciones y/o conclusiones, mientras que en 2020 la cifra fue de 136</w:t>
      </w:r>
      <w:r w:rsidR="00E067B8">
        <w:rPr>
          <w:rFonts w:ascii="Arial" w:hAnsi="Arial" w:cs="Arial"/>
          <w:color w:val="000000"/>
          <w:sz w:val="24"/>
          <w:szCs w:val="24"/>
        </w:rPr>
        <w:t xml:space="preserve">. </w:t>
      </w:r>
    </w:p>
    <w:p w14:paraId="086C22BB" w14:textId="77777777" w:rsidR="00836AB8" w:rsidRDefault="00836AB8" w:rsidP="00E067B8">
      <w:pPr>
        <w:spacing w:after="0"/>
        <w:ind w:left="-567"/>
        <w:jc w:val="both"/>
        <w:rPr>
          <w:rFonts w:ascii="Arial" w:hAnsi="Arial" w:cs="Arial"/>
          <w:color w:val="000000"/>
          <w:sz w:val="24"/>
          <w:szCs w:val="24"/>
        </w:rPr>
      </w:pPr>
    </w:p>
    <w:p w14:paraId="6E26D238" w14:textId="77777777" w:rsidR="00BB65FC" w:rsidRDefault="00BB65FC" w:rsidP="00E067B8">
      <w:pPr>
        <w:spacing w:after="0"/>
        <w:ind w:left="-567"/>
        <w:jc w:val="both"/>
        <w:rPr>
          <w:rFonts w:ascii="Arial" w:hAnsi="Arial" w:cs="Arial"/>
          <w:color w:val="000000"/>
          <w:sz w:val="24"/>
          <w:szCs w:val="24"/>
        </w:rPr>
      </w:pPr>
    </w:p>
    <w:p w14:paraId="2260AE97" w14:textId="753E3291" w:rsidR="00836AB8" w:rsidRDefault="00E067B8" w:rsidP="00E067B8">
      <w:pPr>
        <w:spacing w:after="0"/>
        <w:ind w:left="-567"/>
        <w:jc w:val="both"/>
        <w:rPr>
          <w:rFonts w:ascii="Arial" w:hAnsi="Arial" w:cs="Arial"/>
          <w:color w:val="000000"/>
          <w:sz w:val="24"/>
          <w:szCs w:val="24"/>
        </w:rPr>
      </w:pPr>
      <w:r w:rsidRPr="00E067B8">
        <w:rPr>
          <w:rFonts w:ascii="Arial" w:hAnsi="Arial" w:cs="Arial"/>
          <w:color w:val="000000"/>
          <w:sz w:val="24"/>
          <w:szCs w:val="24"/>
        </w:rPr>
        <w:t>Respecto de las determinaciones y/o conclusiones efectuadas en las carpetas de</w:t>
      </w:r>
      <w:r>
        <w:rPr>
          <w:rFonts w:ascii="Arial" w:hAnsi="Arial" w:cs="Arial"/>
          <w:color w:val="000000"/>
          <w:sz w:val="24"/>
          <w:szCs w:val="24"/>
        </w:rPr>
        <w:t xml:space="preserve"> </w:t>
      </w:r>
      <w:r w:rsidRPr="00E067B8">
        <w:rPr>
          <w:rFonts w:ascii="Arial" w:hAnsi="Arial" w:cs="Arial"/>
          <w:color w:val="000000"/>
          <w:sz w:val="24"/>
          <w:szCs w:val="24"/>
        </w:rPr>
        <w:t>investigación en la etapa de investigación complementaria, a nivel nacional se reportaron</w:t>
      </w:r>
      <w:r>
        <w:rPr>
          <w:rFonts w:ascii="Arial" w:hAnsi="Arial" w:cs="Arial"/>
          <w:color w:val="000000"/>
          <w:sz w:val="24"/>
          <w:szCs w:val="24"/>
        </w:rPr>
        <w:t xml:space="preserve"> </w:t>
      </w:r>
    </w:p>
    <w:p w14:paraId="001F5E5D" w14:textId="4C6D17F5" w:rsidR="00CC1264" w:rsidRDefault="00836AB8" w:rsidP="00E067B8">
      <w:pPr>
        <w:spacing w:after="0"/>
        <w:ind w:left="-567"/>
        <w:jc w:val="both"/>
        <w:rPr>
          <w:rFonts w:ascii="Arial" w:hAnsi="Arial" w:cs="Arial"/>
          <w:color w:val="000000"/>
          <w:sz w:val="24"/>
          <w:szCs w:val="24"/>
        </w:rPr>
      </w:pPr>
      <w:r w:rsidRPr="00836AB8">
        <w:rPr>
          <w:rFonts w:ascii="Arial" w:hAnsi="Arial" w:cs="Arial"/>
          <w:color w:val="000000"/>
          <w:sz w:val="24"/>
          <w:szCs w:val="24"/>
        </w:rPr>
        <w:t>111</w:t>
      </w:r>
      <w:r>
        <w:rPr>
          <w:rFonts w:ascii="Arial" w:hAnsi="Arial" w:cs="Arial"/>
          <w:color w:val="000000"/>
          <w:sz w:val="24"/>
          <w:szCs w:val="24"/>
        </w:rPr>
        <w:t xml:space="preserve"> </w:t>
      </w:r>
      <w:r w:rsidRPr="00836AB8">
        <w:rPr>
          <w:rFonts w:ascii="Arial" w:hAnsi="Arial" w:cs="Arial"/>
          <w:color w:val="000000"/>
          <w:sz w:val="24"/>
          <w:szCs w:val="24"/>
        </w:rPr>
        <w:t>843</w:t>
      </w:r>
      <w:r w:rsidR="00E66988">
        <w:rPr>
          <w:rFonts w:ascii="Arial" w:hAnsi="Arial" w:cs="Arial"/>
          <w:color w:val="000000"/>
          <w:sz w:val="24"/>
          <w:szCs w:val="24"/>
        </w:rPr>
        <w:t xml:space="preserve"> en 2020</w:t>
      </w:r>
      <w:r w:rsidR="00590467">
        <w:rPr>
          <w:rFonts w:ascii="Arial" w:hAnsi="Arial" w:cs="Arial"/>
          <w:color w:val="000000"/>
          <w:sz w:val="24"/>
          <w:szCs w:val="24"/>
        </w:rPr>
        <w:t>.</w:t>
      </w:r>
      <w:r w:rsidR="00E067B8" w:rsidRPr="00E067B8">
        <w:rPr>
          <w:rFonts w:ascii="Arial" w:hAnsi="Arial" w:cs="Arial"/>
          <w:color w:val="000000"/>
          <w:sz w:val="24"/>
          <w:szCs w:val="24"/>
        </w:rPr>
        <w:t xml:space="preserve"> </w:t>
      </w:r>
      <w:r w:rsidR="00590467">
        <w:rPr>
          <w:rFonts w:ascii="Arial" w:hAnsi="Arial" w:cs="Arial"/>
          <w:color w:val="000000"/>
          <w:sz w:val="24"/>
          <w:szCs w:val="24"/>
        </w:rPr>
        <w:t>E</w:t>
      </w:r>
      <w:r>
        <w:rPr>
          <w:rFonts w:ascii="Arial" w:hAnsi="Arial" w:cs="Arial"/>
          <w:color w:val="000000"/>
          <w:sz w:val="24"/>
          <w:szCs w:val="24"/>
        </w:rPr>
        <w:t>sta cifra representó una disminución de 3.6% con respecto a lo registrado en 2019</w:t>
      </w:r>
      <w:r w:rsidR="003927EB">
        <w:rPr>
          <w:rStyle w:val="Refdenotaalpie"/>
          <w:rFonts w:ascii="Arial" w:hAnsi="Arial" w:cs="Arial"/>
          <w:color w:val="000000"/>
          <w:sz w:val="24"/>
          <w:szCs w:val="24"/>
        </w:rPr>
        <w:footnoteReference w:id="15"/>
      </w:r>
      <w:r>
        <w:rPr>
          <w:rFonts w:ascii="Arial" w:hAnsi="Arial" w:cs="Arial"/>
          <w:color w:val="000000"/>
          <w:sz w:val="24"/>
          <w:szCs w:val="24"/>
        </w:rPr>
        <w:t xml:space="preserve">. Del total nacional, 38.3% correspondió a </w:t>
      </w:r>
      <w:r w:rsidR="003927EB" w:rsidRPr="003927EB">
        <w:rPr>
          <w:rFonts w:ascii="Arial" w:hAnsi="Arial" w:cs="Arial"/>
          <w:i/>
          <w:color w:val="000000"/>
          <w:sz w:val="24"/>
          <w:szCs w:val="24"/>
        </w:rPr>
        <w:t>Formulación de la acusación</w:t>
      </w:r>
      <w:r w:rsidR="003927EB">
        <w:rPr>
          <w:rFonts w:ascii="Arial" w:hAnsi="Arial" w:cs="Arial"/>
          <w:color w:val="000000"/>
          <w:sz w:val="24"/>
          <w:szCs w:val="24"/>
        </w:rPr>
        <w:t>.</w:t>
      </w:r>
    </w:p>
    <w:p w14:paraId="698157C1" w14:textId="22107F00" w:rsidR="006D1E34" w:rsidRDefault="006D1E34" w:rsidP="00E067B8">
      <w:pPr>
        <w:spacing w:after="0"/>
        <w:ind w:left="-567"/>
        <w:jc w:val="both"/>
        <w:rPr>
          <w:rFonts w:ascii="Arial" w:hAnsi="Arial" w:cs="Arial"/>
          <w:color w:val="000000"/>
          <w:sz w:val="24"/>
          <w:szCs w:val="24"/>
        </w:rPr>
      </w:pPr>
    </w:p>
    <w:p w14:paraId="6DE4EE73" w14:textId="029CAE9D" w:rsidR="006D1E34" w:rsidRDefault="006D1E34" w:rsidP="00E067B8">
      <w:pPr>
        <w:spacing w:after="0"/>
        <w:ind w:left="-567"/>
        <w:jc w:val="both"/>
        <w:rPr>
          <w:rFonts w:ascii="Arial" w:hAnsi="Arial" w:cs="Arial"/>
          <w:color w:val="000000"/>
          <w:sz w:val="24"/>
          <w:szCs w:val="24"/>
        </w:rPr>
      </w:pPr>
    </w:p>
    <w:p w14:paraId="4FE361D3" w14:textId="612CBC9C" w:rsidR="006D1E34" w:rsidRDefault="006D1E34" w:rsidP="00E067B8">
      <w:pPr>
        <w:spacing w:after="0"/>
        <w:ind w:left="-567"/>
        <w:jc w:val="both"/>
        <w:rPr>
          <w:rFonts w:ascii="Arial" w:hAnsi="Arial" w:cs="Arial"/>
          <w:color w:val="000000"/>
          <w:sz w:val="24"/>
          <w:szCs w:val="24"/>
        </w:rPr>
      </w:pPr>
    </w:p>
    <w:p w14:paraId="0C4C9F2A" w14:textId="7282D6B6" w:rsidR="006D1E34" w:rsidRDefault="006D1E34" w:rsidP="00E067B8">
      <w:pPr>
        <w:spacing w:after="0"/>
        <w:ind w:left="-567"/>
        <w:jc w:val="both"/>
        <w:rPr>
          <w:rFonts w:ascii="Arial" w:hAnsi="Arial" w:cs="Arial"/>
          <w:color w:val="000000"/>
          <w:sz w:val="24"/>
          <w:szCs w:val="24"/>
        </w:rPr>
      </w:pPr>
    </w:p>
    <w:p w14:paraId="2073F6C2" w14:textId="1BCE4705" w:rsidR="006D1E34" w:rsidRDefault="006D1E34" w:rsidP="00E067B8">
      <w:pPr>
        <w:spacing w:after="0"/>
        <w:ind w:left="-567"/>
        <w:jc w:val="both"/>
        <w:rPr>
          <w:rFonts w:ascii="Arial" w:hAnsi="Arial" w:cs="Arial"/>
          <w:color w:val="000000"/>
          <w:sz w:val="24"/>
          <w:szCs w:val="24"/>
        </w:rPr>
      </w:pPr>
    </w:p>
    <w:p w14:paraId="53875CC9" w14:textId="0AFF8049" w:rsidR="006D1E34" w:rsidRDefault="006D1E34" w:rsidP="00E067B8">
      <w:pPr>
        <w:spacing w:after="0"/>
        <w:ind w:left="-567"/>
        <w:jc w:val="both"/>
        <w:rPr>
          <w:rFonts w:ascii="Arial" w:hAnsi="Arial" w:cs="Arial"/>
          <w:color w:val="000000"/>
          <w:sz w:val="24"/>
          <w:szCs w:val="24"/>
        </w:rPr>
      </w:pPr>
    </w:p>
    <w:p w14:paraId="06E92E44" w14:textId="3AA08D97" w:rsidR="006D1E34" w:rsidRDefault="006D1E34" w:rsidP="00E067B8">
      <w:pPr>
        <w:spacing w:after="0"/>
        <w:ind w:left="-567"/>
        <w:jc w:val="both"/>
        <w:rPr>
          <w:rFonts w:ascii="Arial" w:hAnsi="Arial" w:cs="Arial"/>
          <w:color w:val="000000"/>
          <w:sz w:val="24"/>
          <w:szCs w:val="24"/>
        </w:rPr>
      </w:pPr>
    </w:p>
    <w:p w14:paraId="3C64BE1C" w14:textId="7FDE135B" w:rsidR="006D1E34" w:rsidRDefault="006D1E34" w:rsidP="00E067B8">
      <w:pPr>
        <w:spacing w:after="0"/>
        <w:ind w:left="-567"/>
        <w:jc w:val="both"/>
        <w:rPr>
          <w:rFonts w:ascii="Arial" w:hAnsi="Arial" w:cs="Arial"/>
          <w:color w:val="000000"/>
          <w:sz w:val="24"/>
          <w:szCs w:val="24"/>
        </w:rPr>
      </w:pPr>
    </w:p>
    <w:p w14:paraId="05998C70" w14:textId="6EAD5A42" w:rsidR="006D1E34" w:rsidRDefault="006D1E34" w:rsidP="00E067B8">
      <w:pPr>
        <w:spacing w:after="0"/>
        <w:ind w:left="-567"/>
        <w:jc w:val="both"/>
        <w:rPr>
          <w:rFonts w:ascii="Arial" w:hAnsi="Arial" w:cs="Arial"/>
          <w:color w:val="000000"/>
          <w:sz w:val="24"/>
          <w:szCs w:val="24"/>
        </w:rPr>
      </w:pPr>
    </w:p>
    <w:p w14:paraId="3471C80B" w14:textId="77777777" w:rsidR="000530BE" w:rsidRDefault="000530BE" w:rsidP="00373071">
      <w:pPr>
        <w:spacing w:after="0"/>
        <w:ind w:left="-567"/>
        <w:jc w:val="center"/>
        <w:rPr>
          <w:rFonts w:ascii="Arial" w:hAnsi="Arial" w:cs="Arial"/>
          <w:b/>
          <w:i/>
          <w:color w:val="877A67"/>
          <w:sz w:val="20"/>
          <w:szCs w:val="24"/>
        </w:rPr>
      </w:pPr>
    </w:p>
    <w:p w14:paraId="250EBB7D" w14:textId="77777777" w:rsidR="001E56FC" w:rsidRDefault="001E56FC" w:rsidP="00373071">
      <w:pPr>
        <w:spacing w:after="0"/>
        <w:ind w:left="-567"/>
        <w:jc w:val="center"/>
        <w:rPr>
          <w:rFonts w:ascii="Arial" w:hAnsi="Arial" w:cs="Arial"/>
          <w:b/>
          <w:i/>
          <w:color w:val="877A67"/>
          <w:sz w:val="20"/>
          <w:szCs w:val="24"/>
        </w:rPr>
      </w:pPr>
    </w:p>
    <w:p w14:paraId="0B8B513C" w14:textId="40A2150F" w:rsidR="00B804B2" w:rsidRDefault="00836AB8" w:rsidP="00373071">
      <w:pPr>
        <w:spacing w:after="0"/>
        <w:ind w:left="-567"/>
        <w:jc w:val="center"/>
        <w:rPr>
          <w:rFonts w:ascii="Arial" w:hAnsi="Arial" w:cs="Arial"/>
          <w:b/>
          <w:i/>
          <w:color w:val="877A67"/>
          <w:sz w:val="20"/>
          <w:szCs w:val="24"/>
        </w:rPr>
      </w:pPr>
      <w:r>
        <w:rPr>
          <w:rFonts w:ascii="Arial" w:hAnsi="Arial" w:cs="Arial"/>
          <w:b/>
          <w:i/>
          <w:color w:val="877A67"/>
          <w:sz w:val="20"/>
          <w:szCs w:val="24"/>
        </w:rPr>
        <w:t>G</w:t>
      </w:r>
      <w:r w:rsidRPr="00E151A9">
        <w:rPr>
          <w:rFonts w:ascii="Arial" w:hAnsi="Arial" w:cs="Arial"/>
          <w:b/>
          <w:i/>
          <w:color w:val="877A67"/>
          <w:sz w:val="20"/>
          <w:szCs w:val="24"/>
        </w:rPr>
        <w:t xml:space="preserve">ráfica </w:t>
      </w:r>
      <w:r>
        <w:rPr>
          <w:rFonts w:ascii="Arial" w:hAnsi="Arial" w:cs="Arial"/>
          <w:b/>
          <w:i/>
          <w:color w:val="877A67"/>
          <w:sz w:val="20"/>
          <w:szCs w:val="24"/>
        </w:rPr>
        <w:t>2</w:t>
      </w:r>
      <w:r w:rsidR="00DA20EE">
        <w:rPr>
          <w:rFonts w:ascii="Arial" w:hAnsi="Arial" w:cs="Arial"/>
          <w:b/>
          <w:i/>
          <w:color w:val="877A67"/>
          <w:sz w:val="20"/>
          <w:szCs w:val="24"/>
        </w:rPr>
        <w:t>6</w:t>
      </w:r>
      <w:r>
        <w:rPr>
          <w:rFonts w:ascii="Arial" w:hAnsi="Arial" w:cs="Arial"/>
          <w:b/>
          <w:i/>
          <w:color w:val="877A67"/>
          <w:sz w:val="20"/>
          <w:szCs w:val="24"/>
        </w:rPr>
        <w:t>. D</w:t>
      </w:r>
      <w:r w:rsidRPr="00B435DB">
        <w:rPr>
          <w:rFonts w:ascii="Arial" w:hAnsi="Arial" w:cs="Arial"/>
          <w:b/>
          <w:i/>
          <w:color w:val="877A67"/>
          <w:sz w:val="20"/>
          <w:szCs w:val="24"/>
        </w:rPr>
        <w:t>eterminaciones y/o</w:t>
      </w:r>
      <w:r>
        <w:rPr>
          <w:rFonts w:ascii="Arial" w:hAnsi="Arial" w:cs="Arial"/>
          <w:b/>
          <w:i/>
          <w:color w:val="877A67"/>
          <w:sz w:val="20"/>
          <w:szCs w:val="24"/>
        </w:rPr>
        <w:t xml:space="preserve"> </w:t>
      </w:r>
      <w:r w:rsidRPr="00B435DB">
        <w:rPr>
          <w:rFonts w:ascii="Arial" w:hAnsi="Arial" w:cs="Arial"/>
          <w:b/>
          <w:i/>
          <w:color w:val="877A67"/>
          <w:sz w:val="20"/>
          <w:szCs w:val="24"/>
        </w:rPr>
        <w:t>conclusiones efectuadas en las carpetas de</w:t>
      </w:r>
      <w:r>
        <w:rPr>
          <w:rFonts w:ascii="Arial" w:hAnsi="Arial" w:cs="Arial"/>
          <w:b/>
          <w:i/>
          <w:color w:val="877A67"/>
          <w:sz w:val="20"/>
          <w:szCs w:val="24"/>
        </w:rPr>
        <w:t xml:space="preserve"> </w:t>
      </w:r>
      <w:r w:rsidRPr="00B435DB">
        <w:rPr>
          <w:rFonts w:ascii="Arial" w:hAnsi="Arial" w:cs="Arial"/>
          <w:b/>
          <w:i/>
          <w:color w:val="877A67"/>
          <w:sz w:val="20"/>
          <w:szCs w:val="24"/>
        </w:rPr>
        <w:t>investigación en la etapa de investigación</w:t>
      </w:r>
      <w:r>
        <w:rPr>
          <w:rFonts w:ascii="Arial" w:hAnsi="Arial" w:cs="Arial"/>
          <w:b/>
          <w:i/>
          <w:color w:val="877A67"/>
          <w:sz w:val="20"/>
          <w:szCs w:val="24"/>
        </w:rPr>
        <w:t xml:space="preserve"> </w:t>
      </w:r>
      <w:r w:rsidR="009925CA">
        <w:rPr>
          <w:rFonts w:ascii="Arial" w:hAnsi="Arial" w:cs="Arial"/>
          <w:b/>
          <w:i/>
          <w:color w:val="877A67"/>
          <w:sz w:val="20"/>
          <w:szCs w:val="24"/>
        </w:rPr>
        <w:t>complementaria</w:t>
      </w:r>
      <w:r w:rsidRPr="00B435DB">
        <w:rPr>
          <w:rFonts w:ascii="Arial" w:hAnsi="Arial" w:cs="Arial"/>
          <w:b/>
          <w:i/>
          <w:color w:val="877A67"/>
          <w:sz w:val="20"/>
          <w:szCs w:val="24"/>
        </w:rPr>
        <w:t>, según tipo, 2019</w:t>
      </w:r>
      <w:r>
        <w:rPr>
          <w:rFonts w:ascii="Arial" w:hAnsi="Arial" w:cs="Arial"/>
          <w:b/>
          <w:i/>
          <w:color w:val="877A67"/>
          <w:sz w:val="20"/>
          <w:szCs w:val="24"/>
        </w:rPr>
        <w:t xml:space="preserve"> a</w:t>
      </w:r>
      <w:r w:rsidR="003C6D4C">
        <w:rPr>
          <w:rFonts w:ascii="Arial" w:hAnsi="Arial" w:cs="Arial"/>
          <w:b/>
          <w:i/>
          <w:color w:val="877A67"/>
          <w:sz w:val="20"/>
          <w:szCs w:val="24"/>
        </w:rPr>
        <w:t xml:space="preserve"> 2020</w:t>
      </w:r>
    </w:p>
    <w:p w14:paraId="031E9F18" w14:textId="77777777" w:rsidR="00373071" w:rsidRDefault="00373071" w:rsidP="00373071">
      <w:pPr>
        <w:spacing w:after="0"/>
        <w:ind w:left="-567"/>
        <w:jc w:val="center"/>
        <w:rPr>
          <w:rFonts w:ascii="Arial" w:hAnsi="Arial" w:cs="Arial"/>
          <w:b/>
          <w:bCs/>
          <w:iCs/>
          <w:noProof/>
          <w:sz w:val="24"/>
          <w:szCs w:val="24"/>
          <w:lang w:eastAsia="es-MX"/>
        </w:rPr>
      </w:pPr>
    </w:p>
    <w:p w14:paraId="05DE248D" w14:textId="2E77FBE0" w:rsidR="00B804B2" w:rsidRDefault="00B804B2" w:rsidP="00E067B8">
      <w:pPr>
        <w:spacing w:after="0"/>
        <w:ind w:left="-567"/>
        <w:jc w:val="both"/>
        <w:rPr>
          <w:rFonts w:ascii="Arial" w:hAnsi="Arial" w:cs="Arial"/>
          <w:b/>
          <w:bCs/>
          <w:iCs/>
          <w:noProof/>
          <w:sz w:val="24"/>
          <w:szCs w:val="24"/>
          <w:lang w:eastAsia="es-MX"/>
        </w:rPr>
      </w:pPr>
      <w:r w:rsidRPr="00B804B2">
        <w:rPr>
          <w:rFonts w:ascii="Arial" w:hAnsi="Arial" w:cs="Arial"/>
          <w:b/>
          <w:bCs/>
          <w:iCs/>
          <w:noProof/>
          <w:sz w:val="24"/>
          <w:szCs w:val="24"/>
          <w:lang w:eastAsia="es-MX"/>
        </w:rPr>
        <w:drawing>
          <wp:inline distT="0" distB="0" distL="0" distR="0" wp14:anchorId="0D40B6D7" wp14:editId="4AA2700F">
            <wp:extent cx="6219190" cy="2409825"/>
            <wp:effectExtent l="0" t="0" r="0" b="0"/>
            <wp:docPr id="26" name="Gráfico 26">
              <a:extLst xmlns:a="http://schemas.openxmlformats.org/drawingml/2006/main">
                <a:ext uri="{FF2B5EF4-FFF2-40B4-BE49-F238E27FC236}">
                  <a16:creationId xmlns:a16="http://schemas.microsoft.com/office/drawing/2014/main" id="{03821889-6EF1-4454-A3F3-8DDD122F49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DB1CB2A" w14:textId="77777777" w:rsidR="00836AB8" w:rsidRDefault="00836AB8" w:rsidP="00836AB8">
      <w:pPr>
        <w:spacing w:after="0"/>
        <w:ind w:left="-567"/>
        <w:jc w:val="center"/>
        <w:rPr>
          <w:rFonts w:ascii="Arial" w:hAnsi="Arial" w:cs="Arial"/>
          <w:color w:val="000000"/>
          <w:sz w:val="16"/>
          <w:szCs w:val="24"/>
        </w:rPr>
      </w:pPr>
    </w:p>
    <w:p w14:paraId="4C069DBC" w14:textId="2094208F" w:rsidR="00836AB8" w:rsidRDefault="00836AB8" w:rsidP="00836AB8">
      <w:pPr>
        <w:spacing w:after="0"/>
        <w:ind w:left="-567"/>
        <w:jc w:val="center"/>
        <w:rPr>
          <w:rFonts w:ascii="Arial" w:hAnsi="Arial" w:cs="Arial"/>
          <w:b/>
          <w:bCs/>
          <w:iCs/>
          <w:noProof/>
          <w:sz w:val="24"/>
          <w:szCs w:val="24"/>
          <w:lang w:eastAsia="es-MX"/>
        </w:rPr>
      </w:pPr>
      <w:r w:rsidRPr="00E067B8">
        <w:rPr>
          <w:rFonts w:ascii="Arial" w:hAnsi="Arial" w:cs="Arial"/>
          <w:color w:val="000000"/>
          <w:sz w:val="16"/>
          <w:szCs w:val="24"/>
        </w:rPr>
        <w:t>Nota: no se grafica la categoría No especificado qu</w:t>
      </w:r>
      <w:r>
        <w:rPr>
          <w:rFonts w:ascii="Arial" w:hAnsi="Arial" w:cs="Arial"/>
          <w:color w:val="000000"/>
          <w:sz w:val="16"/>
          <w:szCs w:val="24"/>
        </w:rPr>
        <w:t>e en 2020 registró 27 d</w:t>
      </w:r>
      <w:r w:rsidRPr="00836AB8">
        <w:rPr>
          <w:rFonts w:ascii="Arial" w:hAnsi="Arial" w:cs="Arial"/>
          <w:color w:val="000000"/>
          <w:sz w:val="16"/>
          <w:szCs w:val="24"/>
        </w:rPr>
        <w:t>eterminaciones y/o conclusiones</w:t>
      </w:r>
      <w:r>
        <w:rPr>
          <w:rFonts w:ascii="Arial" w:hAnsi="Arial" w:cs="Arial"/>
          <w:color w:val="000000"/>
          <w:sz w:val="16"/>
          <w:szCs w:val="24"/>
        </w:rPr>
        <w:t>.</w:t>
      </w:r>
    </w:p>
    <w:p w14:paraId="4D39E4E8" w14:textId="3F111D63" w:rsidR="0058253D" w:rsidRDefault="0058253D" w:rsidP="005F182A">
      <w:pPr>
        <w:spacing w:after="0"/>
        <w:rPr>
          <w:rFonts w:ascii="Arial" w:hAnsi="Arial" w:cs="Arial"/>
          <w:b/>
          <w:bCs/>
          <w:iCs/>
          <w:noProof/>
          <w:sz w:val="24"/>
          <w:szCs w:val="24"/>
          <w:lang w:eastAsia="es-MX"/>
        </w:rPr>
      </w:pPr>
    </w:p>
    <w:p w14:paraId="73E50418" w14:textId="77777777" w:rsidR="00D47302" w:rsidRDefault="00D47302" w:rsidP="00300973">
      <w:pPr>
        <w:spacing w:after="0"/>
        <w:ind w:left="-567"/>
        <w:rPr>
          <w:rFonts w:ascii="Arial" w:hAnsi="Arial" w:cs="Arial"/>
          <w:b/>
          <w:bCs/>
          <w:iCs/>
          <w:noProof/>
          <w:sz w:val="24"/>
          <w:szCs w:val="24"/>
          <w:lang w:eastAsia="es-MX"/>
        </w:rPr>
      </w:pPr>
    </w:p>
    <w:p w14:paraId="0AFE2564" w14:textId="3FCE9989" w:rsidR="0058253D" w:rsidRDefault="000530BE" w:rsidP="00300973">
      <w:pPr>
        <w:spacing w:after="0"/>
        <w:ind w:left="-567"/>
        <w:rPr>
          <w:rFonts w:ascii="Arial" w:hAnsi="Arial" w:cs="Arial"/>
          <w:b/>
          <w:bCs/>
          <w:iCs/>
          <w:noProof/>
          <w:sz w:val="24"/>
          <w:szCs w:val="24"/>
          <w:lang w:eastAsia="es-MX"/>
        </w:rPr>
      </w:pPr>
      <w:r w:rsidRPr="000530BE">
        <w:rPr>
          <w:rFonts w:ascii="Arial" w:hAnsi="Arial" w:cs="Arial"/>
          <w:b/>
          <w:bCs/>
          <w:iCs/>
          <w:noProof/>
          <w:sz w:val="24"/>
          <w:szCs w:val="24"/>
          <w:lang w:eastAsia="es-MX"/>
        </w:rPr>
        <w:t>Aseguramientos</w:t>
      </w:r>
    </w:p>
    <w:p w14:paraId="32733637" w14:textId="77777777" w:rsidR="000530BE" w:rsidRDefault="000530BE" w:rsidP="00300973">
      <w:pPr>
        <w:spacing w:after="0"/>
        <w:ind w:left="-567"/>
        <w:rPr>
          <w:rFonts w:ascii="Arial" w:hAnsi="Arial" w:cs="Arial"/>
          <w:b/>
          <w:bCs/>
          <w:iCs/>
          <w:noProof/>
          <w:sz w:val="24"/>
          <w:szCs w:val="24"/>
          <w:lang w:eastAsia="es-MX"/>
        </w:rPr>
      </w:pPr>
    </w:p>
    <w:p w14:paraId="1C7D811F" w14:textId="16690E5E" w:rsidR="000530BE" w:rsidRDefault="000530BE" w:rsidP="000530BE">
      <w:pPr>
        <w:spacing w:after="0"/>
        <w:ind w:left="-567"/>
        <w:jc w:val="both"/>
        <w:rPr>
          <w:rFonts w:ascii="Arial" w:hAnsi="Arial" w:cs="Arial"/>
          <w:iCs/>
          <w:noProof/>
          <w:sz w:val="24"/>
          <w:szCs w:val="24"/>
          <w:lang w:eastAsia="es-MX"/>
        </w:rPr>
      </w:pPr>
      <w:r w:rsidRPr="007E07E3">
        <w:rPr>
          <w:rFonts w:ascii="Arial" w:hAnsi="Arial" w:cs="Arial"/>
          <w:iCs/>
          <w:noProof/>
          <w:sz w:val="24"/>
          <w:szCs w:val="24"/>
          <w:lang w:eastAsia="es-MX"/>
        </w:rPr>
        <w:t>En 2020, las Procuradurías o Fiscalías Generales de Justicia</w:t>
      </w:r>
      <w:r w:rsidR="00D47302">
        <w:rPr>
          <w:rFonts w:ascii="Arial" w:hAnsi="Arial" w:cs="Arial"/>
          <w:iCs/>
          <w:noProof/>
          <w:sz w:val="24"/>
          <w:szCs w:val="24"/>
          <w:lang w:eastAsia="es-MX"/>
        </w:rPr>
        <w:t xml:space="preserve"> estatales</w:t>
      </w:r>
      <w:r w:rsidRPr="007E07E3">
        <w:rPr>
          <w:rFonts w:ascii="Arial" w:hAnsi="Arial" w:cs="Arial"/>
          <w:iCs/>
          <w:noProof/>
          <w:sz w:val="24"/>
          <w:szCs w:val="24"/>
          <w:lang w:eastAsia="es-MX"/>
        </w:rPr>
        <w:t xml:space="preserve"> aseguraron 8 700 armas de fuego, 5 289 (60.8%) eran cortas y 1 992 (22.9%) largas</w:t>
      </w:r>
      <w:r>
        <w:rPr>
          <w:rStyle w:val="Refdenotaalpie"/>
          <w:rFonts w:ascii="Arial" w:hAnsi="Arial" w:cs="Arial"/>
          <w:iCs/>
          <w:noProof/>
          <w:sz w:val="24"/>
          <w:szCs w:val="24"/>
          <w:lang w:eastAsia="es-MX"/>
        </w:rPr>
        <w:footnoteReference w:id="16"/>
      </w:r>
      <w:r w:rsidRPr="007E07E3">
        <w:rPr>
          <w:rFonts w:ascii="Arial" w:hAnsi="Arial" w:cs="Arial"/>
          <w:iCs/>
          <w:noProof/>
          <w:sz w:val="24"/>
          <w:szCs w:val="24"/>
          <w:lang w:eastAsia="es-MX"/>
        </w:rPr>
        <w:t>. En contraste con lo reportado en 2019, las armas largas aumentaron 9.0%, mientras que las cortas disminuyeron 1.5 por ciento.</w:t>
      </w:r>
    </w:p>
    <w:p w14:paraId="197664E5" w14:textId="77777777" w:rsidR="001E56FC" w:rsidRDefault="001E56FC" w:rsidP="001E56FC">
      <w:pPr>
        <w:spacing w:after="0"/>
        <w:ind w:left="-567"/>
        <w:jc w:val="center"/>
        <w:rPr>
          <w:rFonts w:ascii="Arial" w:hAnsi="Arial" w:cs="Arial"/>
          <w:b/>
          <w:i/>
          <w:color w:val="877A67"/>
          <w:sz w:val="20"/>
          <w:szCs w:val="24"/>
        </w:rPr>
      </w:pPr>
    </w:p>
    <w:p w14:paraId="1AC2DAD4" w14:textId="646E85D8" w:rsidR="001E56FC" w:rsidRDefault="001E56FC" w:rsidP="001E56FC">
      <w:pPr>
        <w:spacing w:after="0"/>
        <w:ind w:left="-567"/>
        <w:jc w:val="center"/>
        <w:rPr>
          <w:rFonts w:ascii="Arial" w:hAnsi="Arial" w:cs="Arial"/>
          <w:b/>
          <w:i/>
          <w:color w:val="877A67"/>
          <w:sz w:val="20"/>
          <w:szCs w:val="24"/>
        </w:rPr>
      </w:pPr>
      <w:r>
        <w:rPr>
          <w:rFonts w:ascii="Arial" w:hAnsi="Arial" w:cs="Arial"/>
          <w:b/>
          <w:i/>
          <w:color w:val="877A67"/>
          <w:sz w:val="20"/>
          <w:szCs w:val="24"/>
        </w:rPr>
        <w:t xml:space="preserve">Gráfica 27. </w:t>
      </w:r>
      <w:r w:rsidRPr="007E07E3">
        <w:rPr>
          <w:rFonts w:ascii="Arial" w:hAnsi="Arial" w:cs="Arial"/>
          <w:b/>
          <w:i/>
          <w:color w:val="877A67"/>
          <w:sz w:val="20"/>
          <w:szCs w:val="24"/>
        </w:rPr>
        <w:t xml:space="preserve">Armas </w:t>
      </w:r>
      <w:r w:rsidR="00317A66">
        <w:rPr>
          <w:rFonts w:ascii="Arial" w:hAnsi="Arial" w:cs="Arial"/>
          <w:b/>
          <w:i/>
          <w:color w:val="877A67"/>
          <w:sz w:val="20"/>
          <w:szCs w:val="24"/>
        </w:rPr>
        <w:t xml:space="preserve">de fuego </w:t>
      </w:r>
      <w:r w:rsidRPr="007E07E3">
        <w:rPr>
          <w:rFonts w:ascii="Arial" w:hAnsi="Arial" w:cs="Arial"/>
          <w:b/>
          <w:i/>
          <w:color w:val="877A67"/>
          <w:sz w:val="20"/>
          <w:szCs w:val="24"/>
        </w:rPr>
        <w:t>aseguradas por las Procuradurías o Fiscalías Generales de Justicia</w:t>
      </w:r>
      <w:r w:rsidR="00D47302">
        <w:rPr>
          <w:rFonts w:ascii="Arial" w:hAnsi="Arial" w:cs="Arial"/>
          <w:b/>
          <w:i/>
          <w:color w:val="877A67"/>
          <w:sz w:val="20"/>
          <w:szCs w:val="24"/>
        </w:rPr>
        <w:t xml:space="preserve"> estatales</w:t>
      </w:r>
      <w:r w:rsidRPr="007E07E3">
        <w:rPr>
          <w:rFonts w:ascii="Arial" w:hAnsi="Arial" w:cs="Arial"/>
          <w:b/>
          <w:i/>
          <w:color w:val="877A67"/>
          <w:sz w:val="20"/>
          <w:szCs w:val="24"/>
        </w:rPr>
        <w:t>, por tipo, 2019 a 2020</w:t>
      </w:r>
    </w:p>
    <w:p w14:paraId="542C0231" w14:textId="375CEBF1" w:rsidR="001E56FC" w:rsidRPr="007E07E3" w:rsidRDefault="001E56FC" w:rsidP="001E56FC">
      <w:pPr>
        <w:spacing w:after="0"/>
        <w:ind w:left="-567"/>
        <w:jc w:val="center"/>
        <w:rPr>
          <w:rFonts w:ascii="Arial" w:hAnsi="Arial" w:cs="Arial"/>
          <w:b/>
          <w:i/>
          <w:color w:val="877A67"/>
          <w:sz w:val="20"/>
          <w:szCs w:val="24"/>
        </w:rPr>
      </w:pPr>
      <w:r w:rsidRPr="007E07E3">
        <w:rPr>
          <w:rFonts w:ascii="Arial" w:hAnsi="Arial" w:cs="Arial"/>
          <w:iCs/>
          <w:noProof/>
          <w:sz w:val="24"/>
          <w:szCs w:val="24"/>
          <w:lang w:eastAsia="es-MX"/>
        </w:rPr>
        <w:drawing>
          <wp:inline distT="0" distB="0" distL="0" distR="0" wp14:anchorId="02D443BD" wp14:editId="2BA3A949">
            <wp:extent cx="4864100" cy="1847850"/>
            <wp:effectExtent l="0" t="0" r="0" b="0"/>
            <wp:docPr id="9" name="Gráfico 9">
              <a:extLst xmlns:a="http://schemas.openxmlformats.org/drawingml/2006/main">
                <a:ext uri="{FF2B5EF4-FFF2-40B4-BE49-F238E27FC236}">
                  <a16:creationId xmlns:a16="http://schemas.microsoft.com/office/drawing/2014/main" id="{2033DD55-1086-431E-BF1F-11678A83DE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A3A3D91" w14:textId="77777777" w:rsidR="001E56FC" w:rsidRDefault="001E56FC" w:rsidP="000530BE">
      <w:pPr>
        <w:spacing w:after="0"/>
        <w:ind w:left="-567"/>
        <w:jc w:val="both"/>
        <w:rPr>
          <w:rFonts w:ascii="Arial" w:hAnsi="Arial" w:cs="Arial"/>
          <w:iCs/>
          <w:noProof/>
          <w:sz w:val="24"/>
          <w:szCs w:val="24"/>
          <w:lang w:eastAsia="es-MX"/>
        </w:rPr>
      </w:pPr>
    </w:p>
    <w:p w14:paraId="6B7CF203" w14:textId="77777777" w:rsidR="001E56FC" w:rsidRDefault="001E56FC" w:rsidP="001E56FC">
      <w:pPr>
        <w:spacing w:after="0"/>
        <w:ind w:left="-567"/>
        <w:jc w:val="both"/>
        <w:rPr>
          <w:rFonts w:ascii="Arial" w:hAnsi="Arial" w:cs="Arial"/>
          <w:iCs/>
          <w:noProof/>
          <w:sz w:val="24"/>
          <w:szCs w:val="24"/>
          <w:lang w:eastAsia="es-MX"/>
        </w:rPr>
      </w:pPr>
    </w:p>
    <w:p w14:paraId="7291CDD3" w14:textId="77777777" w:rsidR="00D47302" w:rsidRDefault="00D47302" w:rsidP="001E56FC">
      <w:pPr>
        <w:spacing w:after="0"/>
        <w:ind w:left="-567"/>
        <w:jc w:val="both"/>
        <w:rPr>
          <w:rFonts w:ascii="Arial" w:hAnsi="Arial" w:cs="Arial"/>
          <w:iCs/>
          <w:noProof/>
          <w:sz w:val="24"/>
          <w:szCs w:val="24"/>
          <w:lang w:eastAsia="es-MX"/>
        </w:rPr>
      </w:pPr>
    </w:p>
    <w:p w14:paraId="249EAA69" w14:textId="77777777" w:rsidR="00D47302" w:rsidRDefault="00D47302" w:rsidP="001E56FC">
      <w:pPr>
        <w:spacing w:after="0"/>
        <w:ind w:left="-567"/>
        <w:jc w:val="both"/>
        <w:rPr>
          <w:rFonts w:ascii="Arial" w:hAnsi="Arial" w:cs="Arial"/>
          <w:iCs/>
          <w:noProof/>
          <w:sz w:val="24"/>
          <w:szCs w:val="24"/>
          <w:lang w:eastAsia="es-MX"/>
        </w:rPr>
      </w:pPr>
    </w:p>
    <w:p w14:paraId="48C3B24A" w14:textId="5E9210E3" w:rsidR="001E56FC" w:rsidRDefault="001E56FC" w:rsidP="001E56FC">
      <w:pPr>
        <w:spacing w:after="0"/>
        <w:ind w:left="-567"/>
        <w:jc w:val="both"/>
        <w:rPr>
          <w:rFonts w:ascii="Arial" w:hAnsi="Arial" w:cs="Arial"/>
          <w:iCs/>
          <w:noProof/>
          <w:sz w:val="24"/>
          <w:szCs w:val="24"/>
          <w:lang w:eastAsia="es-MX"/>
        </w:rPr>
      </w:pPr>
      <w:r>
        <w:rPr>
          <w:rFonts w:ascii="Arial" w:hAnsi="Arial" w:cs="Arial"/>
          <w:iCs/>
          <w:noProof/>
          <w:sz w:val="24"/>
          <w:szCs w:val="24"/>
          <w:lang w:eastAsia="es-MX"/>
        </w:rPr>
        <w:t>Destacan Guanajuato, estado de México y Nuevo León al concentrar</w:t>
      </w:r>
      <w:r w:rsidRPr="007E07E3">
        <w:rPr>
          <w:rFonts w:ascii="Arial" w:hAnsi="Arial" w:cs="Arial"/>
          <w:iCs/>
          <w:noProof/>
          <w:sz w:val="24"/>
          <w:szCs w:val="24"/>
          <w:lang w:eastAsia="es-MX"/>
        </w:rPr>
        <w:t xml:space="preserve"> la mayor cantidad de armas de fuego aseguradas</w:t>
      </w:r>
      <w:r>
        <w:rPr>
          <w:rFonts w:ascii="Arial" w:hAnsi="Arial" w:cs="Arial"/>
          <w:iCs/>
          <w:noProof/>
          <w:sz w:val="24"/>
          <w:szCs w:val="24"/>
          <w:lang w:eastAsia="es-MX"/>
        </w:rPr>
        <w:t>, con 50.3</w:t>
      </w:r>
      <w:r w:rsidRPr="007E07E3">
        <w:rPr>
          <w:rFonts w:ascii="Arial" w:hAnsi="Arial" w:cs="Arial"/>
          <w:iCs/>
          <w:noProof/>
          <w:sz w:val="24"/>
          <w:szCs w:val="24"/>
          <w:lang w:eastAsia="es-MX"/>
        </w:rPr>
        <w:t>% del total nacional.</w:t>
      </w:r>
    </w:p>
    <w:p w14:paraId="30EBEBF9" w14:textId="77777777" w:rsidR="001E56FC" w:rsidRDefault="001E56FC" w:rsidP="001E56FC">
      <w:pPr>
        <w:spacing w:after="0"/>
        <w:ind w:left="-567"/>
        <w:jc w:val="center"/>
        <w:rPr>
          <w:rFonts w:ascii="Arial" w:hAnsi="Arial" w:cs="Arial"/>
          <w:b/>
          <w:i/>
          <w:color w:val="877A67"/>
          <w:sz w:val="20"/>
          <w:szCs w:val="24"/>
        </w:rPr>
      </w:pPr>
    </w:p>
    <w:p w14:paraId="68A5D4B2" w14:textId="3A5F0C62" w:rsidR="001E56FC" w:rsidRDefault="001E56FC" w:rsidP="001E56FC">
      <w:pPr>
        <w:spacing w:after="0"/>
        <w:ind w:left="-567"/>
        <w:jc w:val="center"/>
        <w:rPr>
          <w:rFonts w:ascii="Arial" w:hAnsi="Arial" w:cs="Arial"/>
          <w:b/>
          <w:i/>
          <w:color w:val="877A67"/>
          <w:sz w:val="20"/>
          <w:szCs w:val="24"/>
        </w:rPr>
      </w:pPr>
      <w:r>
        <w:rPr>
          <w:rFonts w:ascii="Arial" w:hAnsi="Arial" w:cs="Arial"/>
          <w:b/>
          <w:i/>
          <w:color w:val="877A67"/>
          <w:sz w:val="20"/>
          <w:szCs w:val="24"/>
        </w:rPr>
        <w:t xml:space="preserve">Mapa 7. </w:t>
      </w:r>
      <w:r w:rsidRPr="007E07E3">
        <w:rPr>
          <w:rFonts w:ascii="Arial" w:hAnsi="Arial" w:cs="Arial"/>
          <w:b/>
          <w:i/>
          <w:color w:val="877A67"/>
          <w:sz w:val="20"/>
          <w:szCs w:val="24"/>
        </w:rPr>
        <w:t>Armas</w:t>
      </w:r>
      <w:r w:rsidR="00317A66">
        <w:rPr>
          <w:rFonts w:ascii="Arial" w:hAnsi="Arial" w:cs="Arial"/>
          <w:b/>
          <w:i/>
          <w:color w:val="877A67"/>
          <w:sz w:val="20"/>
          <w:szCs w:val="24"/>
        </w:rPr>
        <w:t xml:space="preserve"> de fuego</w:t>
      </w:r>
      <w:r w:rsidRPr="007E07E3">
        <w:rPr>
          <w:rFonts w:ascii="Arial" w:hAnsi="Arial" w:cs="Arial"/>
          <w:b/>
          <w:i/>
          <w:color w:val="877A67"/>
          <w:sz w:val="20"/>
          <w:szCs w:val="24"/>
        </w:rPr>
        <w:t xml:space="preserve"> aseguradas por las Procuradurías o Fiscalías Generales de Justicia</w:t>
      </w:r>
      <w:r w:rsidR="00D47302">
        <w:rPr>
          <w:rFonts w:ascii="Arial" w:hAnsi="Arial" w:cs="Arial"/>
          <w:b/>
          <w:i/>
          <w:color w:val="877A67"/>
          <w:sz w:val="20"/>
          <w:szCs w:val="24"/>
        </w:rPr>
        <w:t xml:space="preserve"> estatales</w:t>
      </w:r>
      <w:r w:rsidRPr="007E07E3">
        <w:rPr>
          <w:rFonts w:ascii="Arial" w:hAnsi="Arial" w:cs="Arial"/>
          <w:b/>
          <w:i/>
          <w:color w:val="877A67"/>
          <w:sz w:val="20"/>
          <w:szCs w:val="24"/>
        </w:rPr>
        <w:t xml:space="preserve">, </w:t>
      </w:r>
    </w:p>
    <w:p w14:paraId="3CDDA81A" w14:textId="4807DBDB" w:rsidR="001E56FC" w:rsidRDefault="001E56FC" w:rsidP="001E56FC">
      <w:pPr>
        <w:spacing w:after="0"/>
        <w:ind w:left="-567"/>
        <w:jc w:val="center"/>
        <w:rPr>
          <w:rFonts w:ascii="Arial" w:hAnsi="Arial" w:cs="Arial"/>
          <w:b/>
          <w:i/>
          <w:color w:val="877A67"/>
          <w:sz w:val="20"/>
          <w:szCs w:val="24"/>
        </w:rPr>
      </w:pPr>
      <w:r w:rsidRPr="007E07E3">
        <w:rPr>
          <w:rFonts w:ascii="Arial" w:hAnsi="Arial" w:cs="Arial"/>
          <w:b/>
          <w:i/>
          <w:color w:val="877A67"/>
          <w:sz w:val="20"/>
          <w:szCs w:val="24"/>
        </w:rPr>
        <w:t xml:space="preserve">por </w:t>
      </w:r>
      <w:r>
        <w:rPr>
          <w:rFonts w:ascii="Arial" w:hAnsi="Arial" w:cs="Arial"/>
          <w:b/>
          <w:i/>
          <w:color w:val="877A67"/>
          <w:sz w:val="20"/>
          <w:szCs w:val="24"/>
        </w:rPr>
        <w:t>entidad federativa, 2020</w:t>
      </w:r>
      <w:r w:rsidRPr="007E07E3">
        <w:rPr>
          <w:rFonts w:ascii="Arial" w:hAnsi="Arial" w:cs="Arial"/>
          <w:b/>
          <w:i/>
          <w:color w:val="877A67"/>
          <w:sz w:val="20"/>
          <w:szCs w:val="24"/>
        </w:rPr>
        <w:t xml:space="preserve"> </w:t>
      </w:r>
    </w:p>
    <w:p w14:paraId="708A299D" w14:textId="7F6B60B2" w:rsidR="001E56FC" w:rsidRDefault="001E56FC" w:rsidP="001E56FC">
      <w:pPr>
        <w:spacing w:after="0"/>
        <w:ind w:left="-567"/>
        <w:jc w:val="center"/>
        <w:rPr>
          <w:rFonts w:ascii="Arial" w:hAnsi="Arial" w:cs="Arial"/>
          <w:b/>
          <w:i/>
          <w:color w:val="877A67"/>
          <w:sz w:val="20"/>
          <w:szCs w:val="24"/>
        </w:rPr>
      </w:pPr>
      <w:r>
        <w:rPr>
          <w:rFonts w:ascii="Arial" w:hAnsi="Arial" w:cs="Arial"/>
          <w:iCs/>
          <w:noProof/>
          <w:sz w:val="24"/>
          <w:szCs w:val="24"/>
          <w:lang w:eastAsia="es-MX"/>
        </w:rPr>
        <w:drawing>
          <wp:inline distT="0" distB="0" distL="0" distR="0" wp14:anchorId="556985D2" wp14:editId="6A93AFED">
            <wp:extent cx="5518150" cy="327988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21153" cy="3281669"/>
                    </a:xfrm>
                    <a:prstGeom prst="rect">
                      <a:avLst/>
                    </a:prstGeom>
                    <a:noFill/>
                  </pic:spPr>
                </pic:pic>
              </a:graphicData>
            </a:graphic>
          </wp:inline>
        </w:drawing>
      </w:r>
    </w:p>
    <w:p w14:paraId="5EB88A7D" w14:textId="77777777" w:rsidR="001E56FC" w:rsidRDefault="001E56FC" w:rsidP="001E56FC">
      <w:pPr>
        <w:spacing w:after="0"/>
        <w:ind w:left="-567"/>
        <w:jc w:val="both"/>
        <w:rPr>
          <w:rFonts w:ascii="Arial" w:hAnsi="Arial" w:cs="Arial"/>
          <w:iCs/>
          <w:noProof/>
          <w:sz w:val="24"/>
          <w:szCs w:val="24"/>
          <w:lang w:eastAsia="es-MX"/>
        </w:rPr>
      </w:pPr>
    </w:p>
    <w:p w14:paraId="1C3F9618" w14:textId="77777777" w:rsidR="001E56FC" w:rsidRDefault="001E56FC" w:rsidP="001E56FC">
      <w:pPr>
        <w:spacing w:after="0"/>
        <w:ind w:left="-567"/>
        <w:jc w:val="both"/>
        <w:rPr>
          <w:rFonts w:ascii="Arial" w:hAnsi="Arial" w:cs="Arial"/>
          <w:iCs/>
          <w:noProof/>
          <w:sz w:val="24"/>
          <w:szCs w:val="24"/>
          <w:lang w:eastAsia="es-MX"/>
        </w:rPr>
      </w:pPr>
    </w:p>
    <w:p w14:paraId="691D21DB" w14:textId="77777777" w:rsidR="001E56FC" w:rsidRDefault="001E56FC" w:rsidP="001E56FC">
      <w:pPr>
        <w:spacing w:after="0"/>
        <w:ind w:left="-567"/>
        <w:jc w:val="both"/>
        <w:rPr>
          <w:rFonts w:ascii="Arial" w:hAnsi="Arial" w:cs="Arial"/>
          <w:iCs/>
          <w:noProof/>
          <w:sz w:val="24"/>
          <w:szCs w:val="24"/>
          <w:lang w:eastAsia="es-MX"/>
        </w:rPr>
      </w:pPr>
    </w:p>
    <w:p w14:paraId="68FF7BCD" w14:textId="77777777" w:rsidR="00D47302" w:rsidRDefault="00D47302" w:rsidP="00866184">
      <w:pPr>
        <w:spacing w:after="0"/>
        <w:ind w:left="-567"/>
        <w:jc w:val="both"/>
        <w:rPr>
          <w:rFonts w:ascii="Arial" w:hAnsi="Arial" w:cs="Arial"/>
          <w:iCs/>
          <w:noProof/>
          <w:sz w:val="24"/>
          <w:szCs w:val="24"/>
          <w:lang w:eastAsia="es-MX"/>
        </w:rPr>
      </w:pPr>
    </w:p>
    <w:p w14:paraId="46191F0F" w14:textId="77777777" w:rsidR="00D47302" w:rsidRDefault="00D47302" w:rsidP="00866184">
      <w:pPr>
        <w:spacing w:after="0"/>
        <w:ind w:left="-567"/>
        <w:jc w:val="both"/>
        <w:rPr>
          <w:rFonts w:ascii="Arial" w:hAnsi="Arial" w:cs="Arial"/>
          <w:iCs/>
          <w:noProof/>
          <w:sz w:val="24"/>
          <w:szCs w:val="24"/>
          <w:lang w:eastAsia="es-MX"/>
        </w:rPr>
      </w:pPr>
    </w:p>
    <w:p w14:paraId="668CB608" w14:textId="77777777" w:rsidR="00D47302" w:rsidRDefault="00D47302" w:rsidP="00866184">
      <w:pPr>
        <w:spacing w:after="0"/>
        <w:ind w:left="-567"/>
        <w:jc w:val="both"/>
        <w:rPr>
          <w:rFonts w:ascii="Arial" w:hAnsi="Arial" w:cs="Arial"/>
          <w:iCs/>
          <w:noProof/>
          <w:sz w:val="24"/>
          <w:szCs w:val="24"/>
          <w:lang w:eastAsia="es-MX"/>
        </w:rPr>
      </w:pPr>
    </w:p>
    <w:p w14:paraId="398DC8E6" w14:textId="77777777" w:rsidR="00D47302" w:rsidRDefault="00D47302" w:rsidP="00866184">
      <w:pPr>
        <w:spacing w:after="0"/>
        <w:ind w:left="-567"/>
        <w:jc w:val="both"/>
        <w:rPr>
          <w:rFonts w:ascii="Arial" w:hAnsi="Arial" w:cs="Arial"/>
          <w:iCs/>
          <w:noProof/>
          <w:sz w:val="24"/>
          <w:szCs w:val="24"/>
          <w:lang w:eastAsia="es-MX"/>
        </w:rPr>
      </w:pPr>
    </w:p>
    <w:p w14:paraId="161E6B6F" w14:textId="77777777" w:rsidR="00D47302" w:rsidRDefault="00D47302" w:rsidP="00866184">
      <w:pPr>
        <w:spacing w:after="0"/>
        <w:ind w:left="-567"/>
        <w:jc w:val="both"/>
        <w:rPr>
          <w:rFonts w:ascii="Arial" w:hAnsi="Arial" w:cs="Arial"/>
          <w:iCs/>
          <w:noProof/>
          <w:sz w:val="24"/>
          <w:szCs w:val="24"/>
          <w:lang w:eastAsia="es-MX"/>
        </w:rPr>
      </w:pPr>
    </w:p>
    <w:p w14:paraId="7B62FF53" w14:textId="77777777" w:rsidR="00D47302" w:rsidRDefault="00D47302" w:rsidP="00866184">
      <w:pPr>
        <w:spacing w:after="0"/>
        <w:ind w:left="-567"/>
        <w:jc w:val="both"/>
        <w:rPr>
          <w:rFonts w:ascii="Arial" w:hAnsi="Arial" w:cs="Arial"/>
          <w:iCs/>
          <w:noProof/>
          <w:sz w:val="24"/>
          <w:szCs w:val="24"/>
          <w:lang w:eastAsia="es-MX"/>
        </w:rPr>
      </w:pPr>
    </w:p>
    <w:p w14:paraId="728AD514" w14:textId="77777777" w:rsidR="00D47302" w:rsidRDefault="00D47302" w:rsidP="00866184">
      <w:pPr>
        <w:spacing w:after="0"/>
        <w:ind w:left="-567"/>
        <w:jc w:val="both"/>
        <w:rPr>
          <w:rFonts w:ascii="Arial" w:hAnsi="Arial" w:cs="Arial"/>
          <w:iCs/>
          <w:noProof/>
          <w:sz w:val="24"/>
          <w:szCs w:val="24"/>
          <w:lang w:eastAsia="es-MX"/>
        </w:rPr>
      </w:pPr>
    </w:p>
    <w:p w14:paraId="26A668F7" w14:textId="77777777" w:rsidR="00D47302" w:rsidRDefault="00D47302" w:rsidP="00866184">
      <w:pPr>
        <w:spacing w:after="0"/>
        <w:ind w:left="-567"/>
        <w:jc w:val="both"/>
        <w:rPr>
          <w:rFonts w:ascii="Arial" w:hAnsi="Arial" w:cs="Arial"/>
          <w:iCs/>
          <w:noProof/>
          <w:sz w:val="24"/>
          <w:szCs w:val="24"/>
          <w:lang w:eastAsia="es-MX"/>
        </w:rPr>
      </w:pPr>
    </w:p>
    <w:p w14:paraId="2A13F68A" w14:textId="77777777" w:rsidR="00D47302" w:rsidRDefault="00D47302" w:rsidP="00866184">
      <w:pPr>
        <w:spacing w:after="0"/>
        <w:ind w:left="-567"/>
        <w:jc w:val="both"/>
        <w:rPr>
          <w:rFonts w:ascii="Arial" w:hAnsi="Arial" w:cs="Arial"/>
          <w:iCs/>
          <w:noProof/>
          <w:sz w:val="24"/>
          <w:szCs w:val="24"/>
          <w:lang w:eastAsia="es-MX"/>
        </w:rPr>
      </w:pPr>
    </w:p>
    <w:p w14:paraId="3C2267C4" w14:textId="77777777" w:rsidR="00D47302" w:rsidRDefault="00D47302" w:rsidP="00866184">
      <w:pPr>
        <w:spacing w:after="0"/>
        <w:ind w:left="-567"/>
        <w:jc w:val="both"/>
        <w:rPr>
          <w:rFonts w:ascii="Arial" w:hAnsi="Arial" w:cs="Arial"/>
          <w:iCs/>
          <w:noProof/>
          <w:sz w:val="24"/>
          <w:szCs w:val="24"/>
          <w:lang w:eastAsia="es-MX"/>
        </w:rPr>
      </w:pPr>
    </w:p>
    <w:p w14:paraId="323CBEF0" w14:textId="77777777" w:rsidR="00D47302" w:rsidRDefault="00D47302" w:rsidP="00866184">
      <w:pPr>
        <w:spacing w:after="0"/>
        <w:ind w:left="-567"/>
        <w:jc w:val="both"/>
        <w:rPr>
          <w:rFonts w:ascii="Arial" w:hAnsi="Arial" w:cs="Arial"/>
          <w:iCs/>
          <w:noProof/>
          <w:sz w:val="24"/>
          <w:szCs w:val="24"/>
          <w:lang w:eastAsia="es-MX"/>
        </w:rPr>
      </w:pPr>
    </w:p>
    <w:p w14:paraId="46BE599A" w14:textId="77777777" w:rsidR="00D47302" w:rsidRDefault="00D47302" w:rsidP="00866184">
      <w:pPr>
        <w:spacing w:after="0"/>
        <w:ind w:left="-567"/>
        <w:jc w:val="both"/>
        <w:rPr>
          <w:rFonts w:ascii="Arial" w:hAnsi="Arial" w:cs="Arial"/>
          <w:iCs/>
          <w:noProof/>
          <w:sz w:val="24"/>
          <w:szCs w:val="24"/>
          <w:lang w:eastAsia="es-MX"/>
        </w:rPr>
      </w:pPr>
    </w:p>
    <w:p w14:paraId="4857F621" w14:textId="77777777" w:rsidR="00D47302" w:rsidRDefault="00D47302" w:rsidP="00866184">
      <w:pPr>
        <w:spacing w:after="0"/>
        <w:ind w:left="-567"/>
        <w:jc w:val="both"/>
        <w:rPr>
          <w:rFonts w:ascii="Arial" w:hAnsi="Arial" w:cs="Arial"/>
          <w:iCs/>
          <w:noProof/>
          <w:sz w:val="24"/>
          <w:szCs w:val="24"/>
          <w:lang w:eastAsia="es-MX"/>
        </w:rPr>
      </w:pPr>
    </w:p>
    <w:p w14:paraId="5BEC61C4" w14:textId="77777777" w:rsidR="00D47302" w:rsidRDefault="00D47302" w:rsidP="00866184">
      <w:pPr>
        <w:spacing w:after="0"/>
        <w:ind w:left="-567"/>
        <w:jc w:val="both"/>
        <w:rPr>
          <w:rFonts w:ascii="Arial" w:hAnsi="Arial" w:cs="Arial"/>
          <w:iCs/>
          <w:noProof/>
          <w:sz w:val="24"/>
          <w:szCs w:val="24"/>
          <w:lang w:eastAsia="es-MX"/>
        </w:rPr>
      </w:pPr>
    </w:p>
    <w:p w14:paraId="4D49D315" w14:textId="77777777" w:rsidR="00D47302" w:rsidRDefault="00D47302" w:rsidP="00866184">
      <w:pPr>
        <w:spacing w:after="0"/>
        <w:ind w:left="-567"/>
        <w:jc w:val="both"/>
        <w:rPr>
          <w:rFonts w:ascii="Arial" w:hAnsi="Arial" w:cs="Arial"/>
          <w:iCs/>
          <w:noProof/>
          <w:sz w:val="24"/>
          <w:szCs w:val="24"/>
          <w:lang w:eastAsia="es-MX"/>
        </w:rPr>
      </w:pPr>
    </w:p>
    <w:p w14:paraId="6B9A65DE" w14:textId="77777777" w:rsidR="00D47302" w:rsidRDefault="00D47302" w:rsidP="00866184">
      <w:pPr>
        <w:spacing w:after="0"/>
        <w:ind w:left="-567"/>
        <w:jc w:val="both"/>
        <w:rPr>
          <w:rFonts w:ascii="Arial" w:hAnsi="Arial" w:cs="Arial"/>
          <w:iCs/>
          <w:noProof/>
          <w:sz w:val="24"/>
          <w:szCs w:val="24"/>
          <w:lang w:eastAsia="es-MX"/>
        </w:rPr>
      </w:pPr>
    </w:p>
    <w:p w14:paraId="24E5772C" w14:textId="2433A053" w:rsidR="001E56FC" w:rsidRDefault="001E56FC" w:rsidP="00866184">
      <w:pPr>
        <w:spacing w:after="0"/>
        <w:ind w:left="-567"/>
        <w:jc w:val="both"/>
        <w:rPr>
          <w:rFonts w:ascii="Arial" w:hAnsi="Arial" w:cs="Arial"/>
          <w:iCs/>
          <w:noProof/>
          <w:sz w:val="24"/>
          <w:szCs w:val="24"/>
          <w:lang w:eastAsia="es-MX"/>
        </w:rPr>
      </w:pPr>
      <w:r w:rsidRPr="00756B55">
        <w:rPr>
          <w:rFonts w:ascii="Arial" w:hAnsi="Arial" w:cs="Arial"/>
          <w:iCs/>
          <w:noProof/>
          <w:sz w:val="24"/>
          <w:szCs w:val="24"/>
          <w:lang w:eastAsia="es-MX"/>
        </w:rPr>
        <w:lastRenderedPageBreak/>
        <w:t xml:space="preserve">En cuanto al aseguramiento de narcóticos, los principales fueron </w:t>
      </w:r>
      <w:r w:rsidR="00866184" w:rsidRPr="00866184">
        <w:rPr>
          <w:rFonts w:ascii="Arial" w:hAnsi="Arial" w:cs="Arial"/>
          <w:iCs/>
          <w:noProof/>
          <w:sz w:val="24"/>
          <w:szCs w:val="24"/>
          <w:lang w:eastAsia="es-MX"/>
        </w:rPr>
        <w:t>MDA</w:t>
      </w:r>
      <w:r w:rsidR="00023057">
        <w:rPr>
          <w:rFonts w:ascii="Arial" w:hAnsi="Arial" w:cs="Arial"/>
          <w:iCs/>
          <w:noProof/>
          <w:sz w:val="24"/>
          <w:szCs w:val="24"/>
          <w:lang w:eastAsia="es-MX"/>
        </w:rPr>
        <w:t xml:space="preserve">, </w:t>
      </w:r>
      <w:r w:rsidR="00866184" w:rsidRPr="00866184">
        <w:rPr>
          <w:rFonts w:ascii="Arial" w:hAnsi="Arial" w:cs="Arial"/>
          <w:iCs/>
          <w:noProof/>
          <w:sz w:val="24"/>
          <w:szCs w:val="24"/>
          <w:lang w:eastAsia="es-MX"/>
        </w:rPr>
        <w:t>Metilendioxianfetamina</w:t>
      </w:r>
      <w:r w:rsidR="00023057">
        <w:rPr>
          <w:rFonts w:ascii="Arial" w:hAnsi="Arial" w:cs="Arial"/>
          <w:iCs/>
          <w:noProof/>
          <w:sz w:val="24"/>
          <w:szCs w:val="24"/>
          <w:lang w:eastAsia="es-MX"/>
        </w:rPr>
        <w:t xml:space="preserve"> y la a</w:t>
      </w:r>
      <w:r w:rsidR="00023057" w:rsidRPr="00023057">
        <w:rPr>
          <w:rFonts w:ascii="Arial" w:hAnsi="Arial" w:cs="Arial"/>
          <w:iCs/>
          <w:noProof/>
          <w:sz w:val="24"/>
          <w:szCs w:val="24"/>
          <w:lang w:eastAsia="es-MX"/>
        </w:rPr>
        <w:t>mapola adormidera</w:t>
      </w:r>
      <w:r w:rsidR="00023057">
        <w:rPr>
          <w:rFonts w:ascii="Arial" w:hAnsi="Arial" w:cs="Arial"/>
          <w:iCs/>
          <w:noProof/>
          <w:sz w:val="24"/>
          <w:szCs w:val="24"/>
          <w:lang w:eastAsia="es-MX"/>
        </w:rPr>
        <w:t>.</w:t>
      </w:r>
    </w:p>
    <w:p w14:paraId="6BDEB59B" w14:textId="59E9DD8A" w:rsidR="001E56FC" w:rsidRDefault="001E56FC" w:rsidP="001E56FC">
      <w:pPr>
        <w:spacing w:after="0"/>
        <w:ind w:left="-567"/>
        <w:jc w:val="both"/>
        <w:rPr>
          <w:rFonts w:ascii="Arial" w:hAnsi="Arial" w:cs="Arial"/>
          <w:iCs/>
          <w:noProof/>
          <w:sz w:val="24"/>
          <w:szCs w:val="24"/>
          <w:lang w:eastAsia="es-MX"/>
        </w:rPr>
      </w:pPr>
    </w:p>
    <w:p w14:paraId="3E2A2474" w14:textId="7E4F0527" w:rsidR="001E56FC" w:rsidRDefault="00B01E02" w:rsidP="001E56FC">
      <w:pPr>
        <w:autoSpaceDE w:val="0"/>
        <w:autoSpaceDN w:val="0"/>
        <w:adjustRightInd w:val="0"/>
        <w:spacing w:after="0" w:line="240" w:lineRule="auto"/>
        <w:ind w:left="-567"/>
        <w:jc w:val="center"/>
        <w:rPr>
          <w:rFonts w:ascii="Arial" w:hAnsi="Arial" w:cs="Arial"/>
          <w:b/>
          <w:i/>
          <w:color w:val="877A67"/>
          <w:sz w:val="20"/>
          <w:szCs w:val="24"/>
        </w:rPr>
      </w:pPr>
      <w:r>
        <w:rPr>
          <w:rFonts w:ascii="Arial" w:hAnsi="Arial" w:cs="Arial"/>
          <w:b/>
          <w:i/>
          <w:color w:val="877A67"/>
          <w:sz w:val="20"/>
          <w:szCs w:val="24"/>
        </w:rPr>
        <w:t xml:space="preserve">Cuadro </w:t>
      </w:r>
      <w:r w:rsidR="001E56FC">
        <w:rPr>
          <w:rFonts w:ascii="Arial" w:hAnsi="Arial" w:cs="Arial"/>
          <w:b/>
          <w:i/>
          <w:color w:val="877A67"/>
          <w:sz w:val="20"/>
          <w:szCs w:val="24"/>
        </w:rPr>
        <w:t xml:space="preserve">2. </w:t>
      </w:r>
      <w:r w:rsidR="001E56FC" w:rsidRPr="001E56FC">
        <w:rPr>
          <w:rFonts w:ascii="Arial" w:hAnsi="Arial" w:cs="Arial"/>
          <w:b/>
          <w:i/>
          <w:color w:val="877A67"/>
          <w:sz w:val="20"/>
          <w:szCs w:val="24"/>
        </w:rPr>
        <w:t>Volumen de narcóticos asegurados por</w:t>
      </w:r>
      <w:r w:rsidR="001E56FC">
        <w:rPr>
          <w:rFonts w:ascii="Arial" w:hAnsi="Arial" w:cs="Arial"/>
          <w:b/>
          <w:i/>
          <w:color w:val="877A67"/>
          <w:sz w:val="20"/>
          <w:szCs w:val="24"/>
        </w:rPr>
        <w:t xml:space="preserve"> </w:t>
      </w:r>
      <w:r w:rsidR="001E56FC" w:rsidRPr="001E56FC">
        <w:rPr>
          <w:rFonts w:ascii="Arial" w:hAnsi="Arial" w:cs="Arial"/>
          <w:b/>
          <w:i/>
          <w:color w:val="877A67"/>
          <w:sz w:val="20"/>
          <w:szCs w:val="24"/>
        </w:rPr>
        <w:t>las Procuradurías o Fiscalías Generales de Justicia</w:t>
      </w:r>
      <w:r w:rsidR="00D47302">
        <w:rPr>
          <w:rFonts w:ascii="Arial" w:hAnsi="Arial" w:cs="Arial"/>
          <w:b/>
          <w:i/>
          <w:color w:val="877A67"/>
          <w:sz w:val="20"/>
          <w:szCs w:val="24"/>
        </w:rPr>
        <w:t xml:space="preserve"> estatales</w:t>
      </w:r>
      <w:r w:rsidR="001E56FC" w:rsidRPr="001E56FC">
        <w:rPr>
          <w:rFonts w:ascii="Arial" w:hAnsi="Arial" w:cs="Arial"/>
          <w:b/>
          <w:i/>
          <w:color w:val="877A67"/>
          <w:sz w:val="20"/>
          <w:szCs w:val="24"/>
        </w:rPr>
        <w:t>, 2019 a 2020</w:t>
      </w:r>
    </w:p>
    <w:p w14:paraId="4C4DE7D2" w14:textId="77777777" w:rsidR="00806604" w:rsidRDefault="00806604" w:rsidP="001E56FC">
      <w:pPr>
        <w:autoSpaceDE w:val="0"/>
        <w:autoSpaceDN w:val="0"/>
        <w:adjustRightInd w:val="0"/>
        <w:spacing w:after="0" w:line="240" w:lineRule="auto"/>
        <w:ind w:left="-567"/>
        <w:jc w:val="center"/>
        <w:rPr>
          <w:rFonts w:ascii="Arial" w:hAnsi="Arial" w:cs="Arial"/>
          <w:iCs/>
          <w:noProof/>
          <w:sz w:val="24"/>
          <w:szCs w:val="24"/>
          <w:lang w:eastAsia="es-MX"/>
        </w:rPr>
      </w:pPr>
    </w:p>
    <w:tbl>
      <w:tblPr>
        <w:tblW w:w="6799" w:type="dxa"/>
        <w:jc w:val="center"/>
        <w:tblCellMar>
          <w:left w:w="70" w:type="dxa"/>
          <w:right w:w="70" w:type="dxa"/>
        </w:tblCellMar>
        <w:tblLook w:val="04A0" w:firstRow="1" w:lastRow="0" w:firstColumn="1" w:lastColumn="0" w:noHBand="0" w:noVBand="1"/>
      </w:tblPr>
      <w:tblGrid>
        <w:gridCol w:w="4074"/>
        <w:gridCol w:w="1123"/>
        <w:gridCol w:w="1602"/>
      </w:tblGrid>
      <w:tr w:rsidR="001E56FC" w:rsidRPr="00561B9D" w14:paraId="2764694B" w14:textId="77777777" w:rsidTr="00554113">
        <w:trPr>
          <w:trHeight w:val="255"/>
          <w:jc w:val="center"/>
        </w:trPr>
        <w:tc>
          <w:tcPr>
            <w:tcW w:w="6799" w:type="dxa"/>
            <w:gridSpan w:val="3"/>
            <w:tcBorders>
              <w:top w:val="single" w:sz="4" w:space="0" w:color="auto"/>
              <w:left w:val="single" w:sz="4" w:space="0" w:color="auto"/>
              <w:bottom w:val="single" w:sz="4" w:space="0" w:color="auto"/>
              <w:right w:val="single" w:sz="4" w:space="0" w:color="auto"/>
            </w:tcBorders>
            <w:shd w:val="clear" w:color="auto" w:fill="511427"/>
            <w:noWrap/>
            <w:vAlign w:val="center"/>
            <w:hideMark/>
          </w:tcPr>
          <w:p w14:paraId="17DD7F2C"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Amapola adormidera (opiáceos) (en kilogramos)</w:t>
            </w:r>
          </w:p>
        </w:tc>
      </w:tr>
      <w:tr w:rsidR="001E56FC" w:rsidRPr="00561B9D" w14:paraId="0229EA94" w14:textId="77777777" w:rsidTr="00554113">
        <w:trPr>
          <w:trHeight w:val="255"/>
          <w:jc w:val="center"/>
        </w:trPr>
        <w:tc>
          <w:tcPr>
            <w:tcW w:w="4074" w:type="dxa"/>
            <w:tcBorders>
              <w:top w:val="nil"/>
              <w:left w:val="single" w:sz="4" w:space="0" w:color="auto"/>
              <w:bottom w:val="single" w:sz="4" w:space="0" w:color="auto"/>
              <w:right w:val="single" w:sz="4" w:space="0" w:color="auto"/>
            </w:tcBorders>
            <w:shd w:val="clear" w:color="auto" w:fill="804053"/>
            <w:noWrap/>
            <w:vAlign w:val="center"/>
            <w:hideMark/>
          </w:tcPr>
          <w:p w14:paraId="52281F76" w14:textId="77777777" w:rsidR="001E56FC" w:rsidRPr="00561B9D" w:rsidRDefault="001E56FC" w:rsidP="00554113">
            <w:pPr>
              <w:spacing w:after="0" w:line="240" w:lineRule="auto"/>
              <w:jc w:val="center"/>
              <w:rPr>
                <w:rFonts w:ascii="Arial" w:eastAsia="Times New Roman" w:hAnsi="Arial" w:cs="Arial"/>
                <w:color w:val="000000"/>
                <w:sz w:val="18"/>
                <w:szCs w:val="18"/>
                <w:lang w:eastAsia="es-MX"/>
              </w:rPr>
            </w:pPr>
            <w:r w:rsidRPr="00561B9D">
              <w:rPr>
                <w:rFonts w:ascii="Arial" w:eastAsia="Times New Roman" w:hAnsi="Arial" w:cs="Arial"/>
                <w:color w:val="000000"/>
                <w:sz w:val="18"/>
                <w:szCs w:val="18"/>
                <w:lang w:eastAsia="es-MX"/>
              </w:rPr>
              <w:t> </w:t>
            </w:r>
          </w:p>
        </w:tc>
        <w:tc>
          <w:tcPr>
            <w:tcW w:w="1123" w:type="dxa"/>
            <w:tcBorders>
              <w:top w:val="nil"/>
              <w:left w:val="nil"/>
              <w:bottom w:val="single" w:sz="4" w:space="0" w:color="auto"/>
              <w:right w:val="single" w:sz="4" w:space="0" w:color="auto"/>
            </w:tcBorders>
            <w:shd w:val="clear" w:color="auto" w:fill="804053"/>
            <w:noWrap/>
            <w:vAlign w:val="center"/>
            <w:hideMark/>
          </w:tcPr>
          <w:p w14:paraId="684BDB10"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2019</w:t>
            </w:r>
          </w:p>
        </w:tc>
        <w:tc>
          <w:tcPr>
            <w:tcW w:w="1602" w:type="dxa"/>
            <w:tcBorders>
              <w:top w:val="nil"/>
              <w:left w:val="nil"/>
              <w:bottom w:val="single" w:sz="4" w:space="0" w:color="auto"/>
              <w:right w:val="single" w:sz="4" w:space="0" w:color="auto"/>
            </w:tcBorders>
            <w:shd w:val="clear" w:color="auto" w:fill="804053"/>
            <w:noWrap/>
            <w:vAlign w:val="center"/>
            <w:hideMark/>
          </w:tcPr>
          <w:p w14:paraId="411FF5EA"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2020</w:t>
            </w:r>
          </w:p>
        </w:tc>
      </w:tr>
      <w:tr w:rsidR="001E56FC" w:rsidRPr="00561B9D" w14:paraId="14D654E3" w14:textId="77777777" w:rsidTr="00554113">
        <w:trPr>
          <w:trHeight w:val="240"/>
          <w:jc w:val="center"/>
        </w:trPr>
        <w:tc>
          <w:tcPr>
            <w:tcW w:w="4074" w:type="dxa"/>
            <w:tcBorders>
              <w:top w:val="nil"/>
              <w:left w:val="single" w:sz="4" w:space="0" w:color="auto"/>
              <w:bottom w:val="single" w:sz="4" w:space="0" w:color="auto"/>
              <w:right w:val="single" w:sz="4" w:space="0" w:color="auto"/>
            </w:tcBorders>
            <w:shd w:val="clear" w:color="auto" w:fill="auto"/>
            <w:noWrap/>
            <w:vAlign w:val="center"/>
            <w:hideMark/>
          </w:tcPr>
          <w:p w14:paraId="1D18D7B4" w14:textId="77777777" w:rsidR="001E56FC" w:rsidRPr="00561B9D" w:rsidRDefault="001E56FC" w:rsidP="00554113">
            <w:pPr>
              <w:spacing w:after="0" w:line="240" w:lineRule="auto"/>
              <w:rPr>
                <w:rFonts w:ascii="Arial" w:eastAsia="Times New Roman" w:hAnsi="Arial" w:cs="Arial"/>
                <w:b/>
                <w:bCs/>
                <w:color w:val="000000"/>
                <w:sz w:val="18"/>
                <w:szCs w:val="18"/>
                <w:lang w:eastAsia="es-MX"/>
              </w:rPr>
            </w:pPr>
            <w:r w:rsidRPr="00561B9D">
              <w:rPr>
                <w:rFonts w:ascii="Arial" w:eastAsia="Times New Roman" w:hAnsi="Arial" w:cs="Arial"/>
                <w:b/>
                <w:bCs/>
                <w:color w:val="000000"/>
                <w:sz w:val="18"/>
                <w:szCs w:val="18"/>
                <w:lang w:eastAsia="es-MX"/>
              </w:rPr>
              <w:t>Total</w:t>
            </w:r>
          </w:p>
        </w:tc>
        <w:tc>
          <w:tcPr>
            <w:tcW w:w="1123" w:type="dxa"/>
            <w:tcBorders>
              <w:top w:val="nil"/>
              <w:left w:val="nil"/>
              <w:bottom w:val="single" w:sz="4" w:space="0" w:color="auto"/>
              <w:right w:val="single" w:sz="4" w:space="0" w:color="auto"/>
            </w:tcBorders>
            <w:shd w:val="clear" w:color="auto" w:fill="auto"/>
            <w:noWrap/>
            <w:vAlign w:val="center"/>
            <w:hideMark/>
          </w:tcPr>
          <w:p w14:paraId="5D17E71D" w14:textId="3D2BAE7A" w:rsidR="001E56FC" w:rsidRPr="00561B9D" w:rsidRDefault="00023057" w:rsidP="00554113">
            <w:pPr>
              <w:spacing w:after="0" w:line="240" w:lineRule="auto"/>
              <w:jc w:val="center"/>
              <w:rPr>
                <w:rFonts w:ascii="Arial" w:eastAsia="Times New Roman" w:hAnsi="Arial" w:cs="Arial"/>
                <w:b/>
                <w:bCs/>
                <w:color w:val="000000"/>
                <w:sz w:val="18"/>
                <w:szCs w:val="18"/>
                <w:lang w:eastAsia="es-MX"/>
              </w:rPr>
            </w:pPr>
            <w:r w:rsidRPr="00023057">
              <w:rPr>
                <w:rFonts w:ascii="Arial" w:eastAsia="Times New Roman" w:hAnsi="Arial" w:cs="Arial"/>
                <w:b/>
                <w:bCs/>
                <w:color w:val="000000"/>
                <w:sz w:val="18"/>
                <w:szCs w:val="18"/>
                <w:lang w:eastAsia="es-MX"/>
              </w:rPr>
              <w:t>1,049.6</w:t>
            </w:r>
          </w:p>
        </w:tc>
        <w:tc>
          <w:tcPr>
            <w:tcW w:w="1602" w:type="dxa"/>
            <w:tcBorders>
              <w:top w:val="nil"/>
              <w:left w:val="nil"/>
              <w:bottom w:val="single" w:sz="4" w:space="0" w:color="auto"/>
              <w:right w:val="single" w:sz="4" w:space="0" w:color="auto"/>
            </w:tcBorders>
            <w:shd w:val="clear" w:color="auto" w:fill="auto"/>
            <w:noWrap/>
            <w:vAlign w:val="center"/>
            <w:hideMark/>
          </w:tcPr>
          <w:p w14:paraId="790A2264" w14:textId="0B1FEBA2" w:rsidR="001E56FC" w:rsidRPr="00561B9D" w:rsidRDefault="00023057" w:rsidP="00554113">
            <w:pPr>
              <w:spacing w:after="0" w:line="240" w:lineRule="auto"/>
              <w:jc w:val="center"/>
              <w:rPr>
                <w:rFonts w:ascii="Arial" w:eastAsia="Times New Roman" w:hAnsi="Arial" w:cs="Arial"/>
                <w:b/>
                <w:bCs/>
                <w:color w:val="000000"/>
                <w:sz w:val="18"/>
                <w:szCs w:val="18"/>
                <w:lang w:eastAsia="es-MX"/>
              </w:rPr>
            </w:pPr>
            <w:r w:rsidRPr="00023057">
              <w:rPr>
                <w:rFonts w:ascii="Arial" w:eastAsia="Times New Roman" w:hAnsi="Arial" w:cs="Arial"/>
                <w:b/>
                <w:bCs/>
                <w:color w:val="000000"/>
                <w:sz w:val="18"/>
                <w:szCs w:val="18"/>
                <w:lang w:eastAsia="es-MX"/>
              </w:rPr>
              <w:t>126,912.7</w:t>
            </w:r>
          </w:p>
        </w:tc>
      </w:tr>
      <w:tr w:rsidR="001E56FC" w:rsidRPr="00561B9D" w14:paraId="269B79D1" w14:textId="77777777" w:rsidTr="00554113">
        <w:trPr>
          <w:trHeight w:val="240"/>
          <w:jc w:val="center"/>
        </w:trPr>
        <w:tc>
          <w:tcPr>
            <w:tcW w:w="4074" w:type="dxa"/>
            <w:tcBorders>
              <w:top w:val="nil"/>
              <w:left w:val="single" w:sz="4" w:space="0" w:color="auto"/>
              <w:bottom w:val="single" w:sz="4" w:space="0" w:color="auto"/>
              <w:right w:val="single" w:sz="4" w:space="0" w:color="auto"/>
            </w:tcBorders>
            <w:shd w:val="clear" w:color="auto" w:fill="AF8D95"/>
            <w:noWrap/>
            <w:vAlign w:val="center"/>
            <w:hideMark/>
          </w:tcPr>
          <w:p w14:paraId="7D8333FF" w14:textId="77777777" w:rsidR="001E56FC" w:rsidRPr="00561B9D" w:rsidRDefault="001E56FC" w:rsidP="00554113">
            <w:pPr>
              <w:spacing w:after="0" w:line="240" w:lineRule="auto"/>
              <w:rPr>
                <w:rFonts w:ascii="Arial" w:eastAsia="Times New Roman" w:hAnsi="Arial" w:cs="Arial"/>
                <w:i/>
                <w:iCs/>
                <w:color w:val="000000"/>
                <w:sz w:val="18"/>
                <w:szCs w:val="18"/>
                <w:lang w:eastAsia="es-MX"/>
              </w:rPr>
            </w:pPr>
            <w:r w:rsidRPr="00561B9D">
              <w:rPr>
                <w:rFonts w:ascii="Arial" w:eastAsia="Times New Roman" w:hAnsi="Arial" w:cs="Arial"/>
                <w:i/>
                <w:iCs/>
                <w:color w:val="000000"/>
                <w:sz w:val="18"/>
                <w:szCs w:val="18"/>
                <w:lang w:eastAsia="es-MX"/>
              </w:rPr>
              <w:t>Semillas</w:t>
            </w:r>
          </w:p>
        </w:tc>
        <w:tc>
          <w:tcPr>
            <w:tcW w:w="1123" w:type="dxa"/>
            <w:tcBorders>
              <w:top w:val="nil"/>
              <w:left w:val="nil"/>
              <w:bottom w:val="single" w:sz="4" w:space="0" w:color="auto"/>
              <w:right w:val="single" w:sz="4" w:space="0" w:color="auto"/>
            </w:tcBorders>
            <w:shd w:val="clear" w:color="auto" w:fill="AF8D95"/>
            <w:noWrap/>
            <w:vAlign w:val="center"/>
            <w:hideMark/>
          </w:tcPr>
          <w:p w14:paraId="2D6EABEF" w14:textId="4ECAE2A2" w:rsidR="001E56FC" w:rsidRPr="00561B9D" w:rsidRDefault="00023057" w:rsidP="00554113">
            <w:pPr>
              <w:spacing w:after="0" w:line="240" w:lineRule="auto"/>
              <w:jc w:val="center"/>
              <w:rPr>
                <w:rFonts w:ascii="Arial" w:eastAsia="Times New Roman" w:hAnsi="Arial" w:cs="Arial"/>
                <w:color w:val="000000"/>
                <w:sz w:val="18"/>
                <w:szCs w:val="18"/>
                <w:lang w:eastAsia="es-MX"/>
              </w:rPr>
            </w:pPr>
            <w:r w:rsidRPr="00023057">
              <w:rPr>
                <w:rFonts w:ascii="Arial" w:eastAsia="Times New Roman" w:hAnsi="Arial" w:cs="Arial"/>
                <w:color w:val="000000"/>
                <w:sz w:val="18"/>
                <w:szCs w:val="18"/>
                <w:lang w:eastAsia="es-MX"/>
              </w:rPr>
              <w:t>1.0</w:t>
            </w:r>
          </w:p>
        </w:tc>
        <w:tc>
          <w:tcPr>
            <w:tcW w:w="1602" w:type="dxa"/>
            <w:tcBorders>
              <w:top w:val="nil"/>
              <w:left w:val="nil"/>
              <w:bottom w:val="single" w:sz="4" w:space="0" w:color="auto"/>
              <w:right w:val="single" w:sz="4" w:space="0" w:color="auto"/>
            </w:tcBorders>
            <w:shd w:val="clear" w:color="auto" w:fill="AF8D95"/>
            <w:noWrap/>
            <w:vAlign w:val="center"/>
            <w:hideMark/>
          </w:tcPr>
          <w:p w14:paraId="09C6B1B1" w14:textId="0CA51A90" w:rsidR="001E56FC" w:rsidRPr="00561B9D" w:rsidRDefault="00023057" w:rsidP="00554113">
            <w:pPr>
              <w:spacing w:after="0" w:line="240" w:lineRule="auto"/>
              <w:jc w:val="center"/>
              <w:rPr>
                <w:rFonts w:ascii="Arial" w:eastAsia="Times New Roman" w:hAnsi="Arial" w:cs="Arial"/>
                <w:color w:val="000000"/>
                <w:sz w:val="18"/>
                <w:szCs w:val="18"/>
                <w:lang w:eastAsia="es-MX"/>
              </w:rPr>
            </w:pPr>
            <w:r w:rsidRPr="00023057">
              <w:rPr>
                <w:rFonts w:ascii="Arial" w:eastAsia="Times New Roman" w:hAnsi="Arial" w:cs="Arial"/>
                <w:color w:val="000000"/>
                <w:sz w:val="18"/>
                <w:szCs w:val="18"/>
                <w:lang w:eastAsia="es-MX"/>
              </w:rPr>
              <w:t>1.5</w:t>
            </w:r>
          </w:p>
        </w:tc>
      </w:tr>
      <w:tr w:rsidR="001E56FC" w:rsidRPr="00561B9D" w14:paraId="2235DD54" w14:textId="77777777" w:rsidTr="00554113">
        <w:trPr>
          <w:trHeight w:val="240"/>
          <w:jc w:val="center"/>
        </w:trPr>
        <w:tc>
          <w:tcPr>
            <w:tcW w:w="4074" w:type="dxa"/>
            <w:tcBorders>
              <w:top w:val="nil"/>
              <w:left w:val="single" w:sz="4" w:space="0" w:color="auto"/>
              <w:bottom w:val="single" w:sz="4" w:space="0" w:color="auto"/>
              <w:right w:val="single" w:sz="4" w:space="0" w:color="auto"/>
            </w:tcBorders>
            <w:shd w:val="clear" w:color="auto" w:fill="auto"/>
            <w:noWrap/>
            <w:vAlign w:val="center"/>
            <w:hideMark/>
          </w:tcPr>
          <w:p w14:paraId="359D0857" w14:textId="77777777" w:rsidR="001E56FC" w:rsidRPr="00561B9D" w:rsidRDefault="001E56FC" w:rsidP="00554113">
            <w:pPr>
              <w:spacing w:after="0" w:line="240" w:lineRule="auto"/>
              <w:rPr>
                <w:rFonts w:ascii="Arial" w:eastAsia="Times New Roman" w:hAnsi="Arial" w:cs="Arial"/>
                <w:i/>
                <w:iCs/>
                <w:color w:val="000000"/>
                <w:sz w:val="18"/>
                <w:szCs w:val="18"/>
                <w:lang w:eastAsia="es-MX"/>
              </w:rPr>
            </w:pPr>
            <w:r w:rsidRPr="00561B9D">
              <w:rPr>
                <w:rFonts w:ascii="Arial" w:eastAsia="Times New Roman" w:hAnsi="Arial" w:cs="Arial"/>
                <w:i/>
                <w:iCs/>
                <w:color w:val="000000"/>
                <w:sz w:val="18"/>
                <w:szCs w:val="18"/>
                <w:lang w:eastAsia="es-MX"/>
              </w:rPr>
              <w:t>Goma</w:t>
            </w:r>
          </w:p>
        </w:tc>
        <w:tc>
          <w:tcPr>
            <w:tcW w:w="1123" w:type="dxa"/>
            <w:tcBorders>
              <w:top w:val="nil"/>
              <w:left w:val="nil"/>
              <w:bottom w:val="single" w:sz="4" w:space="0" w:color="auto"/>
              <w:right w:val="single" w:sz="4" w:space="0" w:color="auto"/>
            </w:tcBorders>
            <w:shd w:val="clear" w:color="auto" w:fill="auto"/>
            <w:noWrap/>
            <w:vAlign w:val="center"/>
            <w:hideMark/>
          </w:tcPr>
          <w:p w14:paraId="6455BB09" w14:textId="5B49891F" w:rsidR="001E56FC" w:rsidRPr="00561B9D" w:rsidRDefault="00023057" w:rsidP="00554113">
            <w:pPr>
              <w:spacing w:after="0" w:line="240" w:lineRule="auto"/>
              <w:jc w:val="center"/>
              <w:rPr>
                <w:rFonts w:ascii="Arial" w:eastAsia="Times New Roman" w:hAnsi="Arial" w:cs="Arial"/>
                <w:color w:val="000000"/>
                <w:sz w:val="18"/>
                <w:szCs w:val="18"/>
                <w:lang w:eastAsia="es-MX"/>
              </w:rPr>
            </w:pPr>
            <w:r w:rsidRPr="00023057">
              <w:rPr>
                <w:rFonts w:ascii="Arial" w:eastAsia="Times New Roman" w:hAnsi="Arial" w:cs="Arial"/>
                <w:color w:val="000000"/>
                <w:sz w:val="18"/>
                <w:szCs w:val="18"/>
                <w:lang w:eastAsia="es-MX"/>
              </w:rPr>
              <w:t>2.5</w:t>
            </w:r>
          </w:p>
        </w:tc>
        <w:tc>
          <w:tcPr>
            <w:tcW w:w="1602" w:type="dxa"/>
            <w:tcBorders>
              <w:top w:val="nil"/>
              <w:left w:val="nil"/>
              <w:bottom w:val="single" w:sz="4" w:space="0" w:color="auto"/>
              <w:right w:val="single" w:sz="4" w:space="0" w:color="auto"/>
            </w:tcBorders>
            <w:shd w:val="clear" w:color="auto" w:fill="auto"/>
            <w:noWrap/>
            <w:vAlign w:val="center"/>
            <w:hideMark/>
          </w:tcPr>
          <w:p w14:paraId="47F52268" w14:textId="257E3599" w:rsidR="001E56FC" w:rsidRPr="00561B9D" w:rsidRDefault="00023057" w:rsidP="00554113">
            <w:pPr>
              <w:spacing w:after="0" w:line="240" w:lineRule="auto"/>
              <w:jc w:val="center"/>
              <w:rPr>
                <w:rFonts w:ascii="Arial" w:eastAsia="Times New Roman" w:hAnsi="Arial" w:cs="Arial"/>
                <w:color w:val="000000"/>
                <w:sz w:val="18"/>
                <w:szCs w:val="18"/>
                <w:lang w:eastAsia="es-MX"/>
              </w:rPr>
            </w:pPr>
            <w:r w:rsidRPr="00023057">
              <w:rPr>
                <w:rFonts w:ascii="Arial" w:eastAsia="Times New Roman" w:hAnsi="Arial" w:cs="Arial"/>
                <w:color w:val="000000"/>
                <w:sz w:val="18"/>
                <w:szCs w:val="18"/>
                <w:lang w:eastAsia="es-MX"/>
              </w:rPr>
              <w:t>0.5</w:t>
            </w:r>
          </w:p>
        </w:tc>
      </w:tr>
      <w:tr w:rsidR="001E56FC" w:rsidRPr="00561B9D" w14:paraId="6CFA248D" w14:textId="77777777" w:rsidTr="00554113">
        <w:trPr>
          <w:trHeight w:val="240"/>
          <w:jc w:val="center"/>
        </w:trPr>
        <w:tc>
          <w:tcPr>
            <w:tcW w:w="4074" w:type="dxa"/>
            <w:tcBorders>
              <w:top w:val="nil"/>
              <w:left w:val="single" w:sz="4" w:space="0" w:color="auto"/>
              <w:bottom w:val="single" w:sz="4" w:space="0" w:color="auto"/>
              <w:right w:val="single" w:sz="4" w:space="0" w:color="auto"/>
            </w:tcBorders>
            <w:shd w:val="clear" w:color="auto" w:fill="AF8D95"/>
            <w:noWrap/>
            <w:vAlign w:val="center"/>
            <w:hideMark/>
          </w:tcPr>
          <w:p w14:paraId="0778A86D" w14:textId="77777777" w:rsidR="001E56FC" w:rsidRPr="00561B9D" w:rsidRDefault="001E56FC" w:rsidP="00554113">
            <w:pPr>
              <w:spacing w:after="0" w:line="240" w:lineRule="auto"/>
              <w:rPr>
                <w:rFonts w:ascii="Arial" w:eastAsia="Times New Roman" w:hAnsi="Arial" w:cs="Arial"/>
                <w:i/>
                <w:iCs/>
                <w:color w:val="000000"/>
                <w:sz w:val="18"/>
                <w:szCs w:val="18"/>
                <w:lang w:eastAsia="es-MX"/>
              </w:rPr>
            </w:pPr>
            <w:r w:rsidRPr="00561B9D">
              <w:rPr>
                <w:rFonts w:ascii="Arial" w:eastAsia="Times New Roman" w:hAnsi="Arial" w:cs="Arial"/>
                <w:i/>
                <w:iCs/>
                <w:color w:val="000000"/>
                <w:sz w:val="18"/>
                <w:szCs w:val="18"/>
                <w:lang w:eastAsia="es-MX"/>
              </w:rPr>
              <w:t xml:space="preserve">Heroína </w:t>
            </w:r>
          </w:p>
        </w:tc>
        <w:tc>
          <w:tcPr>
            <w:tcW w:w="1123" w:type="dxa"/>
            <w:tcBorders>
              <w:top w:val="nil"/>
              <w:left w:val="nil"/>
              <w:bottom w:val="single" w:sz="4" w:space="0" w:color="auto"/>
              <w:right w:val="single" w:sz="4" w:space="0" w:color="auto"/>
            </w:tcBorders>
            <w:shd w:val="clear" w:color="auto" w:fill="AF8D95"/>
            <w:noWrap/>
            <w:vAlign w:val="center"/>
            <w:hideMark/>
          </w:tcPr>
          <w:p w14:paraId="3AE206F5" w14:textId="1F59E9A8" w:rsidR="001E56FC" w:rsidRPr="00561B9D" w:rsidRDefault="00023057" w:rsidP="00554113">
            <w:pPr>
              <w:spacing w:after="0" w:line="240" w:lineRule="auto"/>
              <w:jc w:val="center"/>
              <w:rPr>
                <w:rFonts w:ascii="Arial" w:eastAsia="Times New Roman" w:hAnsi="Arial" w:cs="Arial"/>
                <w:color w:val="000000"/>
                <w:sz w:val="18"/>
                <w:szCs w:val="18"/>
                <w:lang w:eastAsia="es-MX"/>
              </w:rPr>
            </w:pPr>
            <w:r w:rsidRPr="00023057">
              <w:rPr>
                <w:rFonts w:ascii="Arial" w:eastAsia="Times New Roman" w:hAnsi="Arial" w:cs="Arial"/>
                <w:color w:val="000000"/>
                <w:sz w:val="18"/>
                <w:szCs w:val="18"/>
                <w:lang w:eastAsia="es-MX"/>
              </w:rPr>
              <w:t>1,046.1</w:t>
            </w:r>
          </w:p>
        </w:tc>
        <w:tc>
          <w:tcPr>
            <w:tcW w:w="1602" w:type="dxa"/>
            <w:tcBorders>
              <w:top w:val="nil"/>
              <w:left w:val="nil"/>
              <w:bottom w:val="single" w:sz="4" w:space="0" w:color="auto"/>
              <w:right w:val="single" w:sz="4" w:space="0" w:color="auto"/>
            </w:tcBorders>
            <w:shd w:val="clear" w:color="auto" w:fill="AF8D95"/>
            <w:noWrap/>
            <w:vAlign w:val="center"/>
            <w:hideMark/>
          </w:tcPr>
          <w:p w14:paraId="0C31C909" w14:textId="6339E072" w:rsidR="001E56FC" w:rsidRPr="00561B9D" w:rsidRDefault="00023057" w:rsidP="00554113">
            <w:pPr>
              <w:spacing w:after="0" w:line="240" w:lineRule="auto"/>
              <w:jc w:val="center"/>
              <w:rPr>
                <w:rFonts w:ascii="Arial" w:eastAsia="Times New Roman" w:hAnsi="Arial" w:cs="Arial"/>
                <w:color w:val="000000"/>
                <w:sz w:val="18"/>
                <w:szCs w:val="18"/>
                <w:lang w:eastAsia="es-MX"/>
              </w:rPr>
            </w:pPr>
            <w:r w:rsidRPr="00023057">
              <w:rPr>
                <w:rFonts w:ascii="Arial" w:eastAsia="Times New Roman" w:hAnsi="Arial" w:cs="Arial"/>
                <w:color w:val="000000"/>
                <w:sz w:val="18"/>
                <w:szCs w:val="18"/>
                <w:lang w:eastAsia="es-MX"/>
              </w:rPr>
              <w:t>10.6</w:t>
            </w:r>
          </w:p>
        </w:tc>
      </w:tr>
      <w:tr w:rsidR="001E56FC" w:rsidRPr="00561B9D" w14:paraId="22FA3824" w14:textId="77777777" w:rsidTr="00554113">
        <w:trPr>
          <w:trHeight w:val="240"/>
          <w:jc w:val="center"/>
        </w:trPr>
        <w:tc>
          <w:tcPr>
            <w:tcW w:w="4074" w:type="dxa"/>
            <w:tcBorders>
              <w:top w:val="nil"/>
              <w:left w:val="single" w:sz="4" w:space="0" w:color="auto"/>
              <w:bottom w:val="single" w:sz="4" w:space="0" w:color="auto"/>
              <w:right w:val="single" w:sz="4" w:space="0" w:color="auto"/>
            </w:tcBorders>
            <w:shd w:val="clear" w:color="auto" w:fill="auto"/>
            <w:noWrap/>
            <w:vAlign w:val="center"/>
            <w:hideMark/>
          </w:tcPr>
          <w:p w14:paraId="53591D99" w14:textId="77777777" w:rsidR="001E56FC" w:rsidRPr="00561B9D" w:rsidRDefault="001E56FC" w:rsidP="00554113">
            <w:pPr>
              <w:spacing w:after="0" w:line="240" w:lineRule="auto"/>
              <w:rPr>
                <w:rFonts w:ascii="Arial" w:eastAsia="Times New Roman" w:hAnsi="Arial" w:cs="Arial"/>
                <w:i/>
                <w:iCs/>
                <w:color w:val="000000"/>
                <w:sz w:val="18"/>
                <w:szCs w:val="18"/>
                <w:lang w:eastAsia="es-MX"/>
              </w:rPr>
            </w:pPr>
            <w:r w:rsidRPr="00561B9D">
              <w:rPr>
                <w:rFonts w:ascii="Arial" w:eastAsia="Times New Roman" w:hAnsi="Arial" w:cs="Arial"/>
                <w:i/>
                <w:iCs/>
                <w:color w:val="000000"/>
                <w:sz w:val="18"/>
                <w:szCs w:val="18"/>
                <w:lang w:eastAsia="es-MX"/>
              </w:rPr>
              <w:t>Morfina</w:t>
            </w:r>
          </w:p>
        </w:tc>
        <w:tc>
          <w:tcPr>
            <w:tcW w:w="1123" w:type="dxa"/>
            <w:tcBorders>
              <w:top w:val="nil"/>
              <w:left w:val="nil"/>
              <w:bottom w:val="single" w:sz="4" w:space="0" w:color="auto"/>
              <w:right w:val="single" w:sz="4" w:space="0" w:color="auto"/>
            </w:tcBorders>
            <w:shd w:val="clear" w:color="auto" w:fill="auto"/>
            <w:noWrap/>
            <w:vAlign w:val="center"/>
            <w:hideMark/>
          </w:tcPr>
          <w:p w14:paraId="1CD15179" w14:textId="5021F779" w:rsidR="001E56FC" w:rsidRPr="00561B9D" w:rsidRDefault="00023057" w:rsidP="00554113">
            <w:pPr>
              <w:spacing w:after="0" w:line="240" w:lineRule="auto"/>
              <w:jc w:val="center"/>
              <w:rPr>
                <w:rFonts w:ascii="Arial" w:eastAsia="Times New Roman" w:hAnsi="Arial" w:cs="Arial"/>
                <w:color w:val="000000"/>
                <w:sz w:val="18"/>
                <w:szCs w:val="18"/>
                <w:lang w:eastAsia="es-MX"/>
              </w:rPr>
            </w:pPr>
            <w:r w:rsidRPr="00023057">
              <w:rPr>
                <w:rFonts w:ascii="Arial" w:eastAsia="Times New Roman" w:hAnsi="Arial" w:cs="Arial"/>
                <w:color w:val="000000"/>
                <w:sz w:val="18"/>
                <w:szCs w:val="18"/>
                <w:lang w:eastAsia="es-MX"/>
              </w:rPr>
              <w:t>0.0</w:t>
            </w:r>
          </w:p>
        </w:tc>
        <w:tc>
          <w:tcPr>
            <w:tcW w:w="1602" w:type="dxa"/>
            <w:tcBorders>
              <w:top w:val="nil"/>
              <w:left w:val="nil"/>
              <w:bottom w:val="single" w:sz="4" w:space="0" w:color="auto"/>
              <w:right w:val="single" w:sz="4" w:space="0" w:color="auto"/>
            </w:tcBorders>
            <w:shd w:val="clear" w:color="auto" w:fill="auto"/>
            <w:noWrap/>
            <w:vAlign w:val="center"/>
            <w:hideMark/>
          </w:tcPr>
          <w:p w14:paraId="252F4F19" w14:textId="49D08023" w:rsidR="001E56FC" w:rsidRPr="00561B9D" w:rsidRDefault="00023057" w:rsidP="00554113">
            <w:pPr>
              <w:spacing w:after="0" w:line="240" w:lineRule="auto"/>
              <w:jc w:val="center"/>
              <w:rPr>
                <w:rFonts w:ascii="Arial" w:eastAsia="Times New Roman" w:hAnsi="Arial" w:cs="Arial"/>
                <w:color w:val="000000"/>
                <w:sz w:val="18"/>
                <w:szCs w:val="18"/>
                <w:lang w:eastAsia="es-MX"/>
              </w:rPr>
            </w:pPr>
            <w:r w:rsidRPr="00023057">
              <w:rPr>
                <w:rFonts w:ascii="Arial" w:eastAsia="Times New Roman" w:hAnsi="Arial" w:cs="Arial"/>
                <w:color w:val="000000"/>
                <w:sz w:val="18"/>
                <w:szCs w:val="18"/>
                <w:lang w:eastAsia="es-MX"/>
              </w:rPr>
              <w:t>0.0</w:t>
            </w:r>
          </w:p>
        </w:tc>
      </w:tr>
      <w:tr w:rsidR="001E56FC" w:rsidRPr="00561B9D" w14:paraId="20DD04D4" w14:textId="77777777" w:rsidTr="00554113">
        <w:trPr>
          <w:trHeight w:val="240"/>
          <w:jc w:val="center"/>
        </w:trPr>
        <w:tc>
          <w:tcPr>
            <w:tcW w:w="4074" w:type="dxa"/>
            <w:tcBorders>
              <w:top w:val="nil"/>
              <w:left w:val="single" w:sz="4" w:space="0" w:color="auto"/>
              <w:bottom w:val="single" w:sz="4" w:space="0" w:color="auto"/>
              <w:right w:val="single" w:sz="4" w:space="0" w:color="auto"/>
            </w:tcBorders>
            <w:shd w:val="clear" w:color="auto" w:fill="AF8D95"/>
            <w:vAlign w:val="center"/>
            <w:hideMark/>
          </w:tcPr>
          <w:p w14:paraId="7448908C" w14:textId="77777777" w:rsidR="001E56FC" w:rsidRPr="00561B9D" w:rsidRDefault="001E56FC" w:rsidP="00554113">
            <w:pPr>
              <w:spacing w:after="0" w:line="240" w:lineRule="auto"/>
              <w:rPr>
                <w:rFonts w:ascii="Arial" w:eastAsia="Times New Roman" w:hAnsi="Arial" w:cs="Arial"/>
                <w:i/>
                <w:iCs/>
                <w:color w:val="000000"/>
                <w:sz w:val="18"/>
                <w:szCs w:val="18"/>
                <w:lang w:eastAsia="es-MX"/>
              </w:rPr>
            </w:pPr>
            <w:r w:rsidRPr="00561B9D">
              <w:rPr>
                <w:rFonts w:ascii="Arial" w:eastAsia="Times New Roman" w:hAnsi="Arial" w:cs="Arial"/>
                <w:i/>
                <w:iCs/>
                <w:color w:val="000000"/>
                <w:sz w:val="18"/>
                <w:szCs w:val="18"/>
                <w:lang w:eastAsia="es-MX"/>
              </w:rPr>
              <w:t>Plantas y/o bulbos</w:t>
            </w:r>
          </w:p>
        </w:tc>
        <w:tc>
          <w:tcPr>
            <w:tcW w:w="1123" w:type="dxa"/>
            <w:tcBorders>
              <w:top w:val="nil"/>
              <w:left w:val="nil"/>
              <w:bottom w:val="single" w:sz="4" w:space="0" w:color="auto"/>
              <w:right w:val="single" w:sz="4" w:space="0" w:color="auto"/>
            </w:tcBorders>
            <w:shd w:val="clear" w:color="auto" w:fill="AF8D95"/>
            <w:noWrap/>
            <w:vAlign w:val="center"/>
            <w:hideMark/>
          </w:tcPr>
          <w:p w14:paraId="1EDE320A" w14:textId="77777777" w:rsidR="001E56FC" w:rsidRPr="00561B9D" w:rsidRDefault="001E56FC" w:rsidP="00554113">
            <w:pPr>
              <w:spacing w:after="0" w:line="240" w:lineRule="auto"/>
              <w:jc w:val="center"/>
              <w:rPr>
                <w:rFonts w:ascii="Arial" w:eastAsia="Times New Roman" w:hAnsi="Arial" w:cs="Arial"/>
                <w:color w:val="000000"/>
                <w:sz w:val="18"/>
                <w:szCs w:val="18"/>
                <w:lang w:eastAsia="es-MX"/>
              </w:rPr>
            </w:pPr>
            <w:r w:rsidRPr="00561B9D">
              <w:rPr>
                <w:rFonts w:ascii="Arial" w:eastAsia="Times New Roman" w:hAnsi="Arial" w:cs="Arial"/>
                <w:color w:val="000000"/>
                <w:sz w:val="18"/>
                <w:szCs w:val="18"/>
                <w:lang w:eastAsia="es-MX"/>
              </w:rPr>
              <w:t>*</w:t>
            </w:r>
          </w:p>
        </w:tc>
        <w:tc>
          <w:tcPr>
            <w:tcW w:w="1602" w:type="dxa"/>
            <w:tcBorders>
              <w:top w:val="nil"/>
              <w:left w:val="nil"/>
              <w:bottom w:val="single" w:sz="4" w:space="0" w:color="auto"/>
              <w:right w:val="single" w:sz="4" w:space="0" w:color="auto"/>
            </w:tcBorders>
            <w:shd w:val="clear" w:color="auto" w:fill="AF8D95"/>
            <w:noWrap/>
            <w:vAlign w:val="center"/>
            <w:hideMark/>
          </w:tcPr>
          <w:p w14:paraId="4D3261C1" w14:textId="5ACAB3D4" w:rsidR="001E56FC" w:rsidRPr="00561B9D" w:rsidRDefault="00023057" w:rsidP="00554113">
            <w:pPr>
              <w:spacing w:after="0" w:line="240" w:lineRule="auto"/>
              <w:jc w:val="center"/>
              <w:rPr>
                <w:rFonts w:ascii="Arial" w:eastAsia="Times New Roman" w:hAnsi="Arial" w:cs="Arial"/>
                <w:color w:val="000000"/>
                <w:sz w:val="18"/>
                <w:szCs w:val="18"/>
                <w:lang w:eastAsia="es-MX"/>
              </w:rPr>
            </w:pPr>
            <w:r w:rsidRPr="00023057">
              <w:rPr>
                <w:rFonts w:ascii="Arial" w:eastAsia="Times New Roman" w:hAnsi="Arial" w:cs="Arial"/>
                <w:color w:val="000000"/>
                <w:sz w:val="18"/>
                <w:szCs w:val="18"/>
                <w:lang w:eastAsia="es-MX"/>
              </w:rPr>
              <w:t>126,900.0</w:t>
            </w:r>
          </w:p>
        </w:tc>
      </w:tr>
      <w:tr w:rsidR="001E56FC" w:rsidRPr="00561B9D" w14:paraId="0B7659B9" w14:textId="77777777" w:rsidTr="00554113">
        <w:trPr>
          <w:trHeight w:val="240"/>
          <w:jc w:val="center"/>
        </w:trPr>
        <w:tc>
          <w:tcPr>
            <w:tcW w:w="6799" w:type="dxa"/>
            <w:gridSpan w:val="3"/>
            <w:tcBorders>
              <w:top w:val="single" w:sz="4" w:space="0" w:color="auto"/>
              <w:left w:val="single" w:sz="4" w:space="0" w:color="auto"/>
              <w:bottom w:val="single" w:sz="4" w:space="0" w:color="auto"/>
              <w:right w:val="single" w:sz="4" w:space="0" w:color="auto"/>
            </w:tcBorders>
            <w:shd w:val="clear" w:color="auto" w:fill="511427"/>
            <w:noWrap/>
            <w:vAlign w:val="center"/>
            <w:hideMark/>
          </w:tcPr>
          <w:p w14:paraId="5A0EF914"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Cannabis sativa, indica o mariguana (en kilogramos)</w:t>
            </w:r>
          </w:p>
        </w:tc>
      </w:tr>
      <w:tr w:rsidR="001E56FC" w:rsidRPr="00561B9D" w14:paraId="719955EF" w14:textId="77777777" w:rsidTr="00554113">
        <w:trPr>
          <w:trHeight w:val="240"/>
          <w:jc w:val="center"/>
        </w:trPr>
        <w:tc>
          <w:tcPr>
            <w:tcW w:w="4074" w:type="dxa"/>
            <w:tcBorders>
              <w:top w:val="nil"/>
              <w:left w:val="single" w:sz="4" w:space="0" w:color="auto"/>
              <w:bottom w:val="single" w:sz="4" w:space="0" w:color="auto"/>
              <w:right w:val="single" w:sz="4" w:space="0" w:color="auto"/>
            </w:tcBorders>
            <w:shd w:val="clear" w:color="auto" w:fill="804053"/>
            <w:noWrap/>
            <w:vAlign w:val="center"/>
            <w:hideMark/>
          </w:tcPr>
          <w:p w14:paraId="565CBF6F"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 </w:t>
            </w:r>
          </w:p>
        </w:tc>
        <w:tc>
          <w:tcPr>
            <w:tcW w:w="1123" w:type="dxa"/>
            <w:tcBorders>
              <w:top w:val="nil"/>
              <w:left w:val="nil"/>
              <w:bottom w:val="single" w:sz="4" w:space="0" w:color="auto"/>
              <w:right w:val="single" w:sz="4" w:space="0" w:color="auto"/>
            </w:tcBorders>
            <w:shd w:val="clear" w:color="auto" w:fill="804053"/>
            <w:noWrap/>
            <w:vAlign w:val="center"/>
            <w:hideMark/>
          </w:tcPr>
          <w:p w14:paraId="3F28EC20"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2019</w:t>
            </w:r>
          </w:p>
        </w:tc>
        <w:tc>
          <w:tcPr>
            <w:tcW w:w="1602" w:type="dxa"/>
            <w:tcBorders>
              <w:top w:val="nil"/>
              <w:left w:val="nil"/>
              <w:bottom w:val="single" w:sz="4" w:space="0" w:color="auto"/>
              <w:right w:val="single" w:sz="4" w:space="0" w:color="auto"/>
            </w:tcBorders>
            <w:shd w:val="clear" w:color="auto" w:fill="804053"/>
            <w:noWrap/>
            <w:vAlign w:val="center"/>
            <w:hideMark/>
          </w:tcPr>
          <w:p w14:paraId="1FF7698F"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2020</w:t>
            </w:r>
          </w:p>
        </w:tc>
      </w:tr>
      <w:tr w:rsidR="001E56FC" w:rsidRPr="00561B9D" w14:paraId="104137F6" w14:textId="77777777" w:rsidTr="00554113">
        <w:trPr>
          <w:trHeight w:val="240"/>
          <w:jc w:val="center"/>
        </w:trPr>
        <w:tc>
          <w:tcPr>
            <w:tcW w:w="4074" w:type="dxa"/>
            <w:tcBorders>
              <w:top w:val="nil"/>
              <w:left w:val="single" w:sz="4" w:space="0" w:color="auto"/>
              <w:bottom w:val="single" w:sz="4" w:space="0" w:color="auto"/>
              <w:right w:val="single" w:sz="4" w:space="0" w:color="auto"/>
            </w:tcBorders>
            <w:shd w:val="clear" w:color="auto" w:fill="auto"/>
            <w:noWrap/>
            <w:vAlign w:val="center"/>
            <w:hideMark/>
          </w:tcPr>
          <w:p w14:paraId="22829A80" w14:textId="77777777" w:rsidR="001E56FC" w:rsidRPr="00561B9D" w:rsidRDefault="001E56FC" w:rsidP="00554113">
            <w:pPr>
              <w:spacing w:after="0" w:line="240" w:lineRule="auto"/>
              <w:rPr>
                <w:rFonts w:ascii="Arial" w:eastAsia="Times New Roman" w:hAnsi="Arial" w:cs="Arial"/>
                <w:b/>
                <w:bCs/>
                <w:color w:val="000000"/>
                <w:sz w:val="18"/>
                <w:szCs w:val="18"/>
                <w:lang w:eastAsia="es-MX"/>
              </w:rPr>
            </w:pPr>
            <w:r w:rsidRPr="00561B9D">
              <w:rPr>
                <w:rFonts w:ascii="Arial" w:eastAsia="Times New Roman" w:hAnsi="Arial" w:cs="Arial"/>
                <w:b/>
                <w:bCs/>
                <w:color w:val="000000"/>
                <w:sz w:val="18"/>
                <w:szCs w:val="18"/>
                <w:lang w:eastAsia="es-MX"/>
              </w:rPr>
              <w:t>Total</w:t>
            </w:r>
          </w:p>
        </w:tc>
        <w:tc>
          <w:tcPr>
            <w:tcW w:w="1123" w:type="dxa"/>
            <w:tcBorders>
              <w:top w:val="nil"/>
              <w:left w:val="nil"/>
              <w:bottom w:val="single" w:sz="4" w:space="0" w:color="auto"/>
              <w:right w:val="single" w:sz="4" w:space="0" w:color="auto"/>
            </w:tcBorders>
            <w:shd w:val="clear" w:color="auto" w:fill="auto"/>
            <w:noWrap/>
            <w:vAlign w:val="center"/>
            <w:hideMark/>
          </w:tcPr>
          <w:p w14:paraId="076DF0E7" w14:textId="20C6EEC0" w:rsidR="001E56FC" w:rsidRPr="00561B9D" w:rsidRDefault="00023057" w:rsidP="00554113">
            <w:pPr>
              <w:spacing w:after="0" w:line="240" w:lineRule="auto"/>
              <w:jc w:val="center"/>
              <w:rPr>
                <w:rFonts w:ascii="Arial" w:eastAsia="Times New Roman" w:hAnsi="Arial" w:cs="Arial"/>
                <w:b/>
                <w:bCs/>
                <w:color w:val="000000"/>
                <w:sz w:val="18"/>
                <w:szCs w:val="18"/>
                <w:lang w:eastAsia="es-MX"/>
              </w:rPr>
            </w:pPr>
            <w:r w:rsidRPr="00023057">
              <w:rPr>
                <w:rFonts w:ascii="Arial" w:eastAsia="Times New Roman" w:hAnsi="Arial" w:cs="Arial"/>
                <w:b/>
                <w:bCs/>
                <w:color w:val="000000"/>
                <w:sz w:val="18"/>
                <w:szCs w:val="18"/>
                <w:lang w:eastAsia="es-MX"/>
              </w:rPr>
              <w:t>744,764.6</w:t>
            </w:r>
          </w:p>
        </w:tc>
        <w:tc>
          <w:tcPr>
            <w:tcW w:w="1602" w:type="dxa"/>
            <w:tcBorders>
              <w:top w:val="nil"/>
              <w:left w:val="nil"/>
              <w:bottom w:val="single" w:sz="4" w:space="0" w:color="auto"/>
              <w:right w:val="single" w:sz="4" w:space="0" w:color="auto"/>
            </w:tcBorders>
            <w:shd w:val="clear" w:color="auto" w:fill="auto"/>
            <w:noWrap/>
            <w:vAlign w:val="center"/>
            <w:hideMark/>
          </w:tcPr>
          <w:p w14:paraId="1FBF7D93" w14:textId="2A9014B8" w:rsidR="001E56FC" w:rsidRPr="00561B9D" w:rsidRDefault="00023057" w:rsidP="00554113">
            <w:pPr>
              <w:spacing w:after="0" w:line="240" w:lineRule="auto"/>
              <w:jc w:val="center"/>
              <w:rPr>
                <w:rFonts w:ascii="Arial" w:eastAsia="Times New Roman" w:hAnsi="Arial" w:cs="Arial"/>
                <w:b/>
                <w:bCs/>
                <w:color w:val="000000"/>
                <w:sz w:val="18"/>
                <w:szCs w:val="18"/>
                <w:lang w:eastAsia="es-MX"/>
              </w:rPr>
            </w:pPr>
            <w:r w:rsidRPr="00023057">
              <w:rPr>
                <w:rFonts w:ascii="Arial" w:eastAsia="Times New Roman" w:hAnsi="Arial" w:cs="Arial"/>
                <w:b/>
                <w:bCs/>
                <w:color w:val="000000"/>
                <w:sz w:val="18"/>
                <w:szCs w:val="18"/>
                <w:lang w:eastAsia="es-MX"/>
              </w:rPr>
              <w:t>44,345.4</w:t>
            </w:r>
          </w:p>
        </w:tc>
      </w:tr>
      <w:tr w:rsidR="001E56FC" w:rsidRPr="00561B9D" w14:paraId="0FF39749" w14:textId="77777777" w:rsidTr="00554113">
        <w:trPr>
          <w:trHeight w:val="240"/>
          <w:jc w:val="center"/>
        </w:trPr>
        <w:tc>
          <w:tcPr>
            <w:tcW w:w="4074" w:type="dxa"/>
            <w:tcBorders>
              <w:top w:val="nil"/>
              <w:left w:val="single" w:sz="4" w:space="0" w:color="auto"/>
              <w:bottom w:val="single" w:sz="4" w:space="0" w:color="auto"/>
              <w:right w:val="single" w:sz="4" w:space="0" w:color="auto"/>
            </w:tcBorders>
            <w:shd w:val="clear" w:color="auto" w:fill="AF8D95"/>
            <w:noWrap/>
            <w:vAlign w:val="center"/>
            <w:hideMark/>
          </w:tcPr>
          <w:p w14:paraId="310C9DC1" w14:textId="77777777" w:rsidR="001E56FC" w:rsidRPr="00561B9D" w:rsidRDefault="001E56FC" w:rsidP="00554113">
            <w:pPr>
              <w:spacing w:after="0" w:line="240" w:lineRule="auto"/>
              <w:rPr>
                <w:rFonts w:ascii="Arial" w:eastAsia="Times New Roman" w:hAnsi="Arial" w:cs="Arial"/>
                <w:i/>
                <w:iCs/>
                <w:color w:val="000000"/>
                <w:sz w:val="18"/>
                <w:szCs w:val="18"/>
                <w:lang w:eastAsia="es-MX"/>
              </w:rPr>
            </w:pPr>
            <w:r w:rsidRPr="00561B9D">
              <w:rPr>
                <w:rFonts w:ascii="Arial" w:eastAsia="Times New Roman" w:hAnsi="Arial" w:cs="Arial"/>
                <w:i/>
                <w:iCs/>
                <w:color w:val="000000"/>
                <w:sz w:val="18"/>
                <w:szCs w:val="18"/>
                <w:lang w:eastAsia="es-MX"/>
              </w:rPr>
              <w:t>Hojas</w:t>
            </w:r>
          </w:p>
        </w:tc>
        <w:tc>
          <w:tcPr>
            <w:tcW w:w="1123" w:type="dxa"/>
            <w:tcBorders>
              <w:top w:val="nil"/>
              <w:left w:val="nil"/>
              <w:bottom w:val="single" w:sz="4" w:space="0" w:color="auto"/>
              <w:right w:val="single" w:sz="4" w:space="0" w:color="auto"/>
            </w:tcBorders>
            <w:shd w:val="clear" w:color="auto" w:fill="AF8D95"/>
            <w:noWrap/>
            <w:vAlign w:val="center"/>
            <w:hideMark/>
          </w:tcPr>
          <w:p w14:paraId="4C0CB03B" w14:textId="7669539A" w:rsidR="001E56FC" w:rsidRPr="00561B9D" w:rsidRDefault="00023057" w:rsidP="00554113">
            <w:pPr>
              <w:spacing w:after="0" w:line="240" w:lineRule="auto"/>
              <w:jc w:val="center"/>
              <w:rPr>
                <w:rFonts w:ascii="Arial" w:eastAsia="Times New Roman" w:hAnsi="Arial" w:cs="Arial"/>
                <w:color w:val="000000"/>
                <w:sz w:val="18"/>
                <w:szCs w:val="18"/>
                <w:lang w:eastAsia="es-MX"/>
              </w:rPr>
            </w:pPr>
            <w:r w:rsidRPr="00023057">
              <w:rPr>
                <w:rFonts w:ascii="Arial" w:eastAsia="Times New Roman" w:hAnsi="Arial" w:cs="Arial"/>
                <w:color w:val="000000"/>
                <w:sz w:val="18"/>
                <w:szCs w:val="18"/>
                <w:lang w:eastAsia="es-MX"/>
              </w:rPr>
              <w:t>742,100.5</w:t>
            </w:r>
          </w:p>
        </w:tc>
        <w:tc>
          <w:tcPr>
            <w:tcW w:w="1602" w:type="dxa"/>
            <w:tcBorders>
              <w:top w:val="nil"/>
              <w:left w:val="nil"/>
              <w:bottom w:val="single" w:sz="4" w:space="0" w:color="auto"/>
              <w:right w:val="single" w:sz="4" w:space="0" w:color="auto"/>
            </w:tcBorders>
            <w:shd w:val="clear" w:color="auto" w:fill="AF8D95"/>
            <w:noWrap/>
            <w:vAlign w:val="center"/>
            <w:hideMark/>
          </w:tcPr>
          <w:p w14:paraId="1DD1AD57" w14:textId="52AF19AD" w:rsidR="001E56FC" w:rsidRPr="00561B9D" w:rsidRDefault="00023057" w:rsidP="00554113">
            <w:pPr>
              <w:spacing w:after="0" w:line="240" w:lineRule="auto"/>
              <w:jc w:val="center"/>
              <w:rPr>
                <w:rFonts w:ascii="Arial" w:eastAsia="Times New Roman" w:hAnsi="Arial" w:cs="Arial"/>
                <w:color w:val="000000"/>
                <w:sz w:val="18"/>
                <w:szCs w:val="18"/>
                <w:lang w:eastAsia="es-MX"/>
              </w:rPr>
            </w:pPr>
            <w:r w:rsidRPr="00023057">
              <w:rPr>
                <w:rFonts w:ascii="Arial" w:eastAsia="Times New Roman" w:hAnsi="Arial" w:cs="Arial"/>
                <w:color w:val="000000"/>
                <w:sz w:val="18"/>
                <w:szCs w:val="18"/>
                <w:lang w:eastAsia="es-MX"/>
              </w:rPr>
              <w:t>19,456.7</w:t>
            </w:r>
          </w:p>
        </w:tc>
      </w:tr>
      <w:tr w:rsidR="001E56FC" w:rsidRPr="00561B9D" w14:paraId="56C1BEBF" w14:textId="77777777" w:rsidTr="00554113">
        <w:trPr>
          <w:trHeight w:val="240"/>
          <w:jc w:val="center"/>
        </w:trPr>
        <w:tc>
          <w:tcPr>
            <w:tcW w:w="4074" w:type="dxa"/>
            <w:tcBorders>
              <w:top w:val="nil"/>
              <w:left w:val="single" w:sz="4" w:space="0" w:color="auto"/>
              <w:bottom w:val="single" w:sz="4" w:space="0" w:color="auto"/>
              <w:right w:val="single" w:sz="4" w:space="0" w:color="auto"/>
            </w:tcBorders>
            <w:shd w:val="clear" w:color="auto" w:fill="auto"/>
            <w:noWrap/>
            <w:vAlign w:val="center"/>
            <w:hideMark/>
          </w:tcPr>
          <w:p w14:paraId="0EFF733C" w14:textId="77777777" w:rsidR="001E56FC" w:rsidRPr="00561B9D" w:rsidRDefault="001E56FC" w:rsidP="00554113">
            <w:pPr>
              <w:spacing w:after="0" w:line="240" w:lineRule="auto"/>
              <w:rPr>
                <w:rFonts w:ascii="Arial" w:eastAsia="Times New Roman" w:hAnsi="Arial" w:cs="Arial"/>
                <w:i/>
                <w:iCs/>
                <w:color w:val="000000"/>
                <w:sz w:val="18"/>
                <w:szCs w:val="18"/>
                <w:lang w:eastAsia="es-MX"/>
              </w:rPr>
            </w:pPr>
            <w:proofErr w:type="spellStart"/>
            <w:r w:rsidRPr="00561B9D">
              <w:rPr>
                <w:rFonts w:ascii="Arial" w:eastAsia="Times New Roman" w:hAnsi="Arial" w:cs="Arial"/>
                <w:i/>
                <w:iCs/>
                <w:color w:val="000000"/>
                <w:sz w:val="18"/>
                <w:szCs w:val="18"/>
                <w:lang w:eastAsia="es-MX"/>
              </w:rPr>
              <w:t>Hashis</w:t>
            </w:r>
            <w:proofErr w:type="spellEnd"/>
          </w:p>
        </w:tc>
        <w:tc>
          <w:tcPr>
            <w:tcW w:w="1123" w:type="dxa"/>
            <w:tcBorders>
              <w:top w:val="nil"/>
              <w:left w:val="nil"/>
              <w:bottom w:val="single" w:sz="4" w:space="0" w:color="auto"/>
              <w:right w:val="single" w:sz="4" w:space="0" w:color="auto"/>
            </w:tcBorders>
            <w:shd w:val="clear" w:color="auto" w:fill="auto"/>
            <w:noWrap/>
            <w:vAlign w:val="center"/>
            <w:hideMark/>
          </w:tcPr>
          <w:p w14:paraId="78F4829C" w14:textId="274B5C44" w:rsidR="001E56FC" w:rsidRPr="00561B9D" w:rsidRDefault="00023057" w:rsidP="00554113">
            <w:pPr>
              <w:spacing w:after="0" w:line="240" w:lineRule="auto"/>
              <w:jc w:val="center"/>
              <w:rPr>
                <w:rFonts w:ascii="Arial" w:eastAsia="Times New Roman" w:hAnsi="Arial" w:cs="Arial"/>
                <w:color w:val="000000"/>
                <w:sz w:val="18"/>
                <w:szCs w:val="18"/>
                <w:lang w:eastAsia="es-MX"/>
              </w:rPr>
            </w:pPr>
            <w:r w:rsidRPr="00023057">
              <w:rPr>
                <w:rFonts w:ascii="Arial" w:eastAsia="Times New Roman" w:hAnsi="Arial" w:cs="Arial"/>
                <w:color w:val="000000"/>
                <w:sz w:val="18"/>
                <w:szCs w:val="18"/>
                <w:lang w:eastAsia="es-MX"/>
              </w:rPr>
              <w:t>165.5</w:t>
            </w:r>
          </w:p>
        </w:tc>
        <w:tc>
          <w:tcPr>
            <w:tcW w:w="1602" w:type="dxa"/>
            <w:tcBorders>
              <w:top w:val="nil"/>
              <w:left w:val="nil"/>
              <w:bottom w:val="single" w:sz="4" w:space="0" w:color="auto"/>
              <w:right w:val="single" w:sz="4" w:space="0" w:color="auto"/>
            </w:tcBorders>
            <w:shd w:val="clear" w:color="auto" w:fill="auto"/>
            <w:noWrap/>
            <w:vAlign w:val="center"/>
            <w:hideMark/>
          </w:tcPr>
          <w:p w14:paraId="57439541" w14:textId="049DD234" w:rsidR="001E56FC" w:rsidRPr="00561B9D" w:rsidRDefault="00023057" w:rsidP="00554113">
            <w:pPr>
              <w:spacing w:after="0" w:line="240" w:lineRule="auto"/>
              <w:jc w:val="center"/>
              <w:rPr>
                <w:rFonts w:ascii="Arial" w:eastAsia="Times New Roman" w:hAnsi="Arial" w:cs="Arial"/>
                <w:color w:val="000000"/>
                <w:sz w:val="18"/>
                <w:szCs w:val="18"/>
                <w:lang w:eastAsia="es-MX"/>
              </w:rPr>
            </w:pPr>
            <w:r w:rsidRPr="00023057">
              <w:rPr>
                <w:rFonts w:ascii="Arial" w:eastAsia="Times New Roman" w:hAnsi="Arial" w:cs="Arial"/>
                <w:color w:val="000000"/>
                <w:sz w:val="18"/>
                <w:szCs w:val="18"/>
                <w:lang w:eastAsia="es-MX"/>
              </w:rPr>
              <w:t>91.8</w:t>
            </w:r>
          </w:p>
        </w:tc>
      </w:tr>
      <w:tr w:rsidR="001E56FC" w:rsidRPr="00561B9D" w14:paraId="3AF93C66" w14:textId="77777777" w:rsidTr="00554113">
        <w:trPr>
          <w:trHeight w:val="240"/>
          <w:jc w:val="center"/>
        </w:trPr>
        <w:tc>
          <w:tcPr>
            <w:tcW w:w="4074" w:type="dxa"/>
            <w:tcBorders>
              <w:top w:val="nil"/>
              <w:left w:val="single" w:sz="4" w:space="0" w:color="auto"/>
              <w:bottom w:val="single" w:sz="4" w:space="0" w:color="auto"/>
              <w:right w:val="single" w:sz="4" w:space="0" w:color="auto"/>
            </w:tcBorders>
            <w:shd w:val="clear" w:color="auto" w:fill="AF8D95"/>
            <w:noWrap/>
            <w:vAlign w:val="center"/>
            <w:hideMark/>
          </w:tcPr>
          <w:p w14:paraId="61BF80F3" w14:textId="77777777" w:rsidR="001E56FC" w:rsidRPr="00561B9D" w:rsidRDefault="001E56FC" w:rsidP="00554113">
            <w:pPr>
              <w:spacing w:after="0" w:line="240" w:lineRule="auto"/>
              <w:rPr>
                <w:rFonts w:ascii="Arial" w:eastAsia="Times New Roman" w:hAnsi="Arial" w:cs="Arial"/>
                <w:i/>
                <w:iCs/>
                <w:color w:val="000000"/>
                <w:sz w:val="18"/>
                <w:szCs w:val="18"/>
                <w:lang w:eastAsia="es-MX"/>
              </w:rPr>
            </w:pPr>
            <w:r w:rsidRPr="00561B9D">
              <w:rPr>
                <w:rFonts w:ascii="Arial" w:eastAsia="Times New Roman" w:hAnsi="Arial" w:cs="Arial"/>
                <w:i/>
                <w:iCs/>
                <w:color w:val="000000"/>
                <w:sz w:val="18"/>
                <w:szCs w:val="18"/>
                <w:lang w:eastAsia="es-MX"/>
              </w:rPr>
              <w:t>Semillas</w:t>
            </w:r>
          </w:p>
        </w:tc>
        <w:tc>
          <w:tcPr>
            <w:tcW w:w="1123" w:type="dxa"/>
            <w:tcBorders>
              <w:top w:val="nil"/>
              <w:left w:val="nil"/>
              <w:bottom w:val="single" w:sz="4" w:space="0" w:color="auto"/>
              <w:right w:val="single" w:sz="4" w:space="0" w:color="auto"/>
            </w:tcBorders>
            <w:shd w:val="clear" w:color="auto" w:fill="AF8D95"/>
            <w:noWrap/>
            <w:vAlign w:val="center"/>
            <w:hideMark/>
          </w:tcPr>
          <w:p w14:paraId="0AC2C2C5" w14:textId="0AEB30CA" w:rsidR="001E56FC" w:rsidRPr="00561B9D" w:rsidRDefault="00023057" w:rsidP="00554113">
            <w:pPr>
              <w:spacing w:after="0" w:line="240" w:lineRule="auto"/>
              <w:jc w:val="center"/>
              <w:rPr>
                <w:rFonts w:ascii="Arial" w:eastAsia="Times New Roman" w:hAnsi="Arial" w:cs="Arial"/>
                <w:color w:val="000000"/>
                <w:sz w:val="18"/>
                <w:szCs w:val="18"/>
                <w:lang w:eastAsia="es-MX"/>
              </w:rPr>
            </w:pPr>
            <w:r w:rsidRPr="00023057">
              <w:rPr>
                <w:rFonts w:ascii="Arial" w:eastAsia="Times New Roman" w:hAnsi="Arial" w:cs="Arial"/>
                <w:color w:val="000000"/>
                <w:sz w:val="18"/>
                <w:szCs w:val="18"/>
                <w:lang w:eastAsia="es-MX"/>
              </w:rPr>
              <w:t>88.6</w:t>
            </w:r>
          </w:p>
        </w:tc>
        <w:tc>
          <w:tcPr>
            <w:tcW w:w="1602" w:type="dxa"/>
            <w:tcBorders>
              <w:top w:val="nil"/>
              <w:left w:val="nil"/>
              <w:bottom w:val="single" w:sz="4" w:space="0" w:color="auto"/>
              <w:right w:val="single" w:sz="4" w:space="0" w:color="auto"/>
            </w:tcBorders>
            <w:shd w:val="clear" w:color="auto" w:fill="AF8D95"/>
            <w:noWrap/>
            <w:vAlign w:val="center"/>
            <w:hideMark/>
          </w:tcPr>
          <w:p w14:paraId="6CB6C6E5" w14:textId="01BD15AA" w:rsidR="001E56FC" w:rsidRPr="00561B9D" w:rsidRDefault="00023057" w:rsidP="00554113">
            <w:pPr>
              <w:spacing w:after="0" w:line="240" w:lineRule="auto"/>
              <w:jc w:val="center"/>
              <w:rPr>
                <w:rFonts w:ascii="Arial" w:eastAsia="Times New Roman" w:hAnsi="Arial" w:cs="Arial"/>
                <w:color w:val="000000"/>
                <w:sz w:val="18"/>
                <w:szCs w:val="18"/>
                <w:lang w:eastAsia="es-MX"/>
              </w:rPr>
            </w:pPr>
            <w:r w:rsidRPr="00023057">
              <w:rPr>
                <w:rFonts w:ascii="Arial" w:eastAsia="Times New Roman" w:hAnsi="Arial" w:cs="Arial"/>
                <w:color w:val="000000"/>
                <w:sz w:val="18"/>
                <w:szCs w:val="18"/>
                <w:lang w:eastAsia="es-MX"/>
              </w:rPr>
              <w:t>4,586.5</w:t>
            </w:r>
          </w:p>
        </w:tc>
      </w:tr>
      <w:tr w:rsidR="001E56FC" w:rsidRPr="00561B9D" w14:paraId="1F9D5C9A" w14:textId="77777777" w:rsidTr="00554113">
        <w:trPr>
          <w:trHeight w:val="240"/>
          <w:jc w:val="center"/>
        </w:trPr>
        <w:tc>
          <w:tcPr>
            <w:tcW w:w="4074" w:type="dxa"/>
            <w:tcBorders>
              <w:top w:val="nil"/>
              <w:left w:val="single" w:sz="4" w:space="0" w:color="auto"/>
              <w:bottom w:val="single" w:sz="4" w:space="0" w:color="auto"/>
              <w:right w:val="single" w:sz="4" w:space="0" w:color="auto"/>
            </w:tcBorders>
            <w:shd w:val="clear" w:color="auto" w:fill="auto"/>
            <w:noWrap/>
            <w:vAlign w:val="center"/>
            <w:hideMark/>
          </w:tcPr>
          <w:p w14:paraId="068EDC9D" w14:textId="77777777" w:rsidR="001E56FC" w:rsidRPr="00561B9D" w:rsidRDefault="001E56FC" w:rsidP="00554113">
            <w:pPr>
              <w:spacing w:after="0" w:line="240" w:lineRule="auto"/>
              <w:rPr>
                <w:rFonts w:ascii="Arial" w:eastAsia="Times New Roman" w:hAnsi="Arial" w:cs="Arial"/>
                <w:i/>
                <w:iCs/>
                <w:color w:val="000000"/>
                <w:sz w:val="18"/>
                <w:szCs w:val="18"/>
                <w:lang w:eastAsia="es-MX"/>
              </w:rPr>
            </w:pPr>
            <w:r w:rsidRPr="00561B9D">
              <w:rPr>
                <w:rFonts w:ascii="Arial" w:eastAsia="Times New Roman" w:hAnsi="Arial" w:cs="Arial"/>
                <w:i/>
                <w:iCs/>
                <w:color w:val="000000"/>
                <w:sz w:val="18"/>
                <w:szCs w:val="18"/>
                <w:lang w:eastAsia="es-MX"/>
              </w:rPr>
              <w:t>Plantas</w:t>
            </w:r>
          </w:p>
        </w:tc>
        <w:tc>
          <w:tcPr>
            <w:tcW w:w="1123" w:type="dxa"/>
            <w:tcBorders>
              <w:top w:val="nil"/>
              <w:left w:val="nil"/>
              <w:bottom w:val="single" w:sz="4" w:space="0" w:color="auto"/>
              <w:right w:val="single" w:sz="4" w:space="0" w:color="auto"/>
            </w:tcBorders>
            <w:shd w:val="clear" w:color="auto" w:fill="auto"/>
            <w:noWrap/>
            <w:vAlign w:val="center"/>
            <w:hideMark/>
          </w:tcPr>
          <w:p w14:paraId="31B2386C" w14:textId="77777777" w:rsidR="001E56FC" w:rsidRPr="00561B9D" w:rsidRDefault="001E56FC" w:rsidP="00554113">
            <w:pPr>
              <w:spacing w:after="0" w:line="240" w:lineRule="auto"/>
              <w:jc w:val="center"/>
              <w:rPr>
                <w:rFonts w:ascii="Arial" w:eastAsia="Times New Roman" w:hAnsi="Arial" w:cs="Arial"/>
                <w:color w:val="000000"/>
                <w:sz w:val="18"/>
                <w:szCs w:val="18"/>
                <w:lang w:eastAsia="es-MX"/>
              </w:rPr>
            </w:pPr>
            <w:r w:rsidRPr="00561B9D">
              <w:rPr>
                <w:rFonts w:ascii="Arial" w:eastAsia="Times New Roman" w:hAnsi="Arial" w:cs="Arial"/>
                <w:color w:val="000000"/>
                <w:sz w:val="18"/>
                <w:szCs w:val="18"/>
                <w:lang w:eastAsia="es-MX"/>
              </w:rPr>
              <w:t>*</w:t>
            </w:r>
          </w:p>
        </w:tc>
        <w:tc>
          <w:tcPr>
            <w:tcW w:w="1602" w:type="dxa"/>
            <w:tcBorders>
              <w:top w:val="nil"/>
              <w:left w:val="nil"/>
              <w:bottom w:val="single" w:sz="4" w:space="0" w:color="auto"/>
              <w:right w:val="single" w:sz="4" w:space="0" w:color="auto"/>
            </w:tcBorders>
            <w:shd w:val="clear" w:color="auto" w:fill="auto"/>
            <w:noWrap/>
            <w:vAlign w:val="center"/>
            <w:hideMark/>
          </w:tcPr>
          <w:p w14:paraId="1D2B425B" w14:textId="73989D46" w:rsidR="001E56FC" w:rsidRPr="00561B9D" w:rsidRDefault="00023057" w:rsidP="00554113">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18,650.0</w:t>
            </w:r>
          </w:p>
        </w:tc>
      </w:tr>
      <w:tr w:rsidR="001E56FC" w:rsidRPr="00561B9D" w14:paraId="13F75FB3" w14:textId="77777777" w:rsidTr="00554113">
        <w:trPr>
          <w:trHeight w:val="240"/>
          <w:jc w:val="center"/>
        </w:trPr>
        <w:tc>
          <w:tcPr>
            <w:tcW w:w="4074" w:type="dxa"/>
            <w:tcBorders>
              <w:top w:val="nil"/>
              <w:left w:val="single" w:sz="4" w:space="0" w:color="auto"/>
              <w:bottom w:val="single" w:sz="4" w:space="0" w:color="auto"/>
              <w:right w:val="single" w:sz="4" w:space="0" w:color="auto"/>
            </w:tcBorders>
            <w:shd w:val="clear" w:color="auto" w:fill="AF8D95"/>
            <w:vAlign w:val="center"/>
            <w:hideMark/>
          </w:tcPr>
          <w:p w14:paraId="72F6349E" w14:textId="77777777" w:rsidR="001E56FC" w:rsidRPr="00561B9D" w:rsidRDefault="001E56FC" w:rsidP="00554113">
            <w:pPr>
              <w:spacing w:after="0" w:line="240" w:lineRule="auto"/>
              <w:rPr>
                <w:rFonts w:ascii="Arial" w:eastAsia="Times New Roman" w:hAnsi="Arial" w:cs="Arial"/>
                <w:i/>
                <w:iCs/>
                <w:color w:val="000000"/>
                <w:sz w:val="18"/>
                <w:szCs w:val="18"/>
                <w:lang w:eastAsia="es-MX"/>
              </w:rPr>
            </w:pPr>
            <w:r w:rsidRPr="00561B9D">
              <w:rPr>
                <w:rFonts w:ascii="Arial" w:eastAsia="Times New Roman" w:hAnsi="Arial" w:cs="Arial"/>
                <w:i/>
                <w:iCs/>
                <w:color w:val="000000"/>
                <w:sz w:val="18"/>
                <w:szCs w:val="18"/>
                <w:lang w:eastAsia="es-MX"/>
              </w:rPr>
              <w:t>No especificado</w:t>
            </w:r>
          </w:p>
        </w:tc>
        <w:tc>
          <w:tcPr>
            <w:tcW w:w="1123" w:type="dxa"/>
            <w:tcBorders>
              <w:top w:val="nil"/>
              <w:left w:val="nil"/>
              <w:bottom w:val="single" w:sz="4" w:space="0" w:color="auto"/>
              <w:right w:val="single" w:sz="4" w:space="0" w:color="auto"/>
            </w:tcBorders>
            <w:shd w:val="clear" w:color="auto" w:fill="AF8D95"/>
            <w:noWrap/>
            <w:vAlign w:val="center"/>
            <w:hideMark/>
          </w:tcPr>
          <w:p w14:paraId="6A4D85D6" w14:textId="2853D0AA" w:rsidR="001E56FC" w:rsidRPr="00561B9D" w:rsidRDefault="00023057" w:rsidP="00554113">
            <w:pPr>
              <w:spacing w:after="0" w:line="240" w:lineRule="auto"/>
              <w:jc w:val="center"/>
              <w:rPr>
                <w:rFonts w:ascii="Arial" w:eastAsia="Times New Roman" w:hAnsi="Arial" w:cs="Arial"/>
                <w:color w:val="000000"/>
                <w:sz w:val="18"/>
                <w:szCs w:val="18"/>
                <w:lang w:eastAsia="es-MX"/>
              </w:rPr>
            </w:pPr>
            <w:r w:rsidRPr="00023057">
              <w:rPr>
                <w:rFonts w:ascii="Arial" w:eastAsia="Times New Roman" w:hAnsi="Arial" w:cs="Arial"/>
                <w:color w:val="000000"/>
                <w:sz w:val="18"/>
                <w:szCs w:val="18"/>
                <w:lang w:eastAsia="es-MX"/>
              </w:rPr>
              <w:t>2,410.0</w:t>
            </w:r>
          </w:p>
        </w:tc>
        <w:tc>
          <w:tcPr>
            <w:tcW w:w="1602" w:type="dxa"/>
            <w:tcBorders>
              <w:top w:val="nil"/>
              <w:left w:val="nil"/>
              <w:bottom w:val="single" w:sz="4" w:space="0" w:color="auto"/>
              <w:right w:val="single" w:sz="4" w:space="0" w:color="auto"/>
            </w:tcBorders>
            <w:shd w:val="clear" w:color="auto" w:fill="AF8D95"/>
            <w:noWrap/>
            <w:vAlign w:val="center"/>
            <w:hideMark/>
          </w:tcPr>
          <w:p w14:paraId="3B144712" w14:textId="4E68F041" w:rsidR="001E56FC" w:rsidRPr="00561B9D" w:rsidRDefault="00023057" w:rsidP="00554113">
            <w:pPr>
              <w:spacing w:after="0" w:line="240" w:lineRule="auto"/>
              <w:jc w:val="center"/>
              <w:rPr>
                <w:rFonts w:ascii="Arial" w:eastAsia="Times New Roman" w:hAnsi="Arial" w:cs="Arial"/>
                <w:color w:val="000000"/>
                <w:sz w:val="18"/>
                <w:szCs w:val="18"/>
                <w:lang w:eastAsia="es-MX"/>
              </w:rPr>
            </w:pPr>
            <w:r w:rsidRPr="00023057">
              <w:rPr>
                <w:rFonts w:ascii="Arial" w:eastAsia="Times New Roman" w:hAnsi="Arial" w:cs="Arial"/>
                <w:color w:val="000000"/>
                <w:sz w:val="18"/>
                <w:szCs w:val="18"/>
                <w:lang w:eastAsia="es-MX"/>
              </w:rPr>
              <w:t>1,560.3</w:t>
            </w:r>
          </w:p>
        </w:tc>
      </w:tr>
      <w:tr w:rsidR="001E56FC" w:rsidRPr="00561B9D" w14:paraId="0571AEE7" w14:textId="77777777" w:rsidTr="00554113">
        <w:trPr>
          <w:trHeight w:val="240"/>
          <w:jc w:val="center"/>
        </w:trPr>
        <w:tc>
          <w:tcPr>
            <w:tcW w:w="6799" w:type="dxa"/>
            <w:gridSpan w:val="3"/>
            <w:tcBorders>
              <w:top w:val="single" w:sz="4" w:space="0" w:color="auto"/>
              <w:left w:val="single" w:sz="4" w:space="0" w:color="auto"/>
              <w:bottom w:val="single" w:sz="4" w:space="0" w:color="auto"/>
              <w:right w:val="single" w:sz="4" w:space="0" w:color="auto"/>
            </w:tcBorders>
            <w:shd w:val="clear" w:color="auto" w:fill="511427"/>
            <w:noWrap/>
            <w:vAlign w:val="center"/>
            <w:hideMark/>
          </w:tcPr>
          <w:p w14:paraId="141F078F"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Metanfetamina</w:t>
            </w:r>
          </w:p>
        </w:tc>
      </w:tr>
      <w:tr w:rsidR="001E56FC" w:rsidRPr="00561B9D" w14:paraId="2563719B" w14:textId="77777777" w:rsidTr="00554113">
        <w:trPr>
          <w:trHeight w:val="240"/>
          <w:jc w:val="center"/>
        </w:trPr>
        <w:tc>
          <w:tcPr>
            <w:tcW w:w="4074" w:type="dxa"/>
            <w:tcBorders>
              <w:top w:val="nil"/>
              <w:left w:val="single" w:sz="4" w:space="0" w:color="auto"/>
              <w:bottom w:val="single" w:sz="4" w:space="0" w:color="auto"/>
              <w:right w:val="single" w:sz="4" w:space="0" w:color="auto"/>
            </w:tcBorders>
            <w:shd w:val="clear" w:color="auto" w:fill="804053"/>
            <w:noWrap/>
            <w:vAlign w:val="center"/>
            <w:hideMark/>
          </w:tcPr>
          <w:p w14:paraId="754F7F00"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 </w:t>
            </w:r>
          </w:p>
        </w:tc>
        <w:tc>
          <w:tcPr>
            <w:tcW w:w="1123" w:type="dxa"/>
            <w:tcBorders>
              <w:top w:val="nil"/>
              <w:left w:val="nil"/>
              <w:bottom w:val="single" w:sz="4" w:space="0" w:color="auto"/>
              <w:right w:val="single" w:sz="4" w:space="0" w:color="auto"/>
            </w:tcBorders>
            <w:shd w:val="clear" w:color="auto" w:fill="804053"/>
            <w:noWrap/>
            <w:vAlign w:val="center"/>
            <w:hideMark/>
          </w:tcPr>
          <w:p w14:paraId="05C80DDA"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2019</w:t>
            </w:r>
          </w:p>
        </w:tc>
        <w:tc>
          <w:tcPr>
            <w:tcW w:w="1602" w:type="dxa"/>
            <w:tcBorders>
              <w:top w:val="nil"/>
              <w:left w:val="nil"/>
              <w:bottom w:val="single" w:sz="4" w:space="0" w:color="auto"/>
              <w:right w:val="single" w:sz="4" w:space="0" w:color="auto"/>
            </w:tcBorders>
            <w:shd w:val="clear" w:color="auto" w:fill="804053"/>
            <w:noWrap/>
            <w:vAlign w:val="center"/>
            <w:hideMark/>
          </w:tcPr>
          <w:p w14:paraId="66C81891"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2020</w:t>
            </w:r>
          </w:p>
        </w:tc>
      </w:tr>
      <w:tr w:rsidR="001E56FC" w:rsidRPr="00561B9D" w14:paraId="1DAF521E" w14:textId="77777777" w:rsidTr="00554113">
        <w:trPr>
          <w:trHeight w:val="240"/>
          <w:jc w:val="center"/>
        </w:trPr>
        <w:tc>
          <w:tcPr>
            <w:tcW w:w="4074" w:type="dxa"/>
            <w:tcBorders>
              <w:top w:val="nil"/>
              <w:left w:val="single" w:sz="4" w:space="0" w:color="auto"/>
              <w:bottom w:val="single" w:sz="4" w:space="0" w:color="auto"/>
              <w:right w:val="single" w:sz="4" w:space="0" w:color="auto"/>
            </w:tcBorders>
            <w:shd w:val="clear" w:color="auto" w:fill="auto"/>
            <w:noWrap/>
            <w:vAlign w:val="center"/>
            <w:hideMark/>
          </w:tcPr>
          <w:p w14:paraId="730A159B" w14:textId="77777777" w:rsidR="001E56FC" w:rsidRPr="00561B9D" w:rsidRDefault="001E56FC" w:rsidP="00554113">
            <w:pPr>
              <w:spacing w:after="0" w:line="240" w:lineRule="auto"/>
              <w:rPr>
                <w:rFonts w:ascii="Arial" w:eastAsia="Times New Roman" w:hAnsi="Arial" w:cs="Arial"/>
                <w:color w:val="000000"/>
                <w:sz w:val="18"/>
                <w:szCs w:val="18"/>
                <w:lang w:eastAsia="es-MX"/>
              </w:rPr>
            </w:pPr>
            <w:proofErr w:type="gramStart"/>
            <w:r w:rsidRPr="00561B9D">
              <w:rPr>
                <w:rFonts w:ascii="Arial" w:eastAsia="Times New Roman" w:hAnsi="Arial" w:cs="Arial"/>
                <w:color w:val="000000"/>
                <w:sz w:val="18"/>
                <w:szCs w:val="18"/>
                <w:lang w:eastAsia="es-MX"/>
              </w:rPr>
              <w:t>Total</w:t>
            </w:r>
            <w:proofErr w:type="gramEnd"/>
            <w:r w:rsidRPr="00561B9D">
              <w:rPr>
                <w:rFonts w:ascii="Arial" w:eastAsia="Times New Roman" w:hAnsi="Arial" w:cs="Arial"/>
                <w:color w:val="000000"/>
                <w:sz w:val="18"/>
                <w:szCs w:val="18"/>
                <w:lang w:eastAsia="es-MX"/>
              </w:rPr>
              <w:t xml:space="preserve"> en kilogramos</w:t>
            </w:r>
          </w:p>
        </w:tc>
        <w:tc>
          <w:tcPr>
            <w:tcW w:w="1123" w:type="dxa"/>
            <w:tcBorders>
              <w:top w:val="nil"/>
              <w:left w:val="nil"/>
              <w:bottom w:val="single" w:sz="4" w:space="0" w:color="auto"/>
              <w:right w:val="single" w:sz="4" w:space="0" w:color="auto"/>
            </w:tcBorders>
            <w:shd w:val="clear" w:color="auto" w:fill="auto"/>
            <w:noWrap/>
            <w:vAlign w:val="center"/>
            <w:hideMark/>
          </w:tcPr>
          <w:p w14:paraId="64EBD464" w14:textId="1486EC78" w:rsidR="001E56FC" w:rsidRPr="00561B9D" w:rsidRDefault="00023057" w:rsidP="00554113">
            <w:pPr>
              <w:spacing w:after="0" w:line="240" w:lineRule="auto"/>
              <w:jc w:val="center"/>
              <w:rPr>
                <w:rFonts w:ascii="Arial" w:eastAsia="Times New Roman" w:hAnsi="Arial" w:cs="Arial"/>
                <w:color w:val="000000"/>
                <w:sz w:val="18"/>
                <w:szCs w:val="18"/>
                <w:lang w:eastAsia="es-MX"/>
              </w:rPr>
            </w:pPr>
            <w:r w:rsidRPr="00023057">
              <w:rPr>
                <w:rFonts w:ascii="Arial" w:eastAsia="Times New Roman" w:hAnsi="Arial" w:cs="Arial"/>
                <w:color w:val="000000"/>
                <w:sz w:val="18"/>
                <w:szCs w:val="18"/>
                <w:lang w:eastAsia="es-MX"/>
              </w:rPr>
              <w:t>13,409.7</w:t>
            </w:r>
          </w:p>
        </w:tc>
        <w:tc>
          <w:tcPr>
            <w:tcW w:w="1602" w:type="dxa"/>
            <w:tcBorders>
              <w:top w:val="nil"/>
              <w:left w:val="nil"/>
              <w:bottom w:val="single" w:sz="4" w:space="0" w:color="auto"/>
              <w:right w:val="single" w:sz="4" w:space="0" w:color="auto"/>
            </w:tcBorders>
            <w:shd w:val="clear" w:color="auto" w:fill="auto"/>
            <w:noWrap/>
            <w:vAlign w:val="center"/>
            <w:hideMark/>
          </w:tcPr>
          <w:p w14:paraId="463FEE8C" w14:textId="1E8A0181" w:rsidR="001E56FC" w:rsidRPr="00561B9D" w:rsidRDefault="00023057" w:rsidP="00554113">
            <w:pPr>
              <w:spacing w:after="0" w:line="240" w:lineRule="auto"/>
              <w:jc w:val="center"/>
              <w:rPr>
                <w:rFonts w:ascii="Arial" w:eastAsia="Times New Roman" w:hAnsi="Arial" w:cs="Arial"/>
                <w:color w:val="000000"/>
                <w:sz w:val="18"/>
                <w:szCs w:val="18"/>
                <w:lang w:eastAsia="es-MX"/>
              </w:rPr>
            </w:pPr>
            <w:r w:rsidRPr="00023057">
              <w:rPr>
                <w:rFonts w:ascii="Arial" w:eastAsia="Times New Roman" w:hAnsi="Arial" w:cs="Arial"/>
                <w:color w:val="000000"/>
                <w:sz w:val="18"/>
                <w:szCs w:val="18"/>
                <w:lang w:eastAsia="es-MX"/>
              </w:rPr>
              <w:t>593.7</w:t>
            </w:r>
          </w:p>
        </w:tc>
      </w:tr>
      <w:tr w:rsidR="001E56FC" w:rsidRPr="00561B9D" w14:paraId="6B919970" w14:textId="77777777" w:rsidTr="00554113">
        <w:trPr>
          <w:trHeight w:val="240"/>
          <w:jc w:val="center"/>
        </w:trPr>
        <w:tc>
          <w:tcPr>
            <w:tcW w:w="4074" w:type="dxa"/>
            <w:tcBorders>
              <w:top w:val="nil"/>
              <w:left w:val="single" w:sz="4" w:space="0" w:color="auto"/>
              <w:bottom w:val="single" w:sz="4" w:space="0" w:color="auto"/>
              <w:right w:val="single" w:sz="4" w:space="0" w:color="auto"/>
            </w:tcBorders>
            <w:shd w:val="clear" w:color="auto" w:fill="AF8D95"/>
            <w:noWrap/>
            <w:vAlign w:val="center"/>
            <w:hideMark/>
          </w:tcPr>
          <w:p w14:paraId="69EE19E5" w14:textId="77777777" w:rsidR="001E56FC" w:rsidRPr="00561B9D" w:rsidRDefault="001E56FC" w:rsidP="00554113">
            <w:pPr>
              <w:spacing w:after="0" w:line="240" w:lineRule="auto"/>
              <w:rPr>
                <w:rFonts w:ascii="Arial" w:eastAsia="Times New Roman" w:hAnsi="Arial" w:cs="Arial"/>
                <w:color w:val="000000"/>
                <w:sz w:val="18"/>
                <w:szCs w:val="18"/>
                <w:lang w:eastAsia="es-MX"/>
              </w:rPr>
            </w:pPr>
            <w:proofErr w:type="gramStart"/>
            <w:r w:rsidRPr="00561B9D">
              <w:rPr>
                <w:rFonts w:ascii="Arial" w:eastAsia="Times New Roman" w:hAnsi="Arial" w:cs="Arial"/>
                <w:color w:val="000000"/>
                <w:sz w:val="18"/>
                <w:szCs w:val="18"/>
                <w:lang w:eastAsia="es-MX"/>
              </w:rPr>
              <w:t>Total</w:t>
            </w:r>
            <w:proofErr w:type="gramEnd"/>
            <w:r w:rsidRPr="00561B9D">
              <w:rPr>
                <w:rFonts w:ascii="Arial" w:eastAsia="Times New Roman" w:hAnsi="Arial" w:cs="Arial"/>
                <w:color w:val="000000"/>
                <w:sz w:val="18"/>
                <w:szCs w:val="18"/>
                <w:lang w:eastAsia="es-MX"/>
              </w:rPr>
              <w:t xml:space="preserve"> por unidad (tableta o cápsula)</w:t>
            </w:r>
          </w:p>
        </w:tc>
        <w:tc>
          <w:tcPr>
            <w:tcW w:w="1123" w:type="dxa"/>
            <w:tcBorders>
              <w:top w:val="nil"/>
              <w:left w:val="nil"/>
              <w:bottom w:val="single" w:sz="4" w:space="0" w:color="auto"/>
              <w:right w:val="single" w:sz="4" w:space="0" w:color="auto"/>
            </w:tcBorders>
            <w:shd w:val="clear" w:color="auto" w:fill="AF8D95"/>
            <w:noWrap/>
            <w:vAlign w:val="center"/>
            <w:hideMark/>
          </w:tcPr>
          <w:p w14:paraId="6E644D97" w14:textId="1050802F" w:rsidR="001E56FC" w:rsidRPr="00561B9D" w:rsidRDefault="00023057" w:rsidP="00554113">
            <w:pPr>
              <w:spacing w:after="0" w:line="240" w:lineRule="auto"/>
              <w:jc w:val="center"/>
              <w:rPr>
                <w:rFonts w:ascii="Arial" w:eastAsia="Times New Roman" w:hAnsi="Arial" w:cs="Arial"/>
                <w:color w:val="000000"/>
                <w:sz w:val="18"/>
                <w:szCs w:val="18"/>
                <w:lang w:eastAsia="es-MX"/>
              </w:rPr>
            </w:pPr>
            <w:r w:rsidRPr="00023057">
              <w:rPr>
                <w:rFonts w:ascii="Arial" w:eastAsia="Times New Roman" w:hAnsi="Arial" w:cs="Arial"/>
                <w:color w:val="000000"/>
                <w:sz w:val="18"/>
                <w:szCs w:val="18"/>
                <w:lang w:eastAsia="es-MX"/>
              </w:rPr>
              <w:t>293,844</w:t>
            </w:r>
          </w:p>
        </w:tc>
        <w:tc>
          <w:tcPr>
            <w:tcW w:w="1602" w:type="dxa"/>
            <w:tcBorders>
              <w:top w:val="nil"/>
              <w:left w:val="nil"/>
              <w:bottom w:val="single" w:sz="4" w:space="0" w:color="auto"/>
              <w:right w:val="single" w:sz="4" w:space="0" w:color="auto"/>
            </w:tcBorders>
            <w:shd w:val="clear" w:color="auto" w:fill="AF8D95"/>
            <w:noWrap/>
            <w:vAlign w:val="center"/>
            <w:hideMark/>
          </w:tcPr>
          <w:p w14:paraId="19018D2C" w14:textId="1E5FAD36" w:rsidR="001E56FC" w:rsidRPr="00561B9D" w:rsidRDefault="00023057" w:rsidP="00554113">
            <w:pPr>
              <w:spacing w:after="0" w:line="240" w:lineRule="auto"/>
              <w:jc w:val="center"/>
              <w:rPr>
                <w:rFonts w:ascii="Arial" w:eastAsia="Times New Roman" w:hAnsi="Arial" w:cs="Arial"/>
                <w:color w:val="000000"/>
                <w:sz w:val="18"/>
                <w:szCs w:val="18"/>
                <w:lang w:eastAsia="es-MX"/>
              </w:rPr>
            </w:pPr>
            <w:r w:rsidRPr="00023057">
              <w:rPr>
                <w:rFonts w:ascii="Arial" w:eastAsia="Times New Roman" w:hAnsi="Arial" w:cs="Arial"/>
                <w:color w:val="000000"/>
                <w:sz w:val="18"/>
                <w:szCs w:val="18"/>
                <w:lang w:eastAsia="es-MX"/>
              </w:rPr>
              <w:t>180</w:t>
            </w:r>
          </w:p>
        </w:tc>
      </w:tr>
      <w:tr w:rsidR="001E56FC" w:rsidRPr="00561B9D" w14:paraId="78EE7D0E" w14:textId="77777777" w:rsidTr="00554113">
        <w:trPr>
          <w:trHeight w:val="240"/>
          <w:jc w:val="center"/>
        </w:trPr>
        <w:tc>
          <w:tcPr>
            <w:tcW w:w="6799" w:type="dxa"/>
            <w:gridSpan w:val="3"/>
            <w:tcBorders>
              <w:top w:val="single" w:sz="4" w:space="0" w:color="auto"/>
              <w:left w:val="single" w:sz="4" w:space="0" w:color="auto"/>
              <w:bottom w:val="single" w:sz="4" w:space="0" w:color="auto"/>
              <w:right w:val="single" w:sz="4" w:space="0" w:color="auto"/>
            </w:tcBorders>
            <w:shd w:val="clear" w:color="auto" w:fill="511427"/>
            <w:noWrap/>
            <w:vAlign w:val="center"/>
            <w:hideMark/>
          </w:tcPr>
          <w:p w14:paraId="4BB85054"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Cocaína</w:t>
            </w:r>
          </w:p>
        </w:tc>
      </w:tr>
      <w:tr w:rsidR="001E56FC" w:rsidRPr="00561B9D" w14:paraId="4A7A657B" w14:textId="77777777" w:rsidTr="00554113">
        <w:trPr>
          <w:trHeight w:val="240"/>
          <w:jc w:val="center"/>
        </w:trPr>
        <w:tc>
          <w:tcPr>
            <w:tcW w:w="4074" w:type="dxa"/>
            <w:tcBorders>
              <w:top w:val="nil"/>
              <w:left w:val="single" w:sz="4" w:space="0" w:color="auto"/>
              <w:bottom w:val="single" w:sz="4" w:space="0" w:color="auto"/>
              <w:right w:val="single" w:sz="4" w:space="0" w:color="auto"/>
            </w:tcBorders>
            <w:shd w:val="clear" w:color="auto" w:fill="804053"/>
            <w:noWrap/>
            <w:vAlign w:val="center"/>
            <w:hideMark/>
          </w:tcPr>
          <w:p w14:paraId="70407A6B"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 </w:t>
            </w:r>
          </w:p>
        </w:tc>
        <w:tc>
          <w:tcPr>
            <w:tcW w:w="1123" w:type="dxa"/>
            <w:tcBorders>
              <w:top w:val="nil"/>
              <w:left w:val="nil"/>
              <w:bottom w:val="single" w:sz="4" w:space="0" w:color="auto"/>
              <w:right w:val="single" w:sz="4" w:space="0" w:color="auto"/>
            </w:tcBorders>
            <w:shd w:val="clear" w:color="auto" w:fill="804053"/>
            <w:noWrap/>
            <w:vAlign w:val="center"/>
            <w:hideMark/>
          </w:tcPr>
          <w:p w14:paraId="74A55048"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2019</w:t>
            </w:r>
          </w:p>
        </w:tc>
        <w:tc>
          <w:tcPr>
            <w:tcW w:w="1602" w:type="dxa"/>
            <w:tcBorders>
              <w:top w:val="nil"/>
              <w:left w:val="nil"/>
              <w:bottom w:val="single" w:sz="4" w:space="0" w:color="auto"/>
              <w:right w:val="single" w:sz="4" w:space="0" w:color="auto"/>
            </w:tcBorders>
            <w:shd w:val="clear" w:color="auto" w:fill="804053"/>
            <w:noWrap/>
            <w:vAlign w:val="center"/>
            <w:hideMark/>
          </w:tcPr>
          <w:p w14:paraId="0505CC47"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2020</w:t>
            </w:r>
          </w:p>
        </w:tc>
      </w:tr>
      <w:tr w:rsidR="001E56FC" w:rsidRPr="00561B9D" w14:paraId="72326122" w14:textId="77777777" w:rsidTr="00554113">
        <w:trPr>
          <w:trHeight w:val="240"/>
          <w:jc w:val="center"/>
        </w:trPr>
        <w:tc>
          <w:tcPr>
            <w:tcW w:w="4074" w:type="dxa"/>
            <w:tcBorders>
              <w:top w:val="nil"/>
              <w:left w:val="single" w:sz="4" w:space="0" w:color="auto"/>
              <w:bottom w:val="single" w:sz="4" w:space="0" w:color="auto"/>
              <w:right w:val="single" w:sz="4" w:space="0" w:color="auto"/>
            </w:tcBorders>
            <w:shd w:val="clear" w:color="auto" w:fill="auto"/>
            <w:noWrap/>
            <w:vAlign w:val="center"/>
            <w:hideMark/>
          </w:tcPr>
          <w:p w14:paraId="54940789" w14:textId="77777777" w:rsidR="001E56FC" w:rsidRPr="00561B9D" w:rsidRDefault="001E56FC" w:rsidP="00554113">
            <w:pPr>
              <w:spacing w:after="0" w:line="240" w:lineRule="auto"/>
              <w:rPr>
                <w:rFonts w:ascii="Arial" w:eastAsia="Times New Roman" w:hAnsi="Arial" w:cs="Arial"/>
                <w:color w:val="000000"/>
                <w:sz w:val="18"/>
                <w:szCs w:val="18"/>
                <w:lang w:eastAsia="es-MX"/>
              </w:rPr>
            </w:pPr>
            <w:proofErr w:type="gramStart"/>
            <w:r w:rsidRPr="00561B9D">
              <w:rPr>
                <w:rFonts w:ascii="Arial" w:eastAsia="Times New Roman" w:hAnsi="Arial" w:cs="Arial"/>
                <w:color w:val="000000"/>
                <w:sz w:val="18"/>
                <w:szCs w:val="18"/>
                <w:lang w:eastAsia="es-MX"/>
              </w:rPr>
              <w:t>Total</w:t>
            </w:r>
            <w:proofErr w:type="gramEnd"/>
            <w:r w:rsidRPr="00561B9D">
              <w:rPr>
                <w:rFonts w:ascii="Arial" w:eastAsia="Times New Roman" w:hAnsi="Arial" w:cs="Arial"/>
                <w:color w:val="000000"/>
                <w:sz w:val="18"/>
                <w:szCs w:val="18"/>
                <w:lang w:eastAsia="es-MX"/>
              </w:rPr>
              <w:t xml:space="preserve"> en kilogramos</w:t>
            </w:r>
          </w:p>
        </w:tc>
        <w:tc>
          <w:tcPr>
            <w:tcW w:w="1123" w:type="dxa"/>
            <w:tcBorders>
              <w:top w:val="nil"/>
              <w:left w:val="nil"/>
              <w:bottom w:val="single" w:sz="4" w:space="0" w:color="auto"/>
              <w:right w:val="single" w:sz="4" w:space="0" w:color="auto"/>
            </w:tcBorders>
            <w:shd w:val="clear" w:color="auto" w:fill="auto"/>
            <w:noWrap/>
            <w:vAlign w:val="center"/>
            <w:hideMark/>
          </w:tcPr>
          <w:p w14:paraId="4DF1E32B" w14:textId="61E0098F" w:rsidR="001E56FC" w:rsidRPr="00561B9D" w:rsidRDefault="00023057" w:rsidP="00554113">
            <w:pPr>
              <w:spacing w:after="0" w:line="240" w:lineRule="auto"/>
              <w:jc w:val="center"/>
              <w:rPr>
                <w:rFonts w:ascii="Arial" w:eastAsia="Times New Roman" w:hAnsi="Arial" w:cs="Arial"/>
                <w:color w:val="000000"/>
                <w:sz w:val="18"/>
                <w:szCs w:val="18"/>
                <w:lang w:eastAsia="es-MX"/>
              </w:rPr>
            </w:pPr>
            <w:r w:rsidRPr="00023057">
              <w:rPr>
                <w:rFonts w:ascii="Arial" w:eastAsia="Times New Roman" w:hAnsi="Arial" w:cs="Arial"/>
                <w:color w:val="000000"/>
                <w:sz w:val="18"/>
                <w:szCs w:val="18"/>
                <w:lang w:eastAsia="es-MX"/>
              </w:rPr>
              <w:t>22,950.3</w:t>
            </w:r>
          </w:p>
        </w:tc>
        <w:tc>
          <w:tcPr>
            <w:tcW w:w="1602" w:type="dxa"/>
            <w:tcBorders>
              <w:top w:val="nil"/>
              <w:left w:val="nil"/>
              <w:bottom w:val="single" w:sz="4" w:space="0" w:color="auto"/>
              <w:right w:val="single" w:sz="4" w:space="0" w:color="auto"/>
            </w:tcBorders>
            <w:shd w:val="clear" w:color="auto" w:fill="auto"/>
            <w:noWrap/>
            <w:vAlign w:val="center"/>
            <w:hideMark/>
          </w:tcPr>
          <w:p w14:paraId="53A4BEA3" w14:textId="396BFAD1" w:rsidR="001E56FC" w:rsidRPr="00561B9D" w:rsidRDefault="00023057" w:rsidP="00554113">
            <w:pPr>
              <w:spacing w:after="0" w:line="240" w:lineRule="auto"/>
              <w:jc w:val="center"/>
              <w:rPr>
                <w:rFonts w:ascii="Arial" w:eastAsia="Times New Roman" w:hAnsi="Arial" w:cs="Arial"/>
                <w:color w:val="000000"/>
                <w:sz w:val="18"/>
                <w:szCs w:val="18"/>
                <w:lang w:eastAsia="es-MX"/>
              </w:rPr>
            </w:pPr>
            <w:r w:rsidRPr="00023057">
              <w:rPr>
                <w:rFonts w:ascii="Arial" w:eastAsia="Times New Roman" w:hAnsi="Arial" w:cs="Arial"/>
                <w:color w:val="000000"/>
                <w:sz w:val="18"/>
                <w:szCs w:val="18"/>
                <w:lang w:eastAsia="es-MX"/>
              </w:rPr>
              <w:t>920.1</w:t>
            </w:r>
          </w:p>
        </w:tc>
      </w:tr>
      <w:tr w:rsidR="001E56FC" w:rsidRPr="00561B9D" w14:paraId="575F3DB6" w14:textId="77777777" w:rsidTr="00554113">
        <w:trPr>
          <w:trHeight w:val="240"/>
          <w:jc w:val="center"/>
        </w:trPr>
        <w:tc>
          <w:tcPr>
            <w:tcW w:w="6799" w:type="dxa"/>
            <w:gridSpan w:val="3"/>
            <w:tcBorders>
              <w:top w:val="single" w:sz="4" w:space="0" w:color="auto"/>
              <w:left w:val="single" w:sz="4" w:space="0" w:color="auto"/>
              <w:bottom w:val="single" w:sz="4" w:space="0" w:color="auto"/>
              <w:right w:val="single" w:sz="4" w:space="0" w:color="auto"/>
            </w:tcBorders>
            <w:shd w:val="clear" w:color="auto" w:fill="511427"/>
            <w:noWrap/>
            <w:vAlign w:val="center"/>
            <w:hideMark/>
          </w:tcPr>
          <w:p w14:paraId="11C5411A"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Fentanilo</w:t>
            </w:r>
          </w:p>
        </w:tc>
      </w:tr>
      <w:tr w:rsidR="001E56FC" w:rsidRPr="00561B9D" w14:paraId="489BA69E" w14:textId="77777777" w:rsidTr="00554113">
        <w:trPr>
          <w:trHeight w:val="240"/>
          <w:jc w:val="center"/>
        </w:trPr>
        <w:tc>
          <w:tcPr>
            <w:tcW w:w="4074" w:type="dxa"/>
            <w:tcBorders>
              <w:top w:val="nil"/>
              <w:left w:val="single" w:sz="4" w:space="0" w:color="auto"/>
              <w:bottom w:val="single" w:sz="4" w:space="0" w:color="auto"/>
              <w:right w:val="single" w:sz="4" w:space="0" w:color="auto"/>
            </w:tcBorders>
            <w:shd w:val="clear" w:color="auto" w:fill="804053"/>
            <w:noWrap/>
            <w:vAlign w:val="center"/>
            <w:hideMark/>
          </w:tcPr>
          <w:p w14:paraId="7BCF62F4"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 </w:t>
            </w:r>
          </w:p>
        </w:tc>
        <w:tc>
          <w:tcPr>
            <w:tcW w:w="1123" w:type="dxa"/>
            <w:tcBorders>
              <w:top w:val="nil"/>
              <w:left w:val="nil"/>
              <w:bottom w:val="single" w:sz="4" w:space="0" w:color="auto"/>
              <w:right w:val="single" w:sz="4" w:space="0" w:color="auto"/>
            </w:tcBorders>
            <w:shd w:val="clear" w:color="auto" w:fill="804053"/>
            <w:noWrap/>
            <w:vAlign w:val="center"/>
            <w:hideMark/>
          </w:tcPr>
          <w:p w14:paraId="5E1423CC"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2019</w:t>
            </w:r>
          </w:p>
        </w:tc>
        <w:tc>
          <w:tcPr>
            <w:tcW w:w="1602" w:type="dxa"/>
            <w:tcBorders>
              <w:top w:val="nil"/>
              <w:left w:val="nil"/>
              <w:bottom w:val="single" w:sz="4" w:space="0" w:color="auto"/>
              <w:right w:val="single" w:sz="4" w:space="0" w:color="auto"/>
            </w:tcBorders>
            <w:shd w:val="clear" w:color="auto" w:fill="804053"/>
            <w:noWrap/>
            <w:vAlign w:val="center"/>
            <w:hideMark/>
          </w:tcPr>
          <w:p w14:paraId="45AE3E5F"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2020</w:t>
            </w:r>
          </w:p>
        </w:tc>
      </w:tr>
      <w:tr w:rsidR="001E56FC" w:rsidRPr="00561B9D" w14:paraId="379A6BBA" w14:textId="77777777" w:rsidTr="00554113">
        <w:trPr>
          <w:trHeight w:val="225"/>
          <w:jc w:val="center"/>
        </w:trPr>
        <w:tc>
          <w:tcPr>
            <w:tcW w:w="4074" w:type="dxa"/>
            <w:tcBorders>
              <w:top w:val="nil"/>
              <w:left w:val="single" w:sz="4" w:space="0" w:color="auto"/>
              <w:bottom w:val="single" w:sz="4" w:space="0" w:color="auto"/>
              <w:right w:val="single" w:sz="4" w:space="0" w:color="auto"/>
            </w:tcBorders>
            <w:shd w:val="clear" w:color="auto" w:fill="auto"/>
            <w:noWrap/>
            <w:vAlign w:val="center"/>
            <w:hideMark/>
          </w:tcPr>
          <w:p w14:paraId="1653C8A7" w14:textId="77777777" w:rsidR="001E56FC" w:rsidRPr="00561B9D" w:rsidRDefault="001E56FC" w:rsidP="00554113">
            <w:pPr>
              <w:spacing w:after="0" w:line="240" w:lineRule="auto"/>
              <w:rPr>
                <w:rFonts w:ascii="Arial" w:eastAsia="Times New Roman" w:hAnsi="Arial" w:cs="Arial"/>
                <w:color w:val="000000"/>
                <w:sz w:val="18"/>
                <w:szCs w:val="18"/>
                <w:lang w:eastAsia="es-MX"/>
              </w:rPr>
            </w:pPr>
            <w:proofErr w:type="gramStart"/>
            <w:r w:rsidRPr="00561B9D">
              <w:rPr>
                <w:rFonts w:ascii="Arial" w:eastAsia="Times New Roman" w:hAnsi="Arial" w:cs="Arial"/>
                <w:color w:val="000000"/>
                <w:sz w:val="18"/>
                <w:szCs w:val="18"/>
                <w:lang w:eastAsia="es-MX"/>
              </w:rPr>
              <w:t>Total</w:t>
            </w:r>
            <w:proofErr w:type="gramEnd"/>
            <w:r w:rsidRPr="00561B9D">
              <w:rPr>
                <w:rFonts w:ascii="Arial" w:eastAsia="Times New Roman" w:hAnsi="Arial" w:cs="Arial"/>
                <w:color w:val="000000"/>
                <w:sz w:val="18"/>
                <w:szCs w:val="18"/>
                <w:lang w:eastAsia="es-MX"/>
              </w:rPr>
              <w:t xml:space="preserve"> en kilogramos</w:t>
            </w:r>
          </w:p>
        </w:tc>
        <w:tc>
          <w:tcPr>
            <w:tcW w:w="1123" w:type="dxa"/>
            <w:tcBorders>
              <w:top w:val="nil"/>
              <w:left w:val="nil"/>
              <w:bottom w:val="single" w:sz="4" w:space="0" w:color="auto"/>
              <w:right w:val="single" w:sz="4" w:space="0" w:color="auto"/>
            </w:tcBorders>
            <w:shd w:val="clear" w:color="auto" w:fill="auto"/>
            <w:noWrap/>
            <w:vAlign w:val="center"/>
            <w:hideMark/>
          </w:tcPr>
          <w:p w14:paraId="27456C90" w14:textId="77777777" w:rsidR="001E56FC" w:rsidRPr="00561B9D" w:rsidRDefault="001E56FC" w:rsidP="00554113">
            <w:pPr>
              <w:spacing w:after="0" w:line="240" w:lineRule="auto"/>
              <w:jc w:val="center"/>
              <w:rPr>
                <w:rFonts w:ascii="Arial" w:eastAsia="Times New Roman" w:hAnsi="Arial" w:cs="Arial"/>
                <w:color w:val="000000"/>
                <w:sz w:val="18"/>
                <w:szCs w:val="18"/>
                <w:lang w:eastAsia="es-MX"/>
              </w:rPr>
            </w:pPr>
            <w:r w:rsidRPr="00561B9D">
              <w:rPr>
                <w:rFonts w:ascii="Arial" w:eastAsia="Times New Roman" w:hAnsi="Arial" w:cs="Arial"/>
                <w:color w:val="000000"/>
                <w:sz w:val="18"/>
                <w:szCs w:val="18"/>
                <w:lang w:eastAsia="es-MX"/>
              </w:rPr>
              <w:t>*</w:t>
            </w:r>
          </w:p>
        </w:tc>
        <w:tc>
          <w:tcPr>
            <w:tcW w:w="1602" w:type="dxa"/>
            <w:tcBorders>
              <w:top w:val="nil"/>
              <w:left w:val="nil"/>
              <w:bottom w:val="single" w:sz="4" w:space="0" w:color="auto"/>
              <w:right w:val="single" w:sz="4" w:space="0" w:color="auto"/>
            </w:tcBorders>
            <w:shd w:val="clear" w:color="auto" w:fill="auto"/>
            <w:noWrap/>
            <w:vAlign w:val="center"/>
            <w:hideMark/>
          </w:tcPr>
          <w:p w14:paraId="2D628523" w14:textId="6A3DD6C7" w:rsidR="001E56FC" w:rsidRPr="00561B9D" w:rsidRDefault="0027547C" w:rsidP="00554113">
            <w:pPr>
              <w:spacing w:after="0" w:line="240" w:lineRule="auto"/>
              <w:jc w:val="center"/>
              <w:rPr>
                <w:rFonts w:ascii="Arial" w:eastAsia="Times New Roman" w:hAnsi="Arial" w:cs="Arial"/>
                <w:color w:val="000000"/>
                <w:sz w:val="18"/>
                <w:szCs w:val="18"/>
                <w:lang w:eastAsia="es-MX"/>
              </w:rPr>
            </w:pPr>
            <w:r w:rsidRPr="0027547C">
              <w:rPr>
                <w:rFonts w:ascii="Arial" w:eastAsia="Times New Roman" w:hAnsi="Arial" w:cs="Arial"/>
                <w:color w:val="000000"/>
                <w:sz w:val="18"/>
                <w:szCs w:val="18"/>
                <w:lang w:eastAsia="es-MX"/>
              </w:rPr>
              <w:t>0.4</w:t>
            </w:r>
          </w:p>
        </w:tc>
      </w:tr>
      <w:tr w:rsidR="001E56FC" w:rsidRPr="00561B9D" w14:paraId="2ED50355" w14:textId="77777777" w:rsidTr="00554113">
        <w:trPr>
          <w:trHeight w:val="240"/>
          <w:jc w:val="center"/>
        </w:trPr>
        <w:tc>
          <w:tcPr>
            <w:tcW w:w="4074" w:type="dxa"/>
            <w:tcBorders>
              <w:top w:val="nil"/>
              <w:left w:val="single" w:sz="4" w:space="0" w:color="auto"/>
              <w:bottom w:val="single" w:sz="4" w:space="0" w:color="auto"/>
              <w:right w:val="single" w:sz="4" w:space="0" w:color="auto"/>
            </w:tcBorders>
            <w:shd w:val="clear" w:color="auto" w:fill="AF8D95"/>
            <w:noWrap/>
            <w:vAlign w:val="center"/>
            <w:hideMark/>
          </w:tcPr>
          <w:p w14:paraId="3A239A82" w14:textId="77777777" w:rsidR="001E56FC" w:rsidRPr="00561B9D" w:rsidRDefault="001E56FC" w:rsidP="00554113">
            <w:pPr>
              <w:spacing w:after="0" w:line="240" w:lineRule="auto"/>
              <w:rPr>
                <w:rFonts w:ascii="Arial" w:eastAsia="Times New Roman" w:hAnsi="Arial" w:cs="Arial"/>
                <w:color w:val="000000"/>
                <w:sz w:val="18"/>
                <w:szCs w:val="18"/>
                <w:lang w:eastAsia="es-MX"/>
              </w:rPr>
            </w:pPr>
            <w:proofErr w:type="gramStart"/>
            <w:r w:rsidRPr="00561B9D">
              <w:rPr>
                <w:rFonts w:ascii="Arial" w:eastAsia="Times New Roman" w:hAnsi="Arial" w:cs="Arial"/>
                <w:color w:val="000000"/>
                <w:sz w:val="18"/>
                <w:szCs w:val="18"/>
                <w:lang w:eastAsia="es-MX"/>
              </w:rPr>
              <w:t>Total</w:t>
            </w:r>
            <w:proofErr w:type="gramEnd"/>
            <w:r w:rsidRPr="00561B9D">
              <w:rPr>
                <w:rFonts w:ascii="Arial" w:eastAsia="Times New Roman" w:hAnsi="Arial" w:cs="Arial"/>
                <w:color w:val="000000"/>
                <w:sz w:val="18"/>
                <w:szCs w:val="18"/>
                <w:lang w:eastAsia="es-MX"/>
              </w:rPr>
              <w:t xml:space="preserve"> por unidad (tableta o cápsula)</w:t>
            </w:r>
          </w:p>
        </w:tc>
        <w:tc>
          <w:tcPr>
            <w:tcW w:w="1123" w:type="dxa"/>
            <w:tcBorders>
              <w:top w:val="nil"/>
              <w:left w:val="nil"/>
              <w:bottom w:val="single" w:sz="4" w:space="0" w:color="auto"/>
              <w:right w:val="single" w:sz="4" w:space="0" w:color="auto"/>
            </w:tcBorders>
            <w:shd w:val="clear" w:color="auto" w:fill="AF8D95"/>
            <w:noWrap/>
            <w:vAlign w:val="center"/>
            <w:hideMark/>
          </w:tcPr>
          <w:p w14:paraId="02EB4233" w14:textId="77777777" w:rsidR="001E56FC" w:rsidRPr="00561B9D" w:rsidRDefault="001E56FC" w:rsidP="00554113">
            <w:pPr>
              <w:spacing w:after="0" w:line="240" w:lineRule="auto"/>
              <w:jc w:val="center"/>
              <w:rPr>
                <w:rFonts w:ascii="Arial" w:eastAsia="Times New Roman" w:hAnsi="Arial" w:cs="Arial"/>
                <w:color w:val="000000"/>
                <w:sz w:val="18"/>
                <w:szCs w:val="18"/>
                <w:lang w:eastAsia="es-MX"/>
              </w:rPr>
            </w:pPr>
            <w:r w:rsidRPr="00561B9D">
              <w:rPr>
                <w:rFonts w:ascii="Arial" w:eastAsia="Times New Roman" w:hAnsi="Arial" w:cs="Arial"/>
                <w:color w:val="000000"/>
                <w:sz w:val="18"/>
                <w:szCs w:val="18"/>
                <w:lang w:eastAsia="es-MX"/>
              </w:rPr>
              <w:t>*</w:t>
            </w:r>
          </w:p>
        </w:tc>
        <w:tc>
          <w:tcPr>
            <w:tcW w:w="1602" w:type="dxa"/>
            <w:tcBorders>
              <w:top w:val="nil"/>
              <w:left w:val="nil"/>
              <w:bottom w:val="single" w:sz="4" w:space="0" w:color="auto"/>
              <w:right w:val="single" w:sz="4" w:space="0" w:color="auto"/>
            </w:tcBorders>
            <w:shd w:val="clear" w:color="auto" w:fill="AF8D95"/>
            <w:noWrap/>
            <w:vAlign w:val="center"/>
            <w:hideMark/>
          </w:tcPr>
          <w:p w14:paraId="16575142" w14:textId="47B457BC" w:rsidR="001E56FC" w:rsidRPr="00561B9D" w:rsidRDefault="0027547C" w:rsidP="00554113">
            <w:pPr>
              <w:spacing w:after="0" w:line="240" w:lineRule="auto"/>
              <w:jc w:val="center"/>
              <w:rPr>
                <w:rFonts w:ascii="Arial" w:eastAsia="Times New Roman" w:hAnsi="Arial" w:cs="Arial"/>
                <w:color w:val="000000"/>
                <w:sz w:val="18"/>
                <w:szCs w:val="18"/>
                <w:lang w:eastAsia="es-MX"/>
              </w:rPr>
            </w:pPr>
            <w:r w:rsidRPr="0027547C">
              <w:rPr>
                <w:rFonts w:ascii="Arial" w:eastAsia="Times New Roman" w:hAnsi="Arial" w:cs="Arial"/>
                <w:color w:val="000000"/>
                <w:sz w:val="18"/>
                <w:szCs w:val="18"/>
                <w:lang w:eastAsia="es-MX"/>
              </w:rPr>
              <w:t>1,082.0</w:t>
            </w:r>
          </w:p>
        </w:tc>
      </w:tr>
      <w:tr w:rsidR="001E56FC" w:rsidRPr="00561B9D" w14:paraId="033CF3E5" w14:textId="77777777" w:rsidTr="00554113">
        <w:trPr>
          <w:trHeight w:val="240"/>
          <w:jc w:val="center"/>
        </w:trPr>
        <w:tc>
          <w:tcPr>
            <w:tcW w:w="6799" w:type="dxa"/>
            <w:gridSpan w:val="3"/>
            <w:tcBorders>
              <w:top w:val="single" w:sz="4" w:space="0" w:color="auto"/>
              <w:left w:val="single" w:sz="4" w:space="0" w:color="auto"/>
              <w:bottom w:val="single" w:sz="4" w:space="0" w:color="auto"/>
              <w:right w:val="single" w:sz="4" w:space="0" w:color="auto"/>
            </w:tcBorders>
            <w:shd w:val="clear" w:color="auto" w:fill="511427"/>
            <w:noWrap/>
            <w:vAlign w:val="center"/>
            <w:hideMark/>
          </w:tcPr>
          <w:p w14:paraId="3CEDA0C1"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 xml:space="preserve">MDA, </w:t>
            </w:r>
            <w:proofErr w:type="spellStart"/>
            <w:r w:rsidRPr="00561B9D">
              <w:rPr>
                <w:rFonts w:ascii="Arial" w:eastAsia="Times New Roman" w:hAnsi="Arial" w:cs="Arial"/>
                <w:color w:val="FFFFFF"/>
                <w:sz w:val="18"/>
                <w:szCs w:val="18"/>
                <w:lang w:eastAsia="es-MX"/>
              </w:rPr>
              <w:t>Metilendioxianfetamina</w:t>
            </w:r>
            <w:proofErr w:type="spellEnd"/>
          </w:p>
        </w:tc>
      </w:tr>
      <w:tr w:rsidR="001E56FC" w:rsidRPr="00561B9D" w14:paraId="326029D5" w14:textId="77777777" w:rsidTr="00554113">
        <w:trPr>
          <w:trHeight w:val="240"/>
          <w:jc w:val="center"/>
        </w:trPr>
        <w:tc>
          <w:tcPr>
            <w:tcW w:w="4074" w:type="dxa"/>
            <w:tcBorders>
              <w:top w:val="nil"/>
              <w:left w:val="single" w:sz="4" w:space="0" w:color="auto"/>
              <w:bottom w:val="single" w:sz="4" w:space="0" w:color="auto"/>
              <w:right w:val="single" w:sz="4" w:space="0" w:color="auto"/>
            </w:tcBorders>
            <w:shd w:val="clear" w:color="auto" w:fill="804053"/>
            <w:noWrap/>
            <w:vAlign w:val="center"/>
            <w:hideMark/>
          </w:tcPr>
          <w:p w14:paraId="54653B42"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 </w:t>
            </w:r>
          </w:p>
        </w:tc>
        <w:tc>
          <w:tcPr>
            <w:tcW w:w="1123" w:type="dxa"/>
            <w:tcBorders>
              <w:top w:val="nil"/>
              <w:left w:val="nil"/>
              <w:bottom w:val="single" w:sz="4" w:space="0" w:color="auto"/>
              <w:right w:val="single" w:sz="4" w:space="0" w:color="auto"/>
            </w:tcBorders>
            <w:shd w:val="clear" w:color="auto" w:fill="804053"/>
            <w:noWrap/>
            <w:vAlign w:val="center"/>
            <w:hideMark/>
          </w:tcPr>
          <w:p w14:paraId="4A9F2D1E"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2019</w:t>
            </w:r>
          </w:p>
        </w:tc>
        <w:tc>
          <w:tcPr>
            <w:tcW w:w="1602" w:type="dxa"/>
            <w:tcBorders>
              <w:top w:val="nil"/>
              <w:left w:val="nil"/>
              <w:bottom w:val="single" w:sz="4" w:space="0" w:color="auto"/>
              <w:right w:val="single" w:sz="4" w:space="0" w:color="auto"/>
            </w:tcBorders>
            <w:shd w:val="clear" w:color="auto" w:fill="804053"/>
            <w:noWrap/>
            <w:vAlign w:val="center"/>
            <w:hideMark/>
          </w:tcPr>
          <w:p w14:paraId="5792B615"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2020</w:t>
            </w:r>
          </w:p>
        </w:tc>
      </w:tr>
      <w:tr w:rsidR="001E56FC" w:rsidRPr="00561B9D" w14:paraId="5D52758D" w14:textId="77777777" w:rsidTr="00554113">
        <w:trPr>
          <w:trHeight w:val="240"/>
          <w:jc w:val="center"/>
        </w:trPr>
        <w:tc>
          <w:tcPr>
            <w:tcW w:w="4074" w:type="dxa"/>
            <w:tcBorders>
              <w:top w:val="nil"/>
              <w:left w:val="single" w:sz="4" w:space="0" w:color="auto"/>
              <w:bottom w:val="single" w:sz="4" w:space="0" w:color="auto"/>
              <w:right w:val="single" w:sz="4" w:space="0" w:color="auto"/>
            </w:tcBorders>
            <w:shd w:val="clear" w:color="auto" w:fill="auto"/>
            <w:noWrap/>
            <w:vAlign w:val="center"/>
            <w:hideMark/>
          </w:tcPr>
          <w:p w14:paraId="2E31A0EE" w14:textId="77777777" w:rsidR="001E56FC" w:rsidRPr="00561B9D" w:rsidRDefault="001E56FC" w:rsidP="00554113">
            <w:pPr>
              <w:spacing w:after="0" w:line="240" w:lineRule="auto"/>
              <w:rPr>
                <w:rFonts w:ascii="Arial" w:eastAsia="Times New Roman" w:hAnsi="Arial" w:cs="Arial"/>
                <w:color w:val="000000"/>
                <w:sz w:val="18"/>
                <w:szCs w:val="18"/>
                <w:lang w:eastAsia="es-MX"/>
              </w:rPr>
            </w:pPr>
            <w:proofErr w:type="gramStart"/>
            <w:r w:rsidRPr="00561B9D">
              <w:rPr>
                <w:rFonts w:ascii="Arial" w:eastAsia="Times New Roman" w:hAnsi="Arial" w:cs="Arial"/>
                <w:color w:val="000000"/>
                <w:sz w:val="18"/>
                <w:szCs w:val="18"/>
                <w:lang w:eastAsia="es-MX"/>
              </w:rPr>
              <w:t>Total</w:t>
            </w:r>
            <w:proofErr w:type="gramEnd"/>
            <w:r w:rsidRPr="00561B9D">
              <w:rPr>
                <w:rFonts w:ascii="Arial" w:eastAsia="Times New Roman" w:hAnsi="Arial" w:cs="Arial"/>
                <w:color w:val="000000"/>
                <w:sz w:val="18"/>
                <w:szCs w:val="18"/>
                <w:lang w:eastAsia="es-MX"/>
              </w:rPr>
              <w:t xml:space="preserve"> en kilogramos</w:t>
            </w:r>
          </w:p>
        </w:tc>
        <w:tc>
          <w:tcPr>
            <w:tcW w:w="1123" w:type="dxa"/>
            <w:tcBorders>
              <w:top w:val="nil"/>
              <w:left w:val="nil"/>
              <w:bottom w:val="single" w:sz="4" w:space="0" w:color="auto"/>
              <w:right w:val="single" w:sz="4" w:space="0" w:color="auto"/>
            </w:tcBorders>
            <w:shd w:val="clear" w:color="auto" w:fill="auto"/>
            <w:noWrap/>
            <w:vAlign w:val="center"/>
            <w:hideMark/>
          </w:tcPr>
          <w:p w14:paraId="40F7880D" w14:textId="425B9E18" w:rsidR="001E56FC" w:rsidRPr="00561B9D" w:rsidRDefault="0027547C" w:rsidP="00554113">
            <w:pPr>
              <w:spacing w:after="0" w:line="240" w:lineRule="auto"/>
              <w:jc w:val="center"/>
              <w:rPr>
                <w:rFonts w:ascii="Arial" w:eastAsia="Times New Roman" w:hAnsi="Arial" w:cs="Arial"/>
                <w:color w:val="000000"/>
                <w:sz w:val="18"/>
                <w:szCs w:val="18"/>
                <w:lang w:eastAsia="es-MX"/>
              </w:rPr>
            </w:pPr>
            <w:r w:rsidRPr="0027547C">
              <w:rPr>
                <w:rFonts w:ascii="Arial" w:eastAsia="Times New Roman" w:hAnsi="Arial" w:cs="Arial"/>
                <w:color w:val="000000"/>
                <w:sz w:val="18"/>
                <w:szCs w:val="18"/>
                <w:lang w:eastAsia="es-MX"/>
              </w:rPr>
              <w:t>0.1</w:t>
            </w:r>
          </w:p>
        </w:tc>
        <w:tc>
          <w:tcPr>
            <w:tcW w:w="1602" w:type="dxa"/>
            <w:tcBorders>
              <w:top w:val="nil"/>
              <w:left w:val="nil"/>
              <w:bottom w:val="single" w:sz="4" w:space="0" w:color="auto"/>
              <w:right w:val="single" w:sz="4" w:space="0" w:color="auto"/>
            </w:tcBorders>
            <w:shd w:val="clear" w:color="auto" w:fill="auto"/>
            <w:noWrap/>
            <w:vAlign w:val="center"/>
            <w:hideMark/>
          </w:tcPr>
          <w:p w14:paraId="732B4066" w14:textId="0B1CB7E9" w:rsidR="001E56FC" w:rsidRPr="00561B9D" w:rsidRDefault="0027547C" w:rsidP="00554113">
            <w:pPr>
              <w:spacing w:after="0" w:line="240" w:lineRule="auto"/>
              <w:jc w:val="center"/>
              <w:rPr>
                <w:rFonts w:ascii="Arial" w:eastAsia="Times New Roman" w:hAnsi="Arial" w:cs="Arial"/>
                <w:color w:val="000000"/>
                <w:sz w:val="18"/>
                <w:szCs w:val="18"/>
                <w:lang w:eastAsia="es-MX"/>
              </w:rPr>
            </w:pPr>
            <w:r w:rsidRPr="0027547C">
              <w:rPr>
                <w:rFonts w:ascii="Arial" w:eastAsia="Times New Roman" w:hAnsi="Arial" w:cs="Arial"/>
                <w:color w:val="000000"/>
                <w:sz w:val="18"/>
                <w:szCs w:val="18"/>
                <w:lang w:eastAsia="es-MX"/>
              </w:rPr>
              <w:t>195,432.6</w:t>
            </w:r>
          </w:p>
        </w:tc>
      </w:tr>
      <w:tr w:rsidR="001E56FC" w:rsidRPr="00561B9D" w14:paraId="2FF2A99C" w14:textId="77777777" w:rsidTr="00554113">
        <w:trPr>
          <w:trHeight w:val="240"/>
          <w:jc w:val="center"/>
        </w:trPr>
        <w:tc>
          <w:tcPr>
            <w:tcW w:w="4074" w:type="dxa"/>
            <w:tcBorders>
              <w:top w:val="nil"/>
              <w:left w:val="single" w:sz="4" w:space="0" w:color="auto"/>
              <w:bottom w:val="single" w:sz="4" w:space="0" w:color="auto"/>
              <w:right w:val="single" w:sz="4" w:space="0" w:color="auto"/>
            </w:tcBorders>
            <w:shd w:val="clear" w:color="auto" w:fill="AF8D95"/>
            <w:noWrap/>
            <w:vAlign w:val="center"/>
            <w:hideMark/>
          </w:tcPr>
          <w:p w14:paraId="3F747CA9" w14:textId="77777777" w:rsidR="001E56FC" w:rsidRPr="00561B9D" w:rsidRDefault="001E56FC" w:rsidP="00554113">
            <w:pPr>
              <w:spacing w:after="0" w:line="240" w:lineRule="auto"/>
              <w:rPr>
                <w:rFonts w:ascii="Arial" w:eastAsia="Times New Roman" w:hAnsi="Arial" w:cs="Arial"/>
                <w:color w:val="000000"/>
                <w:sz w:val="18"/>
                <w:szCs w:val="18"/>
                <w:lang w:eastAsia="es-MX"/>
              </w:rPr>
            </w:pPr>
            <w:proofErr w:type="gramStart"/>
            <w:r w:rsidRPr="00561B9D">
              <w:rPr>
                <w:rFonts w:ascii="Arial" w:eastAsia="Times New Roman" w:hAnsi="Arial" w:cs="Arial"/>
                <w:color w:val="000000"/>
                <w:sz w:val="18"/>
                <w:szCs w:val="18"/>
                <w:lang w:eastAsia="es-MX"/>
              </w:rPr>
              <w:t>Total</w:t>
            </w:r>
            <w:proofErr w:type="gramEnd"/>
            <w:r w:rsidRPr="00561B9D">
              <w:rPr>
                <w:rFonts w:ascii="Arial" w:eastAsia="Times New Roman" w:hAnsi="Arial" w:cs="Arial"/>
                <w:color w:val="000000"/>
                <w:sz w:val="18"/>
                <w:szCs w:val="18"/>
                <w:lang w:eastAsia="es-MX"/>
              </w:rPr>
              <w:t xml:space="preserve"> por unidad (tableta o cápsula)</w:t>
            </w:r>
          </w:p>
        </w:tc>
        <w:tc>
          <w:tcPr>
            <w:tcW w:w="1123" w:type="dxa"/>
            <w:tcBorders>
              <w:top w:val="nil"/>
              <w:left w:val="nil"/>
              <w:bottom w:val="single" w:sz="4" w:space="0" w:color="auto"/>
              <w:right w:val="single" w:sz="4" w:space="0" w:color="auto"/>
            </w:tcBorders>
            <w:shd w:val="clear" w:color="auto" w:fill="AF8D95"/>
            <w:noWrap/>
            <w:vAlign w:val="center"/>
            <w:hideMark/>
          </w:tcPr>
          <w:p w14:paraId="72DF4272" w14:textId="40FF91E9" w:rsidR="001E56FC" w:rsidRPr="00561B9D" w:rsidRDefault="0027547C" w:rsidP="00554113">
            <w:pPr>
              <w:spacing w:after="0" w:line="240" w:lineRule="auto"/>
              <w:jc w:val="center"/>
              <w:rPr>
                <w:rFonts w:ascii="Arial" w:eastAsia="Times New Roman" w:hAnsi="Arial" w:cs="Arial"/>
                <w:color w:val="000000"/>
                <w:sz w:val="18"/>
                <w:szCs w:val="18"/>
                <w:lang w:eastAsia="es-MX"/>
              </w:rPr>
            </w:pPr>
            <w:r w:rsidRPr="0027547C">
              <w:rPr>
                <w:rFonts w:ascii="Arial" w:eastAsia="Times New Roman" w:hAnsi="Arial" w:cs="Arial"/>
                <w:color w:val="000000"/>
                <w:sz w:val="18"/>
                <w:szCs w:val="18"/>
                <w:lang w:eastAsia="es-MX"/>
              </w:rPr>
              <w:t>12</w:t>
            </w:r>
          </w:p>
        </w:tc>
        <w:tc>
          <w:tcPr>
            <w:tcW w:w="1602" w:type="dxa"/>
            <w:tcBorders>
              <w:top w:val="nil"/>
              <w:left w:val="nil"/>
              <w:bottom w:val="single" w:sz="4" w:space="0" w:color="auto"/>
              <w:right w:val="single" w:sz="4" w:space="0" w:color="auto"/>
            </w:tcBorders>
            <w:shd w:val="clear" w:color="auto" w:fill="AF8D95"/>
            <w:noWrap/>
            <w:vAlign w:val="center"/>
            <w:hideMark/>
          </w:tcPr>
          <w:p w14:paraId="7A05148F" w14:textId="617DE59B" w:rsidR="001E56FC" w:rsidRPr="00561B9D" w:rsidRDefault="0027547C" w:rsidP="00554113">
            <w:pPr>
              <w:spacing w:after="0" w:line="240" w:lineRule="auto"/>
              <w:jc w:val="center"/>
              <w:rPr>
                <w:rFonts w:ascii="Arial" w:eastAsia="Times New Roman" w:hAnsi="Arial" w:cs="Arial"/>
                <w:color w:val="000000"/>
                <w:sz w:val="18"/>
                <w:szCs w:val="18"/>
                <w:lang w:eastAsia="es-MX"/>
              </w:rPr>
            </w:pPr>
            <w:r w:rsidRPr="0027547C">
              <w:rPr>
                <w:rFonts w:ascii="Arial" w:eastAsia="Times New Roman" w:hAnsi="Arial" w:cs="Arial"/>
                <w:color w:val="000000"/>
                <w:sz w:val="18"/>
                <w:szCs w:val="18"/>
                <w:lang w:eastAsia="es-MX"/>
              </w:rPr>
              <w:t>1</w:t>
            </w:r>
          </w:p>
        </w:tc>
      </w:tr>
      <w:tr w:rsidR="001E56FC" w:rsidRPr="00561B9D" w14:paraId="3BA9F0D5" w14:textId="77777777" w:rsidTr="00554113">
        <w:trPr>
          <w:trHeight w:val="240"/>
          <w:jc w:val="center"/>
        </w:trPr>
        <w:tc>
          <w:tcPr>
            <w:tcW w:w="6799" w:type="dxa"/>
            <w:gridSpan w:val="3"/>
            <w:tcBorders>
              <w:top w:val="single" w:sz="4" w:space="0" w:color="auto"/>
              <w:left w:val="single" w:sz="4" w:space="0" w:color="auto"/>
              <w:bottom w:val="single" w:sz="4" w:space="0" w:color="auto"/>
              <w:right w:val="single" w:sz="4" w:space="0" w:color="auto"/>
            </w:tcBorders>
            <w:shd w:val="clear" w:color="auto" w:fill="511427"/>
            <w:noWrap/>
            <w:vAlign w:val="center"/>
            <w:hideMark/>
          </w:tcPr>
          <w:p w14:paraId="0B61A2A9"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proofErr w:type="spellStart"/>
            <w:r w:rsidRPr="00561B9D">
              <w:rPr>
                <w:rFonts w:ascii="Arial" w:eastAsia="Times New Roman" w:hAnsi="Arial" w:cs="Arial"/>
                <w:color w:val="FFFFFF"/>
                <w:sz w:val="18"/>
                <w:szCs w:val="18"/>
                <w:lang w:eastAsia="es-MX"/>
              </w:rPr>
              <w:t>Lisergida</w:t>
            </w:r>
            <w:proofErr w:type="spellEnd"/>
            <w:r w:rsidRPr="00561B9D">
              <w:rPr>
                <w:rFonts w:ascii="Arial" w:eastAsia="Times New Roman" w:hAnsi="Arial" w:cs="Arial"/>
                <w:color w:val="FFFFFF"/>
                <w:sz w:val="18"/>
                <w:szCs w:val="18"/>
                <w:lang w:eastAsia="es-MX"/>
              </w:rPr>
              <w:t xml:space="preserve"> (LSD)</w:t>
            </w:r>
          </w:p>
        </w:tc>
      </w:tr>
      <w:tr w:rsidR="001E56FC" w:rsidRPr="00561B9D" w14:paraId="26B1DAF8" w14:textId="77777777" w:rsidTr="00554113">
        <w:trPr>
          <w:trHeight w:val="240"/>
          <w:jc w:val="center"/>
        </w:trPr>
        <w:tc>
          <w:tcPr>
            <w:tcW w:w="4074" w:type="dxa"/>
            <w:tcBorders>
              <w:top w:val="nil"/>
              <w:left w:val="single" w:sz="4" w:space="0" w:color="auto"/>
              <w:bottom w:val="single" w:sz="4" w:space="0" w:color="auto"/>
              <w:right w:val="single" w:sz="4" w:space="0" w:color="auto"/>
            </w:tcBorders>
            <w:shd w:val="clear" w:color="auto" w:fill="804053"/>
            <w:noWrap/>
            <w:vAlign w:val="center"/>
            <w:hideMark/>
          </w:tcPr>
          <w:p w14:paraId="0188E124"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 </w:t>
            </w:r>
          </w:p>
        </w:tc>
        <w:tc>
          <w:tcPr>
            <w:tcW w:w="1123" w:type="dxa"/>
            <w:tcBorders>
              <w:top w:val="nil"/>
              <w:left w:val="nil"/>
              <w:bottom w:val="single" w:sz="4" w:space="0" w:color="auto"/>
              <w:right w:val="single" w:sz="4" w:space="0" w:color="auto"/>
            </w:tcBorders>
            <w:shd w:val="clear" w:color="auto" w:fill="804053"/>
            <w:noWrap/>
            <w:vAlign w:val="center"/>
            <w:hideMark/>
          </w:tcPr>
          <w:p w14:paraId="7B31D9AC"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2019</w:t>
            </w:r>
          </w:p>
        </w:tc>
        <w:tc>
          <w:tcPr>
            <w:tcW w:w="1602" w:type="dxa"/>
            <w:tcBorders>
              <w:top w:val="nil"/>
              <w:left w:val="nil"/>
              <w:bottom w:val="single" w:sz="4" w:space="0" w:color="auto"/>
              <w:right w:val="single" w:sz="4" w:space="0" w:color="auto"/>
            </w:tcBorders>
            <w:shd w:val="clear" w:color="auto" w:fill="804053"/>
            <w:noWrap/>
            <w:vAlign w:val="center"/>
            <w:hideMark/>
          </w:tcPr>
          <w:p w14:paraId="42789325"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2020</w:t>
            </w:r>
          </w:p>
        </w:tc>
      </w:tr>
      <w:tr w:rsidR="001E56FC" w:rsidRPr="00561B9D" w14:paraId="40D1F1CD" w14:textId="77777777" w:rsidTr="00554113">
        <w:trPr>
          <w:trHeight w:val="240"/>
          <w:jc w:val="center"/>
        </w:trPr>
        <w:tc>
          <w:tcPr>
            <w:tcW w:w="4074" w:type="dxa"/>
            <w:tcBorders>
              <w:top w:val="nil"/>
              <w:left w:val="single" w:sz="4" w:space="0" w:color="auto"/>
              <w:bottom w:val="single" w:sz="4" w:space="0" w:color="auto"/>
              <w:right w:val="single" w:sz="4" w:space="0" w:color="auto"/>
            </w:tcBorders>
            <w:shd w:val="clear" w:color="auto" w:fill="auto"/>
            <w:noWrap/>
            <w:vAlign w:val="center"/>
            <w:hideMark/>
          </w:tcPr>
          <w:p w14:paraId="102A1E7C" w14:textId="77777777" w:rsidR="001E56FC" w:rsidRPr="00561B9D" w:rsidRDefault="001E56FC" w:rsidP="00554113">
            <w:pPr>
              <w:spacing w:after="0" w:line="240" w:lineRule="auto"/>
              <w:rPr>
                <w:rFonts w:ascii="Arial" w:eastAsia="Times New Roman" w:hAnsi="Arial" w:cs="Arial"/>
                <w:color w:val="000000"/>
                <w:sz w:val="18"/>
                <w:szCs w:val="18"/>
                <w:lang w:eastAsia="es-MX"/>
              </w:rPr>
            </w:pPr>
            <w:proofErr w:type="gramStart"/>
            <w:r w:rsidRPr="00561B9D">
              <w:rPr>
                <w:rFonts w:ascii="Arial" w:eastAsia="Times New Roman" w:hAnsi="Arial" w:cs="Arial"/>
                <w:color w:val="000000"/>
                <w:sz w:val="18"/>
                <w:szCs w:val="18"/>
                <w:lang w:eastAsia="es-MX"/>
              </w:rPr>
              <w:t>Total</w:t>
            </w:r>
            <w:proofErr w:type="gramEnd"/>
            <w:r w:rsidRPr="00561B9D">
              <w:rPr>
                <w:rFonts w:ascii="Arial" w:eastAsia="Times New Roman" w:hAnsi="Arial" w:cs="Arial"/>
                <w:color w:val="000000"/>
                <w:sz w:val="18"/>
                <w:szCs w:val="18"/>
                <w:lang w:eastAsia="es-MX"/>
              </w:rPr>
              <w:t xml:space="preserve"> en kilogramos</w:t>
            </w:r>
          </w:p>
        </w:tc>
        <w:tc>
          <w:tcPr>
            <w:tcW w:w="1123" w:type="dxa"/>
            <w:tcBorders>
              <w:top w:val="nil"/>
              <w:left w:val="nil"/>
              <w:bottom w:val="single" w:sz="4" w:space="0" w:color="auto"/>
              <w:right w:val="single" w:sz="4" w:space="0" w:color="auto"/>
            </w:tcBorders>
            <w:shd w:val="clear" w:color="auto" w:fill="auto"/>
            <w:noWrap/>
            <w:vAlign w:val="center"/>
            <w:hideMark/>
          </w:tcPr>
          <w:p w14:paraId="3AE02BFA" w14:textId="2762F628" w:rsidR="001E56FC" w:rsidRPr="00561B9D" w:rsidRDefault="0027547C" w:rsidP="00554113">
            <w:pPr>
              <w:spacing w:after="0" w:line="240" w:lineRule="auto"/>
              <w:jc w:val="center"/>
              <w:rPr>
                <w:rFonts w:ascii="Arial" w:eastAsia="Times New Roman" w:hAnsi="Arial" w:cs="Arial"/>
                <w:color w:val="000000"/>
                <w:sz w:val="18"/>
                <w:szCs w:val="18"/>
                <w:lang w:eastAsia="es-MX"/>
              </w:rPr>
            </w:pPr>
            <w:r w:rsidRPr="0027547C">
              <w:rPr>
                <w:rFonts w:ascii="Arial" w:eastAsia="Times New Roman" w:hAnsi="Arial" w:cs="Arial"/>
                <w:color w:val="000000"/>
                <w:sz w:val="18"/>
                <w:szCs w:val="18"/>
                <w:lang w:eastAsia="es-MX"/>
              </w:rPr>
              <w:t>3.2</w:t>
            </w:r>
          </w:p>
        </w:tc>
        <w:tc>
          <w:tcPr>
            <w:tcW w:w="1602" w:type="dxa"/>
            <w:tcBorders>
              <w:top w:val="nil"/>
              <w:left w:val="nil"/>
              <w:bottom w:val="single" w:sz="4" w:space="0" w:color="auto"/>
              <w:right w:val="single" w:sz="4" w:space="0" w:color="auto"/>
            </w:tcBorders>
            <w:shd w:val="clear" w:color="auto" w:fill="auto"/>
            <w:noWrap/>
            <w:vAlign w:val="center"/>
            <w:hideMark/>
          </w:tcPr>
          <w:p w14:paraId="4503E0C0" w14:textId="4BD3101D" w:rsidR="001E56FC" w:rsidRPr="00561B9D" w:rsidRDefault="0027547C" w:rsidP="00554113">
            <w:pPr>
              <w:spacing w:after="0" w:line="240" w:lineRule="auto"/>
              <w:jc w:val="center"/>
              <w:rPr>
                <w:rFonts w:ascii="Arial" w:eastAsia="Times New Roman" w:hAnsi="Arial" w:cs="Arial"/>
                <w:color w:val="000000"/>
                <w:sz w:val="18"/>
                <w:szCs w:val="18"/>
                <w:lang w:eastAsia="es-MX"/>
              </w:rPr>
            </w:pPr>
            <w:r w:rsidRPr="0027547C">
              <w:rPr>
                <w:rFonts w:ascii="Arial" w:eastAsia="Times New Roman" w:hAnsi="Arial" w:cs="Arial"/>
                <w:color w:val="000000"/>
                <w:sz w:val="18"/>
                <w:szCs w:val="18"/>
                <w:lang w:eastAsia="es-MX"/>
              </w:rPr>
              <w:t>0.2</w:t>
            </w:r>
          </w:p>
        </w:tc>
      </w:tr>
      <w:tr w:rsidR="001E56FC" w:rsidRPr="00561B9D" w14:paraId="2675998D" w14:textId="77777777" w:rsidTr="00554113">
        <w:trPr>
          <w:trHeight w:val="240"/>
          <w:jc w:val="center"/>
        </w:trPr>
        <w:tc>
          <w:tcPr>
            <w:tcW w:w="6799" w:type="dxa"/>
            <w:gridSpan w:val="3"/>
            <w:tcBorders>
              <w:top w:val="single" w:sz="4" w:space="0" w:color="auto"/>
              <w:left w:val="single" w:sz="4" w:space="0" w:color="auto"/>
              <w:bottom w:val="single" w:sz="4" w:space="0" w:color="auto"/>
              <w:right w:val="single" w:sz="4" w:space="0" w:color="auto"/>
            </w:tcBorders>
            <w:shd w:val="clear" w:color="auto" w:fill="511427"/>
            <w:noWrap/>
            <w:vAlign w:val="center"/>
            <w:hideMark/>
          </w:tcPr>
          <w:p w14:paraId="51362D53"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MDMA, dl-34-metilendioxi-n-dimetilfeniletilamina</w:t>
            </w:r>
          </w:p>
        </w:tc>
      </w:tr>
      <w:tr w:rsidR="001E56FC" w:rsidRPr="00561B9D" w14:paraId="46889192" w14:textId="77777777" w:rsidTr="00554113">
        <w:trPr>
          <w:trHeight w:val="240"/>
          <w:jc w:val="center"/>
        </w:trPr>
        <w:tc>
          <w:tcPr>
            <w:tcW w:w="4074" w:type="dxa"/>
            <w:tcBorders>
              <w:top w:val="nil"/>
              <w:left w:val="single" w:sz="4" w:space="0" w:color="auto"/>
              <w:bottom w:val="single" w:sz="4" w:space="0" w:color="auto"/>
              <w:right w:val="single" w:sz="4" w:space="0" w:color="auto"/>
            </w:tcBorders>
            <w:shd w:val="clear" w:color="auto" w:fill="804053"/>
            <w:noWrap/>
            <w:vAlign w:val="center"/>
            <w:hideMark/>
          </w:tcPr>
          <w:p w14:paraId="08908C3E"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 </w:t>
            </w:r>
          </w:p>
        </w:tc>
        <w:tc>
          <w:tcPr>
            <w:tcW w:w="1123" w:type="dxa"/>
            <w:tcBorders>
              <w:top w:val="nil"/>
              <w:left w:val="nil"/>
              <w:bottom w:val="single" w:sz="4" w:space="0" w:color="auto"/>
              <w:right w:val="single" w:sz="4" w:space="0" w:color="auto"/>
            </w:tcBorders>
            <w:shd w:val="clear" w:color="auto" w:fill="804053"/>
            <w:noWrap/>
            <w:vAlign w:val="center"/>
            <w:hideMark/>
          </w:tcPr>
          <w:p w14:paraId="2C60EE15"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2019</w:t>
            </w:r>
          </w:p>
        </w:tc>
        <w:tc>
          <w:tcPr>
            <w:tcW w:w="1602" w:type="dxa"/>
            <w:tcBorders>
              <w:top w:val="nil"/>
              <w:left w:val="nil"/>
              <w:bottom w:val="single" w:sz="4" w:space="0" w:color="auto"/>
              <w:right w:val="single" w:sz="4" w:space="0" w:color="auto"/>
            </w:tcBorders>
            <w:shd w:val="clear" w:color="auto" w:fill="804053"/>
            <w:noWrap/>
            <w:vAlign w:val="center"/>
            <w:hideMark/>
          </w:tcPr>
          <w:p w14:paraId="1D9A6104"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2020</w:t>
            </w:r>
          </w:p>
        </w:tc>
      </w:tr>
      <w:tr w:rsidR="001E56FC" w:rsidRPr="00561B9D" w14:paraId="4E218A03" w14:textId="77777777" w:rsidTr="00554113">
        <w:trPr>
          <w:trHeight w:val="240"/>
          <w:jc w:val="center"/>
        </w:trPr>
        <w:tc>
          <w:tcPr>
            <w:tcW w:w="4074" w:type="dxa"/>
            <w:tcBorders>
              <w:top w:val="nil"/>
              <w:left w:val="single" w:sz="4" w:space="0" w:color="auto"/>
              <w:bottom w:val="single" w:sz="4" w:space="0" w:color="auto"/>
              <w:right w:val="single" w:sz="4" w:space="0" w:color="auto"/>
            </w:tcBorders>
            <w:shd w:val="clear" w:color="auto" w:fill="auto"/>
            <w:noWrap/>
            <w:vAlign w:val="center"/>
            <w:hideMark/>
          </w:tcPr>
          <w:p w14:paraId="004573F2" w14:textId="77777777" w:rsidR="001E56FC" w:rsidRPr="00561B9D" w:rsidRDefault="001E56FC" w:rsidP="00554113">
            <w:pPr>
              <w:spacing w:after="0" w:line="240" w:lineRule="auto"/>
              <w:rPr>
                <w:rFonts w:ascii="Arial" w:eastAsia="Times New Roman" w:hAnsi="Arial" w:cs="Arial"/>
                <w:color w:val="000000"/>
                <w:sz w:val="18"/>
                <w:szCs w:val="18"/>
                <w:lang w:eastAsia="es-MX"/>
              </w:rPr>
            </w:pPr>
            <w:proofErr w:type="gramStart"/>
            <w:r w:rsidRPr="00561B9D">
              <w:rPr>
                <w:rFonts w:ascii="Arial" w:eastAsia="Times New Roman" w:hAnsi="Arial" w:cs="Arial"/>
                <w:color w:val="000000"/>
                <w:sz w:val="18"/>
                <w:szCs w:val="18"/>
                <w:lang w:eastAsia="es-MX"/>
              </w:rPr>
              <w:t>Total</w:t>
            </w:r>
            <w:proofErr w:type="gramEnd"/>
            <w:r w:rsidRPr="00561B9D">
              <w:rPr>
                <w:rFonts w:ascii="Arial" w:eastAsia="Times New Roman" w:hAnsi="Arial" w:cs="Arial"/>
                <w:color w:val="000000"/>
                <w:sz w:val="18"/>
                <w:szCs w:val="18"/>
                <w:lang w:eastAsia="es-MX"/>
              </w:rPr>
              <w:t xml:space="preserve"> en kilogramos</w:t>
            </w:r>
          </w:p>
        </w:tc>
        <w:tc>
          <w:tcPr>
            <w:tcW w:w="1123" w:type="dxa"/>
            <w:tcBorders>
              <w:top w:val="nil"/>
              <w:left w:val="nil"/>
              <w:bottom w:val="single" w:sz="4" w:space="0" w:color="auto"/>
              <w:right w:val="single" w:sz="4" w:space="0" w:color="auto"/>
            </w:tcBorders>
            <w:shd w:val="clear" w:color="auto" w:fill="auto"/>
            <w:noWrap/>
            <w:vAlign w:val="center"/>
            <w:hideMark/>
          </w:tcPr>
          <w:p w14:paraId="037DBF98" w14:textId="111DEBD7" w:rsidR="001E56FC" w:rsidRPr="00561B9D" w:rsidRDefault="0027547C" w:rsidP="00554113">
            <w:pPr>
              <w:spacing w:after="0" w:line="240" w:lineRule="auto"/>
              <w:jc w:val="center"/>
              <w:rPr>
                <w:rFonts w:ascii="Arial" w:eastAsia="Times New Roman" w:hAnsi="Arial" w:cs="Arial"/>
                <w:color w:val="000000"/>
                <w:sz w:val="18"/>
                <w:szCs w:val="18"/>
                <w:lang w:eastAsia="es-MX"/>
              </w:rPr>
            </w:pPr>
            <w:r w:rsidRPr="0027547C">
              <w:rPr>
                <w:rFonts w:ascii="Arial" w:eastAsia="Times New Roman" w:hAnsi="Arial" w:cs="Arial"/>
                <w:color w:val="000000"/>
                <w:sz w:val="18"/>
                <w:szCs w:val="18"/>
                <w:lang w:eastAsia="es-MX"/>
              </w:rPr>
              <w:t>0.2</w:t>
            </w:r>
          </w:p>
        </w:tc>
        <w:tc>
          <w:tcPr>
            <w:tcW w:w="1602" w:type="dxa"/>
            <w:tcBorders>
              <w:top w:val="nil"/>
              <w:left w:val="nil"/>
              <w:bottom w:val="single" w:sz="4" w:space="0" w:color="auto"/>
              <w:right w:val="single" w:sz="4" w:space="0" w:color="auto"/>
            </w:tcBorders>
            <w:shd w:val="clear" w:color="auto" w:fill="auto"/>
            <w:noWrap/>
            <w:vAlign w:val="center"/>
            <w:hideMark/>
          </w:tcPr>
          <w:p w14:paraId="0A2BD1F0" w14:textId="2237E0D7" w:rsidR="001E56FC" w:rsidRPr="00561B9D" w:rsidRDefault="0027547C" w:rsidP="00554113">
            <w:pPr>
              <w:spacing w:after="0" w:line="240" w:lineRule="auto"/>
              <w:jc w:val="center"/>
              <w:rPr>
                <w:rFonts w:ascii="Arial" w:eastAsia="Times New Roman" w:hAnsi="Arial" w:cs="Arial"/>
                <w:color w:val="000000"/>
                <w:sz w:val="18"/>
                <w:szCs w:val="18"/>
                <w:lang w:eastAsia="es-MX"/>
              </w:rPr>
            </w:pPr>
            <w:r w:rsidRPr="0027547C">
              <w:rPr>
                <w:rFonts w:ascii="Arial" w:eastAsia="Times New Roman" w:hAnsi="Arial" w:cs="Arial"/>
                <w:color w:val="000000"/>
                <w:sz w:val="18"/>
                <w:szCs w:val="18"/>
                <w:lang w:eastAsia="es-MX"/>
              </w:rPr>
              <w:t>0.1</w:t>
            </w:r>
          </w:p>
        </w:tc>
      </w:tr>
      <w:tr w:rsidR="001E56FC" w:rsidRPr="00561B9D" w14:paraId="2F5DB0F5" w14:textId="77777777" w:rsidTr="00554113">
        <w:trPr>
          <w:trHeight w:val="240"/>
          <w:jc w:val="center"/>
        </w:trPr>
        <w:tc>
          <w:tcPr>
            <w:tcW w:w="4074" w:type="dxa"/>
            <w:tcBorders>
              <w:top w:val="nil"/>
              <w:left w:val="single" w:sz="4" w:space="0" w:color="auto"/>
              <w:bottom w:val="single" w:sz="4" w:space="0" w:color="auto"/>
              <w:right w:val="single" w:sz="4" w:space="0" w:color="auto"/>
            </w:tcBorders>
            <w:shd w:val="clear" w:color="auto" w:fill="AF8D95"/>
            <w:noWrap/>
            <w:vAlign w:val="center"/>
            <w:hideMark/>
          </w:tcPr>
          <w:p w14:paraId="77B873FC" w14:textId="77777777" w:rsidR="001E56FC" w:rsidRPr="00561B9D" w:rsidRDefault="001E56FC" w:rsidP="00554113">
            <w:pPr>
              <w:spacing w:after="0" w:line="240" w:lineRule="auto"/>
              <w:rPr>
                <w:rFonts w:ascii="Arial" w:eastAsia="Times New Roman" w:hAnsi="Arial" w:cs="Arial"/>
                <w:color w:val="000000"/>
                <w:sz w:val="18"/>
                <w:szCs w:val="18"/>
                <w:lang w:eastAsia="es-MX"/>
              </w:rPr>
            </w:pPr>
            <w:proofErr w:type="gramStart"/>
            <w:r w:rsidRPr="00561B9D">
              <w:rPr>
                <w:rFonts w:ascii="Arial" w:eastAsia="Times New Roman" w:hAnsi="Arial" w:cs="Arial"/>
                <w:color w:val="000000"/>
                <w:sz w:val="18"/>
                <w:szCs w:val="18"/>
                <w:lang w:eastAsia="es-MX"/>
              </w:rPr>
              <w:t>Total</w:t>
            </w:r>
            <w:proofErr w:type="gramEnd"/>
            <w:r w:rsidRPr="00561B9D">
              <w:rPr>
                <w:rFonts w:ascii="Arial" w:eastAsia="Times New Roman" w:hAnsi="Arial" w:cs="Arial"/>
                <w:color w:val="000000"/>
                <w:sz w:val="18"/>
                <w:szCs w:val="18"/>
                <w:lang w:eastAsia="es-MX"/>
              </w:rPr>
              <w:t xml:space="preserve"> por unidad (tableta o cápsula)</w:t>
            </w:r>
          </w:p>
        </w:tc>
        <w:tc>
          <w:tcPr>
            <w:tcW w:w="1123" w:type="dxa"/>
            <w:tcBorders>
              <w:top w:val="nil"/>
              <w:left w:val="nil"/>
              <w:bottom w:val="single" w:sz="4" w:space="0" w:color="auto"/>
              <w:right w:val="single" w:sz="4" w:space="0" w:color="auto"/>
            </w:tcBorders>
            <w:shd w:val="clear" w:color="auto" w:fill="AF8D95"/>
            <w:noWrap/>
            <w:vAlign w:val="center"/>
            <w:hideMark/>
          </w:tcPr>
          <w:p w14:paraId="7A467970" w14:textId="7D1BE9CC" w:rsidR="001E56FC" w:rsidRPr="00561B9D" w:rsidRDefault="0027547C" w:rsidP="00554113">
            <w:pPr>
              <w:spacing w:after="0" w:line="240" w:lineRule="auto"/>
              <w:jc w:val="center"/>
              <w:rPr>
                <w:rFonts w:ascii="Arial" w:eastAsia="Times New Roman" w:hAnsi="Arial" w:cs="Arial"/>
                <w:color w:val="000000"/>
                <w:sz w:val="18"/>
                <w:szCs w:val="18"/>
                <w:lang w:eastAsia="es-MX"/>
              </w:rPr>
            </w:pPr>
            <w:r w:rsidRPr="0027547C">
              <w:rPr>
                <w:rFonts w:ascii="Arial" w:eastAsia="Times New Roman" w:hAnsi="Arial" w:cs="Arial"/>
                <w:color w:val="000000"/>
                <w:sz w:val="18"/>
                <w:szCs w:val="18"/>
                <w:lang w:eastAsia="es-MX"/>
              </w:rPr>
              <w:t>54</w:t>
            </w:r>
          </w:p>
        </w:tc>
        <w:tc>
          <w:tcPr>
            <w:tcW w:w="1602" w:type="dxa"/>
            <w:tcBorders>
              <w:top w:val="nil"/>
              <w:left w:val="nil"/>
              <w:bottom w:val="single" w:sz="4" w:space="0" w:color="auto"/>
              <w:right w:val="single" w:sz="4" w:space="0" w:color="auto"/>
            </w:tcBorders>
            <w:shd w:val="clear" w:color="auto" w:fill="AF8D95"/>
            <w:noWrap/>
            <w:vAlign w:val="center"/>
            <w:hideMark/>
          </w:tcPr>
          <w:p w14:paraId="7CADB74B" w14:textId="76E7E3A1" w:rsidR="001E56FC" w:rsidRPr="00561B9D" w:rsidRDefault="0027547C" w:rsidP="00554113">
            <w:pPr>
              <w:spacing w:after="0" w:line="240" w:lineRule="auto"/>
              <w:jc w:val="center"/>
              <w:rPr>
                <w:rFonts w:ascii="Arial" w:eastAsia="Times New Roman" w:hAnsi="Arial" w:cs="Arial"/>
                <w:color w:val="000000"/>
                <w:sz w:val="18"/>
                <w:szCs w:val="18"/>
                <w:lang w:eastAsia="es-MX"/>
              </w:rPr>
            </w:pPr>
            <w:r w:rsidRPr="0027547C">
              <w:rPr>
                <w:rFonts w:ascii="Arial" w:eastAsia="Times New Roman" w:hAnsi="Arial" w:cs="Arial"/>
                <w:color w:val="000000"/>
                <w:sz w:val="18"/>
                <w:szCs w:val="18"/>
                <w:lang w:eastAsia="es-MX"/>
              </w:rPr>
              <w:t>0</w:t>
            </w:r>
          </w:p>
        </w:tc>
      </w:tr>
      <w:tr w:rsidR="001E56FC" w:rsidRPr="00561B9D" w14:paraId="00E5C8FA" w14:textId="77777777" w:rsidTr="00554113">
        <w:trPr>
          <w:trHeight w:val="225"/>
          <w:jc w:val="center"/>
        </w:trPr>
        <w:tc>
          <w:tcPr>
            <w:tcW w:w="6799" w:type="dxa"/>
            <w:gridSpan w:val="3"/>
            <w:tcBorders>
              <w:top w:val="single" w:sz="4" w:space="0" w:color="auto"/>
              <w:left w:val="single" w:sz="4" w:space="0" w:color="auto"/>
              <w:bottom w:val="single" w:sz="4" w:space="0" w:color="auto"/>
              <w:right w:val="single" w:sz="4" w:space="0" w:color="auto"/>
            </w:tcBorders>
            <w:shd w:val="clear" w:color="auto" w:fill="511427"/>
            <w:vAlign w:val="center"/>
            <w:hideMark/>
          </w:tcPr>
          <w:p w14:paraId="385A7275"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Psicotrópicos</w:t>
            </w:r>
          </w:p>
        </w:tc>
      </w:tr>
      <w:tr w:rsidR="001E56FC" w:rsidRPr="00561B9D" w14:paraId="1F9AEB33" w14:textId="77777777" w:rsidTr="00554113">
        <w:trPr>
          <w:trHeight w:val="225"/>
          <w:jc w:val="center"/>
        </w:trPr>
        <w:tc>
          <w:tcPr>
            <w:tcW w:w="4074" w:type="dxa"/>
            <w:tcBorders>
              <w:top w:val="nil"/>
              <w:left w:val="single" w:sz="4" w:space="0" w:color="auto"/>
              <w:bottom w:val="single" w:sz="4" w:space="0" w:color="auto"/>
              <w:right w:val="single" w:sz="4" w:space="0" w:color="auto"/>
            </w:tcBorders>
            <w:shd w:val="clear" w:color="auto" w:fill="804053"/>
            <w:vAlign w:val="center"/>
            <w:hideMark/>
          </w:tcPr>
          <w:p w14:paraId="0A5BC377"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 </w:t>
            </w:r>
          </w:p>
        </w:tc>
        <w:tc>
          <w:tcPr>
            <w:tcW w:w="1123" w:type="dxa"/>
            <w:tcBorders>
              <w:top w:val="nil"/>
              <w:left w:val="nil"/>
              <w:bottom w:val="single" w:sz="4" w:space="0" w:color="auto"/>
              <w:right w:val="single" w:sz="4" w:space="0" w:color="auto"/>
            </w:tcBorders>
            <w:shd w:val="clear" w:color="auto" w:fill="804053"/>
            <w:noWrap/>
            <w:vAlign w:val="center"/>
            <w:hideMark/>
          </w:tcPr>
          <w:p w14:paraId="7D6658E3"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2019</w:t>
            </w:r>
          </w:p>
        </w:tc>
        <w:tc>
          <w:tcPr>
            <w:tcW w:w="1602" w:type="dxa"/>
            <w:tcBorders>
              <w:top w:val="nil"/>
              <w:left w:val="nil"/>
              <w:bottom w:val="single" w:sz="4" w:space="0" w:color="auto"/>
              <w:right w:val="single" w:sz="4" w:space="0" w:color="auto"/>
            </w:tcBorders>
            <w:shd w:val="clear" w:color="auto" w:fill="804053"/>
            <w:noWrap/>
            <w:vAlign w:val="center"/>
            <w:hideMark/>
          </w:tcPr>
          <w:p w14:paraId="5A6CEBB2" w14:textId="77777777" w:rsidR="001E56FC" w:rsidRPr="00561B9D" w:rsidRDefault="001E56FC" w:rsidP="00554113">
            <w:pPr>
              <w:spacing w:after="0" w:line="240" w:lineRule="auto"/>
              <w:jc w:val="center"/>
              <w:rPr>
                <w:rFonts w:ascii="Arial" w:eastAsia="Times New Roman" w:hAnsi="Arial" w:cs="Arial"/>
                <w:color w:val="FFFFFF"/>
                <w:sz w:val="18"/>
                <w:szCs w:val="18"/>
                <w:lang w:eastAsia="es-MX"/>
              </w:rPr>
            </w:pPr>
            <w:r w:rsidRPr="00561B9D">
              <w:rPr>
                <w:rFonts w:ascii="Arial" w:eastAsia="Times New Roman" w:hAnsi="Arial" w:cs="Arial"/>
                <w:color w:val="FFFFFF"/>
                <w:sz w:val="18"/>
                <w:szCs w:val="18"/>
                <w:lang w:eastAsia="es-MX"/>
              </w:rPr>
              <w:t>2020</w:t>
            </w:r>
          </w:p>
        </w:tc>
      </w:tr>
      <w:tr w:rsidR="001E56FC" w:rsidRPr="00561B9D" w14:paraId="4080840F" w14:textId="77777777" w:rsidTr="00554113">
        <w:trPr>
          <w:trHeight w:val="240"/>
          <w:jc w:val="center"/>
        </w:trPr>
        <w:tc>
          <w:tcPr>
            <w:tcW w:w="4074" w:type="dxa"/>
            <w:tcBorders>
              <w:top w:val="nil"/>
              <w:left w:val="single" w:sz="4" w:space="0" w:color="auto"/>
              <w:bottom w:val="single" w:sz="4" w:space="0" w:color="auto"/>
              <w:right w:val="single" w:sz="4" w:space="0" w:color="auto"/>
            </w:tcBorders>
            <w:shd w:val="clear" w:color="auto" w:fill="auto"/>
            <w:noWrap/>
            <w:vAlign w:val="center"/>
            <w:hideMark/>
          </w:tcPr>
          <w:p w14:paraId="153DCDB6" w14:textId="77777777" w:rsidR="001E56FC" w:rsidRPr="00561B9D" w:rsidRDefault="001E56FC" w:rsidP="00554113">
            <w:pPr>
              <w:spacing w:after="0" w:line="240" w:lineRule="auto"/>
              <w:rPr>
                <w:rFonts w:ascii="Arial" w:eastAsia="Times New Roman" w:hAnsi="Arial" w:cs="Arial"/>
                <w:color w:val="000000"/>
                <w:sz w:val="18"/>
                <w:szCs w:val="18"/>
                <w:lang w:eastAsia="es-MX"/>
              </w:rPr>
            </w:pPr>
            <w:proofErr w:type="gramStart"/>
            <w:r w:rsidRPr="00561B9D">
              <w:rPr>
                <w:rFonts w:ascii="Arial" w:eastAsia="Times New Roman" w:hAnsi="Arial" w:cs="Arial"/>
                <w:color w:val="000000"/>
                <w:sz w:val="18"/>
                <w:szCs w:val="18"/>
                <w:lang w:eastAsia="es-MX"/>
              </w:rPr>
              <w:t>Total</w:t>
            </w:r>
            <w:proofErr w:type="gramEnd"/>
            <w:r w:rsidRPr="00561B9D">
              <w:rPr>
                <w:rFonts w:ascii="Arial" w:eastAsia="Times New Roman" w:hAnsi="Arial" w:cs="Arial"/>
                <w:color w:val="000000"/>
                <w:sz w:val="18"/>
                <w:szCs w:val="18"/>
                <w:lang w:eastAsia="es-MX"/>
              </w:rPr>
              <w:t xml:space="preserve"> por unidad (tableta o cápsula)</w:t>
            </w:r>
          </w:p>
        </w:tc>
        <w:tc>
          <w:tcPr>
            <w:tcW w:w="1123" w:type="dxa"/>
            <w:tcBorders>
              <w:top w:val="nil"/>
              <w:left w:val="nil"/>
              <w:bottom w:val="single" w:sz="4" w:space="0" w:color="auto"/>
              <w:right w:val="single" w:sz="4" w:space="0" w:color="auto"/>
            </w:tcBorders>
            <w:shd w:val="clear" w:color="auto" w:fill="auto"/>
            <w:noWrap/>
            <w:vAlign w:val="center"/>
            <w:hideMark/>
          </w:tcPr>
          <w:p w14:paraId="7F096BD9" w14:textId="7F9C4CFB" w:rsidR="001E56FC" w:rsidRPr="00561B9D" w:rsidRDefault="0027547C" w:rsidP="00554113">
            <w:pPr>
              <w:spacing w:after="0" w:line="240" w:lineRule="auto"/>
              <w:jc w:val="center"/>
              <w:rPr>
                <w:rFonts w:ascii="Arial" w:eastAsia="Times New Roman" w:hAnsi="Arial" w:cs="Arial"/>
                <w:color w:val="000000"/>
                <w:sz w:val="18"/>
                <w:szCs w:val="18"/>
                <w:lang w:eastAsia="es-MX"/>
              </w:rPr>
            </w:pPr>
            <w:r w:rsidRPr="0027547C">
              <w:rPr>
                <w:rFonts w:ascii="Arial" w:eastAsia="Times New Roman" w:hAnsi="Arial" w:cs="Arial"/>
                <w:color w:val="000000"/>
                <w:sz w:val="18"/>
                <w:szCs w:val="18"/>
                <w:lang w:eastAsia="es-MX"/>
              </w:rPr>
              <w:t>344</w:t>
            </w:r>
          </w:p>
        </w:tc>
        <w:tc>
          <w:tcPr>
            <w:tcW w:w="1602" w:type="dxa"/>
            <w:tcBorders>
              <w:top w:val="nil"/>
              <w:left w:val="nil"/>
              <w:bottom w:val="single" w:sz="4" w:space="0" w:color="auto"/>
              <w:right w:val="single" w:sz="4" w:space="0" w:color="auto"/>
            </w:tcBorders>
            <w:shd w:val="clear" w:color="auto" w:fill="auto"/>
            <w:noWrap/>
            <w:vAlign w:val="center"/>
            <w:hideMark/>
          </w:tcPr>
          <w:p w14:paraId="277B4E88" w14:textId="095BAFB1" w:rsidR="001E56FC" w:rsidRPr="00561B9D" w:rsidRDefault="0027547C" w:rsidP="00554113">
            <w:pPr>
              <w:spacing w:after="0" w:line="240" w:lineRule="auto"/>
              <w:jc w:val="center"/>
              <w:rPr>
                <w:rFonts w:ascii="Arial" w:eastAsia="Times New Roman" w:hAnsi="Arial" w:cs="Arial"/>
                <w:color w:val="000000"/>
                <w:sz w:val="18"/>
                <w:szCs w:val="18"/>
                <w:lang w:eastAsia="es-MX"/>
              </w:rPr>
            </w:pPr>
            <w:r w:rsidRPr="0027547C">
              <w:rPr>
                <w:rFonts w:ascii="Arial" w:eastAsia="Times New Roman" w:hAnsi="Arial" w:cs="Arial"/>
                <w:color w:val="000000"/>
                <w:sz w:val="18"/>
                <w:szCs w:val="18"/>
                <w:lang w:eastAsia="es-MX"/>
              </w:rPr>
              <w:t>0</w:t>
            </w:r>
          </w:p>
        </w:tc>
      </w:tr>
    </w:tbl>
    <w:p w14:paraId="2A0C784C" w14:textId="77777777" w:rsidR="000530BE" w:rsidRDefault="000530BE" w:rsidP="00300973">
      <w:pPr>
        <w:spacing w:after="0"/>
        <w:ind w:left="-567"/>
        <w:rPr>
          <w:rFonts w:ascii="Arial" w:hAnsi="Arial" w:cs="Arial"/>
          <w:b/>
          <w:bCs/>
          <w:iCs/>
          <w:noProof/>
          <w:sz w:val="24"/>
          <w:szCs w:val="24"/>
          <w:lang w:eastAsia="es-MX"/>
        </w:rPr>
      </w:pPr>
    </w:p>
    <w:p w14:paraId="24872B31" w14:textId="683DC612" w:rsidR="001E56FC" w:rsidRPr="001E56FC" w:rsidRDefault="001E56FC" w:rsidP="001E56FC">
      <w:pPr>
        <w:spacing w:after="0"/>
        <w:ind w:left="-567"/>
        <w:jc w:val="center"/>
        <w:rPr>
          <w:rFonts w:ascii="Arial" w:hAnsi="Arial" w:cs="Arial"/>
          <w:b/>
          <w:bCs/>
          <w:iCs/>
          <w:noProof/>
          <w:sz w:val="18"/>
          <w:szCs w:val="24"/>
          <w:lang w:eastAsia="es-MX"/>
        </w:rPr>
      </w:pPr>
      <w:r>
        <w:rPr>
          <w:rFonts w:ascii="Arial" w:hAnsi="Arial" w:cs="Arial"/>
          <w:sz w:val="16"/>
        </w:rPr>
        <w:t>(</w:t>
      </w:r>
      <w:r w:rsidRPr="001E56FC">
        <w:rPr>
          <w:rFonts w:ascii="Arial" w:hAnsi="Arial" w:cs="Arial"/>
          <w:sz w:val="16"/>
        </w:rPr>
        <w:t>*): la categoría no se captó en 2019, por lo que solo se presentan cifras para 2020.</w:t>
      </w:r>
    </w:p>
    <w:p w14:paraId="21ADBC98" w14:textId="77777777" w:rsidR="001E56FC" w:rsidRDefault="001E56FC" w:rsidP="00300973">
      <w:pPr>
        <w:spacing w:after="0"/>
        <w:ind w:left="-567"/>
        <w:rPr>
          <w:rFonts w:ascii="Arial" w:hAnsi="Arial" w:cs="Arial"/>
          <w:b/>
          <w:bCs/>
          <w:iCs/>
          <w:noProof/>
          <w:sz w:val="24"/>
          <w:szCs w:val="24"/>
          <w:lang w:eastAsia="es-MX"/>
        </w:rPr>
      </w:pPr>
    </w:p>
    <w:p w14:paraId="21DD259F" w14:textId="77777777" w:rsidR="00D47302" w:rsidRDefault="00D47302" w:rsidP="00300973">
      <w:pPr>
        <w:spacing w:after="0"/>
        <w:ind w:left="-567"/>
        <w:rPr>
          <w:rFonts w:ascii="Arial" w:hAnsi="Arial" w:cs="Arial"/>
          <w:b/>
          <w:bCs/>
          <w:iCs/>
          <w:noProof/>
          <w:sz w:val="24"/>
          <w:szCs w:val="24"/>
          <w:lang w:eastAsia="es-MX"/>
        </w:rPr>
      </w:pPr>
    </w:p>
    <w:p w14:paraId="66548976" w14:textId="173330A0" w:rsidR="009834F6" w:rsidRDefault="009834F6" w:rsidP="00300973">
      <w:pPr>
        <w:spacing w:after="0"/>
        <w:ind w:left="-567"/>
        <w:rPr>
          <w:rFonts w:ascii="Arial" w:hAnsi="Arial" w:cs="Arial"/>
          <w:b/>
          <w:bCs/>
          <w:iCs/>
          <w:noProof/>
          <w:sz w:val="24"/>
          <w:szCs w:val="24"/>
          <w:lang w:eastAsia="es-MX"/>
        </w:rPr>
      </w:pPr>
      <w:r w:rsidRPr="009834F6">
        <w:rPr>
          <w:rFonts w:ascii="Arial" w:hAnsi="Arial" w:cs="Arial"/>
          <w:b/>
          <w:bCs/>
          <w:iCs/>
          <w:noProof/>
          <w:sz w:val="24"/>
          <w:szCs w:val="24"/>
          <w:lang w:eastAsia="es-MX"/>
        </w:rPr>
        <w:t>Mecanismos alternativos de solución de controversias en materia penal</w:t>
      </w:r>
    </w:p>
    <w:p w14:paraId="30736F87" w14:textId="77777777" w:rsidR="009834F6" w:rsidRDefault="009834F6" w:rsidP="009834F6">
      <w:pPr>
        <w:autoSpaceDE w:val="0"/>
        <w:autoSpaceDN w:val="0"/>
        <w:adjustRightInd w:val="0"/>
        <w:spacing w:after="0" w:line="240" w:lineRule="auto"/>
        <w:ind w:left="-567"/>
        <w:jc w:val="both"/>
        <w:rPr>
          <w:rFonts w:ascii="Arial" w:hAnsi="Arial" w:cs="Arial"/>
          <w:color w:val="000000"/>
          <w:sz w:val="24"/>
          <w:szCs w:val="24"/>
        </w:rPr>
      </w:pPr>
    </w:p>
    <w:p w14:paraId="42F8CFC2" w14:textId="1BE76B99" w:rsidR="00FB6F64" w:rsidRPr="00FB6F64" w:rsidRDefault="00E64BE3" w:rsidP="00933B3F">
      <w:pPr>
        <w:autoSpaceDE w:val="0"/>
        <w:autoSpaceDN w:val="0"/>
        <w:adjustRightInd w:val="0"/>
        <w:spacing w:after="0" w:line="240" w:lineRule="auto"/>
        <w:ind w:left="-567"/>
        <w:jc w:val="both"/>
        <w:rPr>
          <w:rFonts w:ascii="Arial" w:hAnsi="Arial" w:cs="Arial"/>
          <w:color w:val="000000"/>
          <w:sz w:val="24"/>
          <w:szCs w:val="24"/>
        </w:rPr>
      </w:pPr>
      <w:bookmarkStart w:id="16" w:name="_Hlk85032530"/>
      <w:r>
        <w:rPr>
          <w:rFonts w:ascii="Arial" w:hAnsi="Arial" w:cs="Arial"/>
          <w:color w:val="000000"/>
          <w:sz w:val="24"/>
          <w:szCs w:val="24"/>
        </w:rPr>
        <w:t>D</w:t>
      </w:r>
      <w:r w:rsidR="00FB6F64" w:rsidRPr="00FB6F64">
        <w:rPr>
          <w:rFonts w:ascii="Arial" w:hAnsi="Arial" w:cs="Arial"/>
          <w:color w:val="000000"/>
          <w:sz w:val="24"/>
          <w:szCs w:val="24"/>
        </w:rPr>
        <w:t>urante 20</w:t>
      </w:r>
      <w:r w:rsidR="0075241E">
        <w:rPr>
          <w:rFonts w:ascii="Arial" w:hAnsi="Arial" w:cs="Arial"/>
          <w:color w:val="000000"/>
          <w:sz w:val="24"/>
          <w:szCs w:val="24"/>
        </w:rPr>
        <w:t>20</w:t>
      </w:r>
      <w:r w:rsidR="00FB6F64" w:rsidRPr="00FB6F64">
        <w:rPr>
          <w:rFonts w:ascii="Arial" w:hAnsi="Arial" w:cs="Arial"/>
          <w:color w:val="000000"/>
          <w:sz w:val="24"/>
          <w:szCs w:val="24"/>
        </w:rPr>
        <w:t xml:space="preserve">, se abrieron </w:t>
      </w:r>
      <w:r w:rsidR="00933B3F" w:rsidRPr="00933B3F">
        <w:rPr>
          <w:rFonts w:ascii="Arial" w:hAnsi="Arial" w:cs="Arial"/>
          <w:color w:val="000000"/>
          <w:sz w:val="24"/>
          <w:szCs w:val="24"/>
        </w:rPr>
        <w:t>229</w:t>
      </w:r>
      <w:r w:rsidR="00933B3F">
        <w:rPr>
          <w:rFonts w:ascii="Arial" w:hAnsi="Arial" w:cs="Arial"/>
          <w:color w:val="000000"/>
          <w:sz w:val="24"/>
          <w:szCs w:val="24"/>
        </w:rPr>
        <w:t xml:space="preserve"> </w:t>
      </w:r>
      <w:r w:rsidR="00933B3F" w:rsidRPr="00933B3F">
        <w:rPr>
          <w:rFonts w:ascii="Arial" w:hAnsi="Arial" w:cs="Arial"/>
          <w:color w:val="000000"/>
          <w:sz w:val="24"/>
          <w:szCs w:val="24"/>
        </w:rPr>
        <w:t>361</w:t>
      </w:r>
      <w:r w:rsidR="00880F12">
        <w:rPr>
          <w:rFonts w:ascii="Arial" w:hAnsi="Arial" w:cs="Arial"/>
          <w:color w:val="000000"/>
          <w:sz w:val="24"/>
          <w:szCs w:val="24"/>
        </w:rPr>
        <w:t xml:space="preserve"> </w:t>
      </w:r>
      <w:r w:rsidR="00FB6F64" w:rsidRPr="00FB6F64">
        <w:rPr>
          <w:rFonts w:ascii="Arial" w:hAnsi="Arial" w:cs="Arial"/>
          <w:color w:val="000000"/>
          <w:sz w:val="24"/>
          <w:szCs w:val="24"/>
        </w:rPr>
        <w:t>expedientes en materia penal para adultos y</w:t>
      </w:r>
      <w:r w:rsidR="00933B3F">
        <w:rPr>
          <w:rFonts w:ascii="Arial" w:hAnsi="Arial" w:cs="Arial"/>
          <w:color w:val="000000"/>
          <w:sz w:val="24"/>
          <w:szCs w:val="24"/>
        </w:rPr>
        <w:t xml:space="preserve"> </w:t>
      </w:r>
      <w:r w:rsidR="00FB6F64" w:rsidRPr="00FB6F64">
        <w:rPr>
          <w:rFonts w:ascii="Arial" w:hAnsi="Arial" w:cs="Arial"/>
          <w:color w:val="000000"/>
          <w:sz w:val="24"/>
          <w:szCs w:val="24"/>
        </w:rPr>
        <w:t>justicia para adolescentes por los órganos o unidades administrativas encargadas de los</w:t>
      </w:r>
      <w:r w:rsidR="00933B3F">
        <w:rPr>
          <w:rFonts w:ascii="Arial" w:hAnsi="Arial" w:cs="Arial"/>
          <w:color w:val="000000"/>
          <w:sz w:val="24"/>
          <w:szCs w:val="24"/>
        </w:rPr>
        <w:t xml:space="preserve"> </w:t>
      </w:r>
      <w:r w:rsidR="00FB6F64" w:rsidRPr="00FB6F64">
        <w:rPr>
          <w:rFonts w:ascii="Arial" w:hAnsi="Arial" w:cs="Arial"/>
          <w:color w:val="000000"/>
          <w:sz w:val="24"/>
          <w:szCs w:val="24"/>
        </w:rPr>
        <w:t>Mecanismos Alternativos de Solución de Controversias</w:t>
      </w:r>
      <w:r>
        <w:rPr>
          <w:rFonts w:ascii="Arial" w:hAnsi="Arial" w:cs="Arial"/>
          <w:color w:val="000000"/>
          <w:sz w:val="24"/>
          <w:szCs w:val="24"/>
        </w:rPr>
        <w:t xml:space="preserve">. En comparación con lo reportado en 2019, la cantidad de expedientes abiertos disminuyó 23.6 por ciento. </w:t>
      </w:r>
    </w:p>
    <w:p w14:paraId="7E64BE6A" w14:textId="77777777" w:rsidR="00FB6F64" w:rsidRDefault="00FB6F64" w:rsidP="00933B3F">
      <w:pPr>
        <w:autoSpaceDE w:val="0"/>
        <w:autoSpaceDN w:val="0"/>
        <w:adjustRightInd w:val="0"/>
        <w:spacing w:after="0" w:line="240" w:lineRule="auto"/>
        <w:ind w:left="-567"/>
        <w:jc w:val="both"/>
        <w:rPr>
          <w:rFonts w:ascii="Arial" w:hAnsi="Arial" w:cs="Arial"/>
          <w:color w:val="000000"/>
          <w:sz w:val="24"/>
          <w:szCs w:val="24"/>
        </w:rPr>
      </w:pPr>
    </w:p>
    <w:p w14:paraId="2FE48731" w14:textId="33C647AF" w:rsidR="00E64BE3" w:rsidRDefault="00FB6F64" w:rsidP="00933B3F">
      <w:pPr>
        <w:autoSpaceDE w:val="0"/>
        <w:autoSpaceDN w:val="0"/>
        <w:adjustRightInd w:val="0"/>
        <w:spacing w:after="0" w:line="240" w:lineRule="auto"/>
        <w:ind w:left="-567"/>
        <w:jc w:val="both"/>
        <w:rPr>
          <w:rFonts w:ascii="Arial" w:hAnsi="Arial" w:cs="Arial"/>
          <w:color w:val="000000"/>
          <w:sz w:val="24"/>
          <w:szCs w:val="24"/>
        </w:rPr>
      </w:pPr>
      <w:r w:rsidRPr="00FB6F64">
        <w:rPr>
          <w:rFonts w:ascii="Arial" w:hAnsi="Arial" w:cs="Arial"/>
          <w:color w:val="000000"/>
          <w:sz w:val="24"/>
          <w:szCs w:val="24"/>
        </w:rPr>
        <w:t xml:space="preserve">En el mismo periodo se concluyeron </w:t>
      </w:r>
      <w:r w:rsidR="00E64BE3" w:rsidRPr="00E64BE3">
        <w:rPr>
          <w:rFonts w:ascii="Arial" w:hAnsi="Arial" w:cs="Arial"/>
          <w:color w:val="000000"/>
          <w:sz w:val="24"/>
          <w:szCs w:val="24"/>
        </w:rPr>
        <w:t>226</w:t>
      </w:r>
      <w:r w:rsidR="00E64BE3">
        <w:rPr>
          <w:rFonts w:ascii="Arial" w:hAnsi="Arial" w:cs="Arial"/>
          <w:color w:val="000000"/>
          <w:sz w:val="24"/>
          <w:szCs w:val="24"/>
        </w:rPr>
        <w:t xml:space="preserve"> </w:t>
      </w:r>
      <w:r w:rsidR="00E64BE3" w:rsidRPr="00E64BE3">
        <w:rPr>
          <w:rFonts w:ascii="Arial" w:hAnsi="Arial" w:cs="Arial"/>
          <w:color w:val="000000"/>
          <w:sz w:val="24"/>
          <w:szCs w:val="24"/>
        </w:rPr>
        <w:t>302</w:t>
      </w:r>
      <w:r w:rsidR="00E64BE3">
        <w:rPr>
          <w:rFonts w:ascii="Arial" w:hAnsi="Arial" w:cs="Arial"/>
          <w:color w:val="000000"/>
          <w:sz w:val="24"/>
          <w:szCs w:val="24"/>
        </w:rPr>
        <w:t xml:space="preserve"> </w:t>
      </w:r>
      <w:r w:rsidRPr="00FB6F64">
        <w:rPr>
          <w:rFonts w:ascii="Arial" w:hAnsi="Arial" w:cs="Arial"/>
          <w:color w:val="000000"/>
          <w:sz w:val="24"/>
          <w:szCs w:val="24"/>
        </w:rPr>
        <w:t>expedientes, de los cuales</w:t>
      </w:r>
      <w:r w:rsidR="00372D26">
        <w:rPr>
          <w:rFonts w:ascii="Arial" w:hAnsi="Arial" w:cs="Arial"/>
          <w:color w:val="000000"/>
          <w:sz w:val="24"/>
          <w:szCs w:val="24"/>
        </w:rPr>
        <w:t>,</w:t>
      </w:r>
      <w:r w:rsidRPr="00FB6F64">
        <w:rPr>
          <w:rFonts w:ascii="Arial" w:hAnsi="Arial" w:cs="Arial"/>
          <w:color w:val="000000"/>
          <w:sz w:val="24"/>
          <w:szCs w:val="24"/>
        </w:rPr>
        <w:t xml:space="preserve"> </w:t>
      </w:r>
      <w:r w:rsidR="00E64BE3">
        <w:rPr>
          <w:rFonts w:ascii="Arial" w:hAnsi="Arial" w:cs="Arial"/>
          <w:color w:val="000000"/>
          <w:sz w:val="24"/>
          <w:szCs w:val="24"/>
        </w:rPr>
        <w:t>47.4</w:t>
      </w:r>
      <w:r w:rsidRPr="00FB6F64">
        <w:rPr>
          <w:rFonts w:ascii="Arial" w:hAnsi="Arial" w:cs="Arial"/>
          <w:color w:val="000000"/>
          <w:sz w:val="24"/>
          <w:szCs w:val="24"/>
        </w:rPr>
        <w:t>% correspondió</w:t>
      </w:r>
      <w:r w:rsidR="00933B3F">
        <w:rPr>
          <w:rFonts w:ascii="Arial" w:hAnsi="Arial" w:cs="Arial"/>
          <w:color w:val="000000"/>
          <w:sz w:val="24"/>
          <w:szCs w:val="24"/>
        </w:rPr>
        <w:t xml:space="preserve"> </w:t>
      </w:r>
      <w:r w:rsidRPr="00FB6F64">
        <w:rPr>
          <w:rFonts w:ascii="Arial" w:hAnsi="Arial" w:cs="Arial"/>
          <w:color w:val="000000"/>
          <w:sz w:val="24"/>
          <w:szCs w:val="24"/>
        </w:rPr>
        <w:t xml:space="preserve">a acuerdos reparatorios. </w:t>
      </w:r>
      <w:r w:rsidR="00E64BE3">
        <w:rPr>
          <w:rFonts w:ascii="Arial" w:hAnsi="Arial" w:cs="Arial"/>
          <w:color w:val="000000"/>
          <w:sz w:val="24"/>
          <w:szCs w:val="24"/>
        </w:rPr>
        <w:t>Respecto a 2019, los expedientes concluidos disminuyeron 17.2% en 2020.</w:t>
      </w:r>
    </w:p>
    <w:p w14:paraId="5DC3CD9A" w14:textId="77777777" w:rsidR="00E64BE3" w:rsidRDefault="00E64BE3" w:rsidP="00933B3F">
      <w:pPr>
        <w:autoSpaceDE w:val="0"/>
        <w:autoSpaceDN w:val="0"/>
        <w:adjustRightInd w:val="0"/>
        <w:spacing w:after="0" w:line="240" w:lineRule="auto"/>
        <w:ind w:left="-567"/>
        <w:jc w:val="both"/>
        <w:rPr>
          <w:rFonts w:ascii="Arial" w:hAnsi="Arial" w:cs="Arial"/>
          <w:color w:val="000000"/>
          <w:sz w:val="24"/>
          <w:szCs w:val="24"/>
        </w:rPr>
      </w:pPr>
    </w:p>
    <w:p w14:paraId="73168267" w14:textId="4BB54CC2" w:rsidR="009834F6" w:rsidRDefault="00E64BE3" w:rsidP="00933B3F">
      <w:pPr>
        <w:autoSpaceDE w:val="0"/>
        <w:autoSpaceDN w:val="0"/>
        <w:adjustRightInd w:val="0"/>
        <w:spacing w:after="0" w:line="240" w:lineRule="auto"/>
        <w:ind w:left="-567"/>
        <w:jc w:val="both"/>
        <w:rPr>
          <w:rFonts w:ascii="Arial" w:hAnsi="Arial" w:cs="Arial"/>
          <w:color w:val="000000"/>
          <w:sz w:val="24"/>
          <w:szCs w:val="24"/>
        </w:rPr>
      </w:pPr>
      <w:r>
        <w:rPr>
          <w:rFonts w:ascii="Arial" w:hAnsi="Arial" w:cs="Arial"/>
          <w:color w:val="000000"/>
          <w:sz w:val="24"/>
          <w:szCs w:val="24"/>
        </w:rPr>
        <w:t>Finalmente</w:t>
      </w:r>
      <w:r w:rsidR="00FB6F64" w:rsidRPr="00FB6F64">
        <w:rPr>
          <w:rFonts w:ascii="Arial" w:hAnsi="Arial" w:cs="Arial"/>
          <w:color w:val="000000"/>
          <w:sz w:val="24"/>
          <w:szCs w:val="24"/>
        </w:rPr>
        <w:t xml:space="preserve">, </w:t>
      </w:r>
      <w:r w:rsidRPr="00E64BE3">
        <w:rPr>
          <w:rFonts w:ascii="Arial" w:hAnsi="Arial" w:cs="Arial"/>
          <w:color w:val="000000"/>
          <w:sz w:val="24"/>
          <w:szCs w:val="24"/>
        </w:rPr>
        <w:t>28</w:t>
      </w:r>
      <w:r w:rsidR="00FF5AF2">
        <w:rPr>
          <w:rFonts w:ascii="Arial" w:hAnsi="Arial" w:cs="Arial"/>
          <w:color w:val="000000"/>
          <w:sz w:val="24"/>
          <w:szCs w:val="24"/>
        </w:rPr>
        <w:t xml:space="preserve"> </w:t>
      </w:r>
      <w:r w:rsidRPr="00E64BE3">
        <w:rPr>
          <w:rFonts w:ascii="Arial" w:hAnsi="Arial" w:cs="Arial"/>
          <w:color w:val="000000"/>
          <w:sz w:val="24"/>
          <w:szCs w:val="24"/>
        </w:rPr>
        <w:t>390</w:t>
      </w:r>
      <w:r>
        <w:rPr>
          <w:rFonts w:ascii="Arial" w:hAnsi="Arial" w:cs="Arial"/>
          <w:color w:val="000000"/>
          <w:sz w:val="24"/>
          <w:szCs w:val="24"/>
        </w:rPr>
        <w:t xml:space="preserve"> </w:t>
      </w:r>
      <w:r w:rsidR="00FB6F64" w:rsidRPr="00FB6F64">
        <w:rPr>
          <w:rFonts w:ascii="Arial" w:hAnsi="Arial" w:cs="Arial"/>
          <w:color w:val="000000"/>
          <w:sz w:val="24"/>
          <w:szCs w:val="24"/>
        </w:rPr>
        <w:t>expedientes permanecieron pendientes al cierre</w:t>
      </w:r>
      <w:r w:rsidR="00933B3F">
        <w:rPr>
          <w:rFonts w:ascii="Arial" w:hAnsi="Arial" w:cs="Arial"/>
          <w:color w:val="000000"/>
          <w:sz w:val="24"/>
          <w:szCs w:val="24"/>
        </w:rPr>
        <w:t xml:space="preserve"> </w:t>
      </w:r>
      <w:r w:rsidR="00FB6F64" w:rsidRPr="00FB6F64">
        <w:rPr>
          <w:rFonts w:ascii="Arial" w:hAnsi="Arial" w:cs="Arial"/>
          <w:color w:val="000000"/>
          <w:sz w:val="24"/>
          <w:szCs w:val="24"/>
        </w:rPr>
        <w:t>de 20</w:t>
      </w:r>
      <w:r w:rsidR="00933B3F">
        <w:rPr>
          <w:rFonts w:ascii="Arial" w:hAnsi="Arial" w:cs="Arial"/>
          <w:color w:val="000000"/>
          <w:sz w:val="24"/>
          <w:szCs w:val="24"/>
        </w:rPr>
        <w:t>20</w:t>
      </w:r>
      <w:r w:rsidR="00FF5AF2">
        <w:rPr>
          <w:rFonts w:ascii="Arial" w:hAnsi="Arial" w:cs="Arial"/>
          <w:color w:val="000000"/>
          <w:sz w:val="24"/>
          <w:szCs w:val="24"/>
        </w:rPr>
        <w:t xml:space="preserve">, esta cifra representó una disminución de 17.0% en comparación con 2019.  </w:t>
      </w:r>
    </w:p>
    <w:bookmarkEnd w:id="16"/>
    <w:p w14:paraId="21B95734" w14:textId="5F0F5CF0" w:rsidR="009834F6" w:rsidRDefault="009834F6" w:rsidP="009834F6">
      <w:pPr>
        <w:autoSpaceDE w:val="0"/>
        <w:autoSpaceDN w:val="0"/>
        <w:adjustRightInd w:val="0"/>
        <w:spacing w:after="0" w:line="240" w:lineRule="auto"/>
        <w:ind w:left="-567"/>
        <w:jc w:val="both"/>
        <w:rPr>
          <w:rFonts w:ascii="Arial" w:hAnsi="Arial" w:cs="Arial"/>
          <w:color w:val="000000"/>
          <w:sz w:val="24"/>
          <w:szCs w:val="24"/>
        </w:rPr>
      </w:pPr>
    </w:p>
    <w:p w14:paraId="65F6A680" w14:textId="1F7CF2DF" w:rsidR="00602A7E" w:rsidRPr="00602A7E" w:rsidRDefault="00602A7E" w:rsidP="00602A7E">
      <w:pPr>
        <w:spacing w:after="0"/>
        <w:ind w:left="-567"/>
        <w:jc w:val="center"/>
        <w:rPr>
          <w:rFonts w:ascii="Arial" w:hAnsi="Arial" w:cs="Arial"/>
          <w:b/>
          <w:i/>
          <w:color w:val="877A67"/>
          <w:sz w:val="20"/>
          <w:szCs w:val="24"/>
        </w:rPr>
      </w:pPr>
      <w:r>
        <w:rPr>
          <w:rFonts w:ascii="Arial" w:hAnsi="Arial" w:cs="Arial"/>
          <w:b/>
          <w:i/>
          <w:color w:val="877A67"/>
          <w:sz w:val="20"/>
          <w:szCs w:val="24"/>
        </w:rPr>
        <w:t>G</w:t>
      </w:r>
      <w:r w:rsidRPr="00E151A9">
        <w:rPr>
          <w:rFonts w:ascii="Arial" w:hAnsi="Arial" w:cs="Arial"/>
          <w:b/>
          <w:i/>
          <w:color w:val="877A67"/>
          <w:sz w:val="20"/>
          <w:szCs w:val="24"/>
        </w:rPr>
        <w:t xml:space="preserve">ráfica </w:t>
      </w:r>
      <w:r w:rsidR="00DA20EE">
        <w:rPr>
          <w:rFonts w:ascii="Arial" w:hAnsi="Arial" w:cs="Arial"/>
          <w:b/>
          <w:i/>
          <w:color w:val="877A67"/>
          <w:sz w:val="20"/>
          <w:szCs w:val="24"/>
        </w:rPr>
        <w:t>2</w:t>
      </w:r>
      <w:r w:rsidR="00D31754">
        <w:rPr>
          <w:rFonts w:ascii="Arial" w:hAnsi="Arial" w:cs="Arial"/>
          <w:b/>
          <w:i/>
          <w:color w:val="877A67"/>
          <w:sz w:val="20"/>
          <w:szCs w:val="24"/>
        </w:rPr>
        <w:t>8</w:t>
      </w:r>
      <w:r>
        <w:rPr>
          <w:rFonts w:ascii="Arial" w:hAnsi="Arial" w:cs="Arial"/>
          <w:b/>
          <w:i/>
          <w:color w:val="877A67"/>
          <w:sz w:val="20"/>
          <w:szCs w:val="24"/>
        </w:rPr>
        <w:t xml:space="preserve">. </w:t>
      </w:r>
      <w:r w:rsidRPr="00602A7E">
        <w:rPr>
          <w:rFonts w:ascii="Arial" w:hAnsi="Arial" w:cs="Arial"/>
          <w:b/>
          <w:i/>
          <w:color w:val="877A67"/>
          <w:sz w:val="20"/>
          <w:szCs w:val="24"/>
        </w:rPr>
        <w:t>Flujo de expedientes conocidos por los órganos o unidades administrativas</w:t>
      </w:r>
    </w:p>
    <w:p w14:paraId="73D0F8B7" w14:textId="638F54AC" w:rsidR="00602A7E" w:rsidRDefault="00602A7E" w:rsidP="00373071">
      <w:pPr>
        <w:spacing w:after="0"/>
        <w:ind w:left="-567"/>
        <w:jc w:val="center"/>
        <w:rPr>
          <w:rFonts w:ascii="Arial" w:hAnsi="Arial" w:cs="Arial"/>
          <w:b/>
          <w:i/>
          <w:color w:val="877A67"/>
          <w:sz w:val="20"/>
          <w:szCs w:val="24"/>
        </w:rPr>
      </w:pPr>
      <w:r w:rsidRPr="00602A7E">
        <w:rPr>
          <w:rFonts w:ascii="Arial" w:hAnsi="Arial" w:cs="Arial"/>
          <w:b/>
          <w:i/>
          <w:color w:val="877A67"/>
          <w:sz w:val="20"/>
          <w:szCs w:val="24"/>
        </w:rPr>
        <w:t>encargadas de los Mecanismos Alternativos de Solución de Controversias, 201</w:t>
      </w:r>
      <w:r w:rsidR="00C64122">
        <w:rPr>
          <w:rFonts w:ascii="Arial" w:hAnsi="Arial" w:cs="Arial"/>
          <w:b/>
          <w:i/>
          <w:color w:val="877A67"/>
          <w:sz w:val="20"/>
          <w:szCs w:val="24"/>
        </w:rPr>
        <w:t>3</w:t>
      </w:r>
      <w:r>
        <w:rPr>
          <w:rFonts w:ascii="Arial" w:hAnsi="Arial" w:cs="Arial"/>
          <w:b/>
          <w:i/>
          <w:color w:val="877A67"/>
          <w:sz w:val="20"/>
          <w:szCs w:val="24"/>
        </w:rPr>
        <w:t xml:space="preserve"> a 2020</w:t>
      </w:r>
    </w:p>
    <w:p w14:paraId="3605FF27" w14:textId="6A0EFF2C" w:rsidR="00BB65FC" w:rsidRDefault="00BB65FC" w:rsidP="00BB65FC">
      <w:pPr>
        <w:spacing w:after="0"/>
        <w:ind w:left="-567"/>
        <w:jc w:val="center"/>
        <w:rPr>
          <w:rFonts w:ascii="Arial" w:hAnsi="Arial" w:cs="Arial"/>
          <w:color w:val="000000"/>
          <w:sz w:val="24"/>
          <w:szCs w:val="24"/>
        </w:rPr>
      </w:pPr>
      <w:r>
        <w:rPr>
          <w:rFonts w:ascii="Arial" w:hAnsi="Arial" w:cs="Arial"/>
          <w:noProof/>
          <w:color w:val="000000"/>
          <w:sz w:val="24"/>
          <w:szCs w:val="24"/>
        </w:rPr>
        <w:drawing>
          <wp:inline distT="0" distB="0" distL="0" distR="0" wp14:anchorId="10A6FDE1" wp14:editId="0F52463E">
            <wp:extent cx="4768850" cy="26041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43586" cy="2644961"/>
                    </a:xfrm>
                    <a:prstGeom prst="rect">
                      <a:avLst/>
                    </a:prstGeom>
                    <a:noFill/>
                  </pic:spPr>
                </pic:pic>
              </a:graphicData>
            </a:graphic>
          </wp:inline>
        </w:drawing>
      </w:r>
    </w:p>
    <w:p w14:paraId="36E0C122" w14:textId="586EA776" w:rsidR="00602A7E" w:rsidRDefault="00602A7E" w:rsidP="009834F6">
      <w:pPr>
        <w:autoSpaceDE w:val="0"/>
        <w:autoSpaceDN w:val="0"/>
        <w:adjustRightInd w:val="0"/>
        <w:spacing w:after="0" w:line="240" w:lineRule="auto"/>
        <w:ind w:left="-567"/>
        <w:jc w:val="both"/>
        <w:rPr>
          <w:rFonts w:ascii="Arial" w:hAnsi="Arial" w:cs="Arial"/>
          <w:color w:val="000000"/>
          <w:sz w:val="24"/>
          <w:szCs w:val="24"/>
        </w:rPr>
      </w:pPr>
    </w:p>
    <w:p w14:paraId="2BB38B65" w14:textId="77777777" w:rsidR="00D47302" w:rsidRDefault="00D47302" w:rsidP="00FF5AF2">
      <w:pPr>
        <w:autoSpaceDE w:val="0"/>
        <w:autoSpaceDN w:val="0"/>
        <w:adjustRightInd w:val="0"/>
        <w:spacing w:after="0" w:line="240" w:lineRule="auto"/>
        <w:ind w:left="-567"/>
        <w:jc w:val="both"/>
        <w:rPr>
          <w:rFonts w:ascii="Arial" w:hAnsi="Arial" w:cs="Arial"/>
          <w:color w:val="000000"/>
          <w:sz w:val="24"/>
          <w:szCs w:val="24"/>
        </w:rPr>
      </w:pPr>
    </w:p>
    <w:p w14:paraId="2A822DAA" w14:textId="77777777" w:rsidR="00D47302" w:rsidRDefault="00D47302" w:rsidP="00FF5AF2">
      <w:pPr>
        <w:autoSpaceDE w:val="0"/>
        <w:autoSpaceDN w:val="0"/>
        <w:adjustRightInd w:val="0"/>
        <w:spacing w:after="0" w:line="240" w:lineRule="auto"/>
        <w:ind w:left="-567"/>
        <w:jc w:val="both"/>
        <w:rPr>
          <w:rFonts w:ascii="Arial" w:hAnsi="Arial" w:cs="Arial"/>
          <w:color w:val="000000"/>
          <w:sz w:val="24"/>
          <w:szCs w:val="24"/>
        </w:rPr>
      </w:pPr>
    </w:p>
    <w:p w14:paraId="322750ED" w14:textId="77777777" w:rsidR="00D47302" w:rsidRDefault="00D47302" w:rsidP="00FF5AF2">
      <w:pPr>
        <w:autoSpaceDE w:val="0"/>
        <w:autoSpaceDN w:val="0"/>
        <w:adjustRightInd w:val="0"/>
        <w:spacing w:after="0" w:line="240" w:lineRule="auto"/>
        <w:ind w:left="-567"/>
        <w:jc w:val="both"/>
        <w:rPr>
          <w:rFonts w:ascii="Arial" w:hAnsi="Arial" w:cs="Arial"/>
          <w:color w:val="000000"/>
          <w:sz w:val="24"/>
          <w:szCs w:val="24"/>
        </w:rPr>
      </w:pPr>
    </w:p>
    <w:p w14:paraId="3E031E71" w14:textId="77777777" w:rsidR="00D47302" w:rsidRDefault="00D47302" w:rsidP="00FF5AF2">
      <w:pPr>
        <w:autoSpaceDE w:val="0"/>
        <w:autoSpaceDN w:val="0"/>
        <w:adjustRightInd w:val="0"/>
        <w:spacing w:after="0" w:line="240" w:lineRule="auto"/>
        <w:ind w:left="-567"/>
        <w:jc w:val="both"/>
        <w:rPr>
          <w:rFonts w:ascii="Arial" w:hAnsi="Arial" w:cs="Arial"/>
          <w:color w:val="000000"/>
          <w:sz w:val="24"/>
          <w:szCs w:val="24"/>
        </w:rPr>
      </w:pPr>
    </w:p>
    <w:p w14:paraId="3EB9A47A" w14:textId="77777777" w:rsidR="00D47302" w:rsidRDefault="00D47302" w:rsidP="00FF5AF2">
      <w:pPr>
        <w:autoSpaceDE w:val="0"/>
        <w:autoSpaceDN w:val="0"/>
        <w:adjustRightInd w:val="0"/>
        <w:spacing w:after="0" w:line="240" w:lineRule="auto"/>
        <w:ind w:left="-567"/>
        <w:jc w:val="both"/>
        <w:rPr>
          <w:rFonts w:ascii="Arial" w:hAnsi="Arial" w:cs="Arial"/>
          <w:color w:val="000000"/>
          <w:sz w:val="24"/>
          <w:szCs w:val="24"/>
        </w:rPr>
      </w:pPr>
    </w:p>
    <w:p w14:paraId="3DCE39DF" w14:textId="77777777" w:rsidR="00D47302" w:rsidRDefault="00D47302" w:rsidP="00FF5AF2">
      <w:pPr>
        <w:autoSpaceDE w:val="0"/>
        <w:autoSpaceDN w:val="0"/>
        <w:adjustRightInd w:val="0"/>
        <w:spacing w:after="0" w:line="240" w:lineRule="auto"/>
        <w:ind w:left="-567"/>
        <w:jc w:val="both"/>
        <w:rPr>
          <w:rFonts w:ascii="Arial" w:hAnsi="Arial" w:cs="Arial"/>
          <w:color w:val="000000"/>
          <w:sz w:val="24"/>
          <w:szCs w:val="24"/>
        </w:rPr>
      </w:pPr>
    </w:p>
    <w:p w14:paraId="2398D9F6" w14:textId="77777777" w:rsidR="00D47302" w:rsidRDefault="00D47302" w:rsidP="00FF5AF2">
      <w:pPr>
        <w:autoSpaceDE w:val="0"/>
        <w:autoSpaceDN w:val="0"/>
        <w:adjustRightInd w:val="0"/>
        <w:spacing w:after="0" w:line="240" w:lineRule="auto"/>
        <w:ind w:left="-567"/>
        <w:jc w:val="both"/>
        <w:rPr>
          <w:rFonts w:ascii="Arial" w:hAnsi="Arial" w:cs="Arial"/>
          <w:color w:val="000000"/>
          <w:sz w:val="24"/>
          <w:szCs w:val="24"/>
        </w:rPr>
      </w:pPr>
    </w:p>
    <w:p w14:paraId="0B6F4E01" w14:textId="77777777" w:rsidR="00D47302" w:rsidRDefault="00D47302" w:rsidP="00FF5AF2">
      <w:pPr>
        <w:autoSpaceDE w:val="0"/>
        <w:autoSpaceDN w:val="0"/>
        <w:adjustRightInd w:val="0"/>
        <w:spacing w:after="0" w:line="240" w:lineRule="auto"/>
        <w:ind w:left="-567"/>
        <w:jc w:val="both"/>
        <w:rPr>
          <w:rFonts w:ascii="Arial" w:hAnsi="Arial" w:cs="Arial"/>
          <w:color w:val="000000"/>
          <w:sz w:val="24"/>
          <w:szCs w:val="24"/>
        </w:rPr>
      </w:pPr>
    </w:p>
    <w:p w14:paraId="308C56D4" w14:textId="77777777" w:rsidR="00D47302" w:rsidRDefault="00D47302" w:rsidP="00FF5AF2">
      <w:pPr>
        <w:autoSpaceDE w:val="0"/>
        <w:autoSpaceDN w:val="0"/>
        <w:adjustRightInd w:val="0"/>
        <w:spacing w:after="0" w:line="240" w:lineRule="auto"/>
        <w:ind w:left="-567"/>
        <w:jc w:val="both"/>
        <w:rPr>
          <w:rFonts w:ascii="Arial" w:hAnsi="Arial" w:cs="Arial"/>
          <w:color w:val="000000"/>
          <w:sz w:val="24"/>
          <w:szCs w:val="24"/>
        </w:rPr>
      </w:pPr>
    </w:p>
    <w:p w14:paraId="7DC98C20" w14:textId="77777777" w:rsidR="00D47302" w:rsidRDefault="00D47302" w:rsidP="00FF5AF2">
      <w:pPr>
        <w:autoSpaceDE w:val="0"/>
        <w:autoSpaceDN w:val="0"/>
        <w:adjustRightInd w:val="0"/>
        <w:spacing w:after="0" w:line="240" w:lineRule="auto"/>
        <w:ind w:left="-567"/>
        <w:jc w:val="both"/>
        <w:rPr>
          <w:rFonts w:ascii="Arial" w:hAnsi="Arial" w:cs="Arial"/>
          <w:color w:val="000000"/>
          <w:sz w:val="24"/>
          <w:szCs w:val="24"/>
        </w:rPr>
      </w:pPr>
    </w:p>
    <w:p w14:paraId="14FC28D2" w14:textId="77777777" w:rsidR="00D47302" w:rsidRDefault="00D47302" w:rsidP="00FF5AF2">
      <w:pPr>
        <w:autoSpaceDE w:val="0"/>
        <w:autoSpaceDN w:val="0"/>
        <w:adjustRightInd w:val="0"/>
        <w:spacing w:after="0" w:line="240" w:lineRule="auto"/>
        <w:ind w:left="-567"/>
        <w:jc w:val="both"/>
        <w:rPr>
          <w:rFonts w:ascii="Arial" w:hAnsi="Arial" w:cs="Arial"/>
          <w:color w:val="000000"/>
          <w:sz w:val="24"/>
          <w:szCs w:val="24"/>
        </w:rPr>
      </w:pPr>
    </w:p>
    <w:p w14:paraId="079EEF66" w14:textId="77777777" w:rsidR="00D47302" w:rsidRDefault="00D47302" w:rsidP="00FF5AF2">
      <w:pPr>
        <w:autoSpaceDE w:val="0"/>
        <w:autoSpaceDN w:val="0"/>
        <w:adjustRightInd w:val="0"/>
        <w:spacing w:after="0" w:line="240" w:lineRule="auto"/>
        <w:ind w:left="-567"/>
        <w:jc w:val="both"/>
        <w:rPr>
          <w:rFonts w:ascii="Arial" w:hAnsi="Arial" w:cs="Arial"/>
          <w:color w:val="000000"/>
          <w:sz w:val="24"/>
          <w:szCs w:val="24"/>
        </w:rPr>
      </w:pPr>
    </w:p>
    <w:p w14:paraId="4109EDE5" w14:textId="77777777" w:rsidR="00D47302" w:rsidRDefault="00D47302" w:rsidP="00FF5AF2">
      <w:pPr>
        <w:autoSpaceDE w:val="0"/>
        <w:autoSpaceDN w:val="0"/>
        <w:adjustRightInd w:val="0"/>
        <w:spacing w:after="0" w:line="240" w:lineRule="auto"/>
        <w:ind w:left="-567"/>
        <w:jc w:val="both"/>
        <w:rPr>
          <w:rFonts w:ascii="Arial" w:hAnsi="Arial" w:cs="Arial"/>
          <w:color w:val="000000"/>
          <w:sz w:val="24"/>
          <w:szCs w:val="24"/>
        </w:rPr>
      </w:pPr>
    </w:p>
    <w:p w14:paraId="32C6FF0C" w14:textId="77777777" w:rsidR="00D47302" w:rsidRDefault="00D47302" w:rsidP="00FF5AF2">
      <w:pPr>
        <w:autoSpaceDE w:val="0"/>
        <w:autoSpaceDN w:val="0"/>
        <w:adjustRightInd w:val="0"/>
        <w:spacing w:after="0" w:line="240" w:lineRule="auto"/>
        <w:ind w:left="-567"/>
        <w:jc w:val="both"/>
        <w:rPr>
          <w:rFonts w:ascii="Arial" w:hAnsi="Arial" w:cs="Arial"/>
          <w:color w:val="000000"/>
          <w:sz w:val="24"/>
          <w:szCs w:val="24"/>
        </w:rPr>
      </w:pPr>
    </w:p>
    <w:p w14:paraId="487368F3" w14:textId="34F84049" w:rsidR="00FF5AF2" w:rsidRPr="00FF5AF2" w:rsidRDefault="00FF5AF2" w:rsidP="00FF5AF2">
      <w:pPr>
        <w:autoSpaceDE w:val="0"/>
        <w:autoSpaceDN w:val="0"/>
        <w:adjustRightInd w:val="0"/>
        <w:spacing w:after="0" w:line="240" w:lineRule="auto"/>
        <w:ind w:left="-567"/>
        <w:jc w:val="both"/>
        <w:rPr>
          <w:rFonts w:ascii="Arial" w:hAnsi="Arial" w:cs="Arial"/>
          <w:color w:val="000000"/>
          <w:sz w:val="24"/>
          <w:szCs w:val="24"/>
        </w:rPr>
      </w:pPr>
      <w:r w:rsidRPr="00FF5AF2">
        <w:rPr>
          <w:rFonts w:ascii="Arial" w:hAnsi="Arial" w:cs="Arial"/>
          <w:color w:val="000000"/>
          <w:sz w:val="24"/>
          <w:szCs w:val="24"/>
        </w:rPr>
        <w:t>Del total de expedientes abiertos por los órganos o unidades administrativas encargadas de</w:t>
      </w:r>
      <w:r>
        <w:rPr>
          <w:rFonts w:ascii="Arial" w:hAnsi="Arial" w:cs="Arial"/>
          <w:color w:val="000000"/>
          <w:sz w:val="24"/>
          <w:szCs w:val="24"/>
        </w:rPr>
        <w:t xml:space="preserve"> </w:t>
      </w:r>
      <w:r w:rsidRPr="00FF5AF2">
        <w:rPr>
          <w:rFonts w:ascii="Arial" w:hAnsi="Arial" w:cs="Arial"/>
          <w:color w:val="000000"/>
          <w:sz w:val="24"/>
          <w:szCs w:val="24"/>
        </w:rPr>
        <w:t>los Mecanismos Alternativos de Solución de Controversias, 9</w:t>
      </w:r>
      <w:r w:rsidR="00E96C5E">
        <w:rPr>
          <w:rFonts w:ascii="Arial" w:hAnsi="Arial" w:cs="Arial"/>
          <w:color w:val="000000"/>
          <w:sz w:val="24"/>
          <w:szCs w:val="24"/>
        </w:rPr>
        <w:t>7.9</w:t>
      </w:r>
      <w:r w:rsidRPr="00FF5AF2">
        <w:rPr>
          <w:rFonts w:ascii="Arial" w:hAnsi="Arial" w:cs="Arial"/>
          <w:color w:val="000000"/>
          <w:sz w:val="24"/>
          <w:szCs w:val="24"/>
        </w:rPr>
        <w:t>% correspondió a la materia</w:t>
      </w:r>
      <w:r>
        <w:rPr>
          <w:rFonts w:ascii="Arial" w:hAnsi="Arial" w:cs="Arial"/>
          <w:color w:val="000000"/>
          <w:sz w:val="24"/>
          <w:szCs w:val="24"/>
        </w:rPr>
        <w:t xml:space="preserve"> </w:t>
      </w:r>
      <w:r w:rsidRPr="00FF5AF2">
        <w:rPr>
          <w:rFonts w:ascii="Arial" w:hAnsi="Arial" w:cs="Arial"/>
          <w:color w:val="000000"/>
          <w:sz w:val="24"/>
          <w:szCs w:val="24"/>
        </w:rPr>
        <w:t xml:space="preserve">penal para adultos y </w:t>
      </w:r>
      <w:r w:rsidR="00E96C5E">
        <w:rPr>
          <w:rFonts w:ascii="Arial" w:hAnsi="Arial" w:cs="Arial"/>
          <w:color w:val="000000"/>
          <w:sz w:val="24"/>
          <w:szCs w:val="24"/>
        </w:rPr>
        <w:t>2.1</w:t>
      </w:r>
      <w:r w:rsidRPr="00FF5AF2">
        <w:rPr>
          <w:rFonts w:ascii="Arial" w:hAnsi="Arial" w:cs="Arial"/>
          <w:color w:val="000000"/>
          <w:sz w:val="24"/>
          <w:szCs w:val="24"/>
        </w:rPr>
        <w:t>% a justicia para adolescentes. Destaca Guanajuato, al ser la entidad</w:t>
      </w:r>
    </w:p>
    <w:p w14:paraId="06A69A23" w14:textId="38742EBE" w:rsidR="00373071" w:rsidRDefault="00FF5AF2" w:rsidP="006D1E34">
      <w:pPr>
        <w:autoSpaceDE w:val="0"/>
        <w:autoSpaceDN w:val="0"/>
        <w:adjustRightInd w:val="0"/>
        <w:spacing w:after="0" w:line="240" w:lineRule="auto"/>
        <w:ind w:left="-567"/>
        <w:jc w:val="both"/>
        <w:rPr>
          <w:rFonts w:ascii="Arial" w:hAnsi="Arial" w:cs="Arial"/>
          <w:b/>
          <w:i/>
          <w:color w:val="877A67"/>
          <w:sz w:val="20"/>
          <w:szCs w:val="24"/>
        </w:rPr>
      </w:pPr>
      <w:r w:rsidRPr="00FF5AF2">
        <w:rPr>
          <w:rFonts w:ascii="Arial" w:hAnsi="Arial" w:cs="Arial"/>
          <w:color w:val="000000"/>
          <w:sz w:val="24"/>
          <w:szCs w:val="24"/>
        </w:rPr>
        <w:t>en registrar la cifra más alta de expedientes abiertos (</w:t>
      </w:r>
      <w:r w:rsidR="00280016" w:rsidRPr="00280016">
        <w:rPr>
          <w:rFonts w:ascii="Arial" w:hAnsi="Arial" w:cs="Arial"/>
          <w:color w:val="000000"/>
          <w:sz w:val="24"/>
          <w:szCs w:val="24"/>
        </w:rPr>
        <w:t>27</w:t>
      </w:r>
      <w:r w:rsidR="00280016">
        <w:rPr>
          <w:rFonts w:ascii="Arial" w:hAnsi="Arial" w:cs="Arial"/>
          <w:color w:val="000000"/>
          <w:sz w:val="24"/>
          <w:szCs w:val="24"/>
        </w:rPr>
        <w:t xml:space="preserve"> </w:t>
      </w:r>
      <w:r w:rsidR="00280016" w:rsidRPr="00280016">
        <w:rPr>
          <w:rFonts w:ascii="Arial" w:hAnsi="Arial" w:cs="Arial"/>
          <w:color w:val="000000"/>
          <w:sz w:val="24"/>
          <w:szCs w:val="24"/>
        </w:rPr>
        <w:t>744</w:t>
      </w:r>
      <w:r w:rsidRPr="00FF5AF2">
        <w:rPr>
          <w:rFonts w:ascii="Arial" w:hAnsi="Arial" w:cs="Arial"/>
          <w:color w:val="000000"/>
          <w:sz w:val="24"/>
          <w:szCs w:val="24"/>
        </w:rPr>
        <w:t>).</w:t>
      </w:r>
    </w:p>
    <w:p w14:paraId="4A04D1D0" w14:textId="77777777" w:rsidR="00373071" w:rsidRDefault="00373071" w:rsidP="00E96C5E">
      <w:pPr>
        <w:spacing w:after="0"/>
        <w:ind w:left="-567"/>
        <w:jc w:val="center"/>
        <w:rPr>
          <w:rFonts w:ascii="Arial" w:hAnsi="Arial" w:cs="Arial"/>
          <w:b/>
          <w:i/>
          <w:color w:val="877A67"/>
          <w:sz w:val="20"/>
          <w:szCs w:val="24"/>
        </w:rPr>
      </w:pPr>
    </w:p>
    <w:p w14:paraId="484D4848" w14:textId="7273FA22" w:rsidR="00E96C5E" w:rsidRDefault="00280016" w:rsidP="00E96C5E">
      <w:pPr>
        <w:spacing w:after="0"/>
        <w:ind w:left="-567"/>
        <w:jc w:val="center"/>
        <w:rPr>
          <w:rFonts w:ascii="Arial" w:hAnsi="Arial" w:cs="Arial"/>
          <w:b/>
          <w:i/>
          <w:color w:val="877A67"/>
          <w:sz w:val="20"/>
          <w:szCs w:val="24"/>
        </w:rPr>
      </w:pPr>
      <w:r>
        <w:rPr>
          <w:rFonts w:ascii="Arial" w:hAnsi="Arial" w:cs="Arial"/>
          <w:b/>
          <w:i/>
          <w:color w:val="877A67"/>
          <w:sz w:val="20"/>
          <w:szCs w:val="24"/>
        </w:rPr>
        <w:t xml:space="preserve">Mapa </w:t>
      </w:r>
      <w:r w:rsidR="00D31754">
        <w:rPr>
          <w:rFonts w:ascii="Arial" w:hAnsi="Arial" w:cs="Arial"/>
          <w:b/>
          <w:i/>
          <w:color w:val="877A67"/>
          <w:sz w:val="20"/>
          <w:szCs w:val="24"/>
        </w:rPr>
        <w:t>8</w:t>
      </w:r>
      <w:r w:rsidR="00E96C5E">
        <w:rPr>
          <w:rFonts w:ascii="Arial" w:hAnsi="Arial" w:cs="Arial"/>
          <w:b/>
          <w:i/>
          <w:color w:val="877A67"/>
          <w:sz w:val="20"/>
          <w:szCs w:val="24"/>
        </w:rPr>
        <w:t xml:space="preserve">. </w:t>
      </w:r>
      <w:r w:rsidR="00E96C5E" w:rsidRPr="00E96C5E">
        <w:rPr>
          <w:rFonts w:ascii="Arial" w:hAnsi="Arial" w:cs="Arial"/>
          <w:b/>
          <w:i/>
          <w:color w:val="877A67"/>
          <w:sz w:val="20"/>
          <w:szCs w:val="24"/>
        </w:rPr>
        <w:t>Expedientes en materia penal abiertos por los órganos o unidades</w:t>
      </w:r>
      <w:r w:rsidR="00E96C5E">
        <w:rPr>
          <w:rFonts w:ascii="Arial" w:hAnsi="Arial" w:cs="Arial"/>
          <w:b/>
          <w:i/>
          <w:color w:val="877A67"/>
          <w:sz w:val="20"/>
          <w:szCs w:val="24"/>
        </w:rPr>
        <w:t xml:space="preserve"> </w:t>
      </w:r>
      <w:r w:rsidR="00E96C5E" w:rsidRPr="00E96C5E">
        <w:rPr>
          <w:rFonts w:ascii="Arial" w:hAnsi="Arial" w:cs="Arial"/>
          <w:b/>
          <w:i/>
          <w:color w:val="877A67"/>
          <w:sz w:val="20"/>
          <w:szCs w:val="24"/>
        </w:rPr>
        <w:t>administrativas encargadas de los Mecanismos Alternativos de Solución de Controversias,</w:t>
      </w:r>
      <w:r w:rsidR="00E96C5E">
        <w:rPr>
          <w:rFonts w:ascii="Arial" w:hAnsi="Arial" w:cs="Arial"/>
          <w:b/>
          <w:i/>
          <w:color w:val="877A67"/>
          <w:sz w:val="20"/>
          <w:szCs w:val="24"/>
        </w:rPr>
        <w:t xml:space="preserve"> </w:t>
      </w:r>
      <w:r w:rsidR="00E96C5E" w:rsidRPr="00E96C5E">
        <w:rPr>
          <w:rFonts w:ascii="Arial" w:hAnsi="Arial" w:cs="Arial"/>
          <w:b/>
          <w:i/>
          <w:color w:val="877A67"/>
          <w:sz w:val="20"/>
          <w:szCs w:val="24"/>
        </w:rPr>
        <w:t>según entidad federativa, 20</w:t>
      </w:r>
      <w:r w:rsidR="00E96C5E">
        <w:rPr>
          <w:rFonts w:ascii="Arial" w:hAnsi="Arial" w:cs="Arial"/>
          <w:b/>
          <w:i/>
          <w:color w:val="877A67"/>
          <w:sz w:val="20"/>
          <w:szCs w:val="24"/>
        </w:rPr>
        <w:t>20</w:t>
      </w:r>
    </w:p>
    <w:p w14:paraId="21A32D7F" w14:textId="77777777" w:rsidR="00280016" w:rsidRDefault="00280016" w:rsidP="00E96C5E">
      <w:pPr>
        <w:spacing w:after="0"/>
        <w:ind w:left="-567"/>
        <w:jc w:val="center"/>
        <w:rPr>
          <w:rFonts w:ascii="Arial" w:hAnsi="Arial" w:cs="Arial"/>
          <w:b/>
          <w:i/>
          <w:color w:val="877A67"/>
          <w:sz w:val="20"/>
          <w:szCs w:val="24"/>
        </w:rPr>
      </w:pPr>
    </w:p>
    <w:p w14:paraId="69FA0A08" w14:textId="02616A50" w:rsidR="00280016" w:rsidRDefault="00280016" w:rsidP="00E96C5E">
      <w:pPr>
        <w:spacing w:after="0"/>
        <w:ind w:left="-567"/>
        <w:jc w:val="center"/>
        <w:rPr>
          <w:rFonts w:ascii="Arial" w:hAnsi="Arial" w:cs="Arial"/>
          <w:b/>
          <w:i/>
          <w:color w:val="877A67"/>
          <w:sz w:val="20"/>
          <w:szCs w:val="24"/>
        </w:rPr>
      </w:pPr>
      <w:r>
        <w:rPr>
          <w:rFonts w:ascii="Arial" w:hAnsi="Arial" w:cs="Arial"/>
          <w:b/>
          <w:i/>
          <w:noProof/>
          <w:color w:val="877A67"/>
          <w:sz w:val="20"/>
          <w:szCs w:val="24"/>
        </w:rPr>
        <w:drawing>
          <wp:inline distT="0" distB="0" distL="0" distR="0" wp14:anchorId="0FCA90CE" wp14:editId="344663C7">
            <wp:extent cx="5235858" cy="3365500"/>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32736" cy="3427771"/>
                    </a:xfrm>
                    <a:prstGeom prst="rect">
                      <a:avLst/>
                    </a:prstGeom>
                    <a:noFill/>
                  </pic:spPr>
                </pic:pic>
              </a:graphicData>
            </a:graphic>
          </wp:inline>
        </w:drawing>
      </w:r>
    </w:p>
    <w:p w14:paraId="52A90A2F" w14:textId="77777777" w:rsidR="00280016" w:rsidRDefault="00280016" w:rsidP="00E96C5E">
      <w:pPr>
        <w:spacing w:after="0"/>
        <w:ind w:left="-567"/>
        <w:jc w:val="center"/>
        <w:rPr>
          <w:rFonts w:ascii="Arial" w:hAnsi="Arial" w:cs="Arial"/>
          <w:b/>
          <w:i/>
          <w:color w:val="000000" w:themeColor="text1"/>
          <w:sz w:val="20"/>
          <w:szCs w:val="24"/>
        </w:rPr>
      </w:pPr>
    </w:p>
    <w:p w14:paraId="337ACF48" w14:textId="389BA9C5" w:rsidR="00280016" w:rsidRPr="00280016" w:rsidRDefault="00280016" w:rsidP="00E96C5E">
      <w:pPr>
        <w:spacing w:after="0"/>
        <w:ind w:left="-567"/>
        <w:jc w:val="center"/>
        <w:rPr>
          <w:rFonts w:ascii="Arial" w:hAnsi="Arial" w:cs="Arial"/>
          <w:b/>
          <w:i/>
          <w:color w:val="000000" w:themeColor="text1"/>
          <w:sz w:val="20"/>
          <w:szCs w:val="24"/>
        </w:rPr>
      </w:pPr>
      <w:r w:rsidRPr="00280016">
        <w:rPr>
          <w:rFonts w:ascii="Arial" w:hAnsi="Arial" w:cs="Arial"/>
          <w:b/>
          <w:i/>
          <w:color w:val="000000" w:themeColor="text1"/>
          <w:sz w:val="20"/>
          <w:szCs w:val="24"/>
        </w:rPr>
        <w:t>*******</w:t>
      </w:r>
    </w:p>
    <w:p w14:paraId="400C4359" w14:textId="77777777" w:rsidR="00E96C5E" w:rsidRDefault="00E96C5E" w:rsidP="00E96C5E">
      <w:pPr>
        <w:spacing w:after="0"/>
        <w:ind w:left="-567"/>
        <w:jc w:val="center"/>
        <w:rPr>
          <w:rFonts w:ascii="Arial" w:hAnsi="Arial" w:cs="Arial"/>
          <w:color w:val="000000"/>
          <w:sz w:val="24"/>
          <w:szCs w:val="24"/>
        </w:rPr>
      </w:pPr>
    </w:p>
    <w:p w14:paraId="20883E5E" w14:textId="77777777" w:rsidR="00FF5AF2" w:rsidRDefault="00FF5AF2" w:rsidP="00FF5AF2">
      <w:pPr>
        <w:autoSpaceDE w:val="0"/>
        <w:autoSpaceDN w:val="0"/>
        <w:adjustRightInd w:val="0"/>
        <w:spacing w:after="0" w:line="240" w:lineRule="auto"/>
        <w:ind w:left="-567"/>
        <w:jc w:val="both"/>
        <w:rPr>
          <w:rFonts w:ascii="Arial" w:hAnsi="Arial" w:cs="Arial"/>
          <w:color w:val="000000"/>
          <w:sz w:val="24"/>
          <w:szCs w:val="24"/>
        </w:rPr>
      </w:pPr>
    </w:p>
    <w:p w14:paraId="4AC88AFF" w14:textId="1DB48C27" w:rsidR="00300973" w:rsidRPr="00D40C2A" w:rsidRDefault="00300973" w:rsidP="00300973">
      <w:pPr>
        <w:spacing w:after="0"/>
        <w:ind w:left="-567"/>
        <w:rPr>
          <w:rFonts w:ascii="Arial" w:hAnsi="Arial" w:cs="Arial"/>
          <w:b/>
          <w:bCs/>
          <w:iCs/>
          <w:noProof/>
          <w:sz w:val="24"/>
          <w:szCs w:val="24"/>
          <w:lang w:eastAsia="es-MX"/>
        </w:rPr>
      </w:pPr>
      <w:r>
        <w:rPr>
          <w:rFonts w:ascii="Arial" w:hAnsi="Arial" w:cs="Arial"/>
          <w:b/>
          <w:bCs/>
          <w:iCs/>
          <w:noProof/>
          <w:sz w:val="24"/>
          <w:szCs w:val="24"/>
          <w:lang w:eastAsia="es-MX"/>
        </w:rPr>
        <w:t>Productos y documentos del CNPJE 2021</w:t>
      </w:r>
    </w:p>
    <w:p w14:paraId="0A893A46" w14:textId="77777777" w:rsidR="00300973" w:rsidRDefault="00300973" w:rsidP="00300973">
      <w:pPr>
        <w:autoSpaceDE w:val="0"/>
        <w:autoSpaceDN w:val="0"/>
        <w:adjustRightInd w:val="0"/>
        <w:spacing w:after="0" w:line="240" w:lineRule="auto"/>
        <w:rPr>
          <w:rFonts w:ascii="Arial" w:hAnsi="Arial" w:cs="Arial"/>
          <w:color w:val="000000"/>
        </w:rPr>
      </w:pPr>
    </w:p>
    <w:p w14:paraId="4D8D368B" w14:textId="29CEB1E4" w:rsidR="00300973" w:rsidRPr="00FD2D78" w:rsidRDefault="00300973" w:rsidP="00300973">
      <w:pPr>
        <w:autoSpaceDE w:val="0"/>
        <w:autoSpaceDN w:val="0"/>
        <w:adjustRightInd w:val="0"/>
        <w:spacing w:after="0" w:line="240" w:lineRule="auto"/>
        <w:ind w:left="-567"/>
        <w:jc w:val="both"/>
        <w:rPr>
          <w:rFonts w:ascii="Arial" w:hAnsi="Arial" w:cs="Arial"/>
          <w:color w:val="000000"/>
          <w:sz w:val="24"/>
          <w:szCs w:val="24"/>
        </w:rPr>
      </w:pPr>
      <w:r w:rsidRPr="00FD2D78">
        <w:rPr>
          <w:rFonts w:ascii="Arial" w:hAnsi="Arial" w:cs="Arial"/>
          <w:color w:val="000000"/>
          <w:sz w:val="24"/>
          <w:szCs w:val="24"/>
        </w:rPr>
        <w:t xml:space="preserve">Los productos y documentos derivados del </w:t>
      </w:r>
      <w:r>
        <w:rPr>
          <w:rFonts w:ascii="Arial" w:hAnsi="Arial" w:cs="Arial"/>
          <w:color w:val="000000"/>
          <w:sz w:val="24"/>
          <w:szCs w:val="24"/>
        </w:rPr>
        <w:t>CN</w:t>
      </w:r>
      <w:r w:rsidR="00E6361F">
        <w:rPr>
          <w:rFonts w:ascii="Arial" w:hAnsi="Arial" w:cs="Arial"/>
          <w:color w:val="000000"/>
          <w:sz w:val="24"/>
          <w:szCs w:val="24"/>
        </w:rPr>
        <w:t>PJE 20</w:t>
      </w:r>
      <w:r>
        <w:rPr>
          <w:rFonts w:ascii="Arial" w:hAnsi="Arial" w:cs="Arial"/>
          <w:color w:val="000000"/>
          <w:sz w:val="24"/>
          <w:szCs w:val="24"/>
        </w:rPr>
        <w:t>21</w:t>
      </w:r>
      <w:r w:rsidRPr="00FD2D78">
        <w:rPr>
          <w:rFonts w:ascii="Arial" w:hAnsi="Arial" w:cs="Arial"/>
          <w:color w:val="000000"/>
          <w:sz w:val="24"/>
          <w:szCs w:val="24"/>
        </w:rPr>
        <w:t xml:space="preserve"> que el INEGI pone a disposición de los usuarios son los siguientes: </w:t>
      </w:r>
    </w:p>
    <w:p w14:paraId="3D72454B" w14:textId="77777777" w:rsidR="00300973" w:rsidRPr="00FD2D78" w:rsidRDefault="00300973" w:rsidP="00300973">
      <w:pPr>
        <w:autoSpaceDE w:val="0"/>
        <w:autoSpaceDN w:val="0"/>
        <w:adjustRightInd w:val="0"/>
        <w:spacing w:after="0" w:line="240" w:lineRule="auto"/>
        <w:rPr>
          <w:rFonts w:ascii="Arial" w:hAnsi="Arial" w:cs="Arial"/>
          <w:color w:val="000000"/>
          <w:sz w:val="24"/>
          <w:szCs w:val="24"/>
        </w:rPr>
      </w:pPr>
      <w:r w:rsidRPr="00FD2D78">
        <w:rPr>
          <w:rFonts w:ascii="Arial" w:hAnsi="Arial" w:cs="Arial"/>
          <w:color w:val="000000"/>
          <w:sz w:val="24"/>
          <w:szCs w:val="24"/>
        </w:rPr>
        <w:t xml:space="preserve"> </w:t>
      </w:r>
    </w:p>
    <w:p w14:paraId="63D91D12" w14:textId="77777777" w:rsidR="00300973" w:rsidRPr="00FD2D78" w:rsidRDefault="00300973" w:rsidP="00300973">
      <w:pPr>
        <w:pStyle w:val="Prrafodelista"/>
        <w:numPr>
          <w:ilvl w:val="0"/>
          <w:numId w:val="13"/>
        </w:numPr>
        <w:autoSpaceDE w:val="0"/>
        <w:autoSpaceDN w:val="0"/>
        <w:adjustRightInd w:val="0"/>
        <w:spacing w:after="0" w:line="240" w:lineRule="auto"/>
        <w:rPr>
          <w:rFonts w:ascii="Arial" w:hAnsi="Arial" w:cs="Arial"/>
          <w:color w:val="000000"/>
          <w:sz w:val="24"/>
          <w:szCs w:val="24"/>
        </w:rPr>
      </w:pPr>
      <w:r w:rsidRPr="00FD2D78">
        <w:rPr>
          <w:rFonts w:ascii="Arial" w:hAnsi="Arial" w:cs="Arial"/>
          <w:color w:val="000000"/>
          <w:sz w:val="24"/>
          <w:szCs w:val="24"/>
        </w:rPr>
        <w:t>Presentación de resultados</w:t>
      </w:r>
    </w:p>
    <w:p w14:paraId="1B3D18AD" w14:textId="77777777" w:rsidR="00300973" w:rsidRPr="00FD2D78" w:rsidRDefault="00300973" w:rsidP="00300973">
      <w:pPr>
        <w:pStyle w:val="Prrafodelista"/>
        <w:numPr>
          <w:ilvl w:val="0"/>
          <w:numId w:val="13"/>
        </w:numPr>
        <w:autoSpaceDE w:val="0"/>
        <w:autoSpaceDN w:val="0"/>
        <w:adjustRightInd w:val="0"/>
        <w:spacing w:after="0" w:line="240" w:lineRule="auto"/>
        <w:rPr>
          <w:rFonts w:ascii="Arial" w:hAnsi="Arial" w:cs="Arial"/>
          <w:color w:val="000000"/>
          <w:sz w:val="24"/>
          <w:szCs w:val="24"/>
        </w:rPr>
      </w:pPr>
      <w:r w:rsidRPr="00FD2D78">
        <w:rPr>
          <w:rFonts w:ascii="Arial" w:hAnsi="Arial" w:cs="Arial"/>
          <w:color w:val="000000"/>
          <w:sz w:val="24"/>
          <w:szCs w:val="24"/>
        </w:rPr>
        <w:t>Cuestionarios</w:t>
      </w:r>
    </w:p>
    <w:p w14:paraId="11E87639" w14:textId="77777777" w:rsidR="00300973" w:rsidRPr="00FD2D78" w:rsidRDefault="00300973" w:rsidP="00300973">
      <w:pPr>
        <w:pStyle w:val="Prrafodelista"/>
        <w:numPr>
          <w:ilvl w:val="0"/>
          <w:numId w:val="13"/>
        </w:numPr>
        <w:autoSpaceDE w:val="0"/>
        <w:autoSpaceDN w:val="0"/>
        <w:adjustRightInd w:val="0"/>
        <w:spacing w:after="0" w:line="240" w:lineRule="auto"/>
        <w:rPr>
          <w:rFonts w:ascii="Arial" w:hAnsi="Arial" w:cs="Arial"/>
          <w:color w:val="000000"/>
          <w:sz w:val="24"/>
          <w:szCs w:val="24"/>
        </w:rPr>
      </w:pPr>
      <w:r w:rsidRPr="00FD2D78">
        <w:rPr>
          <w:rFonts w:ascii="Arial" w:hAnsi="Arial" w:cs="Arial"/>
          <w:color w:val="000000"/>
          <w:sz w:val="24"/>
          <w:szCs w:val="24"/>
        </w:rPr>
        <w:t>Glosario</w:t>
      </w:r>
    </w:p>
    <w:p w14:paraId="1E0C263A" w14:textId="77777777" w:rsidR="00300973" w:rsidRPr="00FD2D78" w:rsidRDefault="00300973" w:rsidP="00300973">
      <w:pPr>
        <w:pStyle w:val="Prrafodelista"/>
        <w:numPr>
          <w:ilvl w:val="0"/>
          <w:numId w:val="13"/>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Documento de diseño</w:t>
      </w:r>
    </w:p>
    <w:p w14:paraId="5323376A" w14:textId="77777777" w:rsidR="00300973" w:rsidRPr="00FD2D78" w:rsidRDefault="00300973" w:rsidP="00300973">
      <w:pPr>
        <w:pStyle w:val="Prrafodelista"/>
        <w:numPr>
          <w:ilvl w:val="0"/>
          <w:numId w:val="13"/>
        </w:numPr>
        <w:autoSpaceDE w:val="0"/>
        <w:autoSpaceDN w:val="0"/>
        <w:adjustRightInd w:val="0"/>
        <w:spacing w:after="0" w:line="240" w:lineRule="auto"/>
        <w:rPr>
          <w:rFonts w:ascii="Arial" w:hAnsi="Arial" w:cs="Arial"/>
          <w:color w:val="000000"/>
          <w:sz w:val="24"/>
          <w:szCs w:val="24"/>
        </w:rPr>
      </w:pPr>
      <w:r w:rsidRPr="00FD2D78">
        <w:rPr>
          <w:rFonts w:ascii="Arial" w:hAnsi="Arial" w:cs="Arial"/>
          <w:color w:val="000000"/>
          <w:sz w:val="24"/>
          <w:szCs w:val="24"/>
        </w:rPr>
        <w:t>Tabulados predefinidos</w:t>
      </w:r>
    </w:p>
    <w:p w14:paraId="0911CE21" w14:textId="77777777" w:rsidR="00300973" w:rsidRPr="00FD2D78" w:rsidRDefault="00300973" w:rsidP="00300973">
      <w:pPr>
        <w:autoSpaceDE w:val="0"/>
        <w:autoSpaceDN w:val="0"/>
        <w:adjustRightInd w:val="0"/>
        <w:spacing w:after="0" w:line="240" w:lineRule="auto"/>
        <w:rPr>
          <w:rFonts w:ascii="Arial" w:hAnsi="Arial" w:cs="Arial"/>
          <w:color w:val="000000"/>
          <w:sz w:val="24"/>
          <w:szCs w:val="24"/>
        </w:rPr>
      </w:pPr>
    </w:p>
    <w:p w14:paraId="0B1D7BB1" w14:textId="77777777" w:rsidR="00300973" w:rsidRPr="00FD2D78" w:rsidRDefault="00300973" w:rsidP="00300973">
      <w:pPr>
        <w:autoSpaceDE w:val="0"/>
        <w:autoSpaceDN w:val="0"/>
        <w:adjustRightInd w:val="0"/>
        <w:spacing w:after="0" w:line="240" w:lineRule="auto"/>
        <w:ind w:left="-567"/>
        <w:rPr>
          <w:rFonts w:ascii="Arial" w:hAnsi="Arial" w:cs="Arial"/>
          <w:color w:val="000000"/>
          <w:sz w:val="24"/>
          <w:szCs w:val="24"/>
        </w:rPr>
      </w:pPr>
      <w:r w:rsidRPr="00FD2D78">
        <w:rPr>
          <w:rFonts w:ascii="Arial" w:hAnsi="Arial" w:cs="Arial"/>
          <w:color w:val="000000"/>
          <w:sz w:val="24"/>
          <w:szCs w:val="24"/>
        </w:rPr>
        <w:t>Estos productos pueden ser consultados en el sitio de Internet del Instituto.</w:t>
      </w:r>
    </w:p>
    <w:p w14:paraId="19AFA911" w14:textId="77777777" w:rsidR="008A3846" w:rsidRPr="00756B55" w:rsidRDefault="008A3846" w:rsidP="008A3846">
      <w:pPr>
        <w:autoSpaceDE w:val="0"/>
        <w:autoSpaceDN w:val="0"/>
        <w:adjustRightInd w:val="0"/>
        <w:spacing w:after="0" w:line="240" w:lineRule="auto"/>
        <w:rPr>
          <w:rFonts w:ascii="Arial" w:hAnsi="Arial" w:cs="Arial"/>
          <w:color w:val="000000"/>
          <w:sz w:val="24"/>
          <w:szCs w:val="24"/>
        </w:rPr>
      </w:pPr>
    </w:p>
    <w:p w14:paraId="3AA531C4" w14:textId="0FBD95FC" w:rsidR="00B02C2F" w:rsidRPr="00EF4D6F" w:rsidRDefault="0040195C" w:rsidP="008970EE">
      <w:pPr>
        <w:spacing w:after="0" w:line="240" w:lineRule="auto"/>
        <w:ind w:left="-567"/>
        <w:jc w:val="both"/>
      </w:pPr>
      <w:hyperlink r:id="rId63" w:history="1">
        <w:r w:rsidR="00300973" w:rsidRPr="0095366D">
          <w:rPr>
            <w:rStyle w:val="Hipervnculo"/>
            <w:rFonts w:ascii="Arial" w:hAnsi="Arial" w:cs="Arial"/>
            <w:sz w:val="24"/>
            <w:szCs w:val="24"/>
          </w:rPr>
          <w:t>https://www.inegi.org.mx/programas/cnpje/2021/</w:t>
        </w:r>
      </w:hyperlink>
    </w:p>
    <w:sectPr w:rsidR="00B02C2F" w:rsidRPr="00EF4D6F" w:rsidSect="0005704A">
      <w:headerReference w:type="default" r:id="rId64"/>
      <w:type w:val="continuous"/>
      <w:pgSz w:w="12240" w:h="15840"/>
      <w:pgMar w:top="1823" w:right="1183" w:bottom="113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41614" w14:textId="77777777" w:rsidR="0040195C" w:rsidRDefault="0040195C" w:rsidP="00EC2F19">
      <w:pPr>
        <w:spacing w:after="0" w:line="240" w:lineRule="auto"/>
      </w:pPr>
      <w:r>
        <w:separator/>
      </w:r>
    </w:p>
  </w:endnote>
  <w:endnote w:type="continuationSeparator" w:id="0">
    <w:p w14:paraId="6E4CD207" w14:textId="77777777" w:rsidR="0040195C" w:rsidRDefault="0040195C" w:rsidP="00EC2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406A5" w14:textId="37B5A1DD" w:rsidR="00DD204C" w:rsidRPr="0041372E" w:rsidRDefault="00DD204C" w:rsidP="0041372E">
    <w:pPr>
      <w:pStyle w:val="Piedepgina"/>
      <w:jc w:val="center"/>
      <w:rPr>
        <w:rFonts w:ascii="Arial" w:hAnsi="Arial" w:cs="Arial"/>
        <w:b/>
        <w:color w:val="002060"/>
        <w:sz w:val="20"/>
        <w:szCs w:val="20"/>
      </w:rPr>
    </w:pPr>
    <w:r w:rsidRPr="0041372E">
      <w:rPr>
        <w:rFonts w:ascii="Arial" w:hAnsi="Arial" w:cs="Arial"/>
        <w:b/>
        <w:color w:val="002060"/>
        <w:sz w:val="20"/>
        <w:szCs w:val="20"/>
      </w:rPr>
      <w:t>COMUNICACIÓN SOCIAL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AA2B56" w14:textId="77777777" w:rsidR="0040195C" w:rsidRDefault="0040195C" w:rsidP="00EC2F19">
      <w:pPr>
        <w:spacing w:after="0" w:line="240" w:lineRule="auto"/>
      </w:pPr>
      <w:r>
        <w:separator/>
      </w:r>
    </w:p>
  </w:footnote>
  <w:footnote w:type="continuationSeparator" w:id="0">
    <w:p w14:paraId="7C4589A2" w14:textId="77777777" w:rsidR="0040195C" w:rsidRDefault="0040195C" w:rsidP="00EC2F19">
      <w:pPr>
        <w:spacing w:after="0" w:line="240" w:lineRule="auto"/>
      </w:pPr>
      <w:r>
        <w:continuationSeparator/>
      </w:r>
    </w:p>
  </w:footnote>
  <w:footnote w:id="1">
    <w:p w14:paraId="7A6E171F" w14:textId="0A0A5A16" w:rsidR="00DD204C" w:rsidRDefault="00DD204C" w:rsidP="00046CFB">
      <w:pPr>
        <w:pStyle w:val="Textonotapie"/>
        <w:ind w:left="-567"/>
        <w:jc w:val="both"/>
        <w:rPr>
          <w:rFonts w:ascii="Arial" w:hAnsi="Arial" w:cs="Arial"/>
          <w:sz w:val="16"/>
          <w:szCs w:val="16"/>
        </w:rPr>
      </w:pPr>
      <w:r w:rsidRPr="007A76A1">
        <w:rPr>
          <w:rStyle w:val="Refdenotaalpie"/>
          <w:rFonts w:ascii="Arial" w:hAnsi="Arial" w:cs="Arial"/>
          <w:sz w:val="16"/>
          <w:szCs w:val="16"/>
        </w:rPr>
        <w:footnoteRef/>
      </w:r>
      <w:r w:rsidRPr="007A76A1">
        <w:rPr>
          <w:rFonts w:ascii="Arial" w:hAnsi="Arial" w:cs="Arial"/>
          <w:sz w:val="16"/>
          <w:szCs w:val="16"/>
        </w:rPr>
        <w:t xml:space="preserve"> </w:t>
      </w:r>
      <w:r w:rsidRPr="00046CFB">
        <w:rPr>
          <w:rFonts w:ascii="Arial" w:hAnsi="Arial" w:cs="Arial"/>
          <w:sz w:val="16"/>
          <w:szCs w:val="16"/>
        </w:rPr>
        <w:t xml:space="preserve">La información </w:t>
      </w:r>
      <w:r>
        <w:rPr>
          <w:rFonts w:ascii="Arial" w:hAnsi="Arial" w:cs="Arial"/>
          <w:sz w:val="16"/>
          <w:szCs w:val="16"/>
        </w:rPr>
        <w:t>del programa estadístico es de carácter preliminar</w:t>
      </w:r>
      <w:r w:rsidRPr="00046CFB">
        <w:rPr>
          <w:rFonts w:ascii="Arial" w:hAnsi="Arial" w:cs="Arial"/>
          <w:sz w:val="16"/>
          <w:szCs w:val="16"/>
        </w:rPr>
        <w:t>.</w:t>
      </w:r>
    </w:p>
    <w:p w14:paraId="4A2EABB3" w14:textId="0CABCFF2" w:rsidR="00DD204C" w:rsidRPr="007A76A1" w:rsidRDefault="00DD204C" w:rsidP="00046CFB">
      <w:pPr>
        <w:pStyle w:val="Textonotapie"/>
        <w:ind w:left="-567"/>
        <w:jc w:val="both"/>
        <w:rPr>
          <w:rFonts w:ascii="Arial" w:hAnsi="Arial" w:cs="Arial"/>
          <w:sz w:val="16"/>
          <w:szCs w:val="16"/>
        </w:rPr>
      </w:pPr>
    </w:p>
  </w:footnote>
  <w:footnote w:id="2">
    <w:p w14:paraId="256BBA54" w14:textId="7CA0307D" w:rsidR="00300973" w:rsidRDefault="00300973">
      <w:pPr>
        <w:pStyle w:val="Textonotapie"/>
      </w:pPr>
      <w:r>
        <w:rPr>
          <w:rStyle w:val="Refdenotaalpie"/>
        </w:rPr>
        <w:footnoteRef/>
      </w:r>
      <w:r>
        <w:t xml:space="preserve"> </w:t>
      </w:r>
      <w:r w:rsidRPr="00B13C4E">
        <w:rPr>
          <w:rFonts w:ascii="Arial" w:hAnsi="Arial" w:cs="Arial"/>
          <w:sz w:val="16"/>
          <w:szCs w:val="16"/>
        </w:rPr>
        <w:t>La información de</w:t>
      </w:r>
      <w:r>
        <w:rPr>
          <w:rFonts w:ascii="Arial" w:hAnsi="Arial" w:cs="Arial"/>
          <w:sz w:val="16"/>
          <w:szCs w:val="16"/>
        </w:rPr>
        <w:t xml:space="preserve">l </w:t>
      </w:r>
      <w:r w:rsidRPr="00B13C4E">
        <w:rPr>
          <w:rFonts w:ascii="Arial" w:hAnsi="Arial" w:cs="Arial"/>
          <w:sz w:val="16"/>
          <w:szCs w:val="16"/>
        </w:rPr>
        <w:t>programa estadístico es de carácter preliminar.</w:t>
      </w:r>
    </w:p>
  </w:footnote>
  <w:footnote w:id="3">
    <w:p w14:paraId="23B994EF" w14:textId="39100B56" w:rsidR="00492CEC" w:rsidRDefault="00492CEC">
      <w:pPr>
        <w:pStyle w:val="Textonotapie"/>
      </w:pPr>
      <w:r>
        <w:rPr>
          <w:rStyle w:val="Refdenotaalpie"/>
        </w:rPr>
        <w:footnoteRef/>
      </w:r>
      <w:r>
        <w:t xml:space="preserve"> </w:t>
      </w:r>
      <w:r w:rsidRPr="00970642">
        <w:rPr>
          <w:rFonts w:ascii="Arial" w:hAnsi="Arial" w:cs="Arial"/>
          <w:sz w:val="16"/>
        </w:rPr>
        <w:t>Para el periodo referido se reportaron 23 254 servidoras y servidores públicos en dicho rango de ingresos, mientras que para 2020 la cantidad reportada fue de 22 346</w:t>
      </w:r>
      <w:r>
        <w:rPr>
          <w:rFonts w:ascii="Arial" w:hAnsi="Arial" w:cs="Arial"/>
          <w:sz w:val="16"/>
        </w:rPr>
        <w:t>.</w:t>
      </w:r>
    </w:p>
  </w:footnote>
  <w:footnote w:id="4">
    <w:p w14:paraId="7D1F62AD" w14:textId="2DF7279E" w:rsidR="00841765" w:rsidRPr="00970642" w:rsidRDefault="00841765" w:rsidP="00E151A9">
      <w:pPr>
        <w:pStyle w:val="Textonotapie"/>
        <w:jc w:val="both"/>
        <w:rPr>
          <w:rFonts w:ascii="Arial" w:hAnsi="Arial" w:cs="Arial"/>
        </w:rPr>
      </w:pPr>
      <w:r w:rsidRPr="00970642">
        <w:rPr>
          <w:rStyle w:val="Refdenotaalpie"/>
          <w:rFonts w:ascii="Arial" w:hAnsi="Arial" w:cs="Arial"/>
        </w:rPr>
        <w:footnoteRef/>
      </w:r>
      <w:r w:rsidRPr="00970642">
        <w:rPr>
          <w:rFonts w:ascii="Arial" w:hAnsi="Arial" w:cs="Arial"/>
        </w:rPr>
        <w:t xml:space="preserve"> </w:t>
      </w:r>
      <w:r w:rsidRPr="00970642">
        <w:rPr>
          <w:rFonts w:ascii="Arial" w:hAnsi="Arial" w:cs="Arial"/>
          <w:sz w:val="16"/>
        </w:rPr>
        <w:t xml:space="preserve">Para el periodo referido se reportaron </w:t>
      </w:r>
      <w:r w:rsidR="00492CEC" w:rsidRPr="00492CEC">
        <w:rPr>
          <w:rFonts w:ascii="Arial" w:hAnsi="Arial" w:cs="Arial"/>
          <w:sz w:val="16"/>
        </w:rPr>
        <w:t>12</w:t>
      </w:r>
      <w:r w:rsidR="00492CEC">
        <w:rPr>
          <w:rFonts w:ascii="Arial" w:hAnsi="Arial" w:cs="Arial"/>
          <w:sz w:val="16"/>
        </w:rPr>
        <w:t xml:space="preserve"> </w:t>
      </w:r>
      <w:r w:rsidR="00492CEC" w:rsidRPr="00492CEC">
        <w:rPr>
          <w:rFonts w:ascii="Arial" w:hAnsi="Arial" w:cs="Arial"/>
          <w:sz w:val="16"/>
        </w:rPr>
        <w:t>791</w:t>
      </w:r>
      <w:r w:rsidR="00492CEC">
        <w:rPr>
          <w:rFonts w:ascii="Arial" w:hAnsi="Arial" w:cs="Arial"/>
          <w:sz w:val="16"/>
        </w:rPr>
        <w:t xml:space="preserve"> </w:t>
      </w:r>
      <w:r w:rsidR="00E151A9" w:rsidRPr="00970642">
        <w:rPr>
          <w:rFonts w:ascii="Arial" w:hAnsi="Arial" w:cs="Arial"/>
          <w:sz w:val="16"/>
        </w:rPr>
        <w:t xml:space="preserve">servidoras y servidores públicos en dicho rango de ingresos, mientras que para 2020 la cantidad reportada fue de </w:t>
      </w:r>
      <w:r w:rsidR="00492CEC" w:rsidRPr="00492CEC">
        <w:rPr>
          <w:rFonts w:ascii="Arial" w:hAnsi="Arial" w:cs="Arial"/>
          <w:sz w:val="16"/>
        </w:rPr>
        <w:t>19</w:t>
      </w:r>
      <w:r w:rsidR="00492CEC">
        <w:rPr>
          <w:rFonts w:ascii="Arial" w:hAnsi="Arial" w:cs="Arial"/>
          <w:sz w:val="16"/>
        </w:rPr>
        <w:t xml:space="preserve"> </w:t>
      </w:r>
      <w:r w:rsidR="00492CEC" w:rsidRPr="00492CEC">
        <w:rPr>
          <w:rFonts w:ascii="Arial" w:hAnsi="Arial" w:cs="Arial"/>
          <w:sz w:val="16"/>
        </w:rPr>
        <w:t>872</w:t>
      </w:r>
      <w:r w:rsidR="00E151A9" w:rsidRPr="00970642">
        <w:rPr>
          <w:rFonts w:ascii="Arial" w:hAnsi="Arial" w:cs="Arial"/>
          <w:sz w:val="16"/>
        </w:rPr>
        <w:t>.</w:t>
      </w:r>
    </w:p>
  </w:footnote>
  <w:footnote w:id="5">
    <w:p w14:paraId="06889FBF" w14:textId="4B1CA16C" w:rsidR="00970642" w:rsidRDefault="00970642">
      <w:pPr>
        <w:pStyle w:val="Textonotapie"/>
      </w:pPr>
      <w:r w:rsidRPr="00970642">
        <w:rPr>
          <w:rStyle w:val="Refdenotaalpie"/>
          <w:rFonts w:ascii="Arial" w:hAnsi="Arial" w:cs="Arial"/>
        </w:rPr>
        <w:footnoteRef/>
      </w:r>
      <w:r w:rsidRPr="00970642">
        <w:rPr>
          <w:rFonts w:ascii="Arial" w:hAnsi="Arial" w:cs="Arial"/>
        </w:rPr>
        <w:t xml:space="preserve"> </w:t>
      </w:r>
      <w:r w:rsidRPr="00970642">
        <w:rPr>
          <w:rFonts w:ascii="Arial" w:hAnsi="Arial" w:cs="Arial"/>
          <w:sz w:val="16"/>
        </w:rPr>
        <w:t>En 2019 se reportaron 3 755 Agencias del Ministerio Público.</w:t>
      </w:r>
      <w:r w:rsidRPr="00970642">
        <w:rPr>
          <w:rFonts w:ascii="Arial" w:hAnsi="Arial" w:cs="Arial"/>
          <w:sz w:val="16"/>
        </w:rPr>
        <w:cr/>
      </w:r>
      <w:r>
        <w:t xml:space="preserve"> </w:t>
      </w:r>
    </w:p>
  </w:footnote>
  <w:footnote w:id="6">
    <w:p w14:paraId="614FFA15" w14:textId="34154613" w:rsidR="00AD22D5" w:rsidRDefault="00AD22D5" w:rsidP="00AD22D5">
      <w:pPr>
        <w:pStyle w:val="Textonotapie"/>
        <w:jc w:val="both"/>
      </w:pPr>
      <w:r w:rsidRPr="00AD22D5">
        <w:rPr>
          <w:rStyle w:val="Refdenotaalpie"/>
          <w:rFonts w:ascii="Arial" w:hAnsi="Arial" w:cs="Arial"/>
        </w:rPr>
        <w:footnoteRef/>
      </w:r>
      <w:r w:rsidRPr="00AD22D5">
        <w:rPr>
          <w:rFonts w:ascii="Arial" w:hAnsi="Arial" w:cs="Arial"/>
        </w:rPr>
        <w:t xml:space="preserve"> </w:t>
      </w:r>
      <w:r w:rsidRPr="00AD22D5">
        <w:rPr>
          <w:rFonts w:ascii="Arial" w:hAnsi="Arial" w:cs="Arial"/>
          <w:sz w:val="16"/>
          <w:szCs w:val="16"/>
        </w:rPr>
        <w:t xml:space="preserve">El tema no aplica para Jalisco debido a que la función de los servicios periciales y/o servicio médico forense no se encontró a cargo de la Procuraduría o Fiscalía General de Justicia de dicha entidad. A partir de 1998, la función de servicios periciales y/o servicio médico forense </w:t>
      </w:r>
      <w:r w:rsidR="00B430E3">
        <w:rPr>
          <w:rFonts w:ascii="Arial" w:hAnsi="Arial" w:cs="Arial"/>
          <w:sz w:val="16"/>
          <w:szCs w:val="16"/>
        </w:rPr>
        <w:t>está</w:t>
      </w:r>
      <w:r w:rsidR="00B430E3" w:rsidRPr="00AD22D5">
        <w:rPr>
          <w:rFonts w:ascii="Arial" w:hAnsi="Arial" w:cs="Arial"/>
          <w:sz w:val="16"/>
          <w:szCs w:val="16"/>
        </w:rPr>
        <w:t xml:space="preserve"> </w:t>
      </w:r>
      <w:r w:rsidRPr="00AD22D5">
        <w:rPr>
          <w:rFonts w:ascii="Arial" w:hAnsi="Arial" w:cs="Arial"/>
          <w:sz w:val="16"/>
          <w:szCs w:val="16"/>
        </w:rPr>
        <w:t>a cargo del Instituto Jalisciense de Ciencias Forenses</w:t>
      </w:r>
      <w:r w:rsidR="00B430E3">
        <w:rPr>
          <w:rFonts w:ascii="Arial" w:hAnsi="Arial" w:cs="Arial"/>
          <w:sz w:val="16"/>
          <w:szCs w:val="16"/>
        </w:rPr>
        <w:t>, adscrito al Poder Ejecutivo de la Entidad Federativa.</w:t>
      </w:r>
    </w:p>
  </w:footnote>
  <w:footnote w:id="7">
    <w:p w14:paraId="30418D88" w14:textId="06B3CC14" w:rsidR="00DA015F" w:rsidRPr="00EB78A8" w:rsidRDefault="00DA015F" w:rsidP="00DA015F">
      <w:pPr>
        <w:pStyle w:val="Textonotapie"/>
        <w:jc w:val="both"/>
        <w:rPr>
          <w:rFonts w:ascii="Arial" w:hAnsi="Arial" w:cs="Arial"/>
        </w:rPr>
      </w:pPr>
      <w:r w:rsidRPr="00EB78A8">
        <w:rPr>
          <w:rStyle w:val="Refdenotaalpie"/>
          <w:rFonts w:ascii="Arial" w:hAnsi="Arial" w:cs="Arial"/>
        </w:rPr>
        <w:footnoteRef/>
      </w:r>
      <w:r w:rsidRPr="00EB78A8">
        <w:rPr>
          <w:rFonts w:ascii="Arial" w:hAnsi="Arial" w:cs="Arial"/>
        </w:rPr>
        <w:t xml:space="preserve"> </w:t>
      </w:r>
      <w:r w:rsidRPr="00EB78A8">
        <w:rPr>
          <w:rFonts w:ascii="Arial" w:hAnsi="Arial" w:cs="Arial"/>
          <w:sz w:val="16"/>
        </w:rPr>
        <w:t xml:space="preserve">En 2019 </w:t>
      </w:r>
      <w:r w:rsidR="00EB78A8" w:rsidRPr="00EB78A8">
        <w:rPr>
          <w:rFonts w:ascii="Arial" w:hAnsi="Arial" w:cs="Arial"/>
          <w:sz w:val="16"/>
        </w:rPr>
        <w:t xml:space="preserve">se contó con 9 737 personas </w:t>
      </w:r>
      <w:r w:rsidRPr="00EB78A8">
        <w:rPr>
          <w:rFonts w:ascii="Arial" w:hAnsi="Arial" w:cs="Arial"/>
          <w:sz w:val="16"/>
        </w:rPr>
        <w:t>encargadas de la función de los servicios periciales y/o servicio médico forense</w:t>
      </w:r>
      <w:r w:rsidR="00EB78A8" w:rsidRPr="00EB78A8">
        <w:rPr>
          <w:rFonts w:ascii="Arial" w:hAnsi="Arial" w:cs="Arial"/>
          <w:sz w:val="16"/>
        </w:rPr>
        <w:t>.</w:t>
      </w:r>
    </w:p>
  </w:footnote>
  <w:footnote w:id="8">
    <w:p w14:paraId="4788B4C7" w14:textId="58A03257" w:rsidR="00EB78A8" w:rsidRDefault="00EB78A8">
      <w:pPr>
        <w:pStyle w:val="Textonotapie"/>
      </w:pPr>
      <w:r w:rsidRPr="00EB78A8">
        <w:rPr>
          <w:rStyle w:val="Refdenotaalpie"/>
          <w:rFonts w:ascii="Arial" w:hAnsi="Arial" w:cs="Arial"/>
        </w:rPr>
        <w:footnoteRef/>
      </w:r>
      <w:r w:rsidRPr="00EB78A8">
        <w:rPr>
          <w:rFonts w:ascii="Arial" w:hAnsi="Arial" w:cs="Arial"/>
        </w:rPr>
        <w:t xml:space="preserve"> </w:t>
      </w:r>
      <w:r w:rsidRPr="00EB78A8">
        <w:rPr>
          <w:rFonts w:ascii="Arial" w:hAnsi="Arial" w:cs="Arial"/>
          <w:sz w:val="16"/>
        </w:rPr>
        <w:t>En 2019 se contó con 6 242 peritos.</w:t>
      </w:r>
    </w:p>
  </w:footnote>
  <w:footnote w:id="9">
    <w:p w14:paraId="3635C3BF" w14:textId="1AF7DBA8" w:rsidR="001F0AC8" w:rsidRPr="001F0AC8" w:rsidRDefault="001F0AC8" w:rsidP="001F0AC8">
      <w:pPr>
        <w:pStyle w:val="Textonotapie"/>
        <w:jc w:val="both"/>
        <w:rPr>
          <w:rFonts w:ascii="Arial" w:hAnsi="Arial" w:cs="Arial"/>
        </w:rPr>
      </w:pPr>
      <w:r w:rsidRPr="001F0AC8">
        <w:rPr>
          <w:rStyle w:val="Refdenotaalpie"/>
          <w:rFonts w:ascii="Arial" w:hAnsi="Arial" w:cs="Arial"/>
        </w:rPr>
        <w:footnoteRef/>
      </w:r>
      <w:r w:rsidRPr="001F0AC8">
        <w:rPr>
          <w:rFonts w:ascii="Arial" w:hAnsi="Arial" w:cs="Arial"/>
        </w:rPr>
        <w:t xml:space="preserve"> </w:t>
      </w:r>
      <w:r w:rsidRPr="001F0AC8">
        <w:rPr>
          <w:rFonts w:ascii="Arial" w:hAnsi="Arial" w:cs="Arial"/>
          <w:sz w:val="16"/>
        </w:rPr>
        <w:t>Las cifras se refieren a la actuación bajo el sistema tradicional para adultos y el sistema escrito o mixto de justicia para adolescentes (averiguaciones previas), el sistema oral para adolescentes (investigaciones) y el sistema penal acusatorio para adultos y el sistema integral de justicia penal para adolescentes (carpetas de investigación).</w:t>
      </w:r>
    </w:p>
  </w:footnote>
  <w:footnote w:id="10">
    <w:p w14:paraId="5FD79740" w14:textId="05D7E791" w:rsidR="00202B0C" w:rsidRPr="00202B0C" w:rsidRDefault="00202B0C" w:rsidP="007F35F5">
      <w:pPr>
        <w:pStyle w:val="Textonotapie"/>
        <w:jc w:val="both"/>
        <w:rPr>
          <w:rFonts w:ascii="Arial" w:hAnsi="Arial" w:cs="Arial"/>
        </w:rPr>
      </w:pPr>
      <w:r w:rsidRPr="00202B0C">
        <w:rPr>
          <w:rStyle w:val="Refdenotaalpie"/>
          <w:rFonts w:ascii="Arial" w:hAnsi="Arial" w:cs="Arial"/>
        </w:rPr>
        <w:footnoteRef/>
      </w:r>
      <w:r w:rsidRPr="00202B0C">
        <w:rPr>
          <w:rFonts w:ascii="Arial" w:hAnsi="Arial" w:cs="Arial"/>
        </w:rPr>
        <w:t xml:space="preserve"> </w:t>
      </w:r>
      <w:r w:rsidRPr="00202B0C">
        <w:rPr>
          <w:rFonts w:ascii="Arial" w:hAnsi="Arial" w:cs="Arial"/>
          <w:sz w:val="16"/>
        </w:rPr>
        <w:t>En 2019</w:t>
      </w:r>
      <w:r w:rsidR="00542551">
        <w:rPr>
          <w:rFonts w:ascii="Arial" w:hAnsi="Arial" w:cs="Arial"/>
          <w:sz w:val="16"/>
        </w:rPr>
        <w:t>,</w:t>
      </w:r>
      <w:r w:rsidRPr="00202B0C">
        <w:rPr>
          <w:rFonts w:ascii="Arial" w:hAnsi="Arial" w:cs="Arial"/>
          <w:sz w:val="16"/>
        </w:rPr>
        <w:t xml:space="preserve"> el total de delitos registrados en las averiguaciones previas iniciadas, investigaciones y carpetas de investigación abiertas fue de </w:t>
      </w:r>
      <w:r w:rsidR="00FF5329" w:rsidRPr="00FF5329">
        <w:rPr>
          <w:rFonts w:ascii="Arial" w:hAnsi="Arial" w:cs="Arial"/>
          <w:sz w:val="16"/>
        </w:rPr>
        <w:t>2 086 637</w:t>
      </w:r>
      <w:r w:rsidR="007F35F5">
        <w:rPr>
          <w:rFonts w:ascii="Arial" w:hAnsi="Arial" w:cs="Arial"/>
          <w:sz w:val="16"/>
        </w:rPr>
        <w:t xml:space="preserve">, esta cifra no contempla los delitos del fuero federal para el sistema de adolescentes, toda vez que </w:t>
      </w:r>
      <w:r w:rsidR="007F35F5" w:rsidRPr="007F35F5">
        <w:rPr>
          <w:rFonts w:ascii="Arial" w:hAnsi="Arial" w:cs="Arial"/>
          <w:sz w:val="16"/>
        </w:rPr>
        <w:t>el instrumento de captación no contempla la</w:t>
      </w:r>
      <w:r w:rsidR="007F35F5">
        <w:rPr>
          <w:rFonts w:ascii="Arial" w:hAnsi="Arial" w:cs="Arial"/>
          <w:sz w:val="16"/>
        </w:rPr>
        <w:t xml:space="preserve"> </w:t>
      </w:r>
      <w:r w:rsidR="007F35F5" w:rsidRPr="007F35F5">
        <w:rPr>
          <w:rFonts w:ascii="Arial" w:hAnsi="Arial" w:cs="Arial"/>
          <w:sz w:val="16"/>
        </w:rPr>
        <w:t xml:space="preserve">desagregación de delitos por tipo </w:t>
      </w:r>
      <w:r w:rsidR="007F35F5">
        <w:rPr>
          <w:rFonts w:ascii="Arial" w:hAnsi="Arial" w:cs="Arial"/>
          <w:sz w:val="16"/>
        </w:rPr>
        <w:t>d</w:t>
      </w:r>
      <w:r w:rsidR="007F35F5" w:rsidRPr="007F35F5">
        <w:rPr>
          <w:rFonts w:ascii="Arial" w:hAnsi="Arial" w:cs="Arial"/>
          <w:sz w:val="16"/>
        </w:rPr>
        <w:t>el fuero federal</w:t>
      </w:r>
      <w:r w:rsidR="007F35F5">
        <w:rPr>
          <w:rFonts w:ascii="Arial" w:hAnsi="Arial" w:cs="Arial"/>
          <w:sz w:val="16"/>
        </w:rPr>
        <w:t xml:space="preserve"> para dicho sistema. </w:t>
      </w:r>
    </w:p>
  </w:footnote>
  <w:footnote w:id="11">
    <w:p w14:paraId="6AE8EE8F" w14:textId="3938866D" w:rsidR="00DA766C" w:rsidRPr="00DA766C" w:rsidRDefault="00DA766C" w:rsidP="00DA766C">
      <w:pPr>
        <w:pStyle w:val="Textonotapie"/>
        <w:jc w:val="both"/>
        <w:rPr>
          <w:rFonts w:ascii="Arial" w:hAnsi="Arial" w:cs="Arial"/>
        </w:rPr>
      </w:pPr>
      <w:r w:rsidRPr="00DA766C">
        <w:rPr>
          <w:rStyle w:val="Refdenotaalpie"/>
          <w:rFonts w:ascii="Arial" w:hAnsi="Arial" w:cs="Arial"/>
        </w:rPr>
        <w:footnoteRef/>
      </w:r>
      <w:r w:rsidRPr="00DA766C">
        <w:rPr>
          <w:rFonts w:ascii="Arial" w:hAnsi="Arial" w:cs="Arial"/>
        </w:rPr>
        <w:t xml:space="preserve"> </w:t>
      </w:r>
      <w:r w:rsidRPr="00DA766C">
        <w:rPr>
          <w:rFonts w:ascii="Arial" w:hAnsi="Arial" w:cs="Arial"/>
          <w:sz w:val="16"/>
        </w:rPr>
        <w:t>En 2019</w:t>
      </w:r>
      <w:r w:rsidR="00590467">
        <w:rPr>
          <w:rFonts w:ascii="Arial" w:hAnsi="Arial" w:cs="Arial"/>
          <w:sz w:val="16"/>
        </w:rPr>
        <w:t>,</w:t>
      </w:r>
      <w:r w:rsidRPr="00DA766C">
        <w:rPr>
          <w:rFonts w:ascii="Arial" w:hAnsi="Arial" w:cs="Arial"/>
          <w:sz w:val="16"/>
        </w:rPr>
        <w:t xml:space="preserve"> el total de víctimas registradas en las averiguaciones previas, investigaciones y carpetas de investigación abiertas fue de 2 257 165. </w:t>
      </w:r>
    </w:p>
  </w:footnote>
  <w:footnote w:id="12">
    <w:p w14:paraId="604B73DF" w14:textId="46341CF9" w:rsidR="00765BB2" w:rsidRPr="00966292" w:rsidRDefault="00765BB2" w:rsidP="00765BB2">
      <w:pPr>
        <w:pStyle w:val="Textonotapie"/>
        <w:jc w:val="both"/>
        <w:rPr>
          <w:rFonts w:ascii="Arial" w:hAnsi="Arial" w:cs="Arial"/>
        </w:rPr>
      </w:pPr>
      <w:r w:rsidRPr="00966292">
        <w:rPr>
          <w:rStyle w:val="Refdenotaalpie"/>
          <w:rFonts w:ascii="Arial" w:hAnsi="Arial" w:cs="Arial"/>
        </w:rPr>
        <w:footnoteRef/>
      </w:r>
      <w:r w:rsidRPr="00966292">
        <w:rPr>
          <w:rFonts w:ascii="Arial" w:hAnsi="Arial" w:cs="Arial"/>
        </w:rPr>
        <w:t xml:space="preserve"> </w:t>
      </w:r>
      <w:r w:rsidRPr="00966292">
        <w:rPr>
          <w:rFonts w:ascii="Arial" w:hAnsi="Arial" w:cs="Arial"/>
          <w:sz w:val="16"/>
        </w:rPr>
        <w:t xml:space="preserve">En 2019, el total de inculpados y/o imputados registrados en las averiguaciones previas, investigaciones y carpetas de investigación abiertas fue de 1 858 805. </w:t>
      </w:r>
    </w:p>
  </w:footnote>
  <w:footnote w:id="13">
    <w:p w14:paraId="3845D540" w14:textId="16A53DE5" w:rsidR="00966292" w:rsidRDefault="00966292" w:rsidP="00966292">
      <w:pPr>
        <w:pStyle w:val="Textonotapie"/>
        <w:jc w:val="both"/>
      </w:pPr>
      <w:r w:rsidRPr="00966292">
        <w:rPr>
          <w:rStyle w:val="Refdenotaalpie"/>
          <w:rFonts w:ascii="Arial" w:hAnsi="Arial" w:cs="Arial"/>
        </w:rPr>
        <w:footnoteRef/>
      </w:r>
      <w:r w:rsidRPr="00966292">
        <w:rPr>
          <w:rFonts w:ascii="Arial" w:hAnsi="Arial" w:cs="Arial"/>
        </w:rPr>
        <w:t xml:space="preserve"> </w:t>
      </w:r>
      <w:r w:rsidRPr="00966292">
        <w:rPr>
          <w:rFonts w:ascii="Arial" w:hAnsi="Arial" w:cs="Arial"/>
          <w:sz w:val="16"/>
        </w:rPr>
        <w:t>En 2019</w:t>
      </w:r>
      <w:r w:rsidR="00590467">
        <w:rPr>
          <w:rFonts w:ascii="Arial" w:hAnsi="Arial" w:cs="Arial"/>
          <w:sz w:val="16"/>
        </w:rPr>
        <w:t>,</w:t>
      </w:r>
      <w:r w:rsidRPr="00966292">
        <w:rPr>
          <w:rFonts w:ascii="Arial" w:hAnsi="Arial" w:cs="Arial"/>
          <w:sz w:val="16"/>
        </w:rPr>
        <w:t xml:space="preserve"> el total de determinaciones y/o conclusiones efectuadas en las averiguaciones previas e investigaciones fue de 275 388.</w:t>
      </w:r>
    </w:p>
  </w:footnote>
  <w:footnote w:id="14">
    <w:p w14:paraId="3CEE89BE" w14:textId="16E67079" w:rsidR="00B80539" w:rsidRPr="00B80539" w:rsidRDefault="00B80539" w:rsidP="00B80539">
      <w:pPr>
        <w:pStyle w:val="Textonotapie"/>
        <w:jc w:val="both"/>
        <w:rPr>
          <w:rFonts w:ascii="Arial" w:hAnsi="Arial" w:cs="Arial"/>
        </w:rPr>
      </w:pPr>
      <w:r w:rsidRPr="00B80539">
        <w:rPr>
          <w:rStyle w:val="Refdenotaalpie"/>
          <w:rFonts w:ascii="Arial" w:hAnsi="Arial" w:cs="Arial"/>
        </w:rPr>
        <w:footnoteRef/>
      </w:r>
      <w:r w:rsidRPr="00B80539">
        <w:rPr>
          <w:rFonts w:ascii="Arial" w:hAnsi="Arial" w:cs="Arial"/>
        </w:rPr>
        <w:t xml:space="preserve"> </w:t>
      </w:r>
      <w:r w:rsidRPr="00B80539">
        <w:rPr>
          <w:rFonts w:ascii="Arial" w:hAnsi="Arial" w:cs="Arial"/>
          <w:sz w:val="16"/>
        </w:rPr>
        <w:t>En 2019, el total de determinaciones y/o conclusiones efectuadas en las carpetas de investigación en la etapa de investigación inicial fue de 1</w:t>
      </w:r>
      <w:r>
        <w:rPr>
          <w:rFonts w:ascii="Arial" w:hAnsi="Arial" w:cs="Arial"/>
          <w:sz w:val="16"/>
        </w:rPr>
        <w:t xml:space="preserve"> </w:t>
      </w:r>
      <w:r w:rsidRPr="00B80539">
        <w:rPr>
          <w:rFonts w:ascii="Arial" w:hAnsi="Arial" w:cs="Arial"/>
          <w:sz w:val="16"/>
        </w:rPr>
        <w:t>427</w:t>
      </w:r>
      <w:r>
        <w:rPr>
          <w:rFonts w:ascii="Arial" w:hAnsi="Arial" w:cs="Arial"/>
          <w:sz w:val="16"/>
        </w:rPr>
        <w:t xml:space="preserve"> </w:t>
      </w:r>
      <w:r w:rsidRPr="00B80539">
        <w:rPr>
          <w:rFonts w:ascii="Arial" w:hAnsi="Arial" w:cs="Arial"/>
          <w:sz w:val="16"/>
        </w:rPr>
        <w:t>168</w:t>
      </w:r>
      <w:r>
        <w:rPr>
          <w:rFonts w:ascii="Arial" w:hAnsi="Arial" w:cs="Arial"/>
          <w:sz w:val="16"/>
        </w:rPr>
        <w:t xml:space="preserve">. </w:t>
      </w:r>
    </w:p>
  </w:footnote>
  <w:footnote w:id="15">
    <w:p w14:paraId="279D3FDC" w14:textId="597CECB4" w:rsidR="003927EB" w:rsidRPr="003927EB" w:rsidRDefault="003927EB" w:rsidP="003927EB">
      <w:pPr>
        <w:pStyle w:val="Textonotapie"/>
        <w:jc w:val="both"/>
        <w:rPr>
          <w:rFonts w:ascii="Arial" w:hAnsi="Arial" w:cs="Arial"/>
        </w:rPr>
      </w:pPr>
      <w:r w:rsidRPr="003927EB">
        <w:rPr>
          <w:rStyle w:val="Refdenotaalpie"/>
          <w:rFonts w:ascii="Arial" w:hAnsi="Arial" w:cs="Arial"/>
        </w:rPr>
        <w:footnoteRef/>
      </w:r>
      <w:r w:rsidRPr="003927EB">
        <w:rPr>
          <w:rFonts w:ascii="Arial" w:hAnsi="Arial" w:cs="Arial"/>
        </w:rPr>
        <w:t xml:space="preserve"> </w:t>
      </w:r>
      <w:r w:rsidRPr="003927EB">
        <w:rPr>
          <w:rFonts w:ascii="Arial" w:hAnsi="Arial" w:cs="Arial"/>
          <w:sz w:val="16"/>
        </w:rPr>
        <w:t>En 2019, el total de determinaciones y/o conclusiones efectuadas en las carpetas de investigación en la etapa de investigación complementaria</w:t>
      </w:r>
      <w:r>
        <w:rPr>
          <w:rFonts w:ascii="Arial" w:hAnsi="Arial" w:cs="Arial"/>
          <w:sz w:val="16"/>
        </w:rPr>
        <w:t xml:space="preserve"> fue de </w:t>
      </w:r>
      <w:r w:rsidRPr="003927EB">
        <w:rPr>
          <w:rFonts w:ascii="Arial" w:hAnsi="Arial" w:cs="Arial"/>
          <w:sz w:val="16"/>
        </w:rPr>
        <w:t>116</w:t>
      </w:r>
      <w:r>
        <w:rPr>
          <w:rFonts w:ascii="Arial" w:hAnsi="Arial" w:cs="Arial"/>
          <w:sz w:val="16"/>
        </w:rPr>
        <w:t xml:space="preserve"> </w:t>
      </w:r>
      <w:r w:rsidRPr="003927EB">
        <w:rPr>
          <w:rFonts w:ascii="Arial" w:hAnsi="Arial" w:cs="Arial"/>
          <w:sz w:val="16"/>
        </w:rPr>
        <w:t>014</w:t>
      </w:r>
      <w:r>
        <w:rPr>
          <w:rFonts w:ascii="Arial" w:hAnsi="Arial" w:cs="Arial"/>
          <w:sz w:val="16"/>
        </w:rPr>
        <w:t>.</w:t>
      </w:r>
    </w:p>
  </w:footnote>
  <w:footnote w:id="16">
    <w:p w14:paraId="15CF4E9E" w14:textId="77777777" w:rsidR="000530BE" w:rsidRPr="007E07E3" w:rsidRDefault="000530BE" w:rsidP="000530BE">
      <w:pPr>
        <w:pStyle w:val="Textonotapie"/>
        <w:rPr>
          <w:rFonts w:ascii="Arial" w:hAnsi="Arial" w:cs="Arial"/>
        </w:rPr>
      </w:pPr>
      <w:r w:rsidRPr="00CC3913">
        <w:rPr>
          <w:rStyle w:val="Refdenotaalpie"/>
          <w:rFonts w:ascii="Arial" w:hAnsi="Arial" w:cs="Arial"/>
          <w:color w:val="000000" w:themeColor="text1"/>
        </w:rPr>
        <w:footnoteRef/>
      </w:r>
      <w:r w:rsidRPr="00CC3913">
        <w:rPr>
          <w:rFonts w:ascii="Arial" w:hAnsi="Arial" w:cs="Arial"/>
          <w:color w:val="000000" w:themeColor="text1"/>
        </w:rPr>
        <w:t xml:space="preserve"> </w:t>
      </w:r>
      <w:r w:rsidRPr="00CC3913">
        <w:rPr>
          <w:rFonts w:ascii="Arial" w:hAnsi="Arial" w:cs="Arial"/>
          <w:iCs/>
          <w:noProof/>
          <w:color w:val="000000" w:themeColor="text1"/>
          <w:sz w:val="16"/>
          <w:szCs w:val="24"/>
          <w:lang w:eastAsia="es-MX"/>
        </w:rPr>
        <w:t>El resto (16.3%) corresponde a la categoría “No especificado”.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A446F" w14:textId="457D3415" w:rsidR="00473C75" w:rsidRPr="00473C75" w:rsidRDefault="00473C75" w:rsidP="007C5C73">
    <w:pPr>
      <w:pStyle w:val="Encabezado"/>
      <w:framePr w:w="5983" w:hSpace="141" w:wrap="auto" w:vAnchor="text" w:hAnchor="page" w:x="4825" w:y="-317"/>
      <w:ind w:left="567" w:hanging="11"/>
      <w:jc w:val="right"/>
      <w:rPr>
        <w:rFonts w:ascii="Arial" w:hAnsi="Arial" w:cs="Arial"/>
        <w:b/>
        <w:color w:val="002060"/>
        <w:sz w:val="24"/>
        <w:szCs w:val="24"/>
      </w:rPr>
    </w:pPr>
    <w:r w:rsidRPr="00473C75">
      <w:rPr>
        <w:rFonts w:ascii="Arial" w:hAnsi="Arial" w:cs="Arial"/>
        <w:b/>
        <w:color w:val="002060"/>
        <w:sz w:val="24"/>
        <w:szCs w:val="24"/>
      </w:rPr>
      <w:t xml:space="preserve">COMUNICADO DE PRENSA NÚM. </w:t>
    </w:r>
    <w:r>
      <w:rPr>
        <w:rFonts w:ascii="Arial" w:hAnsi="Arial" w:cs="Arial"/>
        <w:b/>
        <w:color w:val="002060"/>
        <w:sz w:val="24"/>
        <w:szCs w:val="24"/>
      </w:rPr>
      <w:t>581</w:t>
    </w:r>
    <w:r w:rsidRPr="00473C75">
      <w:rPr>
        <w:rFonts w:ascii="Arial" w:hAnsi="Arial" w:cs="Arial"/>
        <w:b/>
        <w:color w:val="002060"/>
        <w:sz w:val="24"/>
        <w:szCs w:val="24"/>
      </w:rPr>
      <w:t>/21</w:t>
    </w:r>
  </w:p>
  <w:p w14:paraId="2A20394E" w14:textId="7A174EFB" w:rsidR="00473C75" w:rsidRPr="00473C75" w:rsidRDefault="00473C75" w:rsidP="007C5C73">
    <w:pPr>
      <w:pStyle w:val="Encabezado"/>
      <w:framePr w:w="5983" w:hSpace="141" w:wrap="auto" w:vAnchor="text" w:hAnchor="page" w:x="4825" w:y="-317"/>
      <w:ind w:left="567" w:hanging="11"/>
      <w:jc w:val="right"/>
      <w:rPr>
        <w:rFonts w:ascii="Arial" w:hAnsi="Arial" w:cs="Arial"/>
        <w:b/>
        <w:color w:val="002060"/>
        <w:sz w:val="24"/>
        <w:szCs w:val="24"/>
        <w:lang w:val="pt-BR"/>
      </w:rPr>
    </w:pPr>
    <w:r>
      <w:rPr>
        <w:rFonts w:ascii="Arial" w:hAnsi="Arial" w:cs="Arial"/>
        <w:b/>
        <w:color w:val="002060"/>
        <w:sz w:val="24"/>
        <w:szCs w:val="24"/>
        <w:lang w:val="pt-BR"/>
      </w:rPr>
      <w:t>25</w:t>
    </w:r>
    <w:r w:rsidRPr="00473C75">
      <w:rPr>
        <w:rFonts w:ascii="Arial" w:hAnsi="Arial" w:cs="Arial"/>
        <w:b/>
        <w:color w:val="002060"/>
        <w:sz w:val="24"/>
        <w:szCs w:val="24"/>
        <w:lang w:val="pt-BR"/>
      </w:rPr>
      <w:t xml:space="preserve"> DE </w:t>
    </w:r>
    <w:r>
      <w:rPr>
        <w:rFonts w:ascii="Arial" w:hAnsi="Arial" w:cs="Arial"/>
        <w:b/>
        <w:color w:val="002060"/>
        <w:sz w:val="24"/>
        <w:szCs w:val="24"/>
        <w:lang w:val="pt-BR"/>
      </w:rPr>
      <w:t>OCTUBRE</w:t>
    </w:r>
    <w:r w:rsidRPr="00473C75">
      <w:rPr>
        <w:rFonts w:ascii="Arial" w:hAnsi="Arial" w:cs="Arial"/>
        <w:b/>
        <w:color w:val="002060"/>
        <w:sz w:val="24"/>
        <w:szCs w:val="24"/>
        <w:lang w:val="pt-BR"/>
      </w:rPr>
      <w:t xml:space="preserve"> DE 2021</w:t>
    </w:r>
  </w:p>
  <w:p w14:paraId="31433D27" w14:textId="6A41B03E" w:rsidR="00473C75" w:rsidRPr="00473C75" w:rsidRDefault="00473C75" w:rsidP="007C5C73">
    <w:pPr>
      <w:pStyle w:val="Encabezado"/>
      <w:framePr w:w="5983" w:hSpace="141" w:wrap="auto" w:vAnchor="text" w:hAnchor="page" w:x="4825" w:y="-317"/>
      <w:ind w:left="567" w:hanging="11"/>
      <w:jc w:val="right"/>
      <w:rPr>
        <w:rFonts w:ascii="Arial" w:hAnsi="Arial" w:cs="Arial"/>
        <w:b/>
        <w:color w:val="002060"/>
        <w:sz w:val="24"/>
        <w:szCs w:val="24"/>
        <w:lang w:val="pt-BR"/>
      </w:rPr>
    </w:pPr>
    <w:r w:rsidRPr="00473C75">
      <w:rPr>
        <w:rFonts w:ascii="Arial" w:hAnsi="Arial" w:cs="Arial"/>
        <w:b/>
        <w:color w:val="002060"/>
        <w:sz w:val="24"/>
        <w:szCs w:val="24"/>
        <w:lang w:val="pt-BR"/>
      </w:rPr>
      <w:t xml:space="preserve">PÁGINA </w:t>
    </w:r>
    <w:r w:rsidRPr="00473C75">
      <w:rPr>
        <w:rFonts w:ascii="Arial" w:hAnsi="Arial" w:cs="Arial"/>
        <w:b/>
        <w:color w:val="002060"/>
        <w:sz w:val="24"/>
        <w:szCs w:val="24"/>
      </w:rPr>
      <w:fldChar w:fldCharType="begin"/>
    </w:r>
    <w:r w:rsidRPr="00473C75">
      <w:rPr>
        <w:rFonts w:ascii="Arial" w:hAnsi="Arial" w:cs="Arial"/>
        <w:b/>
        <w:color w:val="002060"/>
        <w:sz w:val="24"/>
        <w:szCs w:val="24"/>
        <w:lang w:val="pt-BR"/>
      </w:rPr>
      <w:instrText xml:space="preserve">\PAGE </w:instrText>
    </w:r>
    <w:r w:rsidRPr="00473C75">
      <w:rPr>
        <w:rFonts w:ascii="Arial" w:hAnsi="Arial" w:cs="Arial"/>
        <w:color w:val="002060"/>
        <w:sz w:val="24"/>
        <w:szCs w:val="24"/>
      </w:rPr>
      <w:fldChar w:fldCharType="separate"/>
    </w:r>
    <w:r w:rsidRPr="00473C75">
      <w:rPr>
        <w:rFonts w:ascii="Arial" w:hAnsi="Arial" w:cs="Arial"/>
        <w:color w:val="002060"/>
        <w:sz w:val="24"/>
        <w:szCs w:val="24"/>
      </w:rPr>
      <w:t>1</w:t>
    </w:r>
    <w:r w:rsidRPr="00473C75">
      <w:rPr>
        <w:rFonts w:ascii="Arial" w:hAnsi="Arial" w:cs="Arial"/>
        <w:color w:val="002060"/>
        <w:sz w:val="24"/>
        <w:szCs w:val="24"/>
      </w:rPr>
      <w:fldChar w:fldCharType="end"/>
    </w:r>
    <w:r w:rsidRPr="00473C75">
      <w:rPr>
        <w:rFonts w:ascii="Arial" w:hAnsi="Arial" w:cs="Arial"/>
        <w:b/>
        <w:color w:val="002060"/>
        <w:sz w:val="24"/>
        <w:szCs w:val="24"/>
        <w:lang w:val="pt-BR"/>
      </w:rPr>
      <w:t>/</w:t>
    </w:r>
    <w:r>
      <w:rPr>
        <w:rFonts w:ascii="Arial" w:hAnsi="Arial" w:cs="Arial"/>
        <w:b/>
        <w:color w:val="002060"/>
        <w:sz w:val="24"/>
        <w:szCs w:val="24"/>
        <w:lang w:val="pt-BR"/>
      </w:rPr>
      <w:t>3</w:t>
    </w:r>
  </w:p>
  <w:p w14:paraId="6F726382" w14:textId="77777777" w:rsidR="00DD204C" w:rsidRDefault="00DD204C" w:rsidP="00C22F44">
    <w:pPr>
      <w:spacing w:after="0" w:line="265" w:lineRule="exact"/>
      <w:ind w:right="74"/>
      <w:jc w:val="right"/>
      <w:rPr>
        <w:rFonts w:ascii="Arial" w:hAnsi="Arial" w:cs="Arial"/>
        <w:b/>
        <w:color w:val="002060"/>
        <w:sz w:val="24"/>
        <w:szCs w:val="24"/>
      </w:rPr>
    </w:pPr>
  </w:p>
  <w:p w14:paraId="0D71648B" w14:textId="193DB5C1" w:rsidR="00DD204C" w:rsidRPr="00C22F44" w:rsidRDefault="00DD204C" w:rsidP="00C22F44">
    <w:pPr>
      <w:spacing w:after="0" w:line="265" w:lineRule="exact"/>
      <w:ind w:right="74"/>
      <w:jc w:val="right"/>
      <w:rPr>
        <w:rFonts w:ascii="Arial" w:eastAsia="Arial" w:hAnsi="Arial" w:cs="Arial"/>
        <w:color w:val="002060"/>
        <w:sz w:val="24"/>
        <w:szCs w:val="24"/>
      </w:rPr>
    </w:pPr>
    <w:r w:rsidRPr="00C22F44">
      <w:rPr>
        <w:rFonts w:ascii="Arial" w:hAnsi="Arial" w:cs="Arial"/>
        <w:noProof/>
        <w:color w:val="002060"/>
        <w:sz w:val="24"/>
        <w:szCs w:val="24"/>
        <w:lang w:val="en-US"/>
      </w:rPr>
      <w:drawing>
        <wp:anchor distT="0" distB="0" distL="114300" distR="114300" simplePos="0" relativeHeight="251664384" behindDoc="0" locked="0" layoutInCell="1" allowOverlap="1" wp14:anchorId="5064353F" wp14:editId="48850C13">
          <wp:simplePos x="0" y="0"/>
          <wp:positionH relativeFrom="margin">
            <wp:posOffset>-219075</wp:posOffset>
          </wp:positionH>
          <wp:positionV relativeFrom="margin">
            <wp:posOffset>-876935</wp:posOffset>
          </wp:positionV>
          <wp:extent cx="814705" cy="847725"/>
          <wp:effectExtent l="0" t="0" r="4445" b="952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470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2F44">
      <w:rPr>
        <w:rFonts w:ascii="Arial" w:hAnsi="Arial" w:cs="Arial"/>
        <w:b/>
        <w:color w:val="002060"/>
        <w:sz w:val="24"/>
        <w:szCs w:val="24"/>
      </w:rPr>
      <w:t xml:space="preserve"> </w:t>
    </w:r>
  </w:p>
  <w:p w14:paraId="0A18ED48" w14:textId="773DC383" w:rsidR="00DD204C" w:rsidRDefault="00DD204C" w:rsidP="00EC2F19">
    <w:pPr>
      <w:pStyle w:val="Encabezado"/>
      <w:tabs>
        <w:tab w:val="center" w:pos="4164"/>
        <w:tab w:val="center" w:pos="4537"/>
        <w:tab w:val="left" w:pos="7410"/>
      </w:tabs>
      <w:ind w:left="-510"/>
      <w:rPr>
        <w:b/>
        <w:color w:val="000000"/>
        <w:spacing w:val="5"/>
      </w:rPr>
    </w:pPr>
  </w:p>
  <w:p w14:paraId="5DCDA787" w14:textId="77777777" w:rsidR="00DD204C" w:rsidRDefault="00DD204C" w:rsidP="0041372E">
    <w:pPr>
      <w:pStyle w:val="Encabezado"/>
      <w:tabs>
        <w:tab w:val="center" w:pos="4164"/>
        <w:tab w:val="center" w:pos="4537"/>
        <w:tab w:val="left" w:pos="7410"/>
      </w:tabs>
      <w:rPr>
        <w:b/>
        <w:color w:val="000000"/>
        <w:spacing w:val="5"/>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BFCD8" w14:textId="42F8A437" w:rsidR="00DD204C" w:rsidRDefault="00DD204C" w:rsidP="00AE4A44">
    <w:pPr>
      <w:pStyle w:val="Encabezado"/>
      <w:tabs>
        <w:tab w:val="clear" w:pos="4419"/>
        <w:tab w:val="clear" w:pos="8838"/>
      </w:tabs>
      <w:rPr>
        <w:b/>
        <w:color w:val="000000"/>
        <w:spacing w:val="5"/>
      </w:rPr>
    </w:pPr>
    <w:r>
      <w:rPr>
        <w:noProof/>
        <w:lang w:val="en-US"/>
      </w:rPr>
      <w:drawing>
        <wp:anchor distT="0" distB="0" distL="114300" distR="114300" simplePos="0" relativeHeight="251666432" behindDoc="0" locked="0" layoutInCell="1" allowOverlap="1" wp14:anchorId="36EF9494" wp14:editId="08F86396">
          <wp:simplePos x="0" y="0"/>
          <wp:positionH relativeFrom="page">
            <wp:posOffset>3476625</wp:posOffset>
          </wp:positionH>
          <wp:positionV relativeFrom="topMargin">
            <wp:posOffset>304800</wp:posOffset>
          </wp:positionV>
          <wp:extent cx="649933" cy="676275"/>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423" cy="6778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03E5D"/>
    <w:multiLevelType w:val="hybridMultilevel"/>
    <w:tmpl w:val="26EA66C0"/>
    <w:lvl w:ilvl="0" w:tplc="2EA499D6">
      <w:start w:val="1"/>
      <w:numFmt w:val="decimal"/>
      <w:lvlText w:val="%1."/>
      <w:lvlJc w:val="left"/>
      <w:pPr>
        <w:ind w:left="-207" w:hanging="360"/>
      </w:pPr>
      <w:rPr>
        <w:rFonts w:hint="default"/>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1" w15:restartNumberingAfterBreak="0">
    <w:nsid w:val="1B276589"/>
    <w:multiLevelType w:val="hybridMultilevel"/>
    <w:tmpl w:val="E9B2FCFE"/>
    <w:lvl w:ilvl="0" w:tplc="080A000D">
      <w:start w:val="1"/>
      <w:numFmt w:val="bullet"/>
      <w:lvlText w:val=""/>
      <w:lvlJc w:val="left"/>
      <w:pPr>
        <w:ind w:left="1776" w:hanging="360"/>
      </w:pPr>
      <w:rPr>
        <w:rFonts w:ascii="Wingdings" w:hAnsi="Wingding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2" w15:restartNumberingAfterBreak="0">
    <w:nsid w:val="1BC7633C"/>
    <w:multiLevelType w:val="hybridMultilevel"/>
    <w:tmpl w:val="2BC0C7F6"/>
    <w:lvl w:ilvl="0" w:tplc="1A964CEC">
      <w:numFmt w:val="bullet"/>
      <w:lvlText w:val="-"/>
      <w:lvlJc w:val="left"/>
      <w:pPr>
        <w:ind w:left="153" w:hanging="360"/>
      </w:pPr>
      <w:rPr>
        <w:rFonts w:ascii="Calibri" w:eastAsiaTheme="minorHAnsi" w:hAnsi="Calibri" w:cstheme="minorBidi"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3" w15:restartNumberingAfterBreak="0">
    <w:nsid w:val="2228235E"/>
    <w:multiLevelType w:val="hybridMultilevel"/>
    <w:tmpl w:val="2A42B02A"/>
    <w:lvl w:ilvl="0" w:tplc="1A964CEC">
      <w:numFmt w:val="bullet"/>
      <w:lvlText w:val="-"/>
      <w:lvlJc w:val="left"/>
      <w:pPr>
        <w:ind w:left="153" w:hanging="360"/>
      </w:pPr>
      <w:rPr>
        <w:rFonts w:ascii="Calibri" w:eastAsiaTheme="minorHAnsi" w:hAnsi="Calibri" w:cstheme="minorBidi"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4" w15:restartNumberingAfterBreak="0">
    <w:nsid w:val="22A54B8B"/>
    <w:multiLevelType w:val="hybridMultilevel"/>
    <w:tmpl w:val="D07CB886"/>
    <w:lvl w:ilvl="0" w:tplc="080A000D">
      <w:start w:val="1"/>
      <w:numFmt w:val="bullet"/>
      <w:lvlText w:val=""/>
      <w:lvlJc w:val="left"/>
      <w:pPr>
        <w:ind w:left="1776" w:hanging="360"/>
      </w:pPr>
      <w:rPr>
        <w:rFonts w:ascii="Wingdings" w:hAnsi="Wingdings" w:hint="default"/>
      </w:rPr>
    </w:lvl>
    <w:lvl w:ilvl="1" w:tplc="080A0003">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5" w15:restartNumberingAfterBreak="0">
    <w:nsid w:val="260D69EC"/>
    <w:multiLevelType w:val="hybridMultilevel"/>
    <w:tmpl w:val="46DA711E"/>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A47891"/>
    <w:multiLevelType w:val="hybridMultilevel"/>
    <w:tmpl w:val="4CD4E80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A0B7FDA"/>
    <w:multiLevelType w:val="hybridMultilevel"/>
    <w:tmpl w:val="25FA3FF2"/>
    <w:lvl w:ilvl="0" w:tplc="1A964CEC">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1560FF"/>
    <w:multiLevelType w:val="hybridMultilevel"/>
    <w:tmpl w:val="C7EAD7F0"/>
    <w:lvl w:ilvl="0" w:tplc="78F0162E">
      <w:start w:val="2"/>
      <w:numFmt w:val="bullet"/>
      <w:lvlText w:val="•"/>
      <w:lvlJc w:val="left"/>
      <w:pPr>
        <w:ind w:left="0" w:hanging="51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895A99"/>
    <w:multiLevelType w:val="hybridMultilevel"/>
    <w:tmpl w:val="8CDEAE0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08F4B3B"/>
    <w:multiLevelType w:val="hybridMultilevel"/>
    <w:tmpl w:val="4F609E86"/>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A64197"/>
    <w:multiLevelType w:val="hybridMultilevel"/>
    <w:tmpl w:val="8CDEAE0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6DC7CFA"/>
    <w:multiLevelType w:val="hybridMultilevel"/>
    <w:tmpl w:val="BDB08A04"/>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A541103"/>
    <w:multiLevelType w:val="hybridMultilevel"/>
    <w:tmpl w:val="B8FAC8A8"/>
    <w:lvl w:ilvl="0" w:tplc="080A000D">
      <w:start w:val="1"/>
      <w:numFmt w:val="bullet"/>
      <w:lvlText w:val=""/>
      <w:lvlJc w:val="left"/>
      <w:pPr>
        <w:ind w:left="1776" w:hanging="360"/>
      </w:pPr>
      <w:rPr>
        <w:rFonts w:ascii="Wingdings" w:hAnsi="Wingding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4" w15:restartNumberingAfterBreak="0">
    <w:nsid w:val="624F384F"/>
    <w:multiLevelType w:val="hybridMultilevel"/>
    <w:tmpl w:val="C3AC319C"/>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4902D98"/>
    <w:multiLevelType w:val="hybridMultilevel"/>
    <w:tmpl w:val="926E08C8"/>
    <w:lvl w:ilvl="0" w:tplc="60EA4FC2">
      <w:start w:val="1"/>
      <w:numFmt w:val="bullet"/>
      <w:lvlText w:val=""/>
      <w:lvlJc w:val="left"/>
      <w:pPr>
        <w:ind w:left="720" w:hanging="360"/>
      </w:pPr>
      <w:rPr>
        <w:rFonts w:ascii="Wingdings" w:hAnsi="Wingdings"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D8C62B1"/>
    <w:multiLevelType w:val="hybridMultilevel"/>
    <w:tmpl w:val="F9668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2AD2DF2"/>
    <w:multiLevelType w:val="hybridMultilevel"/>
    <w:tmpl w:val="CE007318"/>
    <w:lvl w:ilvl="0" w:tplc="1A964CEC">
      <w:numFmt w:val="bullet"/>
      <w:lvlText w:val="-"/>
      <w:lvlJc w:val="left"/>
      <w:pPr>
        <w:ind w:left="436" w:hanging="360"/>
      </w:pPr>
      <w:rPr>
        <w:rFonts w:ascii="Calibri" w:eastAsiaTheme="minorHAnsi" w:hAnsi="Calibri" w:cstheme="minorBidi"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num w:numId="1">
    <w:abstractNumId w:val="16"/>
  </w:num>
  <w:num w:numId="2">
    <w:abstractNumId w:val="6"/>
  </w:num>
  <w:num w:numId="3">
    <w:abstractNumId w:val="7"/>
  </w:num>
  <w:num w:numId="4">
    <w:abstractNumId w:val="9"/>
  </w:num>
  <w:num w:numId="5">
    <w:abstractNumId w:val="5"/>
  </w:num>
  <w:num w:numId="6">
    <w:abstractNumId w:val="14"/>
  </w:num>
  <w:num w:numId="7">
    <w:abstractNumId w:val="12"/>
  </w:num>
  <w:num w:numId="8">
    <w:abstractNumId w:val="10"/>
  </w:num>
  <w:num w:numId="9">
    <w:abstractNumId w:val="1"/>
  </w:num>
  <w:num w:numId="10">
    <w:abstractNumId w:val="4"/>
  </w:num>
  <w:num w:numId="11">
    <w:abstractNumId w:val="15"/>
  </w:num>
  <w:num w:numId="12">
    <w:abstractNumId w:val="13"/>
  </w:num>
  <w:num w:numId="13">
    <w:abstractNumId w:val="8"/>
  </w:num>
  <w:num w:numId="14">
    <w:abstractNumId w:val="2"/>
  </w:num>
  <w:num w:numId="15">
    <w:abstractNumId w:val="17"/>
  </w:num>
  <w:num w:numId="16">
    <w:abstractNumId w:val="3"/>
  </w:num>
  <w:num w:numId="17">
    <w:abstractNumId w:val="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F19"/>
    <w:rsid w:val="00001B03"/>
    <w:rsid w:val="00002203"/>
    <w:rsid w:val="000027DD"/>
    <w:rsid w:val="0000298C"/>
    <w:rsid w:val="0000372B"/>
    <w:rsid w:val="00003AEF"/>
    <w:rsid w:val="00003C93"/>
    <w:rsid w:val="00003CBB"/>
    <w:rsid w:val="00004195"/>
    <w:rsid w:val="000049DA"/>
    <w:rsid w:val="000050C4"/>
    <w:rsid w:val="00006D00"/>
    <w:rsid w:val="00006F6A"/>
    <w:rsid w:val="000070BB"/>
    <w:rsid w:val="000070C9"/>
    <w:rsid w:val="0001035E"/>
    <w:rsid w:val="00010846"/>
    <w:rsid w:val="00011423"/>
    <w:rsid w:val="000118D1"/>
    <w:rsid w:val="00011C01"/>
    <w:rsid w:val="00012443"/>
    <w:rsid w:val="000127A5"/>
    <w:rsid w:val="00012ABF"/>
    <w:rsid w:val="00013EA0"/>
    <w:rsid w:val="00014206"/>
    <w:rsid w:val="00015596"/>
    <w:rsid w:val="000159F4"/>
    <w:rsid w:val="00016916"/>
    <w:rsid w:val="00016EDE"/>
    <w:rsid w:val="0001702D"/>
    <w:rsid w:val="00017B66"/>
    <w:rsid w:val="00017D17"/>
    <w:rsid w:val="00020441"/>
    <w:rsid w:val="00020956"/>
    <w:rsid w:val="00020C43"/>
    <w:rsid w:val="00020DB5"/>
    <w:rsid w:val="00020F52"/>
    <w:rsid w:val="00021026"/>
    <w:rsid w:val="00021679"/>
    <w:rsid w:val="00021BBB"/>
    <w:rsid w:val="00022681"/>
    <w:rsid w:val="00022E39"/>
    <w:rsid w:val="00023057"/>
    <w:rsid w:val="00023505"/>
    <w:rsid w:val="0002359E"/>
    <w:rsid w:val="000249EE"/>
    <w:rsid w:val="00024D1E"/>
    <w:rsid w:val="0002590C"/>
    <w:rsid w:val="0002601D"/>
    <w:rsid w:val="00026869"/>
    <w:rsid w:val="00026B86"/>
    <w:rsid w:val="00027E6F"/>
    <w:rsid w:val="00030103"/>
    <w:rsid w:val="0003067C"/>
    <w:rsid w:val="00030B06"/>
    <w:rsid w:val="0003222A"/>
    <w:rsid w:val="000322A1"/>
    <w:rsid w:val="00032500"/>
    <w:rsid w:val="0003292C"/>
    <w:rsid w:val="00033488"/>
    <w:rsid w:val="000342B0"/>
    <w:rsid w:val="00035670"/>
    <w:rsid w:val="00035EE8"/>
    <w:rsid w:val="00036715"/>
    <w:rsid w:val="0003751E"/>
    <w:rsid w:val="00040201"/>
    <w:rsid w:val="00041B3E"/>
    <w:rsid w:val="000424C9"/>
    <w:rsid w:val="00042785"/>
    <w:rsid w:val="00042C8A"/>
    <w:rsid w:val="0004339B"/>
    <w:rsid w:val="00043C5A"/>
    <w:rsid w:val="000440F7"/>
    <w:rsid w:val="00044463"/>
    <w:rsid w:val="00044690"/>
    <w:rsid w:val="00045030"/>
    <w:rsid w:val="00045067"/>
    <w:rsid w:val="0004518F"/>
    <w:rsid w:val="00046AC4"/>
    <w:rsid w:val="00046CFB"/>
    <w:rsid w:val="00047503"/>
    <w:rsid w:val="00047730"/>
    <w:rsid w:val="00050F92"/>
    <w:rsid w:val="000519C1"/>
    <w:rsid w:val="000521E7"/>
    <w:rsid w:val="0005228F"/>
    <w:rsid w:val="00052C66"/>
    <w:rsid w:val="000530BE"/>
    <w:rsid w:val="000531CE"/>
    <w:rsid w:val="00054031"/>
    <w:rsid w:val="00054607"/>
    <w:rsid w:val="00055421"/>
    <w:rsid w:val="000564EF"/>
    <w:rsid w:val="00056E64"/>
    <w:rsid w:val="0005704A"/>
    <w:rsid w:val="00057509"/>
    <w:rsid w:val="000608EF"/>
    <w:rsid w:val="00060A7C"/>
    <w:rsid w:val="00062CB2"/>
    <w:rsid w:val="00063BF8"/>
    <w:rsid w:val="00064046"/>
    <w:rsid w:val="00064DFC"/>
    <w:rsid w:val="00064FEC"/>
    <w:rsid w:val="00065454"/>
    <w:rsid w:val="00065723"/>
    <w:rsid w:val="00066726"/>
    <w:rsid w:val="00066C64"/>
    <w:rsid w:val="00066EEB"/>
    <w:rsid w:val="000701F8"/>
    <w:rsid w:val="0007059B"/>
    <w:rsid w:val="00070B65"/>
    <w:rsid w:val="00070E31"/>
    <w:rsid w:val="0007109E"/>
    <w:rsid w:val="000713B9"/>
    <w:rsid w:val="000719CE"/>
    <w:rsid w:val="00071B53"/>
    <w:rsid w:val="00071D28"/>
    <w:rsid w:val="00071EFB"/>
    <w:rsid w:val="00072D71"/>
    <w:rsid w:val="00072E02"/>
    <w:rsid w:val="0007308F"/>
    <w:rsid w:val="00073332"/>
    <w:rsid w:val="00073D18"/>
    <w:rsid w:val="000763B9"/>
    <w:rsid w:val="00076B00"/>
    <w:rsid w:val="00080602"/>
    <w:rsid w:val="00080C28"/>
    <w:rsid w:val="00081A2B"/>
    <w:rsid w:val="00083AAC"/>
    <w:rsid w:val="00085184"/>
    <w:rsid w:val="000868BE"/>
    <w:rsid w:val="00086A40"/>
    <w:rsid w:val="00087BF8"/>
    <w:rsid w:val="00090EE4"/>
    <w:rsid w:val="00092669"/>
    <w:rsid w:val="000927C5"/>
    <w:rsid w:val="000929DE"/>
    <w:rsid w:val="00092FE3"/>
    <w:rsid w:val="0009422B"/>
    <w:rsid w:val="00094416"/>
    <w:rsid w:val="0009579F"/>
    <w:rsid w:val="00095A46"/>
    <w:rsid w:val="000967AD"/>
    <w:rsid w:val="0009689B"/>
    <w:rsid w:val="00096F83"/>
    <w:rsid w:val="000A13D8"/>
    <w:rsid w:val="000A1BB6"/>
    <w:rsid w:val="000A3257"/>
    <w:rsid w:val="000A3B43"/>
    <w:rsid w:val="000A445B"/>
    <w:rsid w:val="000A4B0D"/>
    <w:rsid w:val="000A5736"/>
    <w:rsid w:val="000A5968"/>
    <w:rsid w:val="000A611D"/>
    <w:rsid w:val="000A665B"/>
    <w:rsid w:val="000A6849"/>
    <w:rsid w:val="000A7701"/>
    <w:rsid w:val="000A7C7C"/>
    <w:rsid w:val="000B0175"/>
    <w:rsid w:val="000B0BCE"/>
    <w:rsid w:val="000B1146"/>
    <w:rsid w:val="000B2524"/>
    <w:rsid w:val="000B308C"/>
    <w:rsid w:val="000B30A5"/>
    <w:rsid w:val="000B3AB5"/>
    <w:rsid w:val="000B400F"/>
    <w:rsid w:val="000B4540"/>
    <w:rsid w:val="000B4A80"/>
    <w:rsid w:val="000B4E43"/>
    <w:rsid w:val="000B52C6"/>
    <w:rsid w:val="000B544E"/>
    <w:rsid w:val="000B6335"/>
    <w:rsid w:val="000B6497"/>
    <w:rsid w:val="000B7486"/>
    <w:rsid w:val="000B79C2"/>
    <w:rsid w:val="000B7BF1"/>
    <w:rsid w:val="000B7ECA"/>
    <w:rsid w:val="000C0EB2"/>
    <w:rsid w:val="000C1614"/>
    <w:rsid w:val="000C1673"/>
    <w:rsid w:val="000C1AF8"/>
    <w:rsid w:val="000C23DA"/>
    <w:rsid w:val="000C2803"/>
    <w:rsid w:val="000C2A4A"/>
    <w:rsid w:val="000C310A"/>
    <w:rsid w:val="000C3369"/>
    <w:rsid w:val="000C3A9D"/>
    <w:rsid w:val="000C41E1"/>
    <w:rsid w:val="000C5133"/>
    <w:rsid w:val="000C6F33"/>
    <w:rsid w:val="000C71DC"/>
    <w:rsid w:val="000C7E0B"/>
    <w:rsid w:val="000D06D1"/>
    <w:rsid w:val="000D1A86"/>
    <w:rsid w:val="000D25AA"/>
    <w:rsid w:val="000D27E6"/>
    <w:rsid w:val="000D2C85"/>
    <w:rsid w:val="000D446A"/>
    <w:rsid w:val="000D4B06"/>
    <w:rsid w:val="000D4B66"/>
    <w:rsid w:val="000D55A2"/>
    <w:rsid w:val="000D57F4"/>
    <w:rsid w:val="000E0427"/>
    <w:rsid w:val="000E1CAC"/>
    <w:rsid w:val="000E239F"/>
    <w:rsid w:val="000E2BF1"/>
    <w:rsid w:val="000E308E"/>
    <w:rsid w:val="000E3239"/>
    <w:rsid w:val="000E3CF9"/>
    <w:rsid w:val="000E3EF1"/>
    <w:rsid w:val="000E5191"/>
    <w:rsid w:val="000E5E6F"/>
    <w:rsid w:val="000E5F8F"/>
    <w:rsid w:val="000E6550"/>
    <w:rsid w:val="000E69BF"/>
    <w:rsid w:val="000E6F79"/>
    <w:rsid w:val="000E70F7"/>
    <w:rsid w:val="000E738F"/>
    <w:rsid w:val="000E74C8"/>
    <w:rsid w:val="000E7BDF"/>
    <w:rsid w:val="000F0349"/>
    <w:rsid w:val="000F0696"/>
    <w:rsid w:val="000F0DC6"/>
    <w:rsid w:val="000F180B"/>
    <w:rsid w:val="000F1856"/>
    <w:rsid w:val="000F1F92"/>
    <w:rsid w:val="000F2244"/>
    <w:rsid w:val="000F236B"/>
    <w:rsid w:val="000F29FC"/>
    <w:rsid w:val="000F2D68"/>
    <w:rsid w:val="000F2DBD"/>
    <w:rsid w:val="000F2DDF"/>
    <w:rsid w:val="000F33C2"/>
    <w:rsid w:val="000F3439"/>
    <w:rsid w:val="000F4488"/>
    <w:rsid w:val="000F4859"/>
    <w:rsid w:val="000F4AE8"/>
    <w:rsid w:val="000F501F"/>
    <w:rsid w:val="000F67E2"/>
    <w:rsid w:val="000F7363"/>
    <w:rsid w:val="000F7C68"/>
    <w:rsid w:val="0010141B"/>
    <w:rsid w:val="00103953"/>
    <w:rsid w:val="00105041"/>
    <w:rsid w:val="00105A83"/>
    <w:rsid w:val="00105C4F"/>
    <w:rsid w:val="0010617D"/>
    <w:rsid w:val="00107703"/>
    <w:rsid w:val="00107DBD"/>
    <w:rsid w:val="0011020D"/>
    <w:rsid w:val="00110708"/>
    <w:rsid w:val="001107DD"/>
    <w:rsid w:val="001118FC"/>
    <w:rsid w:val="00112D7D"/>
    <w:rsid w:val="00112F73"/>
    <w:rsid w:val="00114030"/>
    <w:rsid w:val="00114E87"/>
    <w:rsid w:val="00116055"/>
    <w:rsid w:val="00116AF6"/>
    <w:rsid w:val="00116BFF"/>
    <w:rsid w:val="001178E5"/>
    <w:rsid w:val="00121033"/>
    <w:rsid w:val="00121528"/>
    <w:rsid w:val="00121E17"/>
    <w:rsid w:val="00122218"/>
    <w:rsid w:val="00122375"/>
    <w:rsid w:val="0012241C"/>
    <w:rsid w:val="00123BAE"/>
    <w:rsid w:val="00124DB4"/>
    <w:rsid w:val="001271FE"/>
    <w:rsid w:val="0013056B"/>
    <w:rsid w:val="00130616"/>
    <w:rsid w:val="00130E80"/>
    <w:rsid w:val="00131B04"/>
    <w:rsid w:val="00131D10"/>
    <w:rsid w:val="00131EE1"/>
    <w:rsid w:val="0013239A"/>
    <w:rsid w:val="001334B8"/>
    <w:rsid w:val="001336D4"/>
    <w:rsid w:val="001337AA"/>
    <w:rsid w:val="00134090"/>
    <w:rsid w:val="00134896"/>
    <w:rsid w:val="001357B5"/>
    <w:rsid w:val="00136069"/>
    <w:rsid w:val="00136310"/>
    <w:rsid w:val="00136D07"/>
    <w:rsid w:val="001405B9"/>
    <w:rsid w:val="00140F47"/>
    <w:rsid w:val="00141905"/>
    <w:rsid w:val="00144121"/>
    <w:rsid w:val="00144709"/>
    <w:rsid w:val="0014575B"/>
    <w:rsid w:val="0014594E"/>
    <w:rsid w:val="00146D00"/>
    <w:rsid w:val="00151814"/>
    <w:rsid w:val="00151B5D"/>
    <w:rsid w:val="00151B69"/>
    <w:rsid w:val="00151E12"/>
    <w:rsid w:val="00153A02"/>
    <w:rsid w:val="001548D7"/>
    <w:rsid w:val="001550C2"/>
    <w:rsid w:val="001564E0"/>
    <w:rsid w:val="00156D23"/>
    <w:rsid w:val="00157B43"/>
    <w:rsid w:val="0016040D"/>
    <w:rsid w:val="001604E6"/>
    <w:rsid w:val="001607AE"/>
    <w:rsid w:val="00160A2D"/>
    <w:rsid w:val="00160AB5"/>
    <w:rsid w:val="00160E01"/>
    <w:rsid w:val="001614E8"/>
    <w:rsid w:val="001619DE"/>
    <w:rsid w:val="001627EA"/>
    <w:rsid w:val="00162C06"/>
    <w:rsid w:val="00162C40"/>
    <w:rsid w:val="00162E72"/>
    <w:rsid w:val="00165B07"/>
    <w:rsid w:val="00165D09"/>
    <w:rsid w:val="00165EC3"/>
    <w:rsid w:val="001667C9"/>
    <w:rsid w:val="001672DD"/>
    <w:rsid w:val="00167567"/>
    <w:rsid w:val="001676B6"/>
    <w:rsid w:val="00167AA6"/>
    <w:rsid w:val="00167E45"/>
    <w:rsid w:val="00170036"/>
    <w:rsid w:val="001712D3"/>
    <w:rsid w:val="0017152B"/>
    <w:rsid w:val="00171B48"/>
    <w:rsid w:val="00171BDC"/>
    <w:rsid w:val="00171DED"/>
    <w:rsid w:val="00172D89"/>
    <w:rsid w:val="00173B49"/>
    <w:rsid w:val="00173D8F"/>
    <w:rsid w:val="00174175"/>
    <w:rsid w:val="00174D17"/>
    <w:rsid w:val="00174D6A"/>
    <w:rsid w:val="00174FA4"/>
    <w:rsid w:val="001761F2"/>
    <w:rsid w:val="001771A1"/>
    <w:rsid w:val="00182354"/>
    <w:rsid w:val="001829D4"/>
    <w:rsid w:val="001843E2"/>
    <w:rsid w:val="00184494"/>
    <w:rsid w:val="001852B5"/>
    <w:rsid w:val="00185787"/>
    <w:rsid w:val="001858E3"/>
    <w:rsid w:val="0018656A"/>
    <w:rsid w:val="00186C3B"/>
    <w:rsid w:val="00186C60"/>
    <w:rsid w:val="00187430"/>
    <w:rsid w:val="0019083E"/>
    <w:rsid w:val="00190BA1"/>
    <w:rsid w:val="00190E9D"/>
    <w:rsid w:val="00191270"/>
    <w:rsid w:val="00191614"/>
    <w:rsid w:val="00191B04"/>
    <w:rsid w:val="0019203C"/>
    <w:rsid w:val="001929A9"/>
    <w:rsid w:val="00192DEB"/>
    <w:rsid w:val="001930D2"/>
    <w:rsid w:val="00193D8C"/>
    <w:rsid w:val="00194928"/>
    <w:rsid w:val="00194BD0"/>
    <w:rsid w:val="0019581C"/>
    <w:rsid w:val="00195DAE"/>
    <w:rsid w:val="00195ED0"/>
    <w:rsid w:val="00195FE8"/>
    <w:rsid w:val="00196621"/>
    <w:rsid w:val="00196E5A"/>
    <w:rsid w:val="0019740A"/>
    <w:rsid w:val="00197808"/>
    <w:rsid w:val="00197D34"/>
    <w:rsid w:val="001A0430"/>
    <w:rsid w:val="001A24F1"/>
    <w:rsid w:val="001A284A"/>
    <w:rsid w:val="001A312F"/>
    <w:rsid w:val="001A392A"/>
    <w:rsid w:val="001A3AE5"/>
    <w:rsid w:val="001A3B5E"/>
    <w:rsid w:val="001A3E5B"/>
    <w:rsid w:val="001A540E"/>
    <w:rsid w:val="001A5596"/>
    <w:rsid w:val="001A5B53"/>
    <w:rsid w:val="001A5F90"/>
    <w:rsid w:val="001A612D"/>
    <w:rsid w:val="001A7A9B"/>
    <w:rsid w:val="001A7AE7"/>
    <w:rsid w:val="001B0877"/>
    <w:rsid w:val="001B1548"/>
    <w:rsid w:val="001B1F99"/>
    <w:rsid w:val="001B24AE"/>
    <w:rsid w:val="001B38F3"/>
    <w:rsid w:val="001B3DEF"/>
    <w:rsid w:val="001B4BAF"/>
    <w:rsid w:val="001B4C3F"/>
    <w:rsid w:val="001B5697"/>
    <w:rsid w:val="001B5E22"/>
    <w:rsid w:val="001B6715"/>
    <w:rsid w:val="001B779A"/>
    <w:rsid w:val="001B79EF"/>
    <w:rsid w:val="001B7F50"/>
    <w:rsid w:val="001C0E4E"/>
    <w:rsid w:val="001C18D4"/>
    <w:rsid w:val="001C1B3B"/>
    <w:rsid w:val="001C28D0"/>
    <w:rsid w:val="001C3879"/>
    <w:rsid w:val="001C6A35"/>
    <w:rsid w:val="001C73D7"/>
    <w:rsid w:val="001D053F"/>
    <w:rsid w:val="001D061D"/>
    <w:rsid w:val="001D0B70"/>
    <w:rsid w:val="001D0DC8"/>
    <w:rsid w:val="001D10E5"/>
    <w:rsid w:val="001D14D4"/>
    <w:rsid w:val="001D2057"/>
    <w:rsid w:val="001D20DC"/>
    <w:rsid w:val="001D2E2D"/>
    <w:rsid w:val="001D385C"/>
    <w:rsid w:val="001D497A"/>
    <w:rsid w:val="001D4C70"/>
    <w:rsid w:val="001D507F"/>
    <w:rsid w:val="001D513A"/>
    <w:rsid w:val="001D56B6"/>
    <w:rsid w:val="001D5AC0"/>
    <w:rsid w:val="001D5E68"/>
    <w:rsid w:val="001D6408"/>
    <w:rsid w:val="001D6DE0"/>
    <w:rsid w:val="001D6EBA"/>
    <w:rsid w:val="001D741C"/>
    <w:rsid w:val="001D7631"/>
    <w:rsid w:val="001D7D51"/>
    <w:rsid w:val="001E0CC3"/>
    <w:rsid w:val="001E11B1"/>
    <w:rsid w:val="001E1355"/>
    <w:rsid w:val="001E1A2F"/>
    <w:rsid w:val="001E1C02"/>
    <w:rsid w:val="001E1C84"/>
    <w:rsid w:val="001E2437"/>
    <w:rsid w:val="001E2552"/>
    <w:rsid w:val="001E2B49"/>
    <w:rsid w:val="001E31A9"/>
    <w:rsid w:val="001E4A68"/>
    <w:rsid w:val="001E56FC"/>
    <w:rsid w:val="001E579F"/>
    <w:rsid w:val="001E6CEA"/>
    <w:rsid w:val="001E701B"/>
    <w:rsid w:val="001E7168"/>
    <w:rsid w:val="001E7328"/>
    <w:rsid w:val="001E7653"/>
    <w:rsid w:val="001E7FD0"/>
    <w:rsid w:val="001F076A"/>
    <w:rsid w:val="001F0955"/>
    <w:rsid w:val="001F0AC8"/>
    <w:rsid w:val="001F185B"/>
    <w:rsid w:val="001F1D07"/>
    <w:rsid w:val="001F1F0F"/>
    <w:rsid w:val="001F3512"/>
    <w:rsid w:val="001F4D01"/>
    <w:rsid w:val="001F544C"/>
    <w:rsid w:val="001F5BAC"/>
    <w:rsid w:val="001F631E"/>
    <w:rsid w:val="001F7E95"/>
    <w:rsid w:val="002007FD"/>
    <w:rsid w:val="00200D7B"/>
    <w:rsid w:val="0020164C"/>
    <w:rsid w:val="00201D05"/>
    <w:rsid w:val="00202B0C"/>
    <w:rsid w:val="00202BB5"/>
    <w:rsid w:val="00203853"/>
    <w:rsid w:val="0020486E"/>
    <w:rsid w:val="00204FA8"/>
    <w:rsid w:val="00205EE6"/>
    <w:rsid w:val="00207309"/>
    <w:rsid w:val="00207A0E"/>
    <w:rsid w:val="00211FD9"/>
    <w:rsid w:val="00212401"/>
    <w:rsid w:val="002127C2"/>
    <w:rsid w:val="00212B1E"/>
    <w:rsid w:val="0021321C"/>
    <w:rsid w:val="0021455A"/>
    <w:rsid w:val="00215623"/>
    <w:rsid w:val="00215834"/>
    <w:rsid w:val="00216E09"/>
    <w:rsid w:val="00221B05"/>
    <w:rsid w:val="0022216C"/>
    <w:rsid w:val="00222241"/>
    <w:rsid w:val="0022228C"/>
    <w:rsid w:val="00222F3C"/>
    <w:rsid w:val="0022460C"/>
    <w:rsid w:val="00224AE8"/>
    <w:rsid w:val="00225E0D"/>
    <w:rsid w:val="00225E34"/>
    <w:rsid w:val="002263B1"/>
    <w:rsid w:val="00226D8A"/>
    <w:rsid w:val="00226E57"/>
    <w:rsid w:val="0022702D"/>
    <w:rsid w:val="00227487"/>
    <w:rsid w:val="00227748"/>
    <w:rsid w:val="00230269"/>
    <w:rsid w:val="00230AA7"/>
    <w:rsid w:val="00233615"/>
    <w:rsid w:val="00234219"/>
    <w:rsid w:val="0023549A"/>
    <w:rsid w:val="002356C7"/>
    <w:rsid w:val="00236A43"/>
    <w:rsid w:val="00236CC0"/>
    <w:rsid w:val="00237948"/>
    <w:rsid w:val="00240C50"/>
    <w:rsid w:val="0024110D"/>
    <w:rsid w:val="002414C6"/>
    <w:rsid w:val="00241597"/>
    <w:rsid w:val="002416AA"/>
    <w:rsid w:val="00242D77"/>
    <w:rsid w:val="00243171"/>
    <w:rsid w:val="00243855"/>
    <w:rsid w:val="00243A00"/>
    <w:rsid w:val="00244027"/>
    <w:rsid w:val="00244AEC"/>
    <w:rsid w:val="002464E2"/>
    <w:rsid w:val="002465DC"/>
    <w:rsid w:val="00246EF0"/>
    <w:rsid w:val="00247084"/>
    <w:rsid w:val="002473D6"/>
    <w:rsid w:val="00247E13"/>
    <w:rsid w:val="002506B7"/>
    <w:rsid w:val="002509C3"/>
    <w:rsid w:val="00251437"/>
    <w:rsid w:val="002515DE"/>
    <w:rsid w:val="002516DD"/>
    <w:rsid w:val="002524DD"/>
    <w:rsid w:val="00252C7A"/>
    <w:rsid w:val="00253FE7"/>
    <w:rsid w:val="00254381"/>
    <w:rsid w:val="002543E2"/>
    <w:rsid w:val="00256908"/>
    <w:rsid w:val="00257285"/>
    <w:rsid w:val="00257973"/>
    <w:rsid w:val="00257E98"/>
    <w:rsid w:val="00260005"/>
    <w:rsid w:val="002603A2"/>
    <w:rsid w:val="00260490"/>
    <w:rsid w:val="00260D14"/>
    <w:rsid w:val="002613E1"/>
    <w:rsid w:val="00262678"/>
    <w:rsid w:val="002632A5"/>
    <w:rsid w:val="00263712"/>
    <w:rsid w:val="00263756"/>
    <w:rsid w:val="00264EAB"/>
    <w:rsid w:val="002657B7"/>
    <w:rsid w:val="00266E1C"/>
    <w:rsid w:val="00266E54"/>
    <w:rsid w:val="00267027"/>
    <w:rsid w:val="00267490"/>
    <w:rsid w:val="0026787E"/>
    <w:rsid w:val="002711D4"/>
    <w:rsid w:val="0027224F"/>
    <w:rsid w:val="0027238B"/>
    <w:rsid w:val="0027336C"/>
    <w:rsid w:val="002734DE"/>
    <w:rsid w:val="002743CA"/>
    <w:rsid w:val="00274D91"/>
    <w:rsid w:val="00274FA8"/>
    <w:rsid w:val="002752E5"/>
    <w:rsid w:val="0027547C"/>
    <w:rsid w:val="00280016"/>
    <w:rsid w:val="00280B6C"/>
    <w:rsid w:val="00281099"/>
    <w:rsid w:val="002829DC"/>
    <w:rsid w:val="00282B7B"/>
    <w:rsid w:val="00283102"/>
    <w:rsid w:val="0028314C"/>
    <w:rsid w:val="002838AF"/>
    <w:rsid w:val="00283D6B"/>
    <w:rsid w:val="00283DBB"/>
    <w:rsid w:val="00283F02"/>
    <w:rsid w:val="00284CD0"/>
    <w:rsid w:val="00285AED"/>
    <w:rsid w:val="00285CF5"/>
    <w:rsid w:val="00285E02"/>
    <w:rsid w:val="00286958"/>
    <w:rsid w:val="00287B4A"/>
    <w:rsid w:val="00290825"/>
    <w:rsid w:val="00291177"/>
    <w:rsid w:val="00291613"/>
    <w:rsid w:val="00291A78"/>
    <w:rsid w:val="00291A95"/>
    <w:rsid w:val="00291E8E"/>
    <w:rsid w:val="002923AD"/>
    <w:rsid w:val="002931B0"/>
    <w:rsid w:val="00293957"/>
    <w:rsid w:val="002941B7"/>
    <w:rsid w:val="00295059"/>
    <w:rsid w:val="002950E5"/>
    <w:rsid w:val="00295FA8"/>
    <w:rsid w:val="002961D7"/>
    <w:rsid w:val="00296500"/>
    <w:rsid w:val="002A00C5"/>
    <w:rsid w:val="002A018A"/>
    <w:rsid w:val="002A049C"/>
    <w:rsid w:val="002A157F"/>
    <w:rsid w:val="002A15C6"/>
    <w:rsid w:val="002A1CD1"/>
    <w:rsid w:val="002A1F50"/>
    <w:rsid w:val="002A4495"/>
    <w:rsid w:val="002A46D7"/>
    <w:rsid w:val="002A4DF9"/>
    <w:rsid w:val="002A4FF8"/>
    <w:rsid w:val="002A5C93"/>
    <w:rsid w:val="002A750D"/>
    <w:rsid w:val="002A7813"/>
    <w:rsid w:val="002A7FD6"/>
    <w:rsid w:val="002B07AF"/>
    <w:rsid w:val="002B0A3D"/>
    <w:rsid w:val="002B0A58"/>
    <w:rsid w:val="002B0E2F"/>
    <w:rsid w:val="002B1EB8"/>
    <w:rsid w:val="002B2080"/>
    <w:rsid w:val="002B4004"/>
    <w:rsid w:val="002B481A"/>
    <w:rsid w:val="002B5695"/>
    <w:rsid w:val="002B6541"/>
    <w:rsid w:val="002B67B5"/>
    <w:rsid w:val="002B6CE5"/>
    <w:rsid w:val="002B6D23"/>
    <w:rsid w:val="002B6D54"/>
    <w:rsid w:val="002B78F2"/>
    <w:rsid w:val="002B7F8D"/>
    <w:rsid w:val="002C0F7B"/>
    <w:rsid w:val="002C135C"/>
    <w:rsid w:val="002C1473"/>
    <w:rsid w:val="002C1CC3"/>
    <w:rsid w:val="002C1FD8"/>
    <w:rsid w:val="002C2515"/>
    <w:rsid w:val="002C28DA"/>
    <w:rsid w:val="002C2CFE"/>
    <w:rsid w:val="002C31B0"/>
    <w:rsid w:val="002C37DE"/>
    <w:rsid w:val="002C457E"/>
    <w:rsid w:val="002C460B"/>
    <w:rsid w:val="002C4667"/>
    <w:rsid w:val="002C48F5"/>
    <w:rsid w:val="002C4F07"/>
    <w:rsid w:val="002C4F2B"/>
    <w:rsid w:val="002C6E4C"/>
    <w:rsid w:val="002C705B"/>
    <w:rsid w:val="002C76F1"/>
    <w:rsid w:val="002C7B52"/>
    <w:rsid w:val="002C7CC8"/>
    <w:rsid w:val="002D1EC6"/>
    <w:rsid w:val="002D2231"/>
    <w:rsid w:val="002D2897"/>
    <w:rsid w:val="002D3D61"/>
    <w:rsid w:val="002D4331"/>
    <w:rsid w:val="002D6D9E"/>
    <w:rsid w:val="002D6FBB"/>
    <w:rsid w:val="002D7164"/>
    <w:rsid w:val="002E018E"/>
    <w:rsid w:val="002E09AD"/>
    <w:rsid w:val="002E0DF1"/>
    <w:rsid w:val="002E1F06"/>
    <w:rsid w:val="002E2747"/>
    <w:rsid w:val="002E339E"/>
    <w:rsid w:val="002E420A"/>
    <w:rsid w:val="002E4AD1"/>
    <w:rsid w:val="002E5701"/>
    <w:rsid w:val="002E5DC0"/>
    <w:rsid w:val="002E6C78"/>
    <w:rsid w:val="002E731C"/>
    <w:rsid w:val="002E7F1D"/>
    <w:rsid w:val="002F1502"/>
    <w:rsid w:val="002F195C"/>
    <w:rsid w:val="002F1BAD"/>
    <w:rsid w:val="002F29D9"/>
    <w:rsid w:val="002F2F9B"/>
    <w:rsid w:val="002F38A6"/>
    <w:rsid w:val="002F40FA"/>
    <w:rsid w:val="002F4572"/>
    <w:rsid w:val="002F4739"/>
    <w:rsid w:val="002F4C41"/>
    <w:rsid w:val="002F522A"/>
    <w:rsid w:val="002F55F0"/>
    <w:rsid w:val="002F5DB4"/>
    <w:rsid w:val="002F5F01"/>
    <w:rsid w:val="002F6A69"/>
    <w:rsid w:val="002F6CCA"/>
    <w:rsid w:val="002F6FAC"/>
    <w:rsid w:val="003008A5"/>
    <w:rsid w:val="00300973"/>
    <w:rsid w:val="00300FD2"/>
    <w:rsid w:val="003018F9"/>
    <w:rsid w:val="00301DF0"/>
    <w:rsid w:val="003021EB"/>
    <w:rsid w:val="00302B3C"/>
    <w:rsid w:val="0030324F"/>
    <w:rsid w:val="003039F7"/>
    <w:rsid w:val="003052FE"/>
    <w:rsid w:val="003058AC"/>
    <w:rsid w:val="00306EFA"/>
    <w:rsid w:val="0031146E"/>
    <w:rsid w:val="003121D9"/>
    <w:rsid w:val="0031273C"/>
    <w:rsid w:val="00312F9F"/>
    <w:rsid w:val="00313095"/>
    <w:rsid w:val="003130B9"/>
    <w:rsid w:val="0031373C"/>
    <w:rsid w:val="0031381E"/>
    <w:rsid w:val="00313A71"/>
    <w:rsid w:val="00313ABA"/>
    <w:rsid w:val="00314B06"/>
    <w:rsid w:val="00314D09"/>
    <w:rsid w:val="00314F7B"/>
    <w:rsid w:val="0031509C"/>
    <w:rsid w:val="003154A9"/>
    <w:rsid w:val="00315B3F"/>
    <w:rsid w:val="00316685"/>
    <w:rsid w:val="00316971"/>
    <w:rsid w:val="00316A76"/>
    <w:rsid w:val="00316F6D"/>
    <w:rsid w:val="003179C4"/>
    <w:rsid w:val="00317A66"/>
    <w:rsid w:val="00317D73"/>
    <w:rsid w:val="00320F8C"/>
    <w:rsid w:val="003222CD"/>
    <w:rsid w:val="003223EF"/>
    <w:rsid w:val="00322B38"/>
    <w:rsid w:val="00323074"/>
    <w:rsid w:val="003244F2"/>
    <w:rsid w:val="003256A5"/>
    <w:rsid w:val="00325F50"/>
    <w:rsid w:val="00325FEE"/>
    <w:rsid w:val="00326577"/>
    <w:rsid w:val="003266CF"/>
    <w:rsid w:val="00326A66"/>
    <w:rsid w:val="00327334"/>
    <w:rsid w:val="00327388"/>
    <w:rsid w:val="00327AF7"/>
    <w:rsid w:val="00327DBE"/>
    <w:rsid w:val="00330166"/>
    <w:rsid w:val="00331006"/>
    <w:rsid w:val="0033101B"/>
    <w:rsid w:val="00332C5A"/>
    <w:rsid w:val="00334FAC"/>
    <w:rsid w:val="00335C57"/>
    <w:rsid w:val="00336826"/>
    <w:rsid w:val="00336BD4"/>
    <w:rsid w:val="003373A5"/>
    <w:rsid w:val="00337DC8"/>
    <w:rsid w:val="00340FC5"/>
    <w:rsid w:val="00341FF7"/>
    <w:rsid w:val="0034333A"/>
    <w:rsid w:val="00344585"/>
    <w:rsid w:val="00345182"/>
    <w:rsid w:val="0034521D"/>
    <w:rsid w:val="0034728C"/>
    <w:rsid w:val="003474D7"/>
    <w:rsid w:val="003476C0"/>
    <w:rsid w:val="0035043B"/>
    <w:rsid w:val="003517BE"/>
    <w:rsid w:val="00351E0D"/>
    <w:rsid w:val="0035382C"/>
    <w:rsid w:val="00354A95"/>
    <w:rsid w:val="003552AF"/>
    <w:rsid w:val="003559A0"/>
    <w:rsid w:val="00356160"/>
    <w:rsid w:val="00356B54"/>
    <w:rsid w:val="00357A9C"/>
    <w:rsid w:val="00357DD7"/>
    <w:rsid w:val="00360178"/>
    <w:rsid w:val="003601C1"/>
    <w:rsid w:val="003618BE"/>
    <w:rsid w:val="003618DD"/>
    <w:rsid w:val="00361CFC"/>
    <w:rsid w:val="003622BF"/>
    <w:rsid w:val="00362567"/>
    <w:rsid w:val="00363BFC"/>
    <w:rsid w:val="0036483E"/>
    <w:rsid w:val="0036526E"/>
    <w:rsid w:val="0036574D"/>
    <w:rsid w:val="00365964"/>
    <w:rsid w:val="00365999"/>
    <w:rsid w:val="00365A15"/>
    <w:rsid w:val="00370792"/>
    <w:rsid w:val="00370B78"/>
    <w:rsid w:val="003711CA"/>
    <w:rsid w:val="00371520"/>
    <w:rsid w:val="00371804"/>
    <w:rsid w:val="00371DCE"/>
    <w:rsid w:val="00372711"/>
    <w:rsid w:val="00372D26"/>
    <w:rsid w:val="00372DD0"/>
    <w:rsid w:val="00373071"/>
    <w:rsid w:val="00373B06"/>
    <w:rsid w:val="00373B32"/>
    <w:rsid w:val="00374A51"/>
    <w:rsid w:val="00375731"/>
    <w:rsid w:val="00376CAD"/>
    <w:rsid w:val="003807B1"/>
    <w:rsid w:val="00380C1F"/>
    <w:rsid w:val="003819A1"/>
    <w:rsid w:val="00381B3A"/>
    <w:rsid w:val="00381C79"/>
    <w:rsid w:val="00382526"/>
    <w:rsid w:val="00383EFA"/>
    <w:rsid w:val="00384BCD"/>
    <w:rsid w:val="00384C0A"/>
    <w:rsid w:val="00384D4B"/>
    <w:rsid w:val="00384ED1"/>
    <w:rsid w:val="00385966"/>
    <w:rsid w:val="003859A3"/>
    <w:rsid w:val="003860D1"/>
    <w:rsid w:val="00386C5B"/>
    <w:rsid w:val="00386F1F"/>
    <w:rsid w:val="0038739B"/>
    <w:rsid w:val="00390EF3"/>
    <w:rsid w:val="00391FB4"/>
    <w:rsid w:val="003927EB"/>
    <w:rsid w:val="0039289E"/>
    <w:rsid w:val="00392E01"/>
    <w:rsid w:val="00393632"/>
    <w:rsid w:val="00393798"/>
    <w:rsid w:val="003937FB"/>
    <w:rsid w:val="00393B6E"/>
    <w:rsid w:val="0039510E"/>
    <w:rsid w:val="0039528C"/>
    <w:rsid w:val="00395DCF"/>
    <w:rsid w:val="0039654E"/>
    <w:rsid w:val="0039704A"/>
    <w:rsid w:val="003A10FE"/>
    <w:rsid w:val="003A16E5"/>
    <w:rsid w:val="003A1D81"/>
    <w:rsid w:val="003A44E3"/>
    <w:rsid w:val="003A4744"/>
    <w:rsid w:val="003A4FA3"/>
    <w:rsid w:val="003A553A"/>
    <w:rsid w:val="003A57A6"/>
    <w:rsid w:val="003A5A67"/>
    <w:rsid w:val="003A65A3"/>
    <w:rsid w:val="003A6670"/>
    <w:rsid w:val="003A7BA4"/>
    <w:rsid w:val="003B0D3F"/>
    <w:rsid w:val="003B1634"/>
    <w:rsid w:val="003B2A8C"/>
    <w:rsid w:val="003B2EA5"/>
    <w:rsid w:val="003B3367"/>
    <w:rsid w:val="003B352E"/>
    <w:rsid w:val="003B37CA"/>
    <w:rsid w:val="003B42B4"/>
    <w:rsid w:val="003B4ADD"/>
    <w:rsid w:val="003B4B0F"/>
    <w:rsid w:val="003B4FFD"/>
    <w:rsid w:val="003B5328"/>
    <w:rsid w:val="003B5500"/>
    <w:rsid w:val="003B5DC0"/>
    <w:rsid w:val="003B7310"/>
    <w:rsid w:val="003B7494"/>
    <w:rsid w:val="003B7AB2"/>
    <w:rsid w:val="003C020C"/>
    <w:rsid w:val="003C103D"/>
    <w:rsid w:val="003C1329"/>
    <w:rsid w:val="003C29EB"/>
    <w:rsid w:val="003C39A6"/>
    <w:rsid w:val="003C3C26"/>
    <w:rsid w:val="003C50AC"/>
    <w:rsid w:val="003C5B46"/>
    <w:rsid w:val="003C65EB"/>
    <w:rsid w:val="003C667D"/>
    <w:rsid w:val="003C669B"/>
    <w:rsid w:val="003C6D4C"/>
    <w:rsid w:val="003C6F38"/>
    <w:rsid w:val="003C78D9"/>
    <w:rsid w:val="003C7B11"/>
    <w:rsid w:val="003D0CDF"/>
    <w:rsid w:val="003D0F1C"/>
    <w:rsid w:val="003D19F2"/>
    <w:rsid w:val="003D1F58"/>
    <w:rsid w:val="003D25AF"/>
    <w:rsid w:val="003D3157"/>
    <w:rsid w:val="003D3377"/>
    <w:rsid w:val="003D3BE8"/>
    <w:rsid w:val="003D5283"/>
    <w:rsid w:val="003D547A"/>
    <w:rsid w:val="003D6449"/>
    <w:rsid w:val="003D6672"/>
    <w:rsid w:val="003D7372"/>
    <w:rsid w:val="003E16C2"/>
    <w:rsid w:val="003E2713"/>
    <w:rsid w:val="003E2A83"/>
    <w:rsid w:val="003E35AD"/>
    <w:rsid w:val="003E366F"/>
    <w:rsid w:val="003E3C38"/>
    <w:rsid w:val="003E3EFC"/>
    <w:rsid w:val="003E48FC"/>
    <w:rsid w:val="003E4B31"/>
    <w:rsid w:val="003E4C85"/>
    <w:rsid w:val="003E4DFD"/>
    <w:rsid w:val="003E50BD"/>
    <w:rsid w:val="003E623E"/>
    <w:rsid w:val="003E7310"/>
    <w:rsid w:val="003F015F"/>
    <w:rsid w:val="003F208F"/>
    <w:rsid w:val="003F2621"/>
    <w:rsid w:val="003F2693"/>
    <w:rsid w:val="003F2B14"/>
    <w:rsid w:val="003F2E1A"/>
    <w:rsid w:val="003F2E35"/>
    <w:rsid w:val="003F30D0"/>
    <w:rsid w:val="003F3482"/>
    <w:rsid w:val="003F3B64"/>
    <w:rsid w:val="003F4D32"/>
    <w:rsid w:val="003F529A"/>
    <w:rsid w:val="003F7074"/>
    <w:rsid w:val="003F73B3"/>
    <w:rsid w:val="00400939"/>
    <w:rsid w:val="00401343"/>
    <w:rsid w:val="00401500"/>
    <w:rsid w:val="00401610"/>
    <w:rsid w:val="0040183C"/>
    <w:rsid w:val="0040195C"/>
    <w:rsid w:val="004021AA"/>
    <w:rsid w:val="00404626"/>
    <w:rsid w:val="00404701"/>
    <w:rsid w:val="00406821"/>
    <w:rsid w:val="00407A3C"/>
    <w:rsid w:val="00407BA9"/>
    <w:rsid w:val="004105B9"/>
    <w:rsid w:val="004107EE"/>
    <w:rsid w:val="00412A13"/>
    <w:rsid w:val="00413030"/>
    <w:rsid w:val="0041340E"/>
    <w:rsid w:val="0041372E"/>
    <w:rsid w:val="00413DD5"/>
    <w:rsid w:val="00413ED3"/>
    <w:rsid w:val="00414D33"/>
    <w:rsid w:val="0041503D"/>
    <w:rsid w:val="0041529D"/>
    <w:rsid w:val="00416125"/>
    <w:rsid w:val="00416B44"/>
    <w:rsid w:val="00417D43"/>
    <w:rsid w:val="00417E51"/>
    <w:rsid w:val="00421BE3"/>
    <w:rsid w:val="004224AA"/>
    <w:rsid w:val="00422CCA"/>
    <w:rsid w:val="00422FC5"/>
    <w:rsid w:val="00423D61"/>
    <w:rsid w:val="004242CC"/>
    <w:rsid w:val="00424847"/>
    <w:rsid w:val="00424BD7"/>
    <w:rsid w:val="00424D04"/>
    <w:rsid w:val="004266D0"/>
    <w:rsid w:val="00426CD3"/>
    <w:rsid w:val="00426EED"/>
    <w:rsid w:val="00427401"/>
    <w:rsid w:val="0042745D"/>
    <w:rsid w:val="0043071C"/>
    <w:rsid w:val="0043141F"/>
    <w:rsid w:val="00431B6F"/>
    <w:rsid w:val="00431C06"/>
    <w:rsid w:val="00431E2A"/>
    <w:rsid w:val="00431F8B"/>
    <w:rsid w:val="004322D7"/>
    <w:rsid w:val="004323C1"/>
    <w:rsid w:val="004332B0"/>
    <w:rsid w:val="00433BAF"/>
    <w:rsid w:val="00433F3B"/>
    <w:rsid w:val="00434A37"/>
    <w:rsid w:val="004357B0"/>
    <w:rsid w:val="00436C66"/>
    <w:rsid w:val="004377F1"/>
    <w:rsid w:val="00437B7C"/>
    <w:rsid w:val="00440289"/>
    <w:rsid w:val="004405D1"/>
    <w:rsid w:val="0044064F"/>
    <w:rsid w:val="00440C6F"/>
    <w:rsid w:val="00441D36"/>
    <w:rsid w:val="00441EC8"/>
    <w:rsid w:val="00442842"/>
    <w:rsid w:val="00442B29"/>
    <w:rsid w:val="0044309F"/>
    <w:rsid w:val="00443703"/>
    <w:rsid w:val="00444186"/>
    <w:rsid w:val="00444619"/>
    <w:rsid w:val="00445B3D"/>
    <w:rsid w:val="004463E6"/>
    <w:rsid w:val="00446712"/>
    <w:rsid w:val="0044699D"/>
    <w:rsid w:val="004469DC"/>
    <w:rsid w:val="004476B3"/>
    <w:rsid w:val="00451181"/>
    <w:rsid w:val="0045283E"/>
    <w:rsid w:val="00452A39"/>
    <w:rsid w:val="004549C7"/>
    <w:rsid w:val="00454A26"/>
    <w:rsid w:val="00454BD7"/>
    <w:rsid w:val="00454F2F"/>
    <w:rsid w:val="00455F2C"/>
    <w:rsid w:val="0045640B"/>
    <w:rsid w:val="004607BD"/>
    <w:rsid w:val="00460C70"/>
    <w:rsid w:val="00460DBA"/>
    <w:rsid w:val="00461245"/>
    <w:rsid w:val="00461EA7"/>
    <w:rsid w:val="004621F0"/>
    <w:rsid w:val="00463121"/>
    <w:rsid w:val="00464391"/>
    <w:rsid w:val="00464630"/>
    <w:rsid w:val="00465533"/>
    <w:rsid w:val="00466EC2"/>
    <w:rsid w:val="00467724"/>
    <w:rsid w:val="00470179"/>
    <w:rsid w:val="00470864"/>
    <w:rsid w:val="00471823"/>
    <w:rsid w:val="00472CF0"/>
    <w:rsid w:val="00472DDE"/>
    <w:rsid w:val="00473064"/>
    <w:rsid w:val="00473C75"/>
    <w:rsid w:val="00474333"/>
    <w:rsid w:val="004754B8"/>
    <w:rsid w:val="00475EB5"/>
    <w:rsid w:val="00476EC4"/>
    <w:rsid w:val="00477394"/>
    <w:rsid w:val="00477C83"/>
    <w:rsid w:val="0048007A"/>
    <w:rsid w:val="00480ED8"/>
    <w:rsid w:val="00482D47"/>
    <w:rsid w:val="00483BBC"/>
    <w:rsid w:val="00484B5D"/>
    <w:rsid w:val="004856E3"/>
    <w:rsid w:val="004857C1"/>
    <w:rsid w:val="00485ED3"/>
    <w:rsid w:val="00485F1E"/>
    <w:rsid w:val="00485F1F"/>
    <w:rsid w:val="0048618D"/>
    <w:rsid w:val="004866B0"/>
    <w:rsid w:val="004869A4"/>
    <w:rsid w:val="00486C45"/>
    <w:rsid w:val="00491D93"/>
    <w:rsid w:val="00492C74"/>
    <w:rsid w:val="00492CEC"/>
    <w:rsid w:val="00494B97"/>
    <w:rsid w:val="00495278"/>
    <w:rsid w:val="00495EA0"/>
    <w:rsid w:val="004961C5"/>
    <w:rsid w:val="00497750"/>
    <w:rsid w:val="00497BA6"/>
    <w:rsid w:val="00497C33"/>
    <w:rsid w:val="00497F00"/>
    <w:rsid w:val="004A170A"/>
    <w:rsid w:val="004A19B9"/>
    <w:rsid w:val="004A1B37"/>
    <w:rsid w:val="004A1DF7"/>
    <w:rsid w:val="004A53AE"/>
    <w:rsid w:val="004A5825"/>
    <w:rsid w:val="004A5CF4"/>
    <w:rsid w:val="004A5EF4"/>
    <w:rsid w:val="004A651C"/>
    <w:rsid w:val="004A663D"/>
    <w:rsid w:val="004A68B2"/>
    <w:rsid w:val="004A6C2F"/>
    <w:rsid w:val="004A6EDE"/>
    <w:rsid w:val="004A7382"/>
    <w:rsid w:val="004A7409"/>
    <w:rsid w:val="004A7891"/>
    <w:rsid w:val="004B04E6"/>
    <w:rsid w:val="004B165D"/>
    <w:rsid w:val="004B1C28"/>
    <w:rsid w:val="004B1ECB"/>
    <w:rsid w:val="004B254F"/>
    <w:rsid w:val="004B296F"/>
    <w:rsid w:val="004B2D83"/>
    <w:rsid w:val="004B308F"/>
    <w:rsid w:val="004B414C"/>
    <w:rsid w:val="004B4336"/>
    <w:rsid w:val="004B4F10"/>
    <w:rsid w:val="004B5524"/>
    <w:rsid w:val="004B62C6"/>
    <w:rsid w:val="004B6C8D"/>
    <w:rsid w:val="004B6F10"/>
    <w:rsid w:val="004B7B53"/>
    <w:rsid w:val="004C093A"/>
    <w:rsid w:val="004C2B22"/>
    <w:rsid w:val="004C2D27"/>
    <w:rsid w:val="004C3128"/>
    <w:rsid w:val="004C318C"/>
    <w:rsid w:val="004C4203"/>
    <w:rsid w:val="004C4D05"/>
    <w:rsid w:val="004C517F"/>
    <w:rsid w:val="004C5568"/>
    <w:rsid w:val="004C57DD"/>
    <w:rsid w:val="004C5D34"/>
    <w:rsid w:val="004C6752"/>
    <w:rsid w:val="004C6A8F"/>
    <w:rsid w:val="004C6E49"/>
    <w:rsid w:val="004C6FBF"/>
    <w:rsid w:val="004C7CB2"/>
    <w:rsid w:val="004C7DEA"/>
    <w:rsid w:val="004C7E36"/>
    <w:rsid w:val="004D00EA"/>
    <w:rsid w:val="004D01B2"/>
    <w:rsid w:val="004D16E3"/>
    <w:rsid w:val="004D2242"/>
    <w:rsid w:val="004D2B82"/>
    <w:rsid w:val="004D4B8B"/>
    <w:rsid w:val="004D5E6F"/>
    <w:rsid w:val="004D6264"/>
    <w:rsid w:val="004D7E2B"/>
    <w:rsid w:val="004D7F37"/>
    <w:rsid w:val="004E1185"/>
    <w:rsid w:val="004E1B4E"/>
    <w:rsid w:val="004E2184"/>
    <w:rsid w:val="004E2589"/>
    <w:rsid w:val="004E2CAD"/>
    <w:rsid w:val="004E3B2C"/>
    <w:rsid w:val="004E45CE"/>
    <w:rsid w:val="004E5DB1"/>
    <w:rsid w:val="004E65B5"/>
    <w:rsid w:val="004E6D15"/>
    <w:rsid w:val="004E6FA5"/>
    <w:rsid w:val="004E7708"/>
    <w:rsid w:val="004F0020"/>
    <w:rsid w:val="004F1A01"/>
    <w:rsid w:val="004F23C1"/>
    <w:rsid w:val="004F2A41"/>
    <w:rsid w:val="004F478A"/>
    <w:rsid w:val="004F5125"/>
    <w:rsid w:val="004F5FF4"/>
    <w:rsid w:val="004F6D07"/>
    <w:rsid w:val="004F75A7"/>
    <w:rsid w:val="004F7C08"/>
    <w:rsid w:val="00501318"/>
    <w:rsid w:val="005015E2"/>
    <w:rsid w:val="00501677"/>
    <w:rsid w:val="00502021"/>
    <w:rsid w:val="00502E0F"/>
    <w:rsid w:val="00503769"/>
    <w:rsid w:val="005038F1"/>
    <w:rsid w:val="005046D1"/>
    <w:rsid w:val="00504FDD"/>
    <w:rsid w:val="005050C6"/>
    <w:rsid w:val="00505399"/>
    <w:rsid w:val="00505853"/>
    <w:rsid w:val="00505DFE"/>
    <w:rsid w:val="0050681B"/>
    <w:rsid w:val="00506A94"/>
    <w:rsid w:val="00506E90"/>
    <w:rsid w:val="00512155"/>
    <w:rsid w:val="00513194"/>
    <w:rsid w:val="00513880"/>
    <w:rsid w:val="005138BB"/>
    <w:rsid w:val="00513AA3"/>
    <w:rsid w:val="00513EC6"/>
    <w:rsid w:val="00514274"/>
    <w:rsid w:val="005142C5"/>
    <w:rsid w:val="0051460C"/>
    <w:rsid w:val="00514AEC"/>
    <w:rsid w:val="00515088"/>
    <w:rsid w:val="00515503"/>
    <w:rsid w:val="0051683D"/>
    <w:rsid w:val="0051797D"/>
    <w:rsid w:val="00517A80"/>
    <w:rsid w:val="005200E3"/>
    <w:rsid w:val="005204AC"/>
    <w:rsid w:val="00521E03"/>
    <w:rsid w:val="005229E2"/>
    <w:rsid w:val="00523160"/>
    <w:rsid w:val="00523383"/>
    <w:rsid w:val="00523BDF"/>
    <w:rsid w:val="00523D18"/>
    <w:rsid w:val="005255DB"/>
    <w:rsid w:val="00525747"/>
    <w:rsid w:val="00525CDE"/>
    <w:rsid w:val="0052652A"/>
    <w:rsid w:val="00526AA6"/>
    <w:rsid w:val="00526CE0"/>
    <w:rsid w:val="005275E7"/>
    <w:rsid w:val="00530704"/>
    <w:rsid w:val="00530B35"/>
    <w:rsid w:val="00532B3F"/>
    <w:rsid w:val="0053302F"/>
    <w:rsid w:val="005330E3"/>
    <w:rsid w:val="00534516"/>
    <w:rsid w:val="00534968"/>
    <w:rsid w:val="00534A19"/>
    <w:rsid w:val="00534C44"/>
    <w:rsid w:val="00535837"/>
    <w:rsid w:val="00535FDF"/>
    <w:rsid w:val="0053667D"/>
    <w:rsid w:val="00541505"/>
    <w:rsid w:val="005417AF"/>
    <w:rsid w:val="00542551"/>
    <w:rsid w:val="00542D60"/>
    <w:rsid w:val="00542F64"/>
    <w:rsid w:val="0054338D"/>
    <w:rsid w:val="00543B9E"/>
    <w:rsid w:val="00543F81"/>
    <w:rsid w:val="0054422B"/>
    <w:rsid w:val="00544787"/>
    <w:rsid w:val="00544E8C"/>
    <w:rsid w:val="005451E8"/>
    <w:rsid w:val="005464D0"/>
    <w:rsid w:val="0054711B"/>
    <w:rsid w:val="00550558"/>
    <w:rsid w:val="00550AE1"/>
    <w:rsid w:val="00550C08"/>
    <w:rsid w:val="00550C94"/>
    <w:rsid w:val="0055107D"/>
    <w:rsid w:val="005511E4"/>
    <w:rsid w:val="00552038"/>
    <w:rsid w:val="005521DF"/>
    <w:rsid w:val="00553683"/>
    <w:rsid w:val="00554E78"/>
    <w:rsid w:val="005550F4"/>
    <w:rsid w:val="00556631"/>
    <w:rsid w:val="00557932"/>
    <w:rsid w:val="00557B83"/>
    <w:rsid w:val="00557D9A"/>
    <w:rsid w:val="005604BD"/>
    <w:rsid w:val="00560A4D"/>
    <w:rsid w:val="00560C18"/>
    <w:rsid w:val="00561B9D"/>
    <w:rsid w:val="00562B52"/>
    <w:rsid w:val="005636F3"/>
    <w:rsid w:val="005637D3"/>
    <w:rsid w:val="00563B9B"/>
    <w:rsid w:val="00563CD2"/>
    <w:rsid w:val="00563D63"/>
    <w:rsid w:val="005647B8"/>
    <w:rsid w:val="00564948"/>
    <w:rsid w:val="00564E60"/>
    <w:rsid w:val="00565E9B"/>
    <w:rsid w:val="00565FBD"/>
    <w:rsid w:val="00567F7A"/>
    <w:rsid w:val="00567F9F"/>
    <w:rsid w:val="005707D0"/>
    <w:rsid w:val="0057095B"/>
    <w:rsid w:val="005709DF"/>
    <w:rsid w:val="00570A32"/>
    <w:rsid w:val="005717C1"/>
    <w:rsid w:val="00571F1E"/>
    <w:rsid w:val="00572F44"/>
    <w:rsid w:val="00573963"/>
    <w:rsid w:val="00573A96"/>
    <w:rsid w:val="00574284"/>
    <w:rsid w:val="005744D1"/>
    <w:rsid w:val="00574E3B"/>
    <w:rsid w:val="00575468"/>
    <w:rsid w:val="00575B29"/>
    <w:rsid w:val="00575F1B"/>
    <w:rsid w:val="00576F32"/>
    <w:rsid w:val="005774E6"/>
    <w:rsid w:val="005779D9"/>
    <w:rsid w:val="00577E2D"/>
    <w:rsid w:val="0058063B"/>
    <w:rsid w:val="005806A0"/>
    <w:rsid w:val="0058074B"/>
    <w:rsid w:val="00580D07"/>
    <w:rsid w:val="00580E52"/>
    <w:rsid w:val="0058145A"/>
    <w:rsid w:val="00581ACB"/>
    <w:rsid w:val="00582044"/>
    <w:rsid w:val="00582246"/>
    <w:rsid w:val="0058253D"/>
    <w:rsid w:val="00582B77"/>
    <w:rsid w:val="0058397B"/>
    <w:rsid w:val="00584789"/>
    <w:rsid w:val="00585263"/>
    <w:rsid w:val="00585530"/>
    <w:rsid w:val="00585A07"/>
    <w:rsid w:val="00585F3E"/>
    <w:rsid w:val="00586EE9"/>
    <w:rsid w:val="005874AC"/>
    <w:rsid w:val="00590467"/>
    <w:rsid w:val="00590A12"/>
    <w:rsid w:val="005916A9"/>
    <w:rsid w:val="005916B7"/>
    <w:rsid w:val="00591D33"/>
    <w:rsid w:val="00592263"/>
    <w:rsid w:val="00592550"/>
    <w:rsid w:val="00592A96"/>
    <w:rsid w:val="00592CF8"/>
    <w:rsid w:val="00593A58"/>
    <w:rsid w:val="005942E7"/>
    <w:rsid w:val="00595107"/>
    <w:rsid w:val="00595344"/>
    <w:rsid w:val="00595681"/>
    <w:rsid w:val="0059575D"/>
    <w:rsid w:val="005965B6"/>
    <w:rsid w:val="00596853"/>
    <w:rsid w:val="005A028D"/>
    <w:rsid w:val="005A05B8"/>
    <w:rsid w:val="005A0B14"/>
    <w:rsid w:val="005A1996"/>
    <w:rsid w:val="005A1D39"/>
    <w:rsid w:val="005A20F0"/>
    <w:rsid w:val="005A2CA5"/>
    <w:rsid w:val="005A2FD5"/>
    <w:rsid w:val="005A2FEB"/>
    <w:rsid w:val="005A375F"/>
    <w:rsid w:val="005A690E"/>
    <w:rsid w:val="005A6AE4"/>
    <w:rsid w:val="005A6CCF"/>
    <w:rsid w:val="005B03CE"/>
    <w:rsid w:val="005B0A9E"/>
    <w:rsid w:val="005B169B"/>
    <w:rsid w:val="005B1BA8"/>
    <w:rsid w:val="005B1F84"/>
    <w:rsid w:val="005B2940"/>
    <w:rsid w:val="005B2BFB"/>
    <w:rsid w:val="005B3506"/>
    <w:rsid w:val="005B38F2"/>
    <w:rsid w:val="005B3B1D"/>
    <w:rsid w:val="005B48F5"/>
    <w:rsid w:val="005B4F70"/>
    <w:rsid w:val="005B549C"/>
    <w:rsid w:val="005B5AC0"/>
    <w:rsid w:val="005B5B4A"/>
    <w:rsid w:val="005B627F"/>
    <w:rsid w:val="005B669A"/>
    <w:rsid w:val="005C00E7"/>
    <w:rsid w:val="005C1DA8"/>
    <w:rsid w:val="005C20A6"/>
    <w:rsid w:val="005C20F4"/>
    <w:rsid w:val="005C2142"/>
    <w:rsid w:val="005C3CDB"/>
    <w:rsid w:val="005C3D89"/>
    <w:rsid w:val="005C3E14"/>
    <w:rsid w:val="005C4865"/>
    <w:rsid w:val="005C50B7"/>
    <w:rsid w:val="005C5146"/>
    <w:rsid w:val="005C574D"/>
    <w:rsid w:val="005C6BD5"/>
    <w:rsid w:val="005C6D52"/>
    <w:rsid w:val="005C7478"/>
    <w:rsid w:val="005D083B"/>
    <w:rsid w:val="005D0853"/>
    <w:rsid w:val="005D1AF5"/>
    <w:rsid w:val="005D1B0D"/>
    <w:rsid w:val="005D1B25"/>
    <w:rsid w:val="005D1E5A"/>
    <w:rsid w:val="005D25EF"/>
    <w:rsid w:val="005D2637"/>
    <w:rsid w:val="005D3DB2"/>
    <w:rsid w:val="005D4505"/>
    <w:rsid w:val="005D4FB2"/>
    <w:rsid w:val="005D54AA"/>
    <w:rsid w:val="005D60E0"/>
    <w:rsid w:val="005D7C3D"/>
    <w:rsid w:val="005E03B4"/>
    <w:rsid w:val="005E0497"/>
    <w:rsid w:val="005E0BC2"/>
    <w:rsid w:val="005E13B6"/>
    <w:rsid w:val="005E17C6"/>
    <w:rsid w:val="005E1901"/>
    <w:rsid w:val="005E1F53"/>
    <w:rsid w:val="005E252A"/>
    <w:rsid w:val="005E2A17"/>
    <w:rsid w:val="005E2DA0"/>
    <w:rsid w:val="005E32A4"/>
    <w:rsid w:val="005E35E0"/>
    <w:rsid w:val="005E36B8"/>
    <w:rsid w:val="005E3A87"/>
    <w:rsid w:val="005E4AB8"/>
    <w:rsid w:val="005E506E"/>
    <w:rsid w:val="005E5372"/>
    <w:rsid w:val="005E5890"/>
    <w:rsid w:val="005E60F6"/>
    <w:rsid w:val="005E6D17"/>
    <w:rsid w:val="005E6DFD"/>
    <w:rsid w:val="005E72C8"/>
    <w:rsid w:val="005E72D9"/>
    <w:rsid w:val="005E7BD2"/>
    <w:rsid w:val="005F01A2"/>
    <w:rsid w:val="005F0F79"/>
    <w:rsid w:val="005F1556"/>
    <w:rsid w:val="005F182A"/>
    <w:rsid w:val="005F2ACA"/>
    <w:rsid w:val="005F3E31"/>
    <w:rsid w:val="005F409A"/>
    <w:rsid w:val="005F430F"/>
    <w:rsid w:val="005F5048"/>
    <w:rsid w:val="005F5871"/>
    <w:rsid w:val="005F608E"/>
    <w:rsid w:val="005F707B"/>
    <w:rsid w:val="005F73EF"/>
    <w:rsid w:val="005F7A3F"/>
    <w:rsid w:val="006008C7"/>
    <w:rsid w:val="0060173A"/>
    <w:rsid w:val="00601C94"/>
    <w:rsid w:val="00602142"/>
    <w:rsid w:val="006021D8"/>
    <w:rsid w:val="00602565"/>
    <w:rsid w:val="00602A7E"/>
    <w:rsid w:val="00603454"/>
    <w:rsid w:val="00603940"/>
    <w:rsid w:val="00604710"/>
    <w:rsid w:val="00604774"/>
    <w:rsid w:val="00604EF5"/>
    <w:rsid w:val="006061D4"/>
    <w:rsid w:val="006065FB"/>
    <w:rsid w:val="0060742D"/>
    <w:rsid w:val="00607529"/>
    <w:rsid w:val="00607844"/>
    <w:rsid w:val="006103AC"/>
    <w:rsid w:val="0061056F"/>
    <w:rsid w:val="0061155B"/>
    <w:rsid w:val="006115D4"/>
    <w:rsid w:val="00611A34"/>
    <w:rsid w:val="00613F00"/>
    <w:rsid w:val="00614DF6"/>
    <w:rsid w:val="00614F0B"/>
    <w:rsid w:val="0061612E"/>
    <w:rsid w:val="006162CA"/>
    <w:rsid w:val="00616565"/>
    <w:rsid w:val="00617FF9"/>
    <w:rsid w:val="00620222"/>
    <w:rsid w:val="0062025C"/>
    <w:rsid w:val="00620F48"/>
    <w:rsid w:val="006211BE"/>
    <w:rsid w:val="006222A2"/>
    <w:rsid w:val="006231DF"/>
    <w:rsid w:val="0062348A"/>
    <w:rsid w:val="00623F76"/>
    <w:rsid w:val="0062430B"/>
    <w:rsid w:val="006250F8"/>
    <w:rsid w:val="0062622D"/>
    <w:rsid w:val="0062632C"/>
    <w:rsid w:val="0062724C"/>
    <w:rsid w:val="0062736A"/>
    <w:rsid w:val="00627D29"/>
    <w:rsid w:val="00627DDB"/>
    <w:rsid w:val="0063035A"/>
    <w:rsid w:val="00630CD4"/>
    <w:rsid w:val="0063182E"/>
    <w:rsid w:val="006319EF"/>
    <w:rsid w:val="00631FA3"/>
    <w:rsid w:val="0063203E"/>
    <w:rsid w:val="00632875"/>
    <w:rsid w:val="00634799"/>
    <w:rsid w:val="00634904"/>
    <w:rsid w:val="00635016"/>
    <w:rsid w:val="0063547E"/>
    <w:rsid w:val="00635D68"/>
    <w:rsid w:val="006364D1"/>
    <w:rsid w:val="006366B1"/>
    <w:rsid w:val="006375D0"/>
    <w:rsid w:val="00637B31"/>
    <w:rsid w:val="006405B3"/>
    <w:rsid w:val="006405ED"/>
    <w:rsid w:val="006409FA"/>
    <w:rsid w:val="00640A1F"/>
    <w:rsid w:val="00640F02"/>
    <w:rsid w:val="006411B0"/>
    <w:rsid w:val="00641486"/>
    <w:rsid w:val="006415D6"/>
    <w:rsid w:val="00641983"/>
    <w:rsid w:val="00641EB9"/>
    <w:rsid w:val="00642FCC"/>
    <w:rsid w:val="00644005"/>
    <w:rsid w:val="0064425D"/>
    <w:rsid w:val="006457A7"/>
    <w:rsid w:val="006459A2"/>
    <w:rsid w:val="00646461"/>
    <w:rsid w:val="00646A32"/>
    <w:rsid w:val="00647053"/>
    <w:rsid w:val="0064712D"/>
    <w:rsid w:val="00647BE9"/>
    <w:rsid w:val="006502A5"/>
    <w:rsid w:val="00650FB6"/>
    <w:rsid w:val="00651008"/>
    <w:rsid w:val="006511A0"/>
    <w:rsid w:val="0065222B"/>
    <w:rsid w:val="0065273D"/>
    <w:rsid w:val="00652BFA"/>
    <w:rsid w:val="00652F9D"/>
    <w:rsid w:val="006539B2"/>
    <w:rsid w:val="00654D68"/>
    <w:rsid w:val="0065563A"/>
    <w:rsid w:val="00655B44"/>
    <w:rsid w:val="00656258"/>
    <w:rsid w:val="006610EA"/>
    <w:rsid w:val="00661470"/>
    <w:rsid w:val="00661B45"/>
    <w:rsid w:val="00662502"/>
    <w:rsid w:val="006627FE"/>
    <w:rsid w:val="00662C3F"/>
    <w:rsid w:val="0066338B"/>
    <w:rsid w:val="0066424D"/>
    <w:rsid w:val="0066469A"/>
    <w:rsid w:val="00665792"/>
    <w:rsid w:val="00666E87"/>
    <w:rsid w:val="00667512"/>
    <w:rsid w:val="00667B72"/>
    <w:rsid w:val="00670029"/>
    <w:rsid w:val="00670A65"/>
    <w:rsid w:val="00670EB4"/>
    <w:rsid w:val="006710D6"/>
    <w:rsid w:val="0067305F"/>
    <w:rsid w:val="006736CD"/>
    <w:rsid w:val="00673B98"/>
    <w:rsid w:val="006740BA"/>
    <w:rsid w:val="006749C0"/>
    <w:rsid w:val="006761F6"/>
    <w:rsid w:val="0067708E"/>
    <w:rsid w:val="00677939"/>
    <w:rsid w:val="00680808"/>
    <w:rsid w:val="006829E9"/>
    <w:rsid w:val="00682FA2"/>
    <w:rsid w:val="00684295"/>
    <w:rsid w:val="00684D3B"/>
    <w:rsid w:val="0068548A"/>
    <w:rsid w:val="00685CFD"/>
    <w:rsid w:val="00687334"/>
    <w:rsid w:val="00690389"/>
    <w:rsid w:val="006906AC"/>
    <w:rsid w:val="0069084C"/>
    <w:rsid w:val="00690913"/>
    <w:rsid w:val="00690E48"/>
    <w:rsid w:val="00691FBD"/>
    <w:rsid w:val="00692E93"/>
    <w:rsid w:val="00693CAA"/>
    <w:rsid w:val="006946D6"/>
    <w:rsid w:val="006950EC"/>
    <w:rsid w:val="00696064"/>
    <w:rsid w:val="006977BE"/>
    <w:rsid w:val="0069781D"/>
    <w:rsid w:val="006A11B7"/>
    <w:rsid w:val="006A12CD"/>
    <w:rsid w:val="006A1B28"/>
    <w:rsid w:val="006A1E04"/>
    <w:rsid w:val="006A27A6"/>
    <w:rsid w:val="006A30F8"/>
    <w:rsid w:val="006A3261"/>
    <w:rsid w:val="006A3E2F"/>
    <w:rsid w:val="006A629A"/>
    <w:rsid w:val="006A6480"/>
    <w:rsid w:val="006A7B6D"/>
    <w:rsid w:val="006B0345"/>
    <w:rsid w:val="006B0553"/>
    <w:rsid w:val="006B087A"/>
    <w:rsid w:val="006B249C"/>
    <w:rsid w:val="006B2FA8"/>
    <w:rsid w:val="006B39DF"/>
    <w:rsid w:val="006B55AB"/>
    <w:rsid w:val="006B5F18"/>
    <w:rsid w:val="006B6C26"/>
    <w:rsid w:val="006B6F9F"/>
    <w:rsid w:val="006C0306"/>
    <w:rsid w:val="006C0CD3"/>
    <w:rsid w:val="006C0D6F"/>
    <w:rsid w:val="006C1201"/>
    <w:rsid w:val="006C1411"/>
    <w:rsid w:val="006C1609"/>
    <w:rsid w:val="006C1D5C"/>
    <w:rsid w:val="006C2589"/>
    <w:rsid w:val="006C35A5"/>
    <w:rsid w:val="006C372B"/>
    <w:rsid w:val="006C37B4"/>
    <w:rsid w:val="006C3CF5"/>
    <w:rsid w:val="006C5371"/>
    <w:rsid w:val="006C58FB"/>
    <w:rsid w:val="006C59E9"/>
    <w:rsid w:val="006C7386"/>
    <w:rsid w:val="006C7AC8"/>
    <w:rsid w:val="006D04C1"/>
    <w:rsid w:val="006D13F5"/>
    <w:rsid w:val="006D1419"/>
    <w:rsid w:val="006D14F9"/>
    <w:rsid w:val="006D1652"/>
    <w:rsid w:val="006D1D9F"/>
    <w:rsid w:val="006D1E34"/>
    <w:rsid w:val="006D208D"/>
    <w:rsid w:val="006D2548"/>
    <w:rsid w:val="006D2BE8"/>
    <w:rsid w:val="006D39F9"/>
    <w:rsid w:val="006D3D32"/>
    <w:rsid w:val="006D5064"/>
    <w:rsid w:val="006D56E5"/>
    <w:rsid w:val="006D5B2B"/>
    <w:rsid w:val="006D5B44"/>
    <w:rsid w:val="006D6634"/>
    <w:rsid w:val="006D72A7"/>
    <w:rsid w:val="006D7A76"/>
    <w:rsid w:val="006D7DAC"/>
    <w:rsid w:val="006E1799"/>
    <w:rsid w:val="006E272E"/>
    <w:rsid w:val="006E30C1"/>
    <w:rsid w:val="006E3681"/>
    <w:rsid w:val="006E3BCD"/>
    <w:rsid w:val="006E4A31"/>
    <w:rsid w:val="006E4C28"/>
    <w:rsid w:val="006E53D4"/>
    <w:rsid w:val="006E59DB"/>
    <w:rsid w:val="006E65B0"/>
    <w:rsid w:val="006F1072"/>
    <w:rsid w:val="006F141C"/>
    <w:rsid w:val="006F25E6"/>
    <w:rsid w:val="006F3370"/>
    <w:rsid w:val="006F3EFE"/>
    <w:rsid w:val="006F4072"/>
    <w:rsid w:val="006F4487"/>
    <w:rsid w:val="006F4C4C"/>
    <w:rsid w:val="006F4DD9"/>
    <w:rsid w:val="006F545E"/>
    <w:rsid w:val="006F54D3"/>
    <w:rsid w:val="006F552D"/>
    <w:rsid w:val="006F7DFE"/>
    <w:rsid w:val="00701903"/>
    <w:rsid w:val="00701DEE"/>
    <w:rsid w:val="00702448"/>
    <w:rsid w:val="007026C8"/>
    <w:rsid w:val="00702CA6"/>
    <w:rsid w:val="00702E85"/>
    <w:rsid w:val="00703C86"/>
    <w:rsid w:val="00703DDC"/>
    <w:rsid w:val="0070416A"/>
    <w:rsid w:val="00704CD3"/>
    <w:rsid w:val="00705A8C"/>
    <w:rsid w:val="007062AF"/>
    <w:rsid w:val="00706425"/>
    <w:rsid w:val="007067A6"/>
    <w:rsid w:val="00706BB9"/>
    <w:rsid w:val="0070775C"/>
    <w:rsid w:val="00707B4E"/>
    <w:rsid w:val="00707F74"/>
    <w:rsid w:val="007101A2"/>
    <w:rsid w:val="00711BE8"/>
    <w:rsid w:val="007123DE"/>
    <w:rsid w:val="00713775"/>
    <w:rsid w:val="0071588D"/>
    <w:rsid w:val="00715BD5"/>
    <w:rsid w:val="00716471"/>
    <w:rsid w:val="007165BD"/>
    <w:rsid w:val="00716A6B"/>
    <w:rsid w:val="007171D1"/>
    <w:rsid w:val="007203D6"/>
    <w:rsid w:val="0072057D"/>
    <w:rsid w:val="00720C88"/>
    <w:rsid w:val="00721762"/>
    <w:rsid w:val="007217C9"/>
    <w:rsid w:val="00721D4B"/>
    <w:rsid w:val="0072231B"/>
    <w:rsid w:val="007223B8"/>
    <w:rsid w:val="007226DB"/>
    <w:rsid w:val="0072393E"/>
    <w:rsid w:val="00723DC0"/>
    <w:rsid w:val="00724E3E"/>
    <w:rsid w:val="007253E0"/>
    <w:rsid w:val="00725532"/>
    <w:rsid w:val="0072582D"/>
    <w:rsid w:val="00725869"/>
    <w:rsid w:val="00726776"/>
    <w:rsid w:val="00726907"/>
    <w:rsid w:val="00726A0F"/>
    <w:rsid w:val="00726D0C"/>
    <w:rsid w:val="00726F98"/>
    <w:rsid w:val="00727EDF"/>
    <w:rsid w:val="00730344"/>
    <w:rsid w:val="007309E9"/>
    <w:rsid w:val="007317EB"/>
    <w:rsid w:val="00732170"/>
    <w:rsid w:val="00732922"/>
    <w:rsid w:val="00732C24"/>
    <w:rsid w:val="00733915"/>
    <w:rsid w:val="00733A14"/>
    <w:rsid w:val="007341F9"/>
    <w:rsid w:val="0073459C"/>
    <w:rsid w:val="00734D62"/>
    <w:rsid w:val="00735734"/>
    <w:rsid w:val="007364A4"/>
    <w:rsid w:val="00736C94"/>
    <w:rsid w:val="00736E6F"/>
    <w:rsid w:val="007409C8"/>
    <w:rsid w:val="00740A69"/>
    <w:rsid w:val="00740BAE"/>
    <w:rsid w:val="00741597"/>
    <w:rsid w:val="00741E86"/>
    <w:rsid w:val="00741ECE"/>
    <w:rsid w:val="00742403"/>
    <w:rsid w:val="00742E76"/>
    <w:rsid w:val="00744560"/>
    <w:rsid w:val="00744763"/>
    <w:rsid w:val="007449B0"/>
    <w:rsid w:val="00745250"/>
    <w:rsid w:val="00745292"/>
    <w:rsid w:val="00745A12"/>
    <w:rsid w:val="00746DEB"/>
    <w:rsid w:val="0075241E"/>
    <w:rsid w:val="007524EA"/>
    <w:rsid w:val="00752AA3"/>
    <w:rsid w:val="00753225"/>
    <w:rsid w:val="0075336D"/>
    <w:rsid w:val="00754217"/>
    <w:rsid w:val="00756B55"/>
    <w:rsid w:val="007570B7"/>
    <w:rsid w:val="00757B48"/>
    <w:rsid w:val="00757CB9"/>
    <w:rsid w:val="007600D2"/>
    <w:rsid w:val="0076145A"/>
    <w:rsid w:val="007624CB"/>
    <w:rsid w:val="00762590"/>
    <w:rsid w:val="007625BA"/>
    <w:rsid w:val="007634EE"/>
    <w:rsid w:val="00763C3E"/>
    <w:rsid w:val="00763DAE"/>
    <w:rsid w:val="0076449D"/>
    <w:rsid w:val="007653F4"/>
    <w:rsid w:val="00765909"/>
    <w:rsid w:val="00765BB2"/>
    <w:rsid w:val="007667E8"/>
    <w:rsid w:val="007703A9"/>
    <w:rsid w:val="00770A9D"/>
    <w:rsid w:val="00770E76"/>
    <w:rsid w:val="00771140"/>
    <w:rsid w:val="00771814"/>
    <w:rsid w:val="00771D10"/>
    <w:rsid w:val="00771EA0"/>
    <w:rsid w:val="00771FA2"/>
    <w:rsid w:val="0077201A"/>
    <w:rsid w:val="00772065"/>
    <w:rsid w:val="00772938"/>
    <w:rsid w:val="00773565"/>
    <w:rsid w:val="00773A66"/>
    <w:rsid w:val="0077488D"/>
    <w:rsid w:val="00775D50"/>
    <w:rsid w:val="0077681E"/>
    <w:rsid w:val="00776E9B"/>
    <w:rsid w:val="00780A98"/>
    <w:rsid w:val="007814F7"/>
    <w:rsid w:val="00781A84"/>
    <w:rsid w:val="007834A2"/>
    <w:rsid w:val="00783ABE"/>
    <w:rsid w:val="00783E44"/>
    <w:rsid w:val="00784168"/>
    <w:rsid w:val="007847D6"/>
    <w:rsid w:val="00784C92"/>
    <w:rsid w:val="0078528F"/>
    <w:rsid w:val="007863DA"/>
    <w:rsid w:val="00786808"/>
    <w:rsid w:val="007903B0"/>
    <w:rsid w:val="0079209E"/>
    <w:rsid w:val="007923F3"/>
    <w:rsid w:val="007929CC"/>
    <w:rsid w:val="00792D40"/>
    <w:rsid w:val="0079304F"/>
    <w:rsid w:val="007940B7"/>
    <w:rsid w:val="0079434E"/>
    <w:rsid w:val="00794DD2"/>
    <w:rsid w:val="00794E9D"/>
    <w:rsid w:val="007959D7"/>
    <w:rsid w:val="00795C80"/>
    <w:rsid w:val="007972E0"/>
    <w:rsid w:val="007973A1"/>
    <w:rsid w:val="0079744D"/>
    <w:rsid w:val="007979CA"/>
    <w:rsid w:val="007A057A"/>
    <w:rsid w:val="007A06B1"/>
    <w:rsid w:val="007A08FD"/>
    <w:rsid w:val="007A0FB7"/>
    <w:rsid w:val="007A2DD4"/>
    <w:rsid w:val="007A2F84"/>
    <w:rsid w:val="007A2F90"/>
    <w:rsid w:val="007A3139"/>
    <w:rsid w:val="007A3C86"/>
    <w:rsid w:val="007A502A"/>
    <w:rsid w:val="007A52F4"/>
    <w:rsid w:val="007A7673"/>
    <w:rsid w:val="007A76A1"/>
    <w:rsid w:val="007A7B51"/>
    <w:rsid w:val="007A7DFB"/>
    <w:rsid w:val="007A7FF6"/>
    <w:rsid w:val="007B0118"/>
    <w:rsid w:val="007B1E17"/>
    <w:rsid w:val="007B2F33"/>
    <w:rsid w:val="007B4620"/>
    <w:rsid w:val="007B6092"/>
    <w:rsid w:val="007B6A7E"/>
    <w:rsid w:val="007B75D3"/>
    <w:rsid w:val="007B7E1E"/>
    <w:rsid w:val="007C0175"/>
    <w:rsid w:val="007C0350"/>
    <w:rsid w:val="007C0D90"/>
    <w:rsid w:val="007C11A7"/>
    <w:rsid w:val="007C16AB"/>
    <w:rsid w:val="007C319A"/>
    <w:rsid w:val="007C3F46"/>
    <w:rsid w:val="007C4314"/>
    <w:rsid w:val="007C456C"/>
    <w:rsid w:val="007C534E"/>
    <w:rsid w:val="007C547E"/>
    <w:rsid w:val="007C5C73"/>
    <w:rsid w:val="007C6D89"/>
    <w:rsid w:val="007C6DC9"/>
    <w:rsid w:val="007C6DE5"/>
    <w:rsid w:val="007C7066"/>
    <w:rsid w:val="007D0953"/>
    <w:rsid w:val="007D19CA"/>
    <w:rsid w:val="007D1F05"/>
    <w:rsid w:val="007D49A0"/>
    <w:rsid w:val="007D4DE3"/>
    <w:rsid w:val="007D58C0"/>
    <w:rsid w:val="007D58CE"/>
    <w:rsid w:val="007D5E40"/>
    <w:rsid w:val="007D6DA8"/>
    <w:rsid w:val="007D70CD"/>
    <w:rsid w:val="007D75FB"/>
    <w:rsid w:val="007D7FCA"/>
    <w:rsid w:val="007E0500"/>
    <w:rsid w:val="007E0ED4"/>
    <w:rsid w:val="007E10C7"/>
    <w:rsid w:val="007E2C74"/>
    <w:rsid w:val="007E435D"/>
    <w:rsid w:val="007E4661"/>
    <w:rsid w:val="007E4A57"/>
    <w:rsid w:val="007E5577"/>
    <w:rsid w:val="007E6287"/>
    <w:rsid w:val="007E7DC3"/>
    <w:rsid w:val="007F0D32"/>
    <w:rsid w:val="007F13AE"/>
    <w:rsid w:val="007F1741"/>
    <w:rsid w:val="007F1B50"/>
    <w:rsid w:val="007F2102"/>
    <w:rsid w:val="007F2636"/>
    <w:rsid w:val="007F2DBA"/>
    <w:rsid w:val="007F35F5"/>
    <w:rsid w:val="007F4BE6"/>
    <w:rsid w:val="007F5039"/>
    <w:rsid w:val="007F6302"/>
    <w:rsid w:val="007F6619"/>
    <w:rsid w:val="007F6894"/>
    <w:rsid w:val="007F6BF1"/>
    <w:rsid w:val="007F75D4"/>
    <w:rsid w:val="007F765A"/>
    <w:rsid w:val="007F7FCA"/>
    <w:rsid w:val="008007A9"/>
    <w:rsid w:val="0080116C"/>
    <w:rsid w:val="008014EC"/>
    <w:rsid w:val="00801525"/>
    <w:rsid w:val="00801C04"/>
    <w:rsid w:val="008024D3"/>
    <w:rsid w:val="008038F2"/>
    <w:rsid w:val="00803CE2"/>
    <w:rsid w:val="00804DDF"/>
    <w:rsid w:val="00805A8F"/>
    <w:rsid w:val="00806029"/>
    <w:rsid w:val="00806604"/>
    <w:rsid w:val="00806A51"/>
    <w:rsid w:val="00807074"/>
    <w:rsid w:val="008077E1"/>
    <w:rsid w:val="008078B6"/>
    <w:rsid w:val="00807AF9"/>
    <w:rsid w:val="0081005E"/>
    <w:rsid w:val="008100E8"/>
    <w:rsid w:val="0081045D"/>
    <w:rsid w:val="00811604"/>
    <w:rsid w:val="00811AB3"/>
    <w:rsid w:val="0081200C"/>
    <w:rsid w:val="00812246"/>
    <w:rsid w:val="00812451"/>
    <w:rsid w:val="008132D0"/>
    <w:rsid w:val="0081378B"/>
    <w:rsid w:val="00813B90"/>
    <w:rsid w:val="00813FC1"/>
    <w:rsid w:val="00814B5E"/>
    <w:rsid w:val="00816377"/>
    <w:rsid w:val="00816858"/>
    <w:rsid w:val="00816D0B"/>
    <w:rsid w:val="00820AF0"/>
    <w:rsid w:val="00820EF6"/>
    <w:rsid w:val="00821973"/>
    <w:rsid w:val="008219DF"/>
    <w:rsid w:val="00821AF2"/>
    <w:rsid w:val="00821C00"/>
    <w:rsid w:val="00821EFC"/>
    <w:rsid w:val="008228E1"/>
    <w:rsid w:val="0082302F"/>
    <w:rsid w:val="008233A8"/>
    <w:rsid w:val="00823AF0"/>
    <w:rsid w:val="00823BA7"/>
    <w:rsid w:val="00823D49"/>
    <w:rsid w:val="00824BFD"/>
    <w:rsid w:val="00824D76"/>
    <w:rsid w:val="00824DFB"/>
    <w:rsid w:val="00824F55"/>
    <w:rsid w:val="008257E2"/>
    <w:rsid w:val="0082640A"/>
    <w:rsid w:val="00826CF7"/>
    <w:rsid w:val="00826D50"/>
    <w:rsid w:val="008274C6"/>
    <w:rsid w:val="00827EBE"/>
    <w:rsid w:val="0083043B"/>
    <w:rsid w:val="0083089F"/>
    <w:rsid w:val="008322E3"/>
    <w:rsid w:val="008330DF"/>
    <w:rsid w:val="00833A24"/>
    <w:rsid w:val="008349FE"/>
    <w:rsid w:val="00834FBE"/>
    <w:rsid w:val="00835482"/>
    <w:rsid w:val="008369C3"/>
    <w:rsid w:val="00836AB8"/>
    <w:rsid w:val="0083715B"/>
    <w:rsid w:val="00837BC7"/>
    <w:rsid w:val="00840BC3"/>
    <w:rsid w:val="00840C77"/>
    <w:rsid w:val="00840D0A"/>
    <w:rsid w:val="00841765"/>
    <w:rsid w:val="00841800"/>
    <w:rsid w:val="00841CA9"/>
    <w:rsid w:val="00842933"/>
    <w:rsid w:val="00842E1B"/>
    <w:rsid w:val="00843A93"/>
    <w:rsid w:val="00844D4B"/>
    <w:rsid w:val="00844F86"/>
    <w:rsid w:val="00845282"/>
    <w:rsid w:val="00845B1A"/>
    <w:rsid w:val="00845B34"/>
    <w:rsid w:val="00846B39"/>
    <w:rsid w:val="008471F1"/>
    <w:rsid w:val="00847E14"/>
    <w:rsid w:val="00847F9A"/>
    <w:rsid w:val="00850E55"/>
    <w:rsid w:val="008523B6"/>
    <w:rsid w:val="008535A2"/>
    <w:rsid w:val="0085388D"/>
    <w:rsid w:val="00854193"/>
    <w:rsid w:val="00855047"/>
    <w:rsid w:val="0085509C"/>
    <w:rsid w:val="008555C8"/>
    <w:rsid w:val="00855848"/>
    <w:rsid w:val="008567C2"/>
    <w:rsid w:val="00857790"/>
    <w:rsid w:val="00857858"/>
    <w:rsid w:val="00857BD6"/>
    <w:rsid w:val="00857EF1"/>
    <w:rsid w:val="008605E2"/>
    <w:rsid w:val="00860EBB"/>
    <w:rsid w:val="0086261A"/>
    <w:rsid w:val="008630FC"/>
    <w:rsid w:val="008635C1"/>
    <w:rsid w:val="00864DA4"/>
    <w:rsid w:val="00864F0E"/>
    <w:rsid w:val="00866184"/>
    <w:rsid w:val="0086686B"/>
    <w:rsid w:val="00867B47"/>
    <w:rsid w:val="00867C32"/>
    <w:rsid w:val="0087035A"/>
    <w:rsid w:val="00870C05"/>
    <w:rsid w:val="008735E7"/>
    <w:rsid w:val="00873950"/>
    <w:rsid w:val="00873C71"/>
    <w:rsid w:val="00873CCC"/>
    <w:rsid w:val="008742FB"/>
    <w:rsid w:val="00874D50"/>
    <w:rsid w:val="008778E5"/>
    <w:rsid w:val="00880D9C"/>
    <w:rsid w:val="00880F12"/>
    <w:rsid w:val="00881914"/>
    <w:rsid w:val="00881B6C"/>
    <w:rsid w:val="00881D50"/>
    <w:rsid w:val="008820D7"/>
    <w:rsid w:val="00882473"/>
    <w:rsid w:val="00883736"/>
    <w:rsid w:val="00883EFE"/>
    <w:rsid w:val="00883FAB"/>
    <w:rsid w:val="00885900"/>
    <w:rsid w:val="00885D3F"/>
    <w:rsid w:val="00885F7C"/>
    <w:rsid w:val="00886979"/>
    <w:rsid w:val="0088722D"/>
    <w:rsid w:val="00887889"/>
    <w:rsid w:val="008878FB"/>
    <w:rsid w:val="0089057F"/>
    <w:rsid w:val="00890B7F"/>
    <w:rsid w:val="00890CFA"/>
    <w:rsid w:val="00891502"/>
    <w:rsid w:val="00892086"/>
    <w:rsid w:val="00892167"/>
    <w:rsid w:val="008929CE"/>
    <w:rsid w:val="00892D10"/>
    <w:rsid w:val="00894011"/>
    <w:rsid w:val="00894418"/>
    <w:rsid w:val="008944CF"/>
    <w:rsid w:val="00895064"/>
    <w:rsid w:val="008958C0"/>
    <w:rsid w:val="008967D8"/>
    <w:rsid w:val="008970EE"/>
    <w:rsid w:val="008A0882"/>
    <w:rsid w:val="008A0EC2"/>
    <w:rsid w:val="008A1220"/>
    <w:rsid w:val="008A3846"/>
    <w:rsid w:val="008A3C00"/>
    <w:rsid w:val="008A43E1"/>
    <w:rsid w:val="008A5449"/>
    <w:rsid w:val="008A5706"/>
    <w:rsid w:val="008A5AC0"/>
    <w:rsid w:val="008A5F58"/>
    <w:rsid w:val="008A6164"/>
    <w:rsid w:val="008A7FDA"/>
    <w:rsid w:val="008B08B1"/>
    <w:rsid w:val="008B0BA9"/>
    <w:rsid w:val="008B1465"/>
    <w:rsid w:val="008B149B"/>
    <w:rsid w:val="008B1755"/>
    <w:rsid w:val="008B1CD7"/>
    <w:rsid w:val="008B1D05"/>
    <w:rsid w:val="008B1D16"/>
    <w:rsid w:val="008B1F8B"/>
    <w:rsid w:val="008B2089"/>
    <w:rsid w:val="008B21E9"/>
    <w:rsid w:val="008B2F29"/>
    <w:rsid w:val="008B3106"/>
    <w:rsid w:val="008B36B0"/>
    <w:rsid w:val="008B3827"/>
    <w:rsid w:val="008B3CC2"/>
    <w:rsid w:val="008B468B"/>
    <w:rsid w:val="008B4B45"/>
    <w:rsid w:val="008B60E3"/>
    <w:rsid w:val="008B64DB"/>
    <w:rsid w:val="008B6CED"/>
    <w:rsid w:val="008B7FA4"/>
    <w:rsid w:val="008C1918"/>
    <w:rsid w:val="008C1965"/>
    <w:rsid w:val="008C2289"/>
    <w:rsid w:val="008C320B"/>
    <w:rsid w:val="008C3650"/>
    <w:rsid w:val="008C3A22"/>
    <w:rsid w:val="008C3E30"/>
    <w:rsid w:val="008C463A"/>
    <w:rsid w:val="008C4C54"/>
    <w:rsid w:val="008C501C"/>
    <w:rsid w:val="008C515D"/>
    <w:rsid w:val="008C5454"/>
    <w:rsid w:val="008C5541"/>
    <w:rsid w:val="008C5884"/>
    <w:rsid w:val="008C58D7"/>
    <w:rsid w:val="008C606F"/>
    <w:rsid w:val="008C61AC"/>
    <w:rsid w:val="008C6CFB"/>
    <w:rsid w:val="008C6FF0"/>
    <w:rsid w:val="008C7FC7"/>
    <w:rsid w:val="008D04B6"/>
    <w:rsid w:val="008D11D0"/>
    <w:rsid w:val="008D21AA"/>
    <w:rsid w:val="008D24AC"/>
    <w:rsid w:val="008D28BC"/>
    <w:rsid w:val="008D28D9"/>
    <w:rsid w:val="008D4494"/>
    <w:rsid w:val="008D4BAE"/>
    <w:rsid w:val="008D4CF0"/>
    <w:rsid w:val="008D4FD2"/>
    <w:rsid w:val="008D5795"/>
    <w:rsid w:val="008D597A"/>
    <w:rsid w:val="008D6154"/>
    <w:rsid w:val="008D6429"/>
    <w:rsid w:val="008D6EEB"/>
    <w:rsid w:val="008D749B"/>
    <w:rsid w:val="008D7C19"/>
    <w:rsid w:val="008E01EB"/>
    <w:rsid w:val="008E06B0"/>
    <w:rsid w:val="008E07DB"/>
    <w:rsid w:val="008E1365"/>
    <w:rsid w:val="008E1DE5"/>
    <w:rsid w:val="008E27A1"/>
    <w:rsid w:val="008E33FE"/>
    <w:rsid w:val="008E42DF"/>
    <w:rsid w:val="008E4F4B"/>
    <w:rsid w:val="008E5023"/>
    <w:rsid w:val="008E5737"/>
    <w:rsid w:val="008E66CF"/>
    <w:rsid w:val="008E7128"/>
    <w:rsid w:val="008E780B"/>
    <w:rsid w:val="008E7B1F"/>
    <w:rsid w:val="008F174C"/>
    <w:rsid w:val="008F20AD"/>
    <w:rsid w:val="008F223C"/>
    <w:rsid w:val="008F3059"/>
    <w:rsid w:val="008F52CC"/>
    <w:rsid w:val="008F58C7"/>
    <w:rsid w:val="008F5B71"/>
    <w:rsid w:val="008F6E44"/>
    <w:rsid w:val="008F7100"/>
    <w:rsid w:val="008F7BF9"/>
    <w:rsid w:val="00900E75"/>
    <w:rsid w:val="00901158"/>
    <w:rsid w:val="009014D5"/>
    <w:rsid w:val="009028AD"/>
    <w:rsid w:val="00902D50"/>
    <w:rsid w:val="00903450"/>
    <w:rsid w:val="00903AE3"/>
    <w:rsid w:val="009046C5"/>
    <w:rsid w:val="0090521C"/>
    <w:rsid w:val="0090555B"/>
    <w:rsid w:val="00905CAF"/>
    <w:rsid w:val="0090625A"/>
    <w:rsid w:val="00906C8B"/>
    <w:rsid w:val="00906FE9"/>
    <w:rsid w:val="00907A69"/>
    <w:rsid w:val="00910106"/>
    <w:rsid w:val="009105D9"/>
    <w:rsid w:val="00910EC3"/>
    <w:rsid w:val="00912128"/>
    <w:rsid w:val="00912946"/>
    <w:rsid w:val="00913626"/>
    <w:rsid w:val="009138D8"/>
    <w:rsid w:val="00913BAB"/>
    <w:rsid w:val="0091432A"/>
    <w:rsid w:val="00914A0C"/>
    <w:rsid w:val="0091513A"/>
    <w:rsid w:val="0091580C"/>
    <w:rsid w:val="00915F8B"/>
    <w:rsid w:val="00916874"/>
    <w:rsid w:val="00917B85"/>
    <w:rsid w:val="009216A6"/>
    <w:rsid w:val="00922917"/>
    <w:rsid w:val="00923EC5"/>
    <w:rsid w:val="009247B3"/>
    <w:rsid w:val="00925EAC"/>
    <w:rsid w:val="00927864"/>
    <w:rsid w:val="009278FB"/>
    <w:rsid w:val="00930E90"/>
    <w:rsid w:val="0093166D"/>
    <w:rsid w:val="00931670"/>
    <w:rsid w:val="00931E9D"/>
    <w:rsid w:val="00931FE9"/>
    <w:rsid w:val="009321D8"/>
    <w:rsid w:val="00932669"/>
    <w:rsid w:val="00933002"/>
    <w:rsid w:val="00933B3F"/>
    <w:rsid w:val="0093432C"/>
    <w:rsid w:val="00934431"/>
    <w:rsid w:val="00934942"/>
    <w:rsid w:val="00936B90"/>
    <w:rsid w:val="00936FF8"/>
    <w:rsid w:val="009371EF"/>
    <w:rsid w:val="009375A3"/>
    <w:rsid w:val="0094027B"/>
    <w:rsid w:val="009406D6"/>
    <w:rsid w:val="0094071F"/>
    <w:rsid w:val="00940C30"/>
    <w:rsid w:val="00941F1A"/>
    <w:rsid w:val="009421AF"/>
    <w:rsid w:val="00942372"/>
    <w:rsid w:val="009429C6"/>
    <w:rsid w:val="0094383E"/>
    <w:rsid w:val="00943894"/>
    <w:rsid w:val="0094404D"/>
    <w:rsid w:val="0094492D"/>
    <w:rsid w:val="009454A4"/>
    <w:rsid w:val="00945A6A"/>
    <w:rsid w:val="009468C2"/>
    <w:rsid w:val="0094749D"/>
    <w:rsid w:val="00947E3B"/>
    <w:rsid w:val="00947F28"/>
    <w:rsid w:val="0095060A"/>
    <w:rsid w:val="009515FE"/>
    <w:rsid w:val="00951BBA"/>
    <w:rsid w:val="0095239B"/>
    <w:rsid w:val="009526C2"/>
    <w:rsid w:val="00953DCF"/>
    <w:rsid w:val="009544A9"/>
    <w:rsid w:val="00954AB2"/>
    <w:rsid w:val="00954BB0"/>
    <w:rsid w:val="0095716C"/>
    <w:rsid w:val="009571C0"/>
    <w:rsid w:val="00957301"/>
    <w:rsid w:val="00960EEB"/>
    <w:rsid w:val="0096138C"/>
    <w:rsid w:val="00961865"/>
    <w:rsid w:val="00961962"/>
    <w:rsid w:val="00962F7E"/>
    <w:rsid w:val="009635D3"/>
    <w:rsid w:val="009641B5"/>
    <w:rsid w:val="00964471"/>
    <w:rsid w:val="00964883"/>
    <w:rsid w:val="00964D4B"/>
    <w:rsid w:val="009652CA"/>
    <w:rsid w:val="00965EFB"/>
    <w:rsid w:val="00966292"/>
    <w:rsid w:val="00966F74"/>
    <w:rsid w:val="00967271"/>
    <w:rsid w:val="0096797A"/>
    <w:rsid w:val="00967B62"/>
    <w:rsid w:val="00967EEA"/>
    <w:rsid w:val="00970642"/>
    <w:rsid w:val="00970A25"/>
    <w:rsid w:val="00970E77"/>
    <w:rsid w:val="009717C8"/>
    <w:rsid w:val="009725DF"/>
    <w:rsid w:val="009728A9"/>
    <w:rsid w:val="00972CA9"/>
    <w:rsid w:val="0097347B"/>
    <w:rsid w:val="00973A4B"/>
    <w:rsid w:val="00973E24"/>
    <w:rsid w:val="0097404B"/>
    <w:rsid w:val="00974A9F"/>
    <w:rsid w:val="00974C7A"/>
    <w:rsid w:val="0097578A"/>
    <w:rsid w:val="00975841"/>
    <w:rsid w:val="0097588A"/>
    <w:rsid w:val="009764E4"/>
    <w:rsid w:val="00977530"/>
    <w:rsid w:val="00977D86"/>
    <w:rsid w:val="00980B3D"/>
    <w:rsid w:val="00980F51"/>
    <w:rsid w:val="0098248E"/>
    <w:rsid w:val="009834F6"/>
    <w:rsid w:val="00983748"/>
    <w:rsid w:val="00983BC4"/>
    <w:rsid w:val="00984681"/>
    <w:rsid w:val="00984E7D"/>
    <w:rsid w:val="009856DB"/>
    <w:rsid w:val="009866C7"/>
    <w:rsid w:val="00987AF6"/>
    <w:rsid w:val="00987D84"/>
    <w:rsid w:val="00990B29"/>
    <w:rsid w:val="00990C9E"/>
    <w:rsid w:val="009913D2"/>
    <w:rsid w:val="009918F4"/>
    <w:rsid w:val="00991C5D"/>
    <w:rsid w:val="00991E77"/>
    <w:rsid w:val="009920DF"/>
    <w:rsid w:val="009925CA"/>
    <w:rsid w:val="00992A86"/>
    <w:rsid w:val="00992E74"/>
    <w:rsid w:val="009931B5"/>
    <w:rsid w:val="00993727"/>
    <w:rsid w:val="00993C47"/>
    <w:rsid w:val="0099478F"/>
    <w:rsid w:val="00995022"/>
    <w:rsid w:val="009951E2"/>
    <w:rsid w:val="00995DF5"/>
    <w:rsid w:val="0099607D"/>
    <w:rsid w:val="0099648E"/>
    <w:rsid w:val="00996802"/>
    <w:rsid w:val="0099782E"/>
    <w:rsid w:val="00997A58"/>
    <w:rsid w:val="009A004E"/>
    <w:rsid w:val="009A03EA"/>
    <w:rsid w:val="009A0D97"/>
    <w:rsid w:val="009A237F"/>
    <w:rsid w:val="009A2681"/>
    <w:rsid w:val="009A4343"/>
    <w:rsid w:val="009A449C"/>
    <w:rsid w:val="009A455E"/>
    <w:rsid w:val="009A593F"/>
    <w:rsid w:val="009A6EC5"/>
    <w:rsid w:val="009A734A"/>
    <w:rsid w:val="009A7FBD"/>
    <w:rsid w:val="009B0B73"/>
    <w:rsid w:val="009B1084"/>
    <w:rsid w:val="009B2AC1"/>
    <w:rsid w:val="009B423E"/>
    <w:rsid w:val="009B444E"/>
    <w:rsid w:val="009B462B"/>
    <w:rsid w:val="009B4DA2"/>
    <w:rsid w:val="009B5EDE"/>
    <w:rsid w:val="009B5EE8"/>
    <w:rsid w:val="009B7A12"/>
    <w:rsid w:val="009C06D2"/>
    <w:rsid w:val="009C081A"/>
    <w:rsid w:val="009C1291"/>
    <w:rsid w:val="009C263B"/>
    <w:rsid w:val="009C271C"/>
    <w:rsid w:val="009C4780"/>
    <w:rsid w:val="009C5162"/>
    <w:rsid w:val="009C5B66"/>
    <w:rsid w:val="009C712A"/>
    <w:rsid w:val="009C71EA"/>
    <w:rsid w:val="009C7665"/>
    <w:rsid w:val="009D015C"/>
    <w:rsid w:val="009D02F0"/>
    <w:rsid w:val="009D0A5F"/>
    <w:rsid w:val="009D0B88"/>
    <w:rsid w:val="009D0C89"/>
    <w:rsid w:val="009D0DB8"/>
    <w:rsid w:val="009D2FAF"/>
    <w:rsid w:val="009D350F"/>
    <w:rsid w:val="009D38FD"/>
    <w:rsid w:val="009D3BE5"/>
    <w:rsid w:val="009D4B34"/>
    <w:rsid w:val="009D5BEA"/>
    <w:rsid w:val="009D699C"/>
    <w:rsid w:val="009D6F4C"/>
    <w:rsid w:val="009D7387"/>
    <w:rsid w:val="009D74D2"/>
    <w:rsid w:val="009D7595"/>
    <w:rsid w:val="009D77F8"/>
    <w:rsid w:val="009D7CF2"/>
    <w:rsid w:val="009D7F66"/>
    <w:rsid w:val="009E0CB9"/>
    <w:rsid w:val="009E1DE0"/>
    <w:rsid w:val="009E327E"/>
    <w:rsid w:val="009E3C57"/>
    <w:rsid w:val="009E480E"/>
    <w:rsid w:val="009E7A24"/>
    <w:rsid w:val="009F048D"/>
    <w:rsid w:val="009F1E02"/>
    <w:rsid w:val="009F31D1"/>
    <w:rsid w:val="009F3A53"/>
    <w:rsid w:val="009F527E"/>
    <w:rsid w:val="009F5FD1"/>
    <w:rsid w:val="009F67F0"/>
    <w:rsid w:val="009F6C3C"/>
    <w:rsid w:val="009F6FC8"/>
    <w:rsid w:val="009F749D"/>
    <w:rsid w:val="009F75BE"/>
    <w:rsid w:val="009F7718"/>
    <w:rsid w:val="00A001BF"/>
    <w:rsid w:val="00A00478"/>
    <w:rsid w:val="00A008EE"/>
    <w:rsid w:val="00A00D80"/>
    <w:rsid w:val="00A01C0D"/>
    <w:rsid w:val="00A01DDF"/>
    <w:rsid w:val="00A02234"/>
    <w:rsid w:val="00A02617"/>
    <w:rsid w:val="00A02E3D"/>
    <w:rsid w:val="00A04494"/>
    <w:rsid w:val="00A04612"/>
    <w:rsid w:val="00A04889"/>
    <w:rsid w:val="00A0537C"/>
    <w:rsid w:val="00A056AA"/>
    <w:rsid w:val="00A057BE"/>
    <w:rsid w:val="00A05EF3"/>
    <w:rsid w:val="00A1040D"/>
    <w:rsid w:val="00A1135E"/>
    <w:rsid w:val="00A11433"/>
    <w:rsid w:val="00A11752"/>
    <w:rsid w:val="00A123ED"/>
    <w:rsid w:val="00A15FEB"/>
    <w:rsid w:val="00A1646C"/>
    <w:rsid w:val="00A165AF"/>
    <w:rsid w:val="00A165F0"/>
    <w:rsid w:val="00A1739B"/>
    <w:rsid w:val="00A174EF"/>
    <w:rsid w:val="00A1774D"/>
    <w:rsid w:val="00A17D91"/>
    <w:rsid w:val="00A20202"/>
    <w:rsid w:val="00A208EE"/>
    <w:rsid w:val="00A2091F"/>
    <w:rsid w:val="00A2184D"/>
    <w:rsid w:val="00A223FE"/>
    <w:rsid w:val="00A22FF5"/>
    <w:rsid w:val="00A23F22"/>
    <w:rsid w:val="00A241E1"/>
    <w:rsid w:val="00A25361"/>
    <w:rsid w:val="00A25390"/>
    <w:rsid w:val="00A25A2B"/>
    <w:rsid w:val="00A25E2B"/>
    <w:rsid w:val="00A27505"/>
    <w:rsid w:val="00A3346D"/>
    <w:rsid w:val="00A34FF9"/>
    <w:rsid w:val="00A360E3"/>
    <w:rsid w:val="00A3650E"/>
    <w:rsid w:val="00A36CED"/>
    <w:rsid w:val="00A370B1"/>
    <w:rsid w:val="00A372FC"/>
    <w:rsid w:val="00A3790D"/>
    <w:rsid w:val="00A40045"/>
    <w:rsid w:val="00A42532"/>
    <w:rsid w:val="00A43ECA"/>
    <w:rsid w:val="00A43F98"/>
    <w:rsid w:val="00A441B2"/>
    <w:rsid w:val="00A442E9"/>
    <w:rsid w:val="00A4556C"/>
    <w:rsid w:val="00A46BBC"/>
    <w:rsid w:val="00A47151"/>
    <w:rsid w:val="00A47278"/>
    <w:rsid w:val="00A47776"/>
    <w:rsid w:val="00A47B48"/>
    <w:rsid w:val="00A50470"/>
    <w:rsid w:val="00A504D5"/>
    <w:rsid w:val="00A5077C"/>
    <w:rsid w:val="00A51503"/>
    <w:rsid w:val="00A51680"/>
    <w:rsid w:val="00A51C4E"/>
    <w:rsid w:val="00A51D90"/>
    <w:rsid w:val="00A51E5B"/>
    <w:rsid w:val="00A51EEC"/>
    <w:rsid w:val="00A53CCB"/>
    <w:rsid w:val="00A53FB7"/>
    <w:rsid w:val="00A55F06"/>
    <w:rsid w:val="00A56559"/>
    <w:rsid w:val="00A56BF1"/>
    <w:rsid w:val="00A57A81"/>
    <w:rsid w:val="00A61E38"/>
    <w:rsid w:val="00A6247A"/>
    <w:rsid w:val="00A64077"/>
    <w:rsid w:val="00A642BA"/>
    <w:rsid w:val="00A64971"/>
    <w:rsid w:val="00A649DC"/>
    <w:rsid w:val="00A64C3E"/>
    <w:rsid w:val="00A65763"/>
    <w:rsid w:val="00A65D0A"/>
    <w:rsid w:val="00A700A8"/>
    <w:rsid w:val="00A7088B"/>
    <w:rsid w:val="00A71A00"/>
    <w:rsid w:val="00A720C1"/>
    <w:rsid w:val="00A723A7"/>
    <w:rsid w:val="00A72E24"/>
    <w:rsid w:val="00A72F1B"/>
    <w:rsid w:val="00A73518"/>
    <w:rsid w:val="00A7485B"/>
    <w:rsid w:val="00A75159"/>
    <w:rsid w:val="00A7516A"/>
    <w:rsid w:val="00A75EE0"/>
    <w:rsid w:val="00A76682"/>
    <w:rsid w:val="00A77184"/>
    <w:rsid w:val="00A77328"/>
    <w:rsid w:val="00A7775C"/>
    <w:rsid w:val="00A779AB"/>
    <w:rsid w:val="00A80290"/>
    <w:rsid w:val="00A80731"/>
    <w:rsid w:val="00A80FBE"/>
    <w:rsid w:val="00A8334A"/>
    <w:rsid w:val="00A83F82"/>
    <w:rsid w:val="00A8442A"/>
    <w:rsid w:val="00A84E00"/>
    <w:rsid w:val="00A85115"/>
    <w:rsid w:val="00A85195"/>
    <w:rsid w:val="00A8604C"/>
    <w:rsid w:val="00A8630D"/>
    <w:rsid w:val="00A866D1"/>
    <w:rsid w:val="00A86CE7"/>
    <w:rsid w:val="00A87076"/>
    <w:rsid w:val="00A903BF"/>
    <w:rsid w:val="00A9066A"/>
    <w:rsid w:val="00A91343"/>
    <w:rsid w:val="00A914A5"/>
    <w:rsid w:val="00A92ABA"/>
    <w:rsid w:val="00A93D3C"/>
    <w:rsid w:val="00A94104"/>
    <w:rsid w:val="00A95488"/>
    <w:rsid w:val="00A95DB4"/>
    <w:rsid w:val="00A95EAB"/>
    <w:rsid w:val="00A96B1F"/>
    <w:rsid w:val="00A96CD1"/>
    <w:rsid w:val="00A973EC"/>
    <w:rsid w:val="00A97425"/>
    <w:rsid w:val="00A97B79"/>
    <w:rsid w:val="00A97C05"/>
    <w:rsid w:val="00AA1C1A"/>
    <w:rsid w:val="00AA1DBF"/>
    <w:rsid w:val="00AA233D"/>
    <w:rsid w:val="00AA238E"/>
    <w:rsid w:val="00AA26DD"/>
    <w:rsid w:val="00AA3250"/>
    <w:rsid w:val="00AA3433"/>
    <w:rsid w:val="00AA3B04"/>
    <w:rsid w:val="00AA3BE1"/>
    <w:rsid w:val="00AA3CD4"/>
    <w:rsid w:val="00AA6829"/>
    <w:rsid w:val="00AA68D9"/>
    <w:rsid w:val="00AA6AD9"/>
    <w:rsid w:val="00AA6D7B"/>
    <w:rsid w:val="00AA729C"/>
    <w:rsid w:val="00AA7C18"/>
    <w:rsid w:val="00AA7D2F"/>
    <w:rsid w:val="00AB0FE5"/>
    <w:rsid w:val="00AB2F1C"/>
    <w:rsid w:val="00AB46F4"/>
    <w:rsid w:val="00AB5518"/>
    <w:rsid w:val="00AB59D9"/>
    <w:rsid w:val="00AB64A2"/>
    <w:rsid w:val="00AB6827"/>
    <w:rsid w:val="00AB7E29"/>
    <w:rsid w:val="00AC075E"/>
    <w:rsid w:val="00AC091F"/>
    <w:rsid w:val="00AC0D13"/>
    <w:rsid w:val="00AC12A0"/>
    <w:rsid w:val="00AC1A63"/>
    <w:rsid w:val="00AC22BB"/>
    <w:rsid w:val="00AC237B"/>
    <w:rsid w:val="00AC334F"/>
    <w:rsid w:val="00AC40B6"/>
    <w:rsid w:val="00AC51D6"/>
    <w:rsid w:val="00AC55C0"/>
    <w:rsid w:val="00AC5A9F"/>
    <w:rsid w:val="00AC6511"/>
    <w:rsid w:val="00AD015A"/>
    <w:rsid w:val="00AD069C"/>
    <w:rsid w:val="00AD09AD"/>
    <w:rsid w:val="00AD0A74"/>
    <w:rsid w:val="00AD0A76"/>
    <w:rsid w:val="00AD0D5E"/>
    <w:rsid w:val="00AD1025"/>
    <w:rsid w:val="00AD153E"/>
    <w:rsid w:val="00AD1563"/>
    <w:rsid w:val="00AD1794"/>
    <w:rsid w:val="00AD1E53"/>
    <w:rsid w:val="00AD22D5"/>
    <w:rsid w:val="00AD2773"/>
    <w:rsid w:val="00AD315D"/>
    <w:rsid w:val="00AD417E"/>
    <w:rsid w:val="00AD6401"/>
    <w:rsid w:val="00AD6787"/>
    <w:rsid w:val="00AD678C"/>
    <w:rsid w:val="00AD6EE8"/>
    <w:rsid w:val="00AD79BB"/>
    <w:rsid w:val="00AE1976"/>
    <w:rsid w:val="00AE1A75"/>
    <w:rsid w:val="00AE1D23"/>
    <w:rsid w:val="00AE204D"/>
    <w:rsid w:val="00AE298B"/>
    <w:rsid w:val="00AE2F98"/>
    <w:rsid w:val="00AE3AB4"/>
    <w:rsid w:val="00AE3ACE"/>
    <w:rsid w:val="00AE42AE"/>
    <w:rsid w:val="00AE4799"/>
    <w:rsid w:val="00AE4A44"/>
    <w:rsid w:val="00AE5900"/>
    <w:rsid w:val="00AE60C0"/>
    <w:rsid w:val="00AE7483"/>
    <w:rsid w:val="00AE7BBA"/>
    <w:rsid w:val="00AF0534"/>
    <w:rsid w:val="00AF07B4"/>
    <w:rsid w:val="00AF09FE"/>
    <w:rsid w:val="00AF0E6A"/>
    <w:rsid w:val="00AF0FB5"/>
    <w:rsid w:val="00AF1727"/>
    <w:rsid w:val="00AF178B"/>
    <w:rsid w:val="00AF205B"/>
    <w:rsid w:val="00AF2E58"/>
    <w:rsid w:val="00AF32D1"/>
    <w:rsid w:val="00AF42A1"/>
    <w:rsid w:val="00AF493C"/>
    <w:rsid w:val="00AF49FE"/>
    <w:rsid w:val="00AF53C5"/>
    <w:rsid w:val="00AF54E2"/>
    <w:rsid w:val="00AF6BBA"/>
    <w:rsid w:val="00AF701D"/>
    <w:rsid w:val="00AF710C"/>
    <w:rsid w:val="00AF7153"/>
    <w:rsid w:val="00AF7DE3"/>
    <w:rsid w:val="00B003EF"/>
    <w:rsid w:val="00B00547"/>
    <w:rsid w:val="00B00723"/>
    <w:rsid w:val="00B00A4C"/>
    <w:rsid w:val="00B00F10"/>
    <w:rsid w:val="00B00FD7"/>
    <w:rsid w:val="00B01266"/>
    <w:rsid w:val="00B01E02"/>
    <w:rsid w:val="00B02614"/>
    <w:rsid w:val="00B02656"/>
    <w:rsid w:val="00B028D4"/>
    <w:rsid w:val="00B02C2F"/>
    <w:rsid w:val="00B0465A"/>
    <w:rsid w:val="00B046EC"/>
    <w:rsid w:val="00B04D93"/>
    <w:rsid w:val="00B053A4"/>
    <w:rsid w:val="00B06101"/>
    <w:rsid w:val="00B06B2A"/>
    <w:rsid w:val="00B072A6"/>
    <w:rsid w:val="00B1281D"/>
    <w:rsid w:val="00B13432"/>
    <w:rsid w:val="00B1358E"/>
    <w:rsid w:val="00B13C4E"/>
    <w:rsid w:val="00B13E88"/>
    <w:rsid w:val="00B140FB"/>
    <w:rsid w:val="00B1498A"/>
    <w:rsid w:val="00B1502A"/>
    <w:rsid w:val="00B15B63"/>
    <w:rsid w:val="00B17AAF"/>
    <w:rsid w:val="00B17F12"/>
    <w:rsid w:val="00B21178"/>
    <w:rsid w:val="00B2129B"/>
    <w:rsid w:val="00B214FF"/>
    <w:rsid w:val="00B228B3"/>
    <w:rsid w:val="00B22A38"/>
    <w:rsid w:val="00B236A4"/>
    <w:rsid w:val="00B242C5"/>
    <w:rsid w:val="00B248DF"/>
    <w:rsid w:val="00B24BA8"/>
    <w:rsid w:val="00B24F39"/>
    <w:rsid w:val="00B25B19"/>
    <w:rsid w:val="00B26AF7"/>
    <w:rsid w:val="00B26FCD"/>
    <w:rsid w:val="00B27658"/>
    <w:rsid w:val="00B30590"/>
    <w:rsid w:val="00B31F79"/>
    <w:rsid w:val="00B32717"/>
    <w:rsid w:val="00B32936"/>
    <w:rsid w:val="00B33A30"/>
    <w:rsid w:val="00B33EB0"/>
    <w:rsid w:val="00B340E0"/>
    <w:rsid w:val="00B3423C"/>
    <w:rsid w:val="00B3479A"/>
    <w:rsid w:val="00B350E6"/>
    <w:rsid w:val="00B3555E"/>
    <w:rsid w:val="00B359D4"/>
    <w:rsid w:val="00B3624B"/>
    <w:rsid w:val="00B36455"/>
    <w:rsid w:val="00B3726F"/>
    <w:rsid w:val="00B37E0A"/>
    <w:rsid w:val="00B40AB2"/>
    <w:rsid w:val="00B4142C"/>
    <w:rsid w:val="00B41B27"/>
    <w:rsid w:val="00B41F9E"/>
    <w:rsid w:val="00B41FFA"/>
    <w:rsid w:val="00B42ADA"/>
    <w:rsid w:val="00B430E3"/>
    <w:rsid w:val="00B435DB"/>
    <w:rsid w:val="00B448CB"/>
    <w:rsid w:val="00B45AF7"/>
    <w:rsid w:val="00B4613B"/>
    <w:rsid w:val="00B46CD3"/>
    <w:rsid w:val="00B470AB"/>
    <w:rsid w:val="00B50325"/>
    <w:rsid w:val="00B50CD8"/>
    <w:rsid w:val="00B51039"/>
    <w:rsid w:val="00B52AC1"/>
    <w:rsid w:val="00B53167"/>
    <w:rsid w:val="00B53B75"/>
    <w:rsid w:val="00B53F21"/>
    <w:rsid w:val="00B569EC"/>
    <w:rsid w:val="00B56B3D"/>
    <w:rsid w:val="00B57260"/>
    <w:rsid w:val="00B574A0"/>
    <w:rsid w:val="00B57A41"/>
    <w:rsid w:val="00B57E2E"/>
    <w:rsid w:val="00B57F64"/>
    <w:rsid w:val="00B618A1"/>
    <w:rsid w:val="00B6200F"/>
    <w:rsid w:val="00B6215B"/>
    <w:rsid w:val="00B637E3"/>
    <w:rsid w:val="00B64CC5"/>
    <w:rsid w:val="00B651F3"/>
    <w:rsid w:val="00B6580A"/>
    <w:rsid w:val="00B66ABF"/>
    <w:rsid w:val="00B674DD"/>
    <w:rsid w:val="00B700DA"/>
    <w:rsid w:val="00B7027D"/>
    <w:rsid w:val="00B728E7"/>
    <w:rsid w:val="00B729BA"/>
    <w:rsid w:val="00B729CA"/>
    <w:rsid w:val="00B73E78"/>
    <w:rsid w:val="00B7509F"/>
    <w:rsid w:val="00B75896"/>
    <w:rsid w:val="00B76FBB"/>
    <w:rsid w:val="00B77178"/>
    <w:rsid w:val="00B802F0"/>
    <w:rsid w:val="00B804B2"/>
    <w:rsid w:val="00B80539"/>
    <w:rsid w:val="00B808F4"/>
    <w:rsid w:val="00B816A8"/>
    <w:rsid w:val="00B81AD9"/>
    <w:rsid w:val="00B8230D"/>
    <w:rsid w:val="00B8281B"/>
    <w:rsid w:val="00B82B97"/>
    <w:rsid w:val="00B82CB0"/>
    <w:rsid w:val="00B83FB9"/>
    <w:rsid w:val="00B85E0D"/>
    <w:rsid w:val="00B86C1B"/>
    <w:rsid w:val="00B87197"/>
    <w:rsid w:val="00B875B2"/>
    <w:rsid w:val="00B876DB"/>
    <w:rsid w:val="00B87B5F"/>
    <w:rsid w:val="00B90F52"/>
    <w:rsid w:val="00B914A2"/>
    <w:rsid w:val="00B94131"/>
    <w:rsid w:val="00B94FE7"/>
    <w:rsid w:val="00B959A3"/>
    <w:rsid w:val="00B96374"/>
    <w:rsid w:val="00B96B9C"/>
    <w:rsid w:val="00B97A5F"/>
    <w:rsid w:val="00B97B57"/>
    <w:rsid w:val="00BA127A"/>
    <w:rsid w:val="00BA2944"/>
    <w:rsid w:val="00BA29D4"/>
    <w:rsid w:val="00BA2AE0"/>
    <w:rsid w:val="00BA2D2B"/>
    <w:rsid w:val="00BA2D37"/>
    <w:rsid w:val="00BA30C5"/>
    <w:rsid w:val="00BA32CA"/>
    <w:rsid w:val="00BA4067"/>
    <w:rsid w:val="00BA4A9E"/>
    <w:rsid w:val="00BA4C0A"/>
    <w:rsid w:val="00BA5685"/>
    <w:rsid w:val="00BA67F3"/>
    <w:rsid w:val="00BA77FA"/>
    <w:rsid w:val="00BA7BC2"/>
    <w:rsid w:val="00BB1795"/>
    <w:rsid w:val="00BB2340"/>
    <w:rsid w:val="00BB4A28"/>
    <w:rsid w:val="00BB54F9"/>
    <w:rsid w:val="00BB63CA"/>
    <w:rsid w:val="00BB65FC"/>
    <w:rsid w:val="00BC0217"/>
    <w:rsid w:val="00BC0231"/>
    <w:rsid w:val="00BC043D"/>
    <w:rsid w:val="00BC0D28"/>
    <w:rsid w:val="00BC1793"/>
    <w:rsid w:val="00BC2028"/>
    <w:rsid w:val="00BC2156"/>
    <w:rsid w:val="00BC25FE"/>
    <w:rsid w:val="00BC275F"/>
    <w:rsid w:val="00BC3317"/>
    <w:rsid w:val="00BC3A4D"/>
    <w:rsid w:val="00BC4260"/>
    <w:rsid w:val="00BC514C"/>
    <w:rsid w:val="00BC535E"/>
    <w:rsid w:val="00BC5370"/>
    <w:rsid w:val="00BC5FD3"/>
    <w:rsid w:val="00BC7A45"/>
    <w:rsid w:val="00BD03A8"/>
    <w:rsid w:val="00BD0EAB"/>
    <w:rsid w:val="00BD11CE"/>
    <w:rsid w:val="00BD124B"/>
    <w:rsid w:val="00BD162B"/>
    <w:rsid w:val="00BD1DAE"/>
    <w:rsid w:val="00BD2EB4"/>
    <w:rsid w:val="00BD2F8A"/>
    <w:rsid w:val="00BD4ED7"/>
    <w:rsid w:val="00BD5D26"/>
    <w:rsid w:val="00BD62C9"/>
    <w:rsid w:val="00BD6EB5"/>
    <w:rsid w:val="00BD726F"/>
    <w:rsid w:val="00BE0866"/>
    <w:rsid w:val="00BE08DA"/>
    <w:rsid w:val="00BE12AF"/>
    <w:rsid w:val="00BE2921"/>
    <w:rsid w:val="00BE2D43"/>
    <w:rsid w:val="00BE3247"/>
    <w:rsid w:val="00BE332D"/>
    <w:rsid w:val="00BE3470"/>
    <w:rsid w:val="00BE38F1"/>
    <w:rsid w:val="00BE39C0"/>
    <w:rsid w:val="00BE442E"/>
    <w:rsid w:val="00BE5682"/>
    <w:rsid w:val="00BE61E3"/>
    <w:rsid w:val="00BE69D5"/>
    <w:rsid w:val="00BE6A82"/>
    <w:rsid w:val="00BE73A1"/>
    <w:rsid w:val="00BF055E"/>
    <w:rsid w:val="00BF1D1A"/>
    <w:rsid w:val="00BF1FAA"/>
    <w:rsid w:val="00BF31A5"/>
    <w:rsid w:val="00BF35B8"/>
    <w:rsid w:val="00BF38CB"/>
    <w:rsid w:val="00BF3D1C"/>
    <w:rsid w:val="00BF4157"/>
    <w:rsid w:val="00BF4648"/>
    <w:rsid w:val="00BF50BD"/>
    <w:rsid w:val="00BF614C"/>
    <w:rsid w:val="00BF6A0B"/>
    <w:rsid w:val="00BF6B43"/>
    <w:rsid w:val="00BF6E0D"/>
    <w:rsid w:val="00C00822"/>
    <w:rsid w:val="00C00977"/>
    <w:rsid w:val="00C00C05"/>
    <w:rsid w:val="00C0173A"/>
    <w:rsid w:val="00C01E4F"/>
    <w:rsid w:val="00C027C3"/>
    <w:rsid w:val="00C030DC"/>
    <w:rsid w:val="00C03137"/>
    <w:rsid w:val="00C035F4"/>
    <w:rsid w:val="00C044A8"/>
    <w:rsid w:val="00C046DA"/>
    <w:rsid w:val="00C051D8"/>
    <w:rsid w:val="00C0544B"/>
    <w:rsid w:val="00C054DC"/>
    <w:rsid w:val="00C06550"/>
    <w:rsid w:val="00C068BE"/>
    <w:rsid w:val="00C07A0E"/>
    <w:rsid w:val="00C10590"/>
    <w:rsid w:val="00C113F4"/>
    <w:rsid w:val="00C11A1D"/>
    <w:rsid w:val="00C11C4F"/>
    <w:rsid w:val="00C12AEA"/>
    <w:rsid w:val="00C14679"/>
    <w:rsid w:val="00C14ADC"/>
    <w:rsid w:val="00C14B4B"/>
    <w:rsid w:val="00C15B4A"/>
    <w:rsid w:val="00C15E92"/>
    <w:rsid w:val="00C164A1"/>
    <w:rsid w:val="00C169F8"/>
    <w:rsid w:val="00C17740"/>
    <w:rsid w:val="00C178A7"/>
    <w:rsid w:val="00C21117"/>
    <w:rsid w:val="00C218BA"/>
    <w:rsid w:val="00C22F44"/>
    <w:rsid w:val="00C230ED"/>
    <w:rsid w:val="00C231A9"/>
    <w:rsid w:val="00C233E0"/>
    <w:rsid w:val="00C234D0"/>
    <w:rsid w:val="00C235D4"/>
    <w:rsid w:val="00C23A6E"/>
    <w:rsid w:val="00C24292"/>
    <w:rsid w:val="00C24743"/>
    <w:rsid w:val="00C24DBC"/>
    <w:rsid w:val="00C25742"/>
    <w:rsid w:val="00C262EF"/>
    <w:rsid w:val="00C27653"/>
    <w:rsid w:val="00C27720"/>
    <w:rsid w:val="00C31036"/>
    <w:rsid w:val="00C31ACC"/>
    <w:rsid w:val="00C31D75"/>
    <w:rsid w:val="00C324D0"/>
    <w:rsid w:val="00C32F87"/>
    <w:rsid w:val="00C3315A"/>
    <w:rsid w:val="00C33528"/>
    <w:rsid w:val="00C33869"/>
    <w:rsid w:val="00C33BB4"/>
    <w:rsid w:val="00C345B6"/>
    <w:rsid w:val="00C353CE"/>
    <w:rsid w:val="00C35AAF"/>
    <w:rsid w:val="00C368BC"/>
    <w:rsid w:val="00C37895"/>
    <w:rsid w:val="00C37E97"/>
    <w:rsid w:val="00C4042C"/>
    <w:rsid w:val="00C4077D"/>
    <w:rsid w:val="00C4137B"/>
    <w:rsid w:val="00C4140A"/>
    <w:rsid w:val="00C41AED"/>
    <w:rsid w:val="00C422AF"/>
    <w:rsid w:val="00C42AB1"/>
    <w:rsid w:val="00C43519"/>
    <w:rsid w:val="00C43A07"/>
    <w:rsid w:val="00C441AE"/>
    <w:rsid w:val="00C4489E"/>
    <w:rsid w:val="00C455AB"/>
    <w:rsid w:val="00C457A4"/>
    <w:rsid w:val="00C458F2"/>
    <w:rsid w:val="00C45E45"/>
    <w:rsid w:val="00C46648"/>
    <w:rsid w:val="00C4675E"/>
    <w:rsid w:val="00C46762"/>
    <w:rsid w:val="00C47660"/>
    <w:rsid w:val="00C4766A"/>
    <w:rsid w:val="00C47C21"/>
    <w:rsid w:val="00C47F7D"/>
    <w:rsid w:val="00C505DA"/>
    <w:rsid w:val="00C50936"/>
    <w:rsid w:val="00C51221"/>
    <w:rsid w:val="00C536C0"/>
    <w:rsid w:val="00C54E4E"/>
    <w:rsid w:val="00C552F8"/>
    <w:rsid w:val="00C5592F"/>
    <w:rsid w:val="00C5617A"/>
    <w:rsid w:val="00C56610"/>
    <w:rsid w:val="00C568BF"/>
    <w:rsid w:val="00C56AC1"/>
    <w:rsid w:val="00C56E34"/>
    <w:rsid w:val="00C577B8"/>
    <w:rsid w:val="00C60B51"/>
    <w:rsid w:val="00C611E4"/>
    <w:rsid w:val="00C61AB0"/>
    <w:rsid w:val="00C61BC3"/>
    <w:rsid w:val="00C61BDB"/>
    <w:rsid w:val="00C61BF2"/>
    <w:rsid w:val="00C61F14"/>
    <w:rsid w:val="00C62982"/>
    <w:rsid w:val="00C62A7A"/>
    <w:rsid w:val="00C632AD"/>
    <w:rsid w:val="00C635A9"/>
    <w:rsid w:val="00C63C84"/>
    <w:rsid w:val="00C63F13"/>
    <w:rsid w:val="00C64122"/>
    <w:rsid w:val="00C6422F"/>
    <w:rsid w:val="00C654EC"/>
    <w:rsid w:val="00C6620B"/>
    <w:rsid w:val="00C66753"/>
    <w:rsid w:val="00C66B40"/>
    <w:rsid w:val="00C677A2"/>
    <w:rsid w:val="00C67C5B"/>
    <w:rsid w:val="00C7033F"/>
    <w:rsid w:val="00C7034B"/>
    <w:rsid w:val="00C70962"/>
    <w:rsid w:val="00C71449"/>
    <w:rsid w:val="00C71CB1"/>
    <w:rsid w:val="00C72A0F"/>
    <w:rsid w:val="00C73B81"/>
    <w:rsid w:val="00C74144"/>
    <w:rsid w:val="00C74434"/>
    <w:rsid w:val="00C74A52"/>
    <w:rsid w:val="00C750FD"/>
    <w:rsid w:val="00C7532D"/>
    <w:rsid w:val="00C76AA7"/>
    <w:rsid w:val="00C76D05"/>
    <w:rsid w:val="00C776DD"/>
    <w:rsid w:val="00C77AA1"/>
    <w:rsid w:val="00C80116"/>
    <w:rsid w:val="00C80426"/>
    <w:rsid w:val="00C813B1"/>
    <w:rsid w:val="00C8206E"/>
    <w:rsid w:val="00C82FB4"/>
    <w:rsid w:val="00C851CE"/>
    <w:rsid w:val="00C852A9"/>
    <w:rsid w:val="00C857BA"/>
    <w:rsid w:val="00C86626"/>
    <w:rsid w:val="00C86D97"/>
    <w:rsid w:val="00C875BB"/>
    <w:rsid w:val="00C906C9"/>
    <w:rsid w:val="00C90985"/>
    <w:rsid w:val="00C90C7C"/>
    <w:rsid w:val="00C928D6"/>
    <w:rsid w:val="00C93D82"/>
    <w:rsid w:val="00C94788"/>
    <w:rsid w:val="00C947C4"/>
    <w:rsid w:val="00C94F6D"/>
    <w:rsid w:val="00C95D55"/>
    <w:rsid w:val="00C966D8"/>
    <w:rsid w:val="00C96CD5"/>
    <w:rsid w:val="00C971A7"/>
    <w:rsid w:val="00C97250"/>
    <w:rsid w:val="00C9734B"/>
    <w:rsid w:val="00CA0420"/>
    <w:rsid w:val="00CA0B18"/>
    <w:rsid w:val="00CA0CE6"/>
    <w:rsid w:val="00CA0FBE"/>
    <w:rsid w:val="00CA1849"/>
    <w:rsid w:val="00CA376C"/>
    <w:rsid w:val="00CA398C"/>
    <w:rsid w:val="00CA48D9"/>
    <w:rsid w:val="00CA52FC"/>
    <w:rsid w:val="00CA6F0F"/>
    <w:rsid w:val="00CB04A9"/>
    <w:rsid w:val="00CB1370"/>
    <w:rsid w:val="00CB1CA9"/>
    <w:rsid w:val="00CB1F6E"/>
    <w:rsid w:val="00CB253A"/>
    <w:rsid w:val="00CB33E2"/>
    <w:rsid w:val="00CB45FE"/>
    <w:rsid w:val="00CB4DE7"/>
    <w:rsid w:val="00CB6059"/>
    <w:rsid w:val="00CB71FD"/>
    <w:rsid w:val="00CC0EE2"/>
    <w:rsid w:val="00CC0F37"/>
    <w:rsid w:val="00CC1264"/>
    <w:rsid w:val="00CC1B81"/>
    <w:rsid w:val="00CC29B9"/>
    <w:rsid w:val="00CC2D83"/>
    <w:rsid w:val="00CC2DF4"/>
    <w:rsid w:val="00CC3274"/>
    <w:rsid w:val="00CC3913"/>
    <w:rsid w:val="00CC3B98"/>
    <w:rsid w:val="00CC4531"/>
    <w:rsid w:val="00CC4D43"/>
    <w:rsid w:val="00CC4D4F"/>
    <w:rsid w:val="00CC59DF"/>
    <w:rsid w:val="00CC6B09"/>
    <w:rsid w:val="00CC72E6"/>
    <w:rsid w:val="00CD041F"/>
    <w:rsid w:val="00CD08FC"/>
    <w:rsid w:val="00CD0C90"/>
    <w:rsid w:val="00CD1433"/>
    <w:rsid w:val="00CD15F2"/>
    <w:rsid w:val="00CD2708"/>
    <w:rsid w:val="00CD29A0"/>
    <w:rsid w:val="00CD2AE7"/>
    <w:rsid w:val="00CD2DEF"/>
    <w:rsid w:val="00CD3315"/>
    <w:rsid w:val="00CD3CA7"/>
    <w:rsid w:val="00CD3F04"/>
    <w:rsid w:val="00CD40D5"/>
    <w:rsid w:val="00CD4EB2"/>
    <w:rsid w:val="00CD4ED4"/>
    <w:rsid w:val="00CD54C3"/>
    <w:rsid w:val="00CD5ABD"/>
    <w:rsid w:val="00CD65FB"/>
    <w:rsid w:val="00CD6BA5"/>
    <w:rsid w:val="00CD6E62"/>
    <w:rsid w:val="00CD7150"/>
    <w:rsid w:val="00CD7D94"/>
    <w:rsid w:val="00CE0057"/>
    <w:rsid w:val="00CE0166"/>
    <w:rsid w:val="00CE07A6"/>
    <w:rsid w:val="00CE1921"/>
    <w:rsid w:val="00CE2230"/>
    <w:rsid w:val="00CE3485"/>
    <w:rsid w:val="00CE49C5"/>
    <w:rsid w:val="00CE5334"/>
    <w:rsid w:val="00CE6755"/>
    <w:rsid w:val="00CE7380"/>
    <w:rsid w:val="00CE7908"/>
    <w:rsid w:val="00CE796B"/>
    <w:rsid w:val="00CF1772"/>
    <w:rsid w:val="00CF1B7A"/>
    <w:rsid w:val="00CF2511"/>
    <w:rsid w:val="00CF2C36"/>
    <w:rsid w:val="00CF330C"/>
    <w:rsid w:val="00CF598B"/>
    <w:rsid w:val="00CF5CCF"/>
    <w:rsid w:val="00CF7F73"/>
    <w:rsid w:val="00D00C6E"/>
    <w:rsid w:val="00D022A7"/>
    <w:rsid w:val="00D02A45"/>
    <w:rsid w:val="00D032BC"/>
    <w:rsid w:val="00D04C6B"/>
    <w:rsid w:val="00D04EA3"/>
    <w:rsid w:val="00D04EBA"/>
    <w:rsid w:val="00D0513D"/>
    <w:rsid w:val="00D06041"/>
    <w:rsid w:val="00D07D80"/>
    <w:rsid w:val="00D1089A"/>
    <w:rsid w:val="00D10BFC"/>
    <w:rsid w:val="00D118B8"/>
    <w:rsid w:val="00D11B27"/>
    <w:rsid w:val="00D12093"/>
    <w:rsid w:val="00D12B5A"/>
    <w:rsid w:val="00D13C2B"/>
    <w:rsid w:val="00D1419B"/>
    <w:rsid w:val="00D143C6"/>
    <w:rsid w:val="00D14527"/>
    <w:rsid w:val="00D14F6D"/>
    <w:rsid w:val="00D16226"/>
    <w:rsid w:val="00D17604"/>
    <w:rsid w:val="00D1771B"/>
    <w:rsid w:val="00D17890"/>
    <w:rsid w:val="00D17A2E"/>
    <w:rsid w:val="00D17D5A"/>
    <w:rsid w:val="00D2117F"/>
    <w:rsid w:val="00D2127E"/>
    <w:rsid w:val="00D214BC"/>
    <w:rsid w:val="00D21B05"/>
    <w:rsid w:val="00D21BE1"/>
    <w:rsid w:val="00D22581"/>
    <w:rsid w:val="00D22592"/>
    <w:rsid w:val="00D225F6"/>
    <w:rsid w:val="00D24375"/>
    <w:rsid w:val="00D24467"/>
    <w:rsid w:val="00D2491D"/>
    <w:rsid w:val="00D25EE7"/>
    <w:rsid w:val="00D261C1"/>
    <w:rsid w:val="00D2629E"/>
    <w:rsid w:val="00D269F1"/>
    <w:rsid w:val="00D272FD"/>
    <w:rsid w:val="00D30B96"/>
    <w:rsid w:val="00D31708"/>
    <w:rsid w:val="00D31754"/>
    <w:rsid w:val="00D318F8"/>
    <w:rsid w:val="00D336E9"/>
    <w:rsid w:val="00D33A9B"/>
    <w:rsid w:val="00D34745"/>
    <w:rsid w:val="00D34F97"/>
    <w:rsid w:val="00D353A7"/>
    <w:rsid w:val="00D3650E"/>
    <w:rsid w:val="00D36A3C"/>
    <w:rsid w:val="00D3781A"/>
    <w:rsid w:val="00D401F1"/>
    <w:rsid w:val="00D40B42"/>
    <w:rsid w:val="00D40C2A"/>
    <w:rsid w:val="00D4296B"/>
    <w:rsid w:val="00D43878"/>
    <w:rsid w:val="00D43C67"/>
    <w:rsid w:val="00D43E87"/>
    <w:rsid w:val="00D45BAA"/>
    <w:rsid w:val="00D4614D"/>
    <w:rsid w:val="00D46DB4"/>
    <w:rsid w:val="00D47302"/>
    <w:rsid w:val="00D47364"/>
    <w:rsid w:val="00D47DC0"/>
    <w:rsid w:val="00D47F0F"/>
    <w:rsid w:val="00D500BD"/>
    <w:rsid w:val="00D50709"/>
    <w:rsid w:val="00D50949"/>
    <w:rsid w:val="00D50F79"/>
    <w:rsid w:val="00D512F2"/>
    <w:rsid w:val="00D516B3"/>
    <w:rsid w:val="00D51DC1"/>
    <w:rsid w:val="00D528F1"/>
    <w:rsid w:val="00D53994"/>
    <w:rsid w:val="00D539BB"/>
    <w:rsid w:val="00D53E14"/>
    <w:rsid w:val="00D54196"/>
    <w:rsid w:val="00D5457B"/>
    <w:rsid w:val="00D554EB"/>
    <w:rsid w:val="00D55AF3"/>
    <w:rsid w:val="00D55B6D"/>
    <w:rsid w:val="00D5650B"/>
    <w:rsid w:val="00D56A03"/>
    <w:rsid w:val="00D60829"/>
    <w:rsid w:val="00D61087"/>
    <w:rsid w:val="00D6128A"/>
    <w:rsid w:val="00D61D23"/>
    <w:rsid w:val="00D61E4B"/>
    <w:rsid w:val="00D623C8"/>
    <w:rsid w:val="00D62805"/>
    <w:rsid w:val="00D628AE"/>
    <w:rsid w:val="00D6522E"/>
    <w:rsid w:val="00D66422"/>
    <w:rsid w:val="00D670AE"/>
    <w:rsid w:val="00D67EC2"/>
    <w:rsid w:val="00D703BE"/>
    <w:rsid w:val="00D71EA2"/>
    <w:rsid w:val="00D71EF4"/>
    <w:rsid w:val="00D721D1"/>
    <w:rsid w:val="00D72D78"/>
    <w:rsid w:val="00D73C1E"/>
    <w:rsid w:val="00D7420F"/>
    <w:rsid w:val="00D74251"/>
    <w:rsid w:val="00D7499D"/>
    <w:rsid w:val="00D74C02"/>
    <w:rsid w:val="00D7556D"/>
    <w:rsid w:val="00D75AF0"/>
    <w:rsid w:val="00D769E5"/>
    <w:rsid w:val="00D76E5B"/>
    <w:rsid w:val="00D76E65"/>
    <w:rsid w:val="00D7717E"/>
    <w:rsid w:val="00D77579"/>
    <w:rsid w:val="00D77E36"/>
    <w:rsid w:val="00D80ECA"/>
    <w:rsid w:val="00D82496"/>
    <w:rsid w:val="00D83D46"/>
    <w:rsid w:val="00D83FCC"/>
    <w:rsid w:val="00D84AE0"/>
    <w:rsid w:val="00D854FA"/>
    <w:rsid w:val="00D856A4"/>
    <w:rsid w:val="00D85C03"/>
    <w:rsid w:val="00D85E57"/>
    <w:rsid w:val="00D879A3"/>
    <w:rsid w:val="00D87E78"/>
    <w:rsid w:val="00D87FC0"/>
    <w:rsid w:val="00D90182"/>
    <w:rsid w:val="00D90549"/>
    <w:rsid w:val="00D9195B"/>
    <w:rsid w:val="00D92C98"/>
    <w:rsid w:val="00D92DBA"/>
    <w:rsid w:val="00D93891"/>
    <w:rsid w:val="00D93ECE"/>
    <w:rsid w:val="00D943BD"/>
    <w:rsid w:val="00D95743"/>
    <w:rsid w:val="00D95EE6"/>
    <w:rsid w:val="00D970C4"/>
    <w:rsid w:val="00D970DE"/>
    <w:rsid w:val="00D975FF"/>
    <w:rsid w:val="00DA015F"/>
    <w:rsid w:val="00DA09A3"/>
    <w:rsid w:val="00DA0DDC"/>
    <w:rsid w:val="00DA20EE"/>
    <w:rsid w:val="00DA25F9"/>
    <w:rsid w:val="00DA2BEE"/>
    <w:rsid w:val="00DA369C"/>
    <w:rsid w:val="00DA3978"/>
    <w:rsid w:val="00DA4B5D"/>
    <w:rsid w:val="00DA5FC9"/>
    <w:rsid w:val="00DA703E"/>
    <w:rsid w:val="00DA766C"/>
    <w:rsid w:val="00DA7B46"/>
    <w:rsid w:val="00DB16D1"/>
    <w:rsid w:val="00DB1D43"/>
    <w:rsid w:val="00DB2AD4"/>
    <w:rsid w:val="00DB2DD2"/>
    <w:rsid w:val="00DB3B24"/>
    <w:rsid w:val="00DB3C99"/>
    <w:rsid w:val="00DB4FA3"/>
    <w:rsid w:val="00DB5888"/>
    <w:rsid w:val="00DB68C2"/>
    <w:rsid w:val="00DB6AE7"/>
    <w:rsid w:val="00DB71AC"/>
    <w:rsid w:val="00DB748B"/>
    <w:rsid w:val="00DB7AF8"/>
    <w:rsid w:val="00DB7F35"/>
    <w:rsid w:val="00DC01BE"/>
    <w:rsid w:val="00DC0760"/>
    <w:rsid w:val="00DC0F44"/>
    <w:rsid w:val="00DC1EAC"/>
    <w:rsid w:val="00DC2415"/>
    <w:rsid w:val="00DC2732"/>
    <w:rsid w:val="00DC27C6"/>
    <w:rsid w:val="00DC3137"/>
    <w:rsid w:val="00DC5448"/>
    <w:rsid w:val="00DC56E2"/>
    <w:rsid w:val="00DC5DE9"/>
    <w:rsid w:val="00DC6100"/>
    <w:rsid w:val="00DC6438"/>
    <w:rsid w:val="00DC759F"/>
    <w:rsid w:val="00DC7BBB"/>
    <w:rsid w:val="00DC7EA7"/>
    <w:rsid w:val="00DD1F4D"/>
    <w:rsid w:val="00DD201C"/>
    <w:rsid w:val="00DD204C"/>
    <w:rsid w:val="00DD216E"/>
    <w:rsid w:val="00DD2D30"/>
    <w:rsid w:val="00DD3431"/>
    <w:rsid w:val="00DD3679"/>
    <w:rsid w:val="00DD38A3"/>
    <w:rsid w:val="00DD3D6A"/>
    <w:rsid w:val="00DD40C6"/>
    <w:rsid w:val="00DD4878"/>
    <w:rsid w:val="00DD4FF5"/>
    <w:rsid w:val="00DD554B"/>
    <w:rsid w:val="00DD5960"/>
    <w:rsid w:val="00DD5FF2"/>
    <w:rsid w:val="00DD7B55"/>
    <w:rsid w:val="00DE0299"/>
    <w:rsid w:val="00DE04E8"/>
    <w:rsid w:val="00DE0B1B"/>
    <w:rsid w:val="00DE1290"/>
    <w:rsid w:val="00DE1481"/>
    <w:rsid w:val="00DE1E63"/>
    <w:rsid w:val="00DE2BE1"/>
    <w:rsid w:val="00DE31EF"/>
    <w:rsid w:val="00DE3299"/>
    <w:rsid w:val="00DE37B9"/>
    <w:rsid w:val="00DE4F0E"/>
    <w:rsid w:val="00DE5CE1"/>
    <w:rsid w:val="00DE6734"/>
    <w:rsid w:val="00DE7762"/>
    <w:rsid w:val="00DE7DBE"/>
    <w:rsid w:val="00DF0B73"/>
    <w:rsid w:val="00DF110E"/>
    <w:rsid w:val="00DF111E"/>
    <w:rsid w:val="00DF19C7"/>
    <w:rsid w:val="00DF1A7D"/>
    <w:rsid w:val="00DF236A"/>
    <w:rsid w:val="00DF2A66"/>
    <w:rsid w:val="00DF2F91"/>
    <w:rsid w:val="00DF36B0"/>
    <w:rsid w:val="00DF5103"/>
    <w:rsid w:val="00DF553F"/>
    <w:rsid w:val="00DF5624"/>
    <w:rsid w:val="00DF574F"/>
    <w:rsid w:val="00DF5EE2"/>
    <w:rsid w:val="00DF71C4"/>
    <w:rsid w:val="00DF74C1"/>
    <w:rsid w:val="00DF7AB0"/>
    <w:rsid w:val="00E00E4B"/>
    <w:rsid w:val="00E01120"/>
    <w:rsid w:val="00E01C04"/>
    <w:rsid w:val="00E01CC0"/>
    <w:rsid w:val="00E0251A"/>
    <w:rsid w:val="00E02949"/>
    <w:rsid w:val="00E04428"/>
    <w:rsid w:val="00E0471A"/>
    <w:rsid w:val="00E04BE7"/>
    <w:rsid w:val="00E04D37"/>
    <w:rsid w:val="00E0553B"/>
    <w:rsid w:val="00E058F3"/>
    <w:rsid w:val="00E05B46"/>
    <w:rsid w:val="00E0644F"/>
    <w:rsid w:val="00E067B8"/>
    <w:rsid w:val="00E06815"/>
    <w:rsid w:val="00E10403"/>
    <w:rsid w:val="00E112A6"/>
    <w:rsid w:val="00E11352"/>
    <w:rsid w:val="00E1280B"/>
    <w:rsid w:val="00E13175"/>
    <w:rsid w:val="00E1491B"/>
    <w:rsid w:val="00E151A9"/>
    <w:rsid w:val="00E158D2"/>
    <w:rsid w:val="00E15D6A"/>
    <w:rsid w:val="00E15E9E"/>
    <w:rsid w:val="00E16519"/>
    <w:rsid w:val="00E179CA"/>
    <w:rsid w:val="00E20189"/>
    <w:rsid w:val="00E20B70"/>
    <w:rsid w:val="00E2114E"/>
    <w:rsid w:val="00E21192"/>
    <w:rsid w:val="00E21AA7"/>
    <w:rsid w:val="00E22062"/>
    <w:rsid w:val="00E223B0"/>
    <w:rsid w:val="00E23702"/>
    <w:rsid w:val="00E2391F"/>
    <w:rsid w:val="00E25BE4"/>
    <w:rsid w:val="00E26150"/>
    <w:rsid w:val="00E27208"/>
    <w:rsid w:val="00E2739F"/>
    <w:rsid w:val="00E30430"/>
    <w:rsid w:val="00E30A7B"/>
    <w:rsid w:val="00E31A16"/>
    <w:rsid w:val="00E31CC7"/>
    <w:rsid w:val="00E31FE1"/>
    <w:rsid w:val="00E32C16"/>
    <w:rsid w:val="00E32FA8"/>
    <w:rsid w:val="00E33993"/>
    <w:rsid w:val="00E33A62"/>
    <w:rsid w:val="00E33AA1"/>
    <w:rsid w:val="00E33BA9"/>
    <w:rsid w:val="00E33CDE"/>
    <w:rsid w:val="00E3436D"/>
    <w:rsid w:val="00E34630"/>
    <w:rsid w:val="00E34765"/>
    <w:rsid w:val="00E350A2"/>
    <w:rsid w:val="00E354A0"/>
    <w:rsid w:val="00E354A6"/>
    <w:rsid w:val="00E3643D"/>
    <w:rsid w:val="00E36C69"/>
    <w:rsid w:val="00E36FEA"/>
    <w:rsid w:val="00E37766"/>
    <w:rsid w:val="00E37FC9"/>
    <w:rsid w:val="00E401FB"/>
    <w:rsid w:val="00E407E1"/>
    <w:rsid w:val="00E4103F"/>
    <w:rsid w:val="00E41896"/>
    <w:rsid w:val="00E42636"/>
    <w:rsid w:val="00E42780"/>
    <w:rsid w:val="00E43360"/>
    <w:rsid w:val="00E4475C"/>
    <w:rsid w:val="00E449CA"/>
    <w:rsid w:val="00E44DCC"/>
    <w:rsid w:val="00E45F2C"/>
    <w:rsid w:val="00E45F31"/>
    <w:rsid w:val="00E46361"/>
    <w:rsid w:val="00E4692B"/>
    <w:rsid w:val="00E46E6F"/>
    <w:rsid w:val="00E47048"/>
    <w:rsid w:val="00E47265"/>
    <w:rsid w:val="00E475D1"/>
    <w:rsid w:val="00E51B70"/>
    <w:rsid w:val="00E52283"/>
    <w:rsid w:val="00E52488"/>
    <w:rsid w:val="00E53DC9"/>
    <w:rsid w:val="00E55168"/>
    <w:rsid w:val="00E5559C"/>
    <w:rsid w:val="00E55EF0"/>
    <w:rsid w:val="00E56552"/>
    <w:rsid w:val="00E56A56"/>
    <w:rsid w:val="00E5788E"/>
    <w:rsid w:val="00E57B2B"/>
    <w:rsid w:val="00E57E17"/>
    <w:rsid w:val="00E6072F"/>
    <w:rsid w:val="00E6073C"/>
    <w:rsid w:val="00E607C0"/>
    <w:rsid w:val="00E60B6C"/>
    <w:rsid w:val="00E610B0"/>
    <w:rsid w:val="00E61204"/>
    <w:rsid w:val="00E61ADB"/>
    <w:rsid w:val="00E626B0"/>
    <w:rsid w:val="00E626C5"/>
    <w:rsid w:val="00E62723"/>
    <w:rsid w:val="00E628DD"/>
    <w:rsid w:val="00E6291F"/>
    <w:rsid w:val="00E6361F"/>
    <w:rsid w:val="00E64BE3"/>
    <w:rsid w:val="00E64DDF"/>
    <w:rsid w:val="00E64F47"/>
    <w:rsid w:val="00E66988"/>
    <w:rsid w:val="00E677E3"/>
    <w:rsid w:val="00E70526"/>
    <w:rsid w:val="00E71A5B"/>
    <w:rsid w:val="00E71E24"/>
    <w:rsid w:val="00E723A2"/>
    <w:rsid w:val="00E72891"/>
    <w:rsid w:val="00E728D6"/>
    <w:rsid w:val="00E72953"/>
    <w:rsid w:val="00E72B8B"/>
    <w:rsid w:val="00E72E2B"/>
    <w:rsid w:val="00E73E64"/>
    <w:rsid w:val="00E74AD6"/>
    <w:rsid w:val="00E74F8F"/>
    <w:rsid w:val="00E7609C"/>
    <w:rsid w:val="00E77072"/>
    <w:rsid w:val="00E770C7"/>
    <w:rsid w:val="00E77234"/>
    <w:rsid w:val="00E774B3"/>
    <w:rsid w:val="00E8068A"/>
    <w:rsid w:val="00E82E2F"/>
    <w:rsid w:val="00E82EA7"/>
    <w:rsid w:val="00E83D31"/>
    <w:rsid w:val="00E845B7"/>
    <w:rsid w:val="00E84C00"/>
    <w:rsid w:val="00E85222"/>
    <w:rsid w:val="00E860C4"/>
    <w:rsid w:val="00E86BA4"/>
    <w:rsid w:val="00E86E9D"/>
    <w:rsid w:val="00E86F7D"/>
    <w:rsid w:val="00E8723F"/>
    <w:rsid w:val="00E91390"/>
    <w:rsid w:val="00E913BB"/>
    <w:rsid w:val="00E91CAA"/>
    <w:rsid w:val="00E9236F"/>
    <w:rsid w:val="00E93D4C"/>
    <w:rsid w:val="00E94578"/>
    <w:rsid w:val="00E945A3"/>
    <w:rsid w:val="00E94986"/>
    <w:rsid w:val="00E94993"/>
    <w:rsid w:val="00E94DBE"/>
    <w:rsid w:val="00E953E3"/>
    <w:rsid w:val="00E96B28"/>
    <w:rsid w:val="00E96C5E"/>
    <w:rsid w:val="00E976C3"/>
    <w:rsid w:val="00E976F2"/>
    <w:rsid w:val="00EA001D"/>
    <w:rsid w:val="00EA0C36"/>
    <w:rsid w:val="00EA0E66"/>
    <w:rsid w:val="00EA2F3D"/>
    <w:rsid w:val="00EA3AE3"/>
    <w:rsid w:val="00EA5518"/>
    <w:rsid w:val="00EA6940"/>
    <w:rsid w:val="00EA6965"/>
    <w:rsid w:val="00EA773D"/>
    <w:rsid w:val="00EB1126"/>
    <w:rsid w:val="00EB1299"/>
    <w:rsid w:val="00EB1321"/>
    <w:rsid w:val="00EB1C7B"/>
    <w:rsid w:val="00EB24B8"/>
    <w:rsid w:val="00EB2775"/>
    <w:rsid w:val="00EB2849"/>
    <w:rsid w:val="00EB3702"/>
    <w:rsid w:val="00EB5040"/>
    <w:rsid w:val="00EB5399"/>
    <w:rsid w:val="00EB679B"/>
    <w:rsid w:val="00EB6B78"/>
    <w:rsid w:val="00EB6E2D"/>
    <w:rsid w:val="00EB72D9"/>
    <w:rsid w:val="00EB73CB"/>
    <w:rsid w:val="00EB763B"/>
    <w:rsid w:val="00EB78A8"/>
    <w:rsid w:val="00EC0D86"/>
    <w:rsid w:val="00EC123A"/>
    <w:rsid w:val="00EC1256"/>
    <w:rsid w:val="00EC165D"/>
    <w:rsid w:val="00EC2239"/>
    <w:rsid w:val="00EC2826"/>
    <w:rsid w:val="00EC2A23"/>
    <w:rsid w:val="00EC2F13"/>
    <w:rsid w:val="00EC2F19"/>
    <w:rsid w:val="00EC39DD"/>
    <w:rsid w:val="00EC3B8E"/>
    <w:rsid w:val="00EC3F7B"/>
    <w:rsid w:val="00EC43E3"/>
    <w:rsid w:val="00EC52DD"/>
    <w:rsid w:val="00EC5E35"/>
    <w:rsid w:val="00EC6A99"/>
    <w:rsid w:val="00EC7106"/>
    <w:rsid w:val="00EC73B7"/>
    <w:rsid w:val="00EC76A9"/>
    <w:rsid w:val="00EC78FE"/>
    <w:rsid w:val="00EC7D63"/>
    <w:rsid w:val="00ED0322"/>
    <w:rsid w:val="00ED0582"/>
    <w:rsid w:val="00ED08EC"/>
    <w:rsid w:val="00ED0A86"/>
    <w:rsid w:val="00ED17D3"/>
    <w:rsid w:val="00ED2047"/>
    <w:rsid w:val="00ED33A7"/>
    <w:rsid w:val="00ED37AC"/>
    <w:rsid w:val="00ED3999"/>
    <w:rsid w:val="00ED4142"/>
    <w:rsid w:val="00ED554E"/>
    <w:rsid w:val="00ED56C5"/>
    <w:rsid w:val="00ED6302"/>
    <w:rsid w:val="00ED701F"/>
    <w:rsid w:val="00ED7AEF"/>
    <w:rsid w:val="00EE028E"/>
    <w:rsid w:val="00EE02D8"/>
    <w:rsid w:val="00EE0DD5"/>
    <w:rsid w:val="00EE3120"/>
    <w:rsid w:val="00EE35CB"/>
    <w:rsid w:val="00EE7395"/>
    <w:rsid w:val="00EE73EE"/>
    <w:rsid w:val="00EE759D"/>
    <w:rsid w:val="00EF0DC3"/>
    <w:rsid w:val="00EF1814"/>
    <w:rsid w:val="00EF18DF"/>
    <w:rsid w:val="00EF1A25"/>
    <w:rsid w:val="00EF1BEB"/>
    <w:rsid w:val="00EF3A96"/>
    <w:rsid w:val="00EF3EF3"/>
    <w:rsid w:val="00EF3F2A"/>
    <w:rsid w:val="00EF4B1D"/>
    <w:rsid w:val="00EF4D6F"/>
    <w:rsid w:val="00EF5893"/>
    <w:rsid w:val="00EF5B63"/>
    <w:rsid w:val="00EF7577"/>
    <w:rsid w:val="00F00401"/>
    <w:rsid w:val="00F01AA9"/>
    <w:rsid w:val="00F01DC5"/>
    <w:rsid w:val="00F05680"/>
    <w:rsid w:val="00F05F99"/>
    <w:rsid w:val="00F07A84"/>
    <w:rsid w:val="00F10A88"/>
    <w:rsid w:val="00F11172"/>
    <w:rsid w:val="00F112FC"/>
    <w:rsid w:val="00F11487"/>
    <w:rsid w:val="00F1288F"/>
    <w:rsid w:val="00F12E6F"/>
    <w:rsid w:val="00F136B6"/>
    <w:rsid w:val="00F13821"/>
    <w:rsid w:val="00F141DB"/>
    <w:rsid w:val="00F15217"/>
    <w:rsid w:val="00F16FD3"/>
    <w:rsid w:val="00F1774E"/>
    <w:rsid w:val="00F206F0"/>
    <w:rsid w:val="00F21CCD"/>
    <w:rsid w:val="00F21E94"/>
    <w:rsid w:val="00F226E2"/>
    <w:rsid w:val="00F23C20"/>
    <w:rsid w:val="00F23E1D"/>
    <w:rsid w:val="00F24495"/>
    <w:rsid w:val="00F24DA0"/>
    <w:rsid w:val="00F2551E"/>
    <w:rsid w:val="00F26054"/>
    <w:rsid w:val="00F263B7"/>
    <w:rsid w:val="00F26486"/>
    <w:rsid w:val="00F26487"/>
    <w:rsid w:val="00F27841"/>
    <w:rsid w:val="00F27996"/>
    <w:rsid w:val="00F27AA2"/>
    <w:rsid w:val="00F27E93"/>
    <w:rsid w:val="00F30FB3"/>
    <w:rsid w:val="00F3266D"/>
    <w:rsid w:val="00F3318B"/>
    <w:rsid w:val="00F336E8"/>
    <w:rsid w:val="00F337ED"/>
    <w:rsid w:val="00F3381B"/>
    <w:rsid w:val="00F340DF"/>
    <w:rsid w:val="00F34857"/>
    <w:rsid w:val="00F34E1F"/>
    <w:rsid w:val="00F353DB"/>
    <w:rsid w:val="00F354EF"/>
    <w:rsid w:val="00F3589B"/>
    <w:rsid w:val="00F35CCB"/>
    <w:rsid w:val="00F36237"/>
    <w:rsid w:val="00F37106"/>
    <w:rsid w:val="00F37881"/>
    <w:rsid w:val="00F404E0"/>
    <w:rsid w:val="00F40ADC"/>
    <w:rsid w:val="00F40BD8"/>
    <w:rsid w:val="00F411B6"/>
    <w:rsid w:val="00F41A0B"/>
    <w:rsid w:val="00F41EB0"/>
    <w:rsid w:val="00F434C8"/>
    <w:rsid w:val="00F43B6B"/>
    <w:rsid w:val="00F4422A"/>
    <w:rsid w:val="00F44593"/>
    <w:rsid w:val="00F44E04"/>
    <w:rsid w:val="00F452E2"/>
    <w:rsid w:val="00F453C6"/>
    <w:rsid w:val="00F45757"/>
    <w:rsid w:val="00F45A15"/>
    <w:rsid w:val="00F45C9C"/>
    <w:rsid w:val="00F45E96"/>
    <w:rsid w:val="00F460CB"/>
    <w:rsid w:val="00F46175"/>
    <w:rsid w:val="00F46E8B"/>
    <w:rsid w:val="00F47193"/>
    <w:rsid w:val="00F471D0"/>
    <w:rsid w:val="00F4755C"/>
    <w:rsid w:val="00F4792D"/>
    <w:rsid w:val="00F50480"/>
    <w:rsid w:val="00F51627"/>
    <w:rsid w:val="00F518CD"/>
    <w:rsid w:val="00F51CCD"/>
    <w:rsid w:val="00F51D3A"/>
    <w:rsid w:val="00F522F7"/>
    <w:rsid w:val="00F52695"/>
    <w:rsid w:val="00F536B0"/>
    <w:rsid w:val="00F53FDF"/>
    <w:rsid w:val="00F54C90"/>
    <w:rsid w:val="00F55918"/>
    <w:rsid w:val="00F55C63"/>
    <w:rsid w:val="00F567A6"/>
    <w:rsid w:val="00F60AFF"/>
    <w:rsid w:val="00F61852"/>
    <w:rsid w:val="00F61D6A"/>
    <w:rsid w:val="00F61D95"/>
    <w:rsid w:val="00F61E10"/>
    <w:rsid w:val="00F63397"/>
    <w:rsid w:val="00F63DA6"/>
    <w:rsid w:val="00F64EC6"/>
    <w:rsid w:val="00F65114"/>
    <w:rsid w:val="00F656CE"/>
    <w:rsid w:val="00F66E35"/>
    <w:rsid w:val="00F67932"/>
    <w:rsid w:val="00F7150D"/>
    <w:rsid w:val="00F72013"/>
    <w:rsid w:val="00F727A5"/>
    <w:rsid w:val="00F72AF4"/>
    <w:rsid w:val="00F72CD8"/>
    <w:rsid w:val="00F72DF3"/>
    <w:rsid w:val="00F73474"/>
    <w:rsid w:val="00F73694"/>
    <w:rsid w:val="00F74099"/>
    <w:rsid w:val="00F743B8"/>
    <w:rsid w:val="00F74FC8"/>
    <w:rsid w:val="00F7500E"/>
    <w:rsid w:val="00F752C4"/>
    <w:rsid w:val="00F75325"/>
    <w:rsid w:val="00F75668"/>
    <w:rsid w:val="00F75B75"/>
    <w:rsid w:val="00F76141"/>
    <w:rsid w:val="00F7616A"/>
    <w:rsid w:val="00F76506"/>
    <w:rsid w:val="00F77781"/>
    <w:rsid w:val="00F779BF"/>
    <w:rsid w:val="00F80005"/>
    <w:rsid w:val="00F81762"/>
    <w:rsid w:val="00F81AEE"/>
    <w:rsid w:val="00F82010"/>
    <w:rsid w:val="00F82A6D"/>
    <w:rsid w:val="00F82E44"/>
    <w:rsid w:val="00F84BC6"/>
    <w:rsid w:val="00F84C2E"/>
    <w:rsid w:val="00F84EA1"/>
    <w:rsid w:val="00F850EC"/>
    <w:rsid w:val="00F87598"/>
    <w:rsid w:val="00F8760B"/>
    <w:rsid w:val="00F87671"/>
    <w:rsid w:val="00F87ACF"/>
    <w:rsid w:val="00F91850"/>
    <w:rsid w:val="00F92222"/>
    <w:rsid w:val="00F924D9"/>
    <w:rsid w:val="00F931FA"/>
    <w:rsid w:val="00F9424A"/>
    <w:rsid w:val="00F958F9"/>
    <w:rsid w:val="00F9624E"/>
    <w:rsid w:val="00FA1021"/>
    <w:rsid w:val="00FA2CD7"/>
    <w:rsid w:val="00FA2DBC"/>
    <w:rsid w:val="00FA3656"/>
    <w:rsid w:val="00FA4BDE"/>
    <w:rsid w:val="00FA59EC"/>
    <w:rsid w:val="00FA5DDB"/>
    <w:rsid w:val="00FA6205"/>
    <w:rsid w:val="00FA7C63"/>
    <w:rsid w:val="00FB05D9"/>
    <w:rsid w:val="00FB08D4"/>
    <w:rsid w:val="00FB119C"/>
    <w:rsid w:val="00FB20DD"/>
    <w:rsid w:val="00FB28AE"/>
    <w:rsid w:val="00FB41BF"/>
    <w:rsid w:val="00FB51B5"/>
    <w:rsid w:val="00FB6312"/>
    <w:rsid w:val="00FB6506"/>
    <w:rsid w:val="00FB6F64"/>
    <w:rsid w:val="00FC04A1"/>
    <w:rsid w:val="00FC0A4C"/>
    <w:rsid w:val="00FC108D"/>
    <w:rsid w:val="00FC1442"/>
    <w:rsid w:val="00FC2897"/>
    <w:rsid w:val="00FC2FAC"/>
    <w:rsid w:val="00FC3762"/>
    <w:rsid w:val="00FC42A2"/>
    <w:rsid w:val="00FC4969"/>
    <w:rsid w:val="00FC517E"/>
    <w:rsid w:val="00FC5398"/>
    <w:rsid w:val="00FC6760"/>
    <w:rsid w:val="00FC6C9A"/>
    <w:rsid w:val="00FC6E82"/>
    <w:rsid w:val="00FC7071"/>
    <w:rsid w:val="00FC7251"/>
    <w:rsid w:val="00FC7825"/>
    <w:rsid w:val="00FC7F48"/>
    <w:rsid w:val="00FD0123"/>
    <w:rsid w:val="00FD1199"/>
    <w:rsid w:val="00FD123A"/>
    <w:rsid w:val="00FD125A"/>
    <w:rsid w:val="00FD1D15"/>
    <w:rsid w:val="00FD2E2A"/>
    <w:rsid w:val="00FD63F6"/>
    <w:rsid w:val="00FD6F71"/>
    <w:rsid w:val="00FE00A5"/>
    <w:rsid w:val="00FE04D0"/>
    <w:rsid w:val="00FE069E"/>
    <w:rsid w:val="00FE0833"/>
    <w:rsid w:val="00FE2441"/>
    <w:rsid w:val="00FE2F42"/>
    <w:rsid w:val="00FE3367"/>
    <w:rsid w:val="00FE35AA"/>
    <w:rsid w:val="00FE4768"/>
    <w:rsid w:val="00FE4D75"/>
    <w:rsid w:val="00FE50A1"/>
    <w:rsid w:val="00FE5384"/>
    <w:rsid w:val="00FE6842"/>
    <w:rsid w:val="00FE6B74"/>
    <w:rsid w:val="00FE7034"/>
    <w:rsid w:val="00FE711E"/>
    <w:rsid w:val="00FF30EC"/>
    <w:rsid w:val="00FF36B3"/>
    <w:rsid w:val="00FF4FA3"/>
    <w:rsid w:val="00FF5329"/>
    <w:rsid w:val="00FF560F"/>
    <w:rsid w:val="00FF5AF2"/>
    <w:rsid w:val="00FF5C2A"/>
    <w:rsid w:val="00FF6074"/>
    <w:rsid w:val="00FF634C"/>
    <w:rsid w:val="00FF7C83"/>
  </w:rsids>
  <m:mathPr>
    <m:mathFont m:val="Cambria Math"/>
    <m:brkBin m:val="before"/>
    <m:brkBinSub m:val="--"/>
    <m:smallFrac m:val="0"/>
    <m:dispDef/>
    <m:lMargin m:val="0"/>
    <m:rMargin m:val="0"/>
    <m:defJc m:val="centerGroup"/>
    <m:wrapIndent m:val="1440"/>
    <m:intLim m:val="subSup"/>
    <m:naryLim m:val="undOvr"/>
  </m:mathPr>
  <w:themeFontLang w:val="es-MX"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1563F7"/>
  <w15:chartTrackingRefBased/>
  <w15:docId w15:val="{7961DE4D-131A-4187-B8E1-C0F0130D7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04C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C2F19"/>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EC2F19"/>
    <w:pPr>
      <w:ind w:left="720"/>
      <w:contextualSpacing/>
    </w:pPr>
  </w:style>
  <w:style w:type="paragraph" w:styleId="Textonotapie">
    <w:name w:val="footnote text"/>
    <w:basedOn w:val="Normal"/>
    <w:link w:val="TextonotapieCar"/>
    <w:uiPriority w:val="99"/>
    <w:unhideWhenUsed/>
    <w:rsid w:val="00EC2F19"/>
    <w:pPr>
      <w:spacing w:after="0" w:line="240" w:lineRule="auto"/>
    </w:pPr>
    <w:rPr>
      <w:sz w:val="20"/>
      <w:szCs w:val="20"/>
    </w:rPr>
  </w:style>
  <w:style w:type="character" w:customStyle="1" w:styleId="TextonotapieCar">
    <w:name w:val="Texto nota pie Car"/>
    <w:basedOn w:val="Fuentedeprrafopredeter"/>
    <w:link w:val="Textonotapie"/>
    <w:uiPriority w:val="99"/>
    <w:rsid w:val="00EC2F19"/>
    <w:rPr>
      <w:sz w:val="20"/>
      <w:szCs w:val="20"/>
    </w:rPr>
  </w:style>
  <w:style w:type="character" w:styleId="Refdenotaalpie">
    <w:name w:val="footnote reference"/>
    <w:basedOn w:val="Fuentedeprrafopredeter"/>
    <w:uiPriority w:val="99"/>
    <w:unhideWhenUsed/>
    <w:rsid w:val="00EC2F19"/>
    <w:rPr>
      <w:vertAlign w:val="superscript"/>
    </w:rPr>
  </w:style>
  <w:style w:type="paragraph" w:styleId="NormalWeb">
    <w:name w:val="Normal (Web)"/>
    <w:basedOn w:val="Normal"/>
    <w:uiPriority w:val="99"/>
    <w:unhideWhenUsed/>
    <w:rsid w:val="00EC2F19"/>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rsid w:val="00EC2F19"/>
    <w:rPr>
      <w:color w:val="0000FF"/>
      <w:u w:val="single"/>
    </w:rPr>
  </w:style>
  <w:style w:type="paragraph" w:styleId="Encabezado">
    <w:name w:val="header"/>
    <w:basedOn w:val="Normal"/>
    <w:link w:val="EncabezadoCar"/>
    <w:unhideWhenUsed/>
    <w:rsid w:val="00EC2F19"/>
    <w:pPr>
      <w:tabs>
        <w:tab w:val="center" w:pos="4419"/>
        <w:tab w:val="right" w:pos="8838"/>
      </w:tabs>
      <w:spacing w:after="0" w:line="240" w:lineRule="auto"/>
    </w:pPr>
  </w:style>
  <w:style w:type="character" w:customStyle="1" w:styleId="EncabezadoCar">
    <w:name w:val="Encabezado Car"/>
    <w:basedOn w:val="Fuentedeprrafopredeter"/>
    <w:link w:val="Encabezado"/>
    <w:rsid w:val="00EC2F19"/>
  </w:style>
  <w:style w:type="paragraph" w:styleId="Piedepgina">
    <w:name w:val="footer"/>
    <w:basedOn w:val="Normal"/>
    <w:link w:val="PiedepginaCar"/>
    <w:uiPriority w:val="99"/>
    <w:unhideWhenUsed/>
    <w:rsid w:val="00EC2F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2F19"/>
  </w:style>
  <w:style w:type="character" w:styleId="Refdecomentario">
    <w:name w:val="annotation reference"/>
    <w:basedOn w:val="Fuentedeprrafopredeter"/>
    <w:uiPriority w:val="99"/>
    <w:semiHidden/>
    <w:unhideWhenUsed/>
    <w:rsid w:val="009454A4"/>
    <w:rPr>
      <w:sz w:val="16"/>
      <w:szCs w:val="16"/>
    </w:rPr>
  </w:style>
  <w:style w:type="paragraph" w:styleId="Textocomentario">
    <w:name w:val="annotation text"/>
    <w:basedOn w:val="Normal"/>
    <w:link w:val="TextocomentarioCar"/>
    <w:uiPriority w:val="99"/>
    <w:unhideWhenUsed/>
    <w:rsid w:val="009454A4"/>
    <w:pPr>
      <w:spacing w:line="240" w:lineRule="auto"/>
    </w:pPr>
    <w:rPr>
      <w:sz w:val="20"/>
      <w:szCs w:val="20"/>
    </w:rPr>
  </w:style>
  <w:style w:type="character" w:customStyle="1" w:styleId="TextocomentarioCar">
    <w:name w:val="Texto comentario Car"/>
    <w:basedOn w:val="Fuentedeprrafopredeter"/>
    <w:link w:val="Textocomentario"/>
    <w:uiPriority w:val="99"/>
    <w:rsid w:val="009454A4"/>
    <w:rPr>
      <w:sz w:val="20"/>
      <w:szCs w:val="20"/>
    </w:rPr>
  </w:style>
  <w:style w:type="paragraph" w:styleId="Asuntodelcomentario">
    <w:name w:val="annotation subject"/>
    <w:basedOn w:val="Textocomentario"/>
    <w:next w:val="Textocomentario"/>
    <w:link w:val="AsuntodelcomentarioCar"/>
    <w:uiPriority w:val="99"/>
    <w:semiHidden/>
    <w:unhideWhenUsed/>
    <w:rsid w:val="009454A4"/>
    <w:rPr>
      <w:b/>
      <w:bCs/>
    </w:rPr>
  </w:style>
  <w:style w:type="character" w:customStyle="1" w:styleId="AsuntodelcomentarioCar">
    <w:name w:val="Asunto del comentario Car"/>
    <w:basedOn w:val="TextocomentarioCar"/>
    <w:link w:val="Asuntodelcomentario"/>
    <w:uiPriority w:val="99"/>
    <w:semiHidden/>
    <w:rsid w:val="009454A4"/>
    <w:rPr>
      <w:b/>
      <w:bCs/>
      <w:sz w:val="20"/>
      <w:szCs w:val="20"/>
    </w:rPr>
  </w:style>
  <w:style w:type="paragraph" w:styleId="Textodeglobo">
    <w:name w:val="Balloon Text"/>
    <w:basedOn w:val="Normal"/>
    <w:link w:val="TextodegloboCar"/>
    <w:uiPriority w:val="99"/>
    <w:semiHidden/>
    <w:unhideWhenUsed/>
    <w:rsid w:val="009454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454A4"/>
    <w:rPr>
      <w:rFonts w:ascii="Segoe UI" w:hAnsi="Segoe UI" w:cs="Segoe UI"/>
      <w:sz w:val="18"/>
      <w:szCs w:val="18"/>
    </w:rPr>
  </w:style>
  <w:style w:type="paragraph" w:styleId="Revisin">
    <w:name w:val="Revision"/>
    <w:hidden/>
    <w:uiPriority w:val="99"/>
    <w:semiHidden/>
    <w:rsid w:val="009321D8"/>
    <w:pPr>
      <w:spacing w:after="0" w:line="240" w:lineRule="auto"/>
    </w:pPr>
  </w:style>
  <w:style w:type="character" w:customStyle="1" w:styleId="Mencinsinresolver1">
    <w:name w:val="Mención sin resolver1"/>
    <w:basedOn w:val="Fuentedeprrafopredeter"/>
    <w:uiPriority w:val="99"/>
    <w:rsid w:val="00266E1C"/>
    <w:rPr>
      <w:color w:val="605E5C"/>
      <w:shd w:val="clear" w:color="auto" w:fill="E1DFDD"/>
    </w:rPr>
  </w:style>
  <w:style w:type="character" w:customStyle="1" w:styleId="Mencinsinresolver2">
    <w:name w:val="Mención sin resolver2"/>
    <w:basedOn w:val="Fuentedeprrafopredeter"/>
    <w:uiPriority w:val="99"/>
    <w:semiHidden/>
    <w:unhideWhenUsed/>
    <w:rsid w:val="00A001BF"/>
    <w:rPr>
      <w:color w:val="605E5C"/>
      <w:shd w:val="clear" w:color="auto" w:fill="E1DFDD"/>
    </w:rPr>
  </w:style>
  <w:style w:type="character" w:customStyle="1" w:styleId="Mencinsinresolver3">
    <w:name w:val="Mención sin resolver3"/>
    <w:basedOn w:val="Fuentedeprrafopredeter"/>
    <w:uiPriority w:val="99"/>
    <w:semiHidden/>
    <w:unhideWhenUsed/>
    <w:rsid w:val="00771814"/>
    <w:rPr>
      <w:color w:val="605E5C"/>
      <w:shd w:val="clear" w:color="auto" w:fill="E1DFDD"/>
    </w:rPr>
  </w:style>
  <w:style w:type="character" w:styleId="Mencinsinresolver">
    <w:name w:val="Unresolved Mention"/>
    <w:basedOn w:val="Fuentedeprrafopredeter"/>
    <w:uiPriority w:val="99"/>
    <w:semiHidden/>
    <w:unhideWhenUsed/>
    <w:rsid w:val="001829D4"/>
    <w:rPr>
      <w:color w:val="605E5C"/>
      <w:shd w:val="clear" w:color="auto" w:fill="E1DFDD"/>
    </w:rPr>
  </w:style>
  <w:style w:type="paragraph" w:styleId="Textonotaalfinal">
    <w:name w:val="endnote text"/>
    <w:basedOn w:val="Normal"/>
    <w:link w:val="TextonotaalfinalCar"/>
    <w:uiPriority w:val="99"/>
    <w:semiHidden/>
    <w:unhideWhenUsed/>
    <w:rsid w:val="00833A2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33A24"/>
    <w:rPr>
      <w:sz w:val="20"/>
      <w:szCs w:val="20"/>
    </w:rPr>
  </w:style>
  <w:style w:type="character" w:styleId="Refdenotaalfinal">
    <w:name w:val="endnote reference"/>
    <w:basedOn w:val="Fuentedeprrafopredeter"/>
    <w:uiPriority w:val="99"/>
    <w:semiHidden/>
    <w:unhideWhenUsed/>
    <w:rsid w:val="00833A24"/>
    <w:rPr>
      <w:vertAlign w:val="superscript"/>
    </w:rPr>
  </w:style>
  <w:style w:type="character" w:styleId="Hipervnculovisitado">
    <w:name w:val="FollowedHyperlink"/>
    <w:basedOn w:val="Fuentedeprrafopredeter"/>
    <w:uiPriority w:val="99"/>
    <w:semiHidden/>
    <w:unhideWhenUsed/>
    <w:rsid w:val="007F76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7779">
      <w:bodyDiv w:val="1"/>
      <w:marLeft w:val="0"/>
      <w:marRight w:val="0"/>
      <w:marTop w:val="0"/>
      <w:marBottom w:val="0"/>
      <w:divBdr>
        <w:top w:val="none" w:sz="0" w:space="0" w:color="auto"/>
        <w:left w:val="none" w:sz="0" w:space="0" w:color="auto"/>
        <w:bottom w:val="none" w:sz="0" w:space="0" w:color="auto"/>
        <w:right w:val="none" w:sz="0" w:space="0" w:color="auto"/>
      </w:divBdr>
    </w:div>
    <w:div w:id="7878159">
      <w:bodyDiv w:val="1"/>
      <w:marLeft w:val="0"/>
      <w:marRight w:val="0"/>
      <w:marTop w:val="0"/>
      <w:marBottom w:val="0"/>
      <w:divBdr>
        <w:top w:val="none" w:sz="0" w:space="0" w:color="auto"/>
        <w:left w:val="none" w:sz="0" w:space="0" w:color="auto"/>
        <w:bottom w:val="none" w:sz="0" w:space="0" w:color="auto"/>
        <w:right w:val="none" w:sz="0" w:space="0" w:color="auto"/>
      </w:divBdr>
    </w:div>
    <w:div w:id="16859633">
      <w:bodyDiv w:val="1"/>
      <w:marLeft w:val="0"/>
      <w:marRight w:val="0"/>
      <w:marTop w:val="0"/>
      <w:marBottom w:val="0"/>
      <w:divBdr>
        <w:top w:val="none" w:sz="0" w:space="0" w:color="auto"/>
        <w:left w:val="none" w:sz="0" w:space="0" w:color="auto"/>
        <w:bottom w:val="none" w:sz="0" w:space="0" w:color="auto"/>
        <w:right w:val="none" w:sz="0" w:space="0" w:color="auto"/>
      </w:divBdr>
    </w:div>
    <w:div w:id="53357497">
      <w:bodyDiv w:val="1"/>
      <w:marLeft w:val="0"/>
      <w:marRight w:val="0"/>
      <w:marTop w:val="0"/>
      <w:marBottom w:val="0"/>
      <w:divBdr>
        <w:top w:val="none" w:sz="0" w:space="0" w:color="auto"/>
        <w:left w:val="none" w:sz="0" w:space="0" w:color="auto"/>
        <w:bottom w:val="none" w:sz="0" w:space="0" w:color="auto"/>
        <w:right w:val="none" w:sz="0" w:space="0" w:color="auto"/>
      </w:divBdr>
    </w:div>
    <w:div w:id="58939043">
      <w:bodyDiv w:val="1"/>
      <w:marLeft w:val="0"/>
      <w:marRight w:val="0"/>
      <w:marTop w:val="0"/>
      <w:marBottom w:val="0"/>
      <w:divBdr>
        <w:top w:val="none" w:sz="0" w:space="0" w:color="auto"/>
        <w:left w:val="none" w:sz="0" w:space="0" w:color="auto"/>
        <w:bottom w:val="none" w:sz="0" w:space="0" w:color="auto"/>
        <w:right w:val="none" w:sz="0" w:space="0" w:color="auto"/>
      </w:divBdr>
    </w:div>
    <w:div w:id="59251507">
      <w:bodyDiv w:val="1"/>
      <w:marLeft w:val="0"/>
      <w:marRight w:val="0"/>
      <w:marTop w:val="0"/>
      <w:marBottom w:val="0"/>
      <w:divBdr>
        <w:top w:val="none" w:sz="0" w:space="0" w:color="auto"/>
        <w:left w:val="none" w:sz="0" w:space="0" w:color="auto"/>
        <w:bottom w:val="none" w:sz="0" w:space="0" w:color="auto"/>
        <w:right w:val="none" w:sz="0" w:space="0" w:color="auto"/>
      </w:divBdr>
    </w:div>
    <w:div w:id="80417350">
      <w:bodyDiv w:val="1"/>
      <w:marLeft w:val="0"/>
      <w:marRight w:val="0"/>
      <w:marTop w:val="0"/>
      <w:marBottom w:val="0"/>
      <w:divBdr>
        <w:top w:val="none" w:sz="0" w:space="0" w:color="auto"/>
        <w:left w:val="none" w:sz="0" w:space="0" w:color="auto"/>
        <w:bottom w:val="none" w:sz="0" w:space="0" w:color="auto"/>
        <w:right w:val="none" w:sz="0" w:space="0" w:color="auto"/>
      </w:divBdr>
    </w:div>
    <w:div w:id="137040666">
      <w:bodyDiv w:val="1"/>
      <w:marLeft w:val="0"/>
      <w:marRight w:val="0"/>
      <w:marTop w:val="0"/>
      <w:marBottom w:val="0"/>
      <w:divBdr>
        <w:top w:val="none" w:sz="0" w:space="0" w:color="auto"/>
        <w:left w:val="none" w:sz="0" w:space="0" w:color="auto"/>
        <w:bottom w:val="none" w:sz="0" w:space="0" w:color="auto"/>
        <w:right w:val="none" w:sz="0" w:space="0" w:color="auto"/>
      </w:divBdr>
    </w:div>
    <w:div w:id="141626517">
      <w:bodyDiv w:val="1"/>
      <w:marLeft w:val="0"/>
      <w:marRight w:val="0"/>
      <w:marTop w:val="0"/>
      <w:marBottom w:val="0"/>
      <w:divBdr>
        <w:top w:val="none" w:sz="0" w:space="0" w:color="auto"/>
        <w:left w:val="none" w:sz="0" w:space="0" w:color="auto"/>
        <w:bottom w:val="none" w:sz="0" w:space="0" w:color="auto"/>
        <w:right w:val="none" w:sz="0" w:space="0" w:color="auto"/>
      </w:divBdr>
    </w:div>
    <w:div w:id="168444396">
      <w:bodyDiv w:val="1"/>
      <w:marLeft w:val="0"/>
      <w:marRight w:val="0"/>
      <w:marTop w:val="0"/>
      <w:marBottom w:val="0"/>
      <w:divBdr>
        <w:top w:val="none" w:sz="0" w:space="0" w:color="auto"/>
        <w:left w:val="none" w:sz="0" w:space="0" w:color="auto"/>
        <w:bottom w:val="none" w:sz="0" w:space="0" w:color="auto"/>
        <w:right w:val="none" w:sz="0" w:space="0" w:color="auto"/>
      </w:divBdr>
    </w:div>
    <w:div w:id="180359823">
      <w:bodyDiv w:val="1"/>
      <w:marLeft w:val="0"/>
      <w:marRight w:val="0"/>
      <w:marTop w:val="0"/>
      <w:marBottom w:val="0"/>
      <w:divBdr>
        <w:top w:val="none" w:sz="0" w:space="0" w:color="auto"/>
        <w:left w:val="none" w:sz="0" w:space="0" w:color="auto"/>
        <w:bottom w:val="none" w:sz="0" w:space="0" w:color="auto"/>
        <w:right w:val="none" w:sz="0" w:space="0" w:color="auto"/>
      </w:divBdr>
    </w:div>
    <w:div w:id="189610500">
      <w:bodyDiv w:val="1"/>
      <w:marLeft w:val="0"/>
      <w:marRight w:val="0"/>
      <w:marTop w:val="0"/>
      <w:marBottom w:val="0"/>
      <w:divBdr>
        <w:top w:val="none" w:sz="0" w:space="0" w:color="auto"/>
        <w:left w:val="none" w:sz="0" w:space="0" w:color="auto"/>
        <w:bottom w:val="none" w:sz="0" w:space="0" w:color="auto"/>
        <w:right w:val="none" w:sz="0" w:space="0" w:color="auto"/>
      </w:divBdr>
    </w:div>
    <w:div w:id="189803805">
      <w:bodyDiv w:val="1"/>
      <w:marLeft w:val="0"/>
      <w:marRight w:val="0"/>
      <w:marTop w:val="0"/>
      <w:marBottom w:val="0"/>
      <w:divBdr>
        <w:top w:val="none" w:sz="0" w:space="0" w:color="auto"/>
        <w:left w:val="none" w:sz="0" w:space="0" w:color="auto"/>
        <w:bottom w:val="none" w:sz="0" w:space="0" w:color="auto"/>
        <w:right w:val="none" w:sz="0" w:space="0" w:color="auto"/>
      </w:divBdr>
    </w:div>
    <w:div w:id="223368641">
      <w:bodyDiv w:val="1"/>
      <w:marLeft w:val="0"/>
      <w:marRight w:val="0"/>
      <w:marTop w:val="0"/>
      <w:marBottom w:val="0"/>
      <w:divBdr>
        <w:top w:val="none" w:sz="0" w:space="0" w:color="auto"/>
        <w:left w:val="none" w:sz="0" w:space="0" w:color="auto"/>
        <w:bottom w:val="none" w:sz="0" w:space="0" w:color="auto"/>
        <w:right w:val="none" w:sz="0" w:space="0" w:color="auto"/>
      </w:divBdr>
    </w:div>
    <w:div w:id="231282569">
      <w:bodyDiv w:val="1"/>
      <w:marLeft w:val="0"/>
      <w:marRight w:val="0"/>
      <w:marTop w:val="0"/>
      <w:marBottom w:val="0"/>
      <w:divBdr>
        <w:top w:val="none" w:sz="0" w:space="0" w:color="auto"/>
        <w:left w:val="none" w:sz="0" w:space="0" w:color="auto"/>
        <w:bottom w:val="none" w:sz="0" w:space="0" w:color="auto"/>
        <w:right w:val="none" w:sz="0" w:space="0" w:color="auto"/>
      </w:divBdr>
    </w:div>
    <w:div w:id="238440294">
      <w:bodyDiv w:val="1"/>
      <w:marLeft w:val="0"/>
      <w:marRight w:val="0"/>
      <w:marTop w:val="0"/>
      <w:marBottom w:val="0"/>
      <w:divBdr>
        <w:top w:val="none" w:sz="0" w:space="0" w:color="auto"/>
        <w:left w:val="none" w:sz="0" w:space="0" w:color="auto"/>
        <w:bottom w:val="none" w:sz="0" w:space="0" w:color="auto"/>
        <w:right w:val="none" w:sz="0" w:space="0" w:color="auto"/>
      </w:divBdr>
    </w:div>
    <w:div w:id="246111518">
      <w:bodyDiv w:val="1"/>
      <w:marLeft w:val="0"/>
      <w:marRight w:val="0"/>
      <w:marTop w:val="0"/>
      <w:marBottom w:val="0"/>
      <w:divBdr>
        <w:top w:val="none" w:sz="0" w:space="0" w:color="auto"/>
        <w:left w:val="none" w:sz="0" w:space="0" w:color="auto"/>
        <w:bottom w:val="none" w:sz="0" w:space="0" w:color="auto"/>
        <w:right w:val="none" w:sz="0" w:space="0" w:color="auto"/>
      </w:divBdr>
    </w:div>
    <w:div w:id="247420892">
      <w:bodyDiv w:val="1"/>
      <w:marLeft w:val="0"/>
      <w:marRight w:val="0"/>
      <w:marTop w:val="0"/>
      <w:marBottom w:val="0"/>
      <w:divBdr>
        <w:top w:val="none" w:sz="0" w:space="0" w:color="auto"/>
        <w:left w:val="none" w:sz="0" w:space="0" w:color="auto"/>
        <w:bottom w:val="none" w:sz="0" w:space="0" w:color="auto"/>
        <w:right w:val="none" w:sz="0" w:space="0" w:color="auto"/>
      </w:divBdr>
    </w:div>
    <w:div w:id="268781343">
      <w:bodyDiv w:val="1"/>
      <w:marLeft w:val="0"/>
      <w:marRight w:val="0"/>
      <w:marTop w:val="0"/>
      <w:marBottom w:val="0"/>
      <w:divBdr>
        <w:top w:val="none" w:sz="0" w:space="0" w:color="auto"/>
        <w:left w:val="none" w:sz="0" w:space="0" w:color="auto"/>
        <w:bottom w:val="none" w:sz="0" w:space="0" w:color="auto"/>
        <w:right w:val="none" w:sz="0" w:space="0" w:color="auto"/>
      </w:divBdr>
    </w:div>
    <w:div w:id="294528998">
      <w:bodyDiv w:val="1"/>
      <w:marLeft w:val="0"/>
      <w:marRight w:val="0"/>
      <w:marTop w:val="0"/>
      <w:marBottom w:val="0"/>
      <w:divBdr>
        <w:top w:val="none" w:sz="0" w:space="0" w:color="auto"/>
        <w:left w:val="none" w:sz="0" w:space="0" w:color="auto"/>
        <w:bottom w:val="none" w:sz="0" w:space="0" w:color="auto"/>
        <w:right w:val="none" w:sz="0" w:space="0" w:color="auto"/>
      </w:divBdr>
    </w:div>
    <w:div w:id="302662559">
      <w:bodyDiv w:val="1"/>
      <w:marLeft w:val="0"/>
      <w:marRight w:val="0"/>
      <w:marTop w:val="0"/>
      <w:marBottom w:val="0"/>
      <w:divBdr>
        <w:top w:val="none" w:sz="0" w:space="0" w:color="auto"/>
        <w:left w:val="none" w:sz="0" w:space="0" w:color="auto"/>
        <w:bottom w:val="none" w:sz="0" w:space="0" w:color="auto"/>
        <w:right w:val="none" w:sz="0" w:space="0" w:color="auto"/>
      </w:divBdr>
    </w:div>
    <w:div w:id="325322504">
      <w:bodyDiv w:val="1"/>
      <w:marLeft w:val="0"/>
      <w:marRight w:val="0"/>
      <w:marTop w:val="0"/>
      <w:marBottom w:val="0"/>
      <w:divBdr>
        <w:top w:val="none" w:sz="0" w:space="0" w:color="auto"/>
        <w:left w:val="none" w:sz="0" w:space="0" w:color="auto"/>
        <w:bottom w:val="none" w:sz="0" w:space="0" w:color="auto"/>
        <w:right w:val="none" w:sz="0" w:space="0" w:color="auto"/>
      </w:divBdr>
    </w:div>
    <w:div w:id="326983923">
      <w:bodyDiv w:val="1"/>
      <w:marLeft w:val="0"/>
      <w:marRight w:val="0"/>
      <w:marTop w:val="0"/>
      <w:marBottom w:val="0"/>
      <w:divBdr>
        <w:top w:val="none" w:sz="0" w:space="0" w:color="auto"/>
        <w:left w:val="none" w:sz="0" w:space="0" w:color="auto"/>
        <w:bottom w:val="none" w:sz="0" w:space="0" w:color="auto"/>
        <w:right w:val="none" w:sz="0" w:space="0" w:color="auto"/>
      </w:divBdr>
    </w:div>
    <w:div w:id="343242078">
      <w:bodyDiv w:val="1"/>
      <w:marLeft w:val="0"/>
      <w:marRight w:val="0"/>
      <w:marTop w:val="0"/>
      <w:marBottom w:val="0"/>
      <w:divBdr>
        <w:top w:val="none" w:sz="0" w:space="0" w:color="auto"/>
        <w:left w:val="none" w:sz="0" w:space="0" w:color="auto"/>
        <w:bottom w:val="none" w:sz="0" w:space="0" w:color="auto"/>
        <w:right w:val="none" w:sz="0" w:space="0" w:color="auto"/>
      </w:divBdr>
    </w:div>
    <w:div w:id="345249858">
      <w:bodyDiv w:val="1"/>
      <w:marLeft w:val="0"/>
      <w:marRight w:val="0"/>
      <w:marTop w:val="0"/>
      <w:marBottom w:val="0"/>
      <w:divBdr>
        <w:top w:val="none" w:sz="0" w:space="0" w:color="auto"/>
        <w:left w:val="none" w:sz="0" w:space="0" w:color="auto"/>
        <w:bottom w:val="none" w:sz="0" w:space="0" w:color="auto"/>
        <w:right w:val="none" w:sz="0" w:space="0" w:color="auto"/>
      </w:divBdr>
    </w:div>
    <w:div w:id="360983483">
      <w:bodyDiv w:val="1"/>
      <w:marLeft w:val="0"/>
      <w:marRight w:val="0"/>
      <w:marTop w:val="0"/>
      <w:marBottom w:val="0"/>
      <w:divBdr>
        <w:top w:val="none" w:sz="0" w:space="0" w:color="auto"/>
        <w:left w:val="none" w:sz="0" w:space="0" w:color="auto"/>
        <w:bottom w:val="none" w:sz="0" w:space="0" w:color="auto"/>
        <w:right w:val="none" w:sz="0" w:space="0" w:color="auto"/>
      </w:divBdr>
    </w:div>
    <w:div w:id="364907739">
      <w:bodyDiv w:val="1"/>
      <w:marLeft w:val="0"/>
      <w:marRight w:val="0"/>
      <w:marTop w:val="0"/>
      <w:marBottom w:val="0"/>
      <w:divBdr>
        <w:top w:val="none" w:sz="0" w:space="0" w:color="auto"/>
        <w:left w:val="none" w:sz="0" w:space="0" w:color="auto"/>
        <w:bottom w:val="none" w:sz="0" w:space="0" w:color="auto"/>
        <w:right w:val="none" w:sz="0" w:space="0" w:color="auto"/>
      </w:divBdr>
    </w:div>
    <w:div w:id="384716119">
      <w:bodyDiv w:val="1"/>
      <w:marLeft w:val="0"/>
      <w:marRight w:val="0"/>
      <w:marTop w:val="0"/>
      <w:marBottom w:val="0"/>
      <w:divBdr>
        <w:top w:val="none" w:sz="0" w:space="0" w:color="auto"/>
        <w:left w:val="none" w:sz="0" w:space="0" w:color="auto"/>
        <w:bottom w:val="none" w:sz="0" w:space="0" w:color="auto"/>
        <w:right w:val="none" w:sz="0" w:space="0" w:color="auto"/>
      </w:divBdr>
    </w:div>
    <w:div w:id="387995045">
      <w:bodyDiv w:val="1"/>
      <w:marLeft w:val="0"/>
      <w:marRight w:val="0"/>
      <w:marTop w:val="0"/>
      <w:marBottom w:val="0"/>
      <w:divBdr>
        <w:top w:val="none" w:sz="0" w:space="0" w:color="auto"/>
        <w:left w:val="none" w:sz="0" w:space="0" w:color="auto"/>
        <w:bottom w:val="none" w:sz="0" w:space="0" w:color="auto"/>
        <w:right w:val="none" w:sz="0" w:space="0" w:color="auto"/>
      </w:divBdr>
    </w:div>
    <w:div w:id="407852391">
      <w:bodyDiv w:val="1"/>
      <w:marLeft w:val="0"/>
      <w:marRight w:val="0"/>
      <w:marTop w:val="0"/>
      <w:marBottom w:val="0"/>
      <w:divBdr>
        <w:top w:val="none" w:sz="0" w:space="0" w:color="auto"/>
        <w:left w:val="none" w:sz="0" w:space="0" w:color="auto"/>
        <w:bottom w:val="none" w:sz="0" w:space="0" w:color="auto"/>
        <w:right w:val="none" w:sz="0" w:space="0" w:color="auto"/>
      </w:divBdr>
    </w:div>
    <w:div w:id="413206902">
      <w:bodyDiv w:val="1"/>
      <w:marLeft w:val="0"/>
      <w:marRight w:val="0"/>
      <w:marTop w:val="0"/>
      <w:marBottom w:val="0"/>
      <w:divBdr>
        <w:top w:val="none" w:sz="0" w:space="0" w:color="auto"/>
        <w:left w:val="none" w:sz="0" w:space="0" w:color="auto"/>
        <w:bottom w:val="none" w:sz="0" w:space="0" w:color="auto"/>
        <w:right w:val="none" w:sz="0" w:space="0" w:color="auto"/>
      </w:divBdr>
    </w:div>
    <w:div w:id="413476608">
      <w:bodyDiv w:val="1"/>
      <w:marLeft w:val="0"/>
      <w:marRight w:val="0"/>
      <w:marTop w:val="0"/>
      <w:marBottom w:val="0"/>
      <w:divBdr>
        <w:top w:val="none" w:sz="0" w:space="0" w:color="auto"/>
        <w:left w:val="none" w:sz="0" w:space="0" w:color="auto"/>
        <w:bottom w:val="none" w:sz="0" w:space="0" w:color="auto"/>
        <w:right w:val="none" w:sz="0" w:space="0" w:color="auto"/>
      </w:divBdr>
    </w:div>
    <w:div w:id="413943184">
      <w:bodyDiv w:val="1"/>
      <w:marLeft w:val="0"/>
      <w:marRight w:val="0"/>
      <w:marTop w:val="0"/>
      <w:marBottom w:val="0"/>
      <w:divBdr>
        <w:top w:val="none" w:sz="0" w:space="0" w:color="auto"/>
        <w:left w:val="none" w:sz="0" w:space="0" w:color="auto"/>
        <w:bottom w:val="none" w:sz="0" w:space="0" w:color="auto"/>
        <w:right w:val="none" w:sz="0" w:space="0" w:color="auto"/>
      </w:divBdr>
    </w:div>
    <w:div w:id="422069344">
      <w:bodyDiv w:val="1"/>
      <w:marLeft w:val="0"/>
      <w:marRight w:val="0"/>
      <w:marTop w:val="0"/>
      <w:marBottom w:val="0"/>
      <w:divBdr>
        <w:top w:val="none" w:sz="0" w:space="0" w:color="auto"/>
        <w:left w:val="none" w:sz="0" w:space="0" w:color="auto"/>
        <w:bottom w:val="none" w:sz="0" w:space="0" w:color="auto"/>
        <w:right w:val="none" w:sz="0" w:space="0" w:color="auto"/>
      </w:divBdr>
    </w:div>
    <w:div w:id="427508080">
      <w:bodyDiv w:val="1"/>
      <w:marLeft w:val="0"/>
      <w:marRight w:val="0"/>
      <w:marTop w:val="0"/>
      <w:marBottom w:val="0"/>
      <w:divBdr>
        <w:top w:val="none" w:sz="0" w:space="0" w:color="auto"/>
        <w:left w:val="none" w:sz="0" w:space="0" w:color="auto"/>
        <w:bottom w:val="none" w:sz="0" w:space="0" w:color="auto"/>
        <w:right w:val="none" w:sz="0" w:space="0" w:color="auto"/>
      </w:divBdr>
    </w:div>
    <w:div w:id="435248521">
      <w:bodyDiv w:val="1"/>
      <w:marLeft w:val="0"/>
      <w:marRight w:val="0"/>
      <w:marTop w:val="0"/>
      <w:marBottom w:val="0"/>
      <w:divBdr>
        <w:top w:val="none" w:sz="0" w:space="0" w:color="auto"/>
        <w:left w:val="none" w:sz="0" w:space="0" w:color="auto"/>
        <w:bottom w:val="none" w:sz="0" w:space="0" w:color="auto"/>
        <w:right w:val="none" w:sz="0" w:space="0" w:color="auto"/>
      </w:divBdr>
    </w:div>
    <w:div w:id="437412600">
      <w:bodyDiv w:val="1"/>
      <w:marLeft w:val="0"/>
      <w:marRight w:val="0"/>
      <w:marTop w:val="0"/>
      <w:marBottom w:val="0"/>
      <w:divBdr>
        <w:top w:val="none" w:sz="0" w:space="0" w:color="auto"/>
        <w:left w:val="none" w:sz="0" w:space="0" w:color="auto"/>
        <w:bottom w:val="none" w:sz="0" w:space="0" w:color="auto"/>
        <w:right w:val="none" w:sz="0" w:space="0" w:color="auto"/>
      </w:divBdr>
    </w:div>
    <w:div w:id="439958061">
      <w:bodyDiv w:val="1"/>
      <w:marLeft w:val="0"/>
      <w:marRight w:val="0"/>
      <w:marTop w:val="0"/>
      <w:marBottom w:val="0"/>
      <w:divBdr>
        <w:top w:val="none" w:sz="0" w:space="0" w:color="auto"/>
        <w:left w:val="none" w:sz="0" w:space="0" w:color="auto"/>
        <w:bottom w:val="none" w:sz="0" w:space="0" w:color="auto"/>
        <w:right w:val="none" w:sz="0" w:space="0" w:color="auto"/>
      </w:divBdr>
    </w:div>
    <w:div w:id="459111563">
      <w:bodyDiv w:val="1"/>
      <w:marLeft w:val="0"/>
      <w:marRight w:val="0"/>
      <w:marTop w:val="0"/>
      <w:marBottom w:val="0"/>
      <w:divBdr>
        <w:top w:val="none" w:sz="0" w:space="0" w:color="auto"/>
        <w:left w:val="none" w:sz="0" w:space="0" w:color="auto"/>
        <w:bottom w:val="none" w:sz="0" w:space="0" w:color="auto"/>
        <w:right w:val="none" w:sz="0" w:space="0" w:color="auto"/>
      </w:divBdr>
    </w:div>
    <w:div w:id="464812118">
      <w:bodyDiv w:val="1"/>
      <w:marLeft w:val="0"/>
      <w:marRight w:val="0"/>
      <w:marTop w:val="0"/>
      <w:marBottom w:val="0"/>
      <w:divBdr>
        <w:top w:val="none" w:sz="0" w:space="0" w:color="auto"/>
        <w:left w:val="none" w:sz="0" w:space="0" w:color="auto"/>
        <w:bottom w:val="none" w:sz="0" w:space="0" w:color="auto"/>
        <w:right w:val="none" w:sz="0" w:space="0" w:color="auto"/>
      </w:divBdr>
    </w:div>
    <w:div w:id="531724724">
      <w:bodyDiv w:val="1"/>
      <w:marLeft w:val="0"/>
      <w:marRight w:val="0"/>
      <w:marTop w:val="0"/>
      <w:marBottom w:val="0"/>
      <w:divBdr>
        <w:top w:val="none" w:sz="0" w:space="0" w:color="auto"/>
        <w:left w:val="none" w:sz="0" w:space="0" w:color="auto"/>
        <w:bottom w:val="none" w:sz="0" w:space="0" w:color="auto"/>
        <w:right w:val="none" w:sz="0" w:space="0" w:color="auto"/>
      </w:divBdr>
    </w:div>
    <w:div w:id="535697105">
      <w:bodyDiv w:val="1"/>
      <w:marLeft w:val="0"/>
      <w:marRight w:val="0"/>
      <w:marTop w:val="0"/>
      <w:marBottom w:val="0"/>
      <w:divBdr>
        <w:top w:val="none" w:sz="0" w:space="0" w:color="auto"/>
        <w:left w:val="none" w:sz="0" w:space="0" w:color="auto"/>
        <w:bottom w:val="none" w:sz="0" w:space="0" w:color="auto"/>
        <w:right w:val="none" w:sz="0" w:space="0" w:color="auto"/>
      </w:divBdr>
    </w:div>
    <w:div w:id="537206961">
      <w:bodyDiv w:val="1"/>
      <w:marLeft w:val="0"/>
      <w:marRight w:val="0"/>
      <w:marTop w:val="0"/>
      <w:marBottom w:val="0"/>
      <w:divBdr>
        <w:top w:val="none" w:sz="0" w:space="0" w:color="auto"/>
        <w:left w:val="none" w:sz="0" w:space="0" w:color="auto"/>
        <w:bottom w:val="none" w:sz="0" w:space="0" w:color="auto"/>
        <w:right w:val="none" w:sz="0" w:space="0" w:color="auto"/>
      </w:divBdr>
    </w:div>
    <w:div w:id="544218686">
      <w:bodyDiv w:val="1"/>
      <w:marLeft w:val="0"/>
      <w:marRight w:val="0"/>
      <w:marTop w:val="0"/>
      <w:marBottom w:val="0"/>
      <w:divBdr>
        <w:top w:val="none" w:sz="0" w:space="0" w:color="auto"/>
        <w:left w:val="none" w:sz="0" w:space="0" w:color="auto"/>
        <w:bottom w:val="none" w:sz="0" w:space="0" w:color="auto"/>
        <w:right w:val="none" w:sz="0" w:space="0" w:color="auto"/>
      </w:divBdr>
    </w:div>
    <w:div w:id="545028202">
      <w:bodyDiv w:val="1"/>
      <w:marLeft w:val="0"/>
      <w:marRight w:val="0"/>
      <w:marTop w:val="0"/>
      <w:marBottom w:val="0"/>
      <w:divBdr>
        <w:top w:val="none" w:sz="0" w:space="0" w:color="auto"/>
        <w:left w:val="none" w:sz="0" w:space="0" w:color="auto"/>
        <w:bottom w:val="none" w:sz="0" w:space="0" w:color="auto"/>
        <w:right w:val="none" w:sz="0" w:space="0" w:color="auto"/>
      </w:divBdr>
    </w:div>
    <w:div w:id="559482161">
      <w:bodyDiv w:val="1"/>
      <w:marLeft w:val="0"/>
      <w:marRight w:val="0"/>
      <w:marTop w:val="0"/>
      <w:marBottom w:val="0"/>
      <w:divBdr>
        <w:top w:val="none" w:sz="0" w:space="0" w:color="auto"/>
        <w:left w:val="none" w:sz="0" w:space="0" w:color="auto"/>
        <w:bottom w:val="none" w:sz="0" w:space="0" w:color="auto"/>
        <w:right w:val="none" w:sz="0" w:space="0" w:color="auto"/>
      </w:divBdr>
    </w:div>
    <w:div w:id="566382037">
      <w:bodyDiv w:val="1"/>
      <w:marLeft w:val="0"/>
      <w:marRight w:val="0"/>
      <w:marTop w:val="0"/>
      <w:marBottom w:val="0"/>
      <w:divBdr>
        <w:top w:val="none" w:sz="0" w:space="0" w:color="auto"/>
        <w:left w:val="none" w:sz="0" w:space="0" w:color="auto"/>
        <w:bottom w:val="none" w:sz="0" w:space="0" w:color="auto"/>
        <w:right w:val="none" w:sz="0" w:space="0" w:color="auto"/>
      </w:divBdr>
    </w:div>
    <w:div w:id="586037536">
      <w:bodyDiv w:val="1"/>
      <w:marLeft w:val="0"/>
      <w:marRight w:val="0"/>
      <w:marTop w:val="0"/>
      <w:marBottom w:val="0"/>
      <w:divBdr>
        <w:top w:val="none" w:sz="0" w:space="0" w:color="auto"/>
        <w:left w:val="none" w:sz="0" w:space="0" w:color="auto"/>
        <w:bottom w:val="none" w:sz="0" w:space="0" w:color="auto"/>
        <w:right w:val="none" w:sz="0" w:space="0" w:color="auto"/>
      </w:divBdr>
    </w:div>
    <w:div w:id="586429067">
      <w:bodyDiv w:val="1"/>
      <w:marLeft w:val="0"/>
      <w:marRight w:val="0"/>
      <w:marTop w:val="0"/>
      <w:marBottom w:val="0"/>
      <w:divBdr>
        <w:top w:val="none" w:sz="0" w:space="0" w:color="auto"/>
        <w:left w:val="none" w:sz="0" w:space="0" w:color="auto"/>
        <w:bottom w:val="none" w:sz="0" w:space="0" w:color="auto"/>
        <w:right w:val="none" w:sz="0" w:space="0" w:color="auto"/>
      </w:divBdr>
    </w:div>
    <w:div w:id="586573241">
      <w:bodyDiv w:val="1"/>
      <w:marLeft w:val="0"/>
      <w:marRight w:val="0"/>
      <w:marTop w:val="0"/>
      <w:marBottom w:val="0"/>
      <w:divBdr>
        <w:top w:val="none" w:sz="0" w:space="0" w:color="auto"/>
        <w:left w:val="none" w:sz="0" w:space="0" w:color="auto"/>
        <w:bottom w:val="none" w:sz="0" w:space="0" w:color="auto"/>
        <w:right w:val="none" w:sz="0" w:space="0" w:color="auto"/>
      </w:divBdr>
    </w:div>
    <w:div w:id="611666795">
      <w:bodyDiv w:val="1"/>
      <w:marLeft w:val="0"/>
      <w:marRight w:val="0"/>
      <w:marTop w:val="0"/>
      <w:marBottom w:val="0"/>
      <w:divBdr>
        <w:top w:val="none" w:sz="0" w:space="0" w:color="auto"/>
        <w:left w:val="none" w:sz="0" w:space="0" w:color="auto"/>
        <w:bottom w:val="none" w:sz="0" w:space="0" w:color="auto"/>
        <w:right w:val="none" w:sz="0" w:space="0" w:color="auto"/>
      </w:divBdr>
    </w:div>
    <w:div w:id="611976818">
      <w:bodyDiv w:val="1"/>
      <w:marLeft w:val="0"/>
      <w:marRight w:val="0"/>
      <w:marTop w:val="0"/>
      <w:marBottom w:val="0"/>
      <w:divBdr>
        <w:top w:val="none" w:sz="0" w:space="0" w:color="auto"/>
        <w:left w:val="none" w:sz="0" w:space="0" w:color="auto"/>
        <w:bottom w:val="none" w:sz="0" w:space="0" w:color="auto"/>
        <w:right w:val="none" w:sz="0" w:space="0" w:color="auto"/>
      </w:divBdr>
    </w:div>
    <w:div w:id="631592391">
      <w:bodyDiv w:val="1"/>
      <w:marLeft w:val="0"/>
      <w:marRight w:val="0"/>
      <w:marTop w:val="0"/>
      <w:marBottom w:val="0"/>
      <w:divBdr>
        <w:top w:val="none" w:sz="0" w:space="0" w:color="auto"/>
        <w:left w:val="none" w:sz="0" w:space="0" w:color="auto"/>
        <w:bottom w:val="none" w:sz="0" w:space="0" w:color="auto"/>
        <w:right w:val="none" w:sz="0" w:space="0" w:color="auto"/>
      </w:divBdr>
    </w:div>
    <w:div w:id="655720305">
      <w:bodyDiv w:val="1"/>
      <w:marLeft w:val="0"/>
      <w:marRight w:val="0"/>
      <w:marTop w:val="0"/>
      <w:marBottom w:val="0"/>
      <w:divBdr>
        <w:top w:val="none" w:sz="0" w:space="0" w:color="auto"/>
        <w:left w:val="none" w:sz="0" w:space="0" w:color="auto"/>
        <w:bottom w:val="none" w:sz="0" w:space="0" w:color="auto"/>
        <w:right w:val="none" w:sz="0" w:space="0" w:color="auto"/>
      </w:divBdr>
    </w:div>
    <w:div w:id="666135220">
      <w:bodyDiv w:val="1"/>
      <w:marLeft w:val="0"/>
      <w:marRight w:val="0"/>
      <w:marTop w:val="0"/>
      <w:marBottom w:val="0"/>
      <w:divBdr>
        <w:top w:val="none" w:sz="0" w:space="0" w:color="auto"/>
        <w:left w:val="none" w:sz="0" w:space="0" w:color="auto"/>
        <w:bottom w:val="none" w:sz="0" w:space="0" w:color="auto"/>
        <w:right w:val="none" w:sz="0" w:space="0" w:color="auto"/>
      </w:divBdr>
    </w:div>
    <w:div w:id="679234212">
      <w:bodyDiv w:val="1"/>
      <w:marLeft w:val="0"/>
      <w:marRight w:val="0"/>
      <w:marTop w:val="0"/>
      <w:marBottom w:val="0"/>
      <w:divBdr>
        <w:top w:val="none" w:sz="0" w:space="0" w:color="auto"/>
        <w:left w:val="none" w:sz="0" w:space="0" w:color="auto"/>
        <w:bottom w:val="none" w:sz="0" w:space="0" w:color="auto"/>
        <w:right w:val="none" w:sz="0" w:space="0" w:color="auto"/>
      </w:divBdr>
    </w:div>
    <w:div w:id="712540072">
      <w:bodyDiv w:val="1"/>
      <w:marLeft w:val="0"/>
      <w:marRight w:val="0"/>
      <w:marTop w:val="0"/>
      <w:marBottom w:val="0"/>
      <w:divBdr>
        <w:top w:val="none" w:sz="0" w:space="0" w:color="auto"/>
        <w:left w:val="none" w:sz="0" w:space="0" w:color="auto"/>
        <w:bottom w:val="none" w:sz="0" w:space="0" w:color="auto"/>
        <w:right w:val="none" w:sz="0" w:space="0" w:color="auto"/>
      </w:divBdr>
    </w:div>
    <w:div w:id="728499744">
      <w:bodyDiv w:val="1"/>
      <w:marLeft w:val="0"/>
      <w:marRight w:val="0"/>
      <w:marTop w:val="0"/>
      <w:marBottom w:val="0"/>
      <w:divBdr>
        <w:top w:val="none" w:sz="0" w:space="0" w:color="auto"/>
        <w:left w:val="none" w:sz="0" w:space="0" w:color="auto"/>
        <w:bottom w:val="none" w:sz="0" w:space="0" w:color="auto"/>
        <w:right w:val="none" w:sz="0" w:space="0" w:color="auto"/>
      </w:divBdr>
    </w:div>
    <w:div w:id="731655638">
      <w:bodyDiv w:val="1"/>
      <w:marLeft w:val="0"/>
      <w:marRight w:val="0"/>
      <w:marTop w:val="0"/>
      <w:marBottom w:val="0"/>
      <w:divBdr>
        <w:top w:val="none" w:sz="0" w:space="0" w:color="auto"/>
        <w:left w:val="none" w:sz="0" w:space="0" w:color="auto"/>
        <w:bottom w:val="none" w:sz="0" w:space="0" w:color="auto"/>
        <w:right w:val="none" w:sz="0" w:space="0" w:color="auto"/>
      </w:divBdr>
    </w:div>
    <w:div w:id="734159003">
      <w:bodyDiv w:val="1"/>
      <w:marLeft w:val="0"/>
      <w:marRight w:val="0"/>
      <w:marTop w:val="0"/>
      <w:marBottom w:val="0"/>
      <w:divBdr>
        <w:top w:val="none" w:sz="0" w:space="0" w:color="auto"/>
        <w:left w:val="none" w:sz="0" w:space="0" w:color="auto"/>
        <w:bottom w:val="none" w:sz="0" w:space="0" w:color="auto"/>
        <w:right w:val="none" w:sz="0" w:space="0" w:color="auto"/>
      </w:divBdr>
    </w:div>
    <w:div w:id="774442707">
      <w:bodyDiv w:val="1"/>
      <w:marLeft w:val="0"/>
      <w:marRight w:val="0"/>
      <w:marTop w:val="0"/>
      <w:marBottom w:val="0"/>
      <w:divBdr>
        <w:top w:val="none" w:sz="0" w:space="0" w:color="auto"/>
        <w:left w:val="none" w:sz="0" w:space="0" w:color="auto"/>
        <w:bottom w:val="none" w:sz="0" w:space="0" w:color="auto"/>
        <w:right w:val="none" w:sz="0" w:space="0" w:color="auto"/>
      </w:divBdr>
    </w:div>
    <w:div w:id="792551666">
      <w:bodyDiv w:val="1"/>
      <w:marLeft w:val="0"/>
      <w:marRight w:val="0"/>
      <w:marTop w:val="0"/>
      <w:marBottom w:val="0"/>
      <w:divBdr>
        <w:top w:val="none" w:sz="0" w:space="0" w:color="auto"/>
        <w:left w:val="none" w:sz="0" w:space="0" w:color="auto"/>
        <w:bottom w:val="none" w:sz="0" w:space="0" w:color="auto"/>
        <w:right w:val="none" w:sz="0" w:space="0" w:color="auto"/>
      </w:divBdr>
    </w:div>
    <w:div w:id="808742959">
      <w:bodyDiv w:val="1"/>
      <w:marLeft w:val="0"/>
      <w:marRight w:val="0"/>
      <w:marTop w:val="0"/>
      <w:marBottom w:val="0"/>
      <w:divBdr>
        <w:top w:val="none" w:sz="0" w:space="0" w:color="auto"/>
        <w:left w:val="none" w:sz="0" w:space="0" w:color="auto"/>
        <w:bottom w:val="none" w:sz="0" w:space="0" w:color="auto"/>
        <w:right w:val="none" w:sz="0" w:space="0" w:color="auto"/>
      </w:divBdr>
    </w:div>
    <w:div w:id="825244946">
      <w:bodyDiv w:val="1"/>
      <w:marLeft w:val="0"/>
      <w:marRight w:val="0"/>
      <w:marTop w:val="0"/>
      <w:marBottom w:val="0"/>
      <w:divBdr>
        <w:top w:val="none" w:sz="0" w:space="0" w:color="auto"/>
        <w:left w:val="none" w:sz="0" w:space="0" w:color="auto"/>
        <w:bottom w:val="none" w:sz="0" w:space="0" w:color="auto"/>
        <w:right w:val="none" w:sz="0" w:space="0" w:color="auto"/>
      </w:divBdr>
    </w:div>
    <w:div w:id="827592382">
      <w:bodyDiv w:val="1"/>
      <w:marLeft w:val="0"/>
      <w:marRight w:val="0"/>
      <w:marTop w:val="0"/>
      <w:marBottom w:val="0"/>
      <w:divBdr>
        <w:top w:val="none" w:sz="0" w:space="0" w:color="auto"/>
        <w:left w:val="none" w:sz="0" w:space="0" w:color="auto"/>
        <w:bottom w:val="none" w:sz="0" w:space="0" w:color="auto"/>
        <w:right w:val="none" w:sz="0" w:space="0" w:color="auto"/>
      </w:divBdr>
    </w:div>
    <w:div w:id="864101891">
      <w:bodyDiv w:val="1"/>
      <w:marLeft w:val="0"/>
      <w:marRight w:val="0"/>
      <w:marTop w:val="0"/>
      <w:marBottom w:val="0"/>
      <w:divBdr>
        <w:top w:val="none" w:sz="0" w:space="0" w:color="auto"/>
        <w:left w:val="none" w:sz="0" w:space="0" w:color="auto"/>
        <w:bottom w:val="none" w:sz="0" w:space="0" w:color="auto"/>
        <w:right w:val="none" w:sz="0" w:space="0" w:color="auto"/>
      </w:divBdr>
    </w:div>
    <w:div w:id="873929954">
      <w:bodyDiv w:val="1"/>
      <w:marLeft w:val="0"/>
      <w:marRight w:val="0"/>
      <w:marTop w:val="0"/>
      <w:marBottom w:val="0"/>
      <w:divBdr>
        <w:top w:val="none" w:sz="0" w:space="0" w:color="auto"/>
        <w:left w:val="none" w:sz="0" w:space="0" w:color="auto"/>
        <w:bottom w:val="none" w:sz="0" w:space="0" w:color="auto"/>
        <w:right w:val="none" w:sz="0" w:space="0" w:color="auto"/>
      </w:divBdr>
    </w:div>
    <w:div w:id="878470519">
      <w:bodyDiv w:val="1"/>
      <w:marLeft w:val="0"/>
      <w:marRight w:val="0"/>
      <w:marTop w:val="0"/>
      <w:marBottom w:val="0"/>
      <w:divBdr>
        <w:top w:val="none" w:sz="0" w:space="0" w:color="auto"/>
        <w:left w:val="none" w:sz="0" w:space="0" w:color="auto"/>
        <w:bottom w:val="none" w:sz="0" w:space="0" w:color="auto"/>
        <w:right w:val="none" w:sz="0" w:space="0" w:color="auto"/>
      </w:divBdr>
    </w:div>
    <w:div w:id="882987933">
      <w:bodyDiv w:val="1"/>
      <w:marLeft w:val="0"/>
      <w:marRight w:val="0"/>
      <w:marTop w:val="0"/>
      <w:marBottom w:val="0"/>
      <w:divBdr>
        <w:top w:val="none" w:sz="0" w:space="0" w:color="auto"/>
        <w:left w:val="none" w:sz="0" w:space="0" w:color="auto"/>
        <w:bottom w:val="none" w:sz="0" w:space="0" w:color="auto"/>
        <w:right w:val="none" w:sz="0" w:space="0" w:color="auto"/>
      </w:divBdr>
    </w:div>
    <w:div w:id="884409358">
      <w:bodyDiv w:val="1"/>
      <w:marLeft w:val="0"/>
      <w:marRight w:val="0"/>
      <w:marTop w:val="0"/>
      <w:marBottom w:val="0"/>
      <w:divBdr>
        <w:top w:val="none" w:sz="0" w:space="0" w:color="auto"/>
        <w:left w:val="none" w:sz="0" w:space="0" w:color="auto"/>
        <w:bottom w:val="none" w:sz="0" w:space="0" w:color="auto"/>
        <w:right w:val="none" w:sz="0" w:space="0" w:color="auto"/>
      </w:divBdr>
    </w:div>
    <w:div w:id="906956411">
      <w:bodyDiv w:val="1"/>
      <w:marLeft w:val="0"/>
      <w:marRight w:val="0"/>
      <w:marTop w:val="0"/>
      <w:marBottom w:val="0"/>
      <w:divBdr>
        <w:top w:val="none" w:sz="0" w:space="0" w:color="auto"/>
        <w:left w:val="none" w:sz="0" w:space="0" w:color="auto"/>
        <w:bottom w:val="none" w:sz="0" w:space="0" w:color="auto"/>
        <w:right w:val="none" w:sz="0" w:space="0" w:color="auto"/>
      </w:divBdr>
    </w:div>
    <w:div w:id="908998873">
      <w:bodyDiv w:val="1"/>
      <w:marLeft w:val="0"/>
      <w:marRight w:val="0"/>
      <w:marTop w:val="0"/>
      <w:marBottom w:val="0"/>
      <w:divBdr>
        <w:top w:val="none" w:sz="0" w:space="0" w:color="auto"/>
        <w:left w:val="none" w:sz="0" w:space="0" w:color="auto"/>
        <w:bottom w:val="none" w:sz="0" w:space="0" w:color="auto"/>
        <w:right w:val="none" w:sz="0" w:space="0" w:color="auto"/>
      </w:divBdr>
    </w:div>
    <w:div w:id="912469023">
      <w:bodyDiv w:val="1"/>
      <w:marLeft w:val="0"/>
      <w:marRight w:val="0"/>
      <w:marTop w:val="0"/>
      <w:marBottom w:val="0"/>
      <w:divBdr>
        <w:top w:val="none" w:sz="0" w:space="0" w:color="auto"/>
        <w:left w:val="none" w:sz="0" w:space="0" w:color="auto"/>
        <w:bottom w:val="none" w:sz="0" w:space="0" w:color="auto"/>
        <w:right w:val="none" w:sz="0" w:space="0" w:color="auto"/>
      </w:divBdr>
    </w:div>
    <w:div w:id="914901488">
      <w:bodyDiv w:val="1"/>
      <w:marLeft w:val="0"/>
      <w:marRight w:val="0"/>
      <w:marTop w:val="0"/>
      <w:marBottom w:val="0"/>
      <w:divBdr>
        <w:top w:val="none" w:sz="0" w:space="0" w:color="auto"/>
        <w:left w:val="none" w:sz="0" w:space="0" w:color="auto"/>
        <w:bottom w:val="none" w:sz="0" w:space="0" w:color="auto"/>
        <w:right w:val="none" w:sz="0" w:space="0" w:color="auto"/>
      </w:divBdr>
    </w:div>
    <w:div w:id="915166770">
      <w:bodyDiv w:val="1"/>
      <w:marLeft w:val="0"/>
      <w:marRight w:val="0"/>
      <w:marTop w:val="0"/>
      <w:marBottom w:val="0"/>
      <w:divBdr>
        <w:top w:val="none" w:sz="0" w:space="0" w:color="auto"/>
        <w:left w:val="none" w:sz="0" w:space="0" w:color="auto"/>
        <w:bottom w:val="none" w:sz="0" w:space="0" w:color="auto"/>
        <w:right w:val="none" w:sz="0" w:space="0" w:color="auto"/>
      </w:divBdr>
    </w:div>
    <w:div w:id="927690075">
      <w:bodyDiv w:val="1"/>
      <w:marLeft w:val="0"/>
      <w:marRight w:val="0"/>
      <w:marTop w:val="0"/>
      <w:marBottom w:val="0"/>
      <w:divBdr>
        <w:top w:val="none" w:sz="0" w:space="0" w:color="auto"/>
        <w:left w:val="none" w:sz="0" w:space="0" w:color="auto"/>
        <w:bottom w:val="none" w:sz="0" w:space="0" w:color="auto"/>
        <w:right w:val="none" w:sz="0" w:space="0" w:color="auto"/>
      </w:divBdr>
    </w:div>
    <w:div w:id="928543981">
      <w:bodyDiv w:val="1"/>
      <w:marLeft w:val="0"/>
      <w:marRight w:val="0"/>
      <w:marTop w:val="0"/>
      <w:marBottom w:val="0"/>
      <w:divBdr>
        <w:top w:val="none" w:sz="0" w:space="0" w:color="auto"/>
        <w:left w:val="none" w:sz="0" w:space="0" w:color="auto"/>
        <w:bottom w:val="none" w:sz="0" w:space="0" w:color="auto"/>
        <w:right w:val="none" w:sz="0" w:space="0" w:color="auto"/>
      </w:divBdr>
    </w:div>
    <w:div w:id="930888834">
      <w:bodyDiv w:val="1"/>
      <w:marLeft w:val="0"/>
      <w:marRight w:val="0"/>
      <w:marTop w:val="0"/>
      <w:marBottom w:val="0"/>
      <w:divBdr>
        <w:top w:val="none" w:sz="0" w:space="0" w:color="auto"/>
        <w:left w:val="none" w:sz="0" w:space="0" w:color="auto"/>
        <w:bottom w:val="none" w:sz="0" w:space="0" w:color="auto"/>
        <w:right w:val="none" w:sz="0" w:space="0" w:color="auto"/>
      </w:divBdr>
    </w:div>
    <w:div w:id="931625294">
      <w:bodyDiv w:val="1"/>
      <w:marLeft w:val="0"/>
      <w:marRight w:val="0"/>
      <w:marTop w:val="0"/>
      <w:marBottom w:val="0"/>
      <w:divBdr>
        <w:top w:val="none" w:sz="0" w:space="0" w:color="auto"/>
        <w:left w:val="none" w:sz="0" w:space="0" w:color="auto"/>
        <w:bottom w:val="none" w:sz="0" w:space="0" w:color="auto"/>
        <w:right w:val="none" w:sz="0" w:space="0" w:color="auto"/>
      </w:divBdr>
    </w:div>
    <w:div w:id="939066846">
      <w:bodyDiv w:val="1"/>
      <w:marLeft w:val="0"/>
      <w:marRight w:val="0"/>
      <w:marTop w:val="0"/>
      <w:marBottom w:val="0"/>
      <w:divBdr>
        <w:top w:val="none" w:sz="0" w:space="0" w:color="auto"/>
        <w:left w:val="none" w:sz="0" w:space="0" w:color="auto"/>
        <w:bottom w:val="none" w:sz="0" w:space="0" w:color="auto"/>
        <w:right w:val="none" w:sz="0" w:space="0" w:color="auto"/>
      </w:divBdr>
    </w:div>
    <w:div w:id="941693361">
      <w:bodyDiv w:val="1"/>
      <w:marLeft w:val="0"/>
      <w:marRight w:val="0"/>
      <w:marTop w:val="0"/>
      <w:marBottom w:val="0"/>
      <w:divBdr>
        <w:top w:val="none" w:sz="0" w:space="0" w:color="auto"/>
        <w:left w:val="none" w:sz="0" w:space="0" w:color="auto"/>
        <w:bottom w:val="none" w:sz="0" w:space="0" w:color="auto"/>
        <w:right w:val="none" w:sz="0" w:space="0" w:color="auto"/>
      </w:divBdr>
    </w:div>
    <w:div w:id="957300876">
      <w:bodyDiv w:val="1"/>
      <w:marLeft w:val="0"/>
      <w:marRight w:val="0"/>
      <w:marTop w:val="0"/>
      <w:marBottom w:val="0"/>
      <w:divBdr>
        <w:top w:val="none" w:sz="0" w:space="0" w:color="auto"/>
        <w:left w:val="none" w:sz="0" w:space="0" w:color="auto"/>
        <w:bottom w:val="none" w:sz="0" w:space="0" w:color="auto"/>
        <w:right w:val="none" w:sz="0" w:space="0" w:color="auto"/>
      </w:divBdr>
    </w:div>
    <w:div w:id="963074498">
      <w:bodyDiv w:val="1"/>
      <w:marLeft w:val="0"/>
      <w:marRight w:val="0"/>
      <w:marTop w:val="0"/>
      <w:marBottom w:val="0"/>
      <w:divBdr>
        <w:top w:val="none" w:sz="0" w:space="0" w:color="auto"/>
        <w:left w:val="none" w:sz="0" w:space="0" w:color="auto"/>
        <w:bottom w:val="none" w:sz="0" w:space="0" w:color="auto"/>
        <w:right w:val="none" w:sz="0" w:space="0" w:color="auto"/>
      </w:divBdr>
    </w:div>
    <w:div w:id="967123391">
      <w:bodyDiv w:val="1"/>
      <w:marLeft w:val="0"/>
      <w:marRight w:val="0"/>
      <w:marTop w:val="0"/>
      <w:marBottom w:val="0"/>
      <w:divBdr>
        <w:top w:val="none" w:sz="0" w:space="0" w:color="auto"/>
        <w:left w:val="none" w:sz="0" w:space="0" w:color="auto"/>
        <w:bottom w:val="none" w:sz="0" w:space="0" w:color="auto"/>
        <w:right w:val="none" w:sz="0" w:space="0" w:color="auto"/>
      </w:divBdr>
    </w:div>
    <w:div w:id="976028752">
      <w:bodyDiv w:val="1"/>
      <w:marLeft w:val="0"/>
      <w:marRight w:val="0"/>
      <w:marTop w:val="0"/>
      <w:marBottom w:val="0"/>
      <w:divBdr>
        <w:top w:val="none" w:sz="0" w:space="0" w:color="auto"/>
        <w:left w:val="none" w:sz="0" w:space="0" w:color="auto"/>
        <w:bottom w:val="none" w:sz="0" w:space="0" w:color="auto"/>
        <w:right w:val="none" w:sz="0" w:space="0" w:color="auto"/>
      </w:divBdr>
    </w:div>
    <w:div w:id="977879033">
      <w:bodyDiv w:val="1"/>
      <w:marLeft w:val="0"/>
      <w:marRight w:val="0"/>
      <w:marTop w:val="0"/>
      <w:marBottom w:val="0"/>
      <w:divBdr>
        <w:top w:val="none" w:sz="0" w:space="0" w:color="auto"/>
        <w:left w:val="none" w:sz="0" w:space="0" w:color="auto"/>
        <w:bottom w:val="none" w:sz="0" w:space="0" w:color="auto"/>
        <w:right w:val="none" w:sz="0" w:space="0" w:color="auto"/>
      </w:divBdr>
    </w:div>
    <w:div w:id="977953417">
      <w:bodyDiv w:val="1"/>
      <w:marLeft w:val="0"/>
      <w:marRight w:val="0"/>
      <w:marTop w:val="0"/>
      <w:marBottom w:val="0"/>
      <w:divBdr>
        <w:top w:val="none" w:sz="0" w:space="0" w:color="auto"/>
        <w:left w:val="none" w:sz="0" w:space="0" w:color="auto"/>
        <w:bottom w:val="none" w:sz="0" w:space="0" w:color="auto"/>
        <w:right w:val="none" w:sz="0" w:space="0" w:color="auto"/>
      </w:divBdr>
    </w:div>
    <w:div w:id="990866478">
      <w:bodyDiv w:val="1"/>
      <w:marLeft w:val="0"/>
      <w:marRight w:val="0"/>
      <w:marTop w:val="0"/>
      <w:marBottom w:val="0"/>
      <w:divBdr>
        <w:top w:val="none" w:sz="0" w:space="0" w:color="auto"/>
        <w:left w:val="none" w:sz="0" w:space="0" w:color="auto"/>
        <w:bottom w:val="none" w:sz="0" w:space="0" w:color="auto"/>
        <w:right w:val="none" w:sz="0" w:space="0" w:color="auto"/>
      </w:divBdr>
    </w:div>
    <w:div w:id="997347347">
      <w:bodyDiv w:val="1"/>
      <w:marLeft w:val="0"/>
      <w:marRight w:val="0"/>
      <w:marTop w:val="0"/>
      <w:marBottom w:val="0"/>
      <w:divBdr>
        <w:top w:val="none" w:sz="0" w:space="0" w:color="auto"/>
        <w:left w:val="none" w:sz="0" w:space="0" w:color="auto"/>
        <w:bottom w:val="none" w:sz="0" w:space="0" w:color="auto"/>
        <w:right w:val="none" w:sz="0" w:space="0" w:color="auto"/>
      </w:divBdr>
    </w:div>
    <w:div w:id="1017926505">
      <w:bodyDiv w:val="1"/>
      <w:marLeft w:val="0"/>
      <w:marRight w:val="0"/>
      <w:marTop w:val="0"/>
      <w:marBottom w:val="0"/>
      <w:divBdr>
        <w:top w:val="none" w:sz="0" w:space="0" w:color="auto"/>
        <w:left w:val="none" w:sz="0" w:space="0" w:color="auto"/>
        <w:bottom w:val="none" w:sz="0" w:space="0" w:color="auto"/>
        <w:right w:val="none" w:sz="0" w:space="0" w:color="auto"/>
      </w:divBdr>
    </w:div>
    <w:div w:id="1026251670">
      <w:bodyDiv w:val="1"/>
      <w:marLeft w:val="0"/>
      <w:marRight w:val="0"/>
      <w:marTop w:val="0"/>
      <w:marBottom w:val="0"/>
      <w:divBdr>
        <w:top w:val="none" w:sz="0" w:space="0" w:color="auto"/>
        <w:left w:val="none" w:sz="0" w:space="0" w:color="auto"/>
        <w:bottom w:val="none" w:sz="0" w:space="0" w:color="auto"/>
        <w:right w:val="none" w:sz="0" w:space="0" w:color="auto"/>
      </w:divBdr>
    </w:div>
    <w:div w:id="1054041585">
      <w:bodyDiv w:val="1"/>
      <w:marLeft w:val="0"/>
      <w:marRight w:val="0"/>
      <w:marTop w:val="0"/>
      <w:marBottom w:val="0"/>
      <w:divBdr>
        <w:top w:val="none" w:sz="0" w:space="0" w:color="auto"/>
        <w:left w:val="none" w:sz="0" w:space="0" w:color="auto"/>
        <w:bottom w:val="none" w:sz="0" w:space="0" w:color="auto"/>
        <w:right w:val="none" w:sz="0" w:space="0" w:color="auto"/>
      </w:divBdr>
    </w:div>
    <w:div w:id="1057361077">
      <w:bodyDiv w:val="1"/>
      <w:marLeft w:val="0"/>
      <w:marRight w:val="0"/>
      <w:marTop w:val="0"/>
      <w:marBottom w:val="0"/>
      <w:divBdr>
        <w:top w:val="none" w:sz="0" w:space="0" w:color="auto"/>
        <w:left w:val="none" w:sz="0" w:space="0" w:color="auto"/>
        <w:bottom w:val="none" w:sz="0" w:space="0" w:color="auto"/>
        <w:right w:val="none" w:sz="0" w:space="0" w:color="auto"/>
      </w:divBdr>
    </w:div>
    <w:div w:id="1067533411">
      <w:bodyDiv w:val="1"/>
      <w:marLeft w:val="0"/>
      <w:marRight w:val="0"/>
      <w:marTop w:val="0"/>
      <w:marBottom w:val="0"/>
      <w:divBdr>
        <w:top w:val="none" w:sz="0" w:space="0" w:color="auto"/>
        <w:left w:val="none" w:sz="0" w:space="0" w:color="auto"/>
        <w:bottom w:val="none" w:sz="0" w:space="0" w:color="auto"/>
        <w:right w:val="none" w:sz="0" w:space="0" w:color="auto"/>
      </w:divBdr>
    </w:div>
    <w:div w:id="1075707956">
      <w:bodyDiv w:val="1"/>
      <w:marLeft w:val="0"/>
      <w:marRight w:val="0"/>
      <w:marTop w:val="0"/>
      <w:marBottom w:val="0"/>
      <w:divBdr>
        <w:top w:val="none" w:sz="0" w:space="0" w:color="auto"/>
        <w:left w:val="none" w:sz="0" w:space="0" w:color="auto"/>
        <w:bottom w:val="none" w:sz="0" w:space="0" w:color="auto"/>
        <w:right w:val="none" w:sz="0" w:space="0" w:color="auto"/>
      </w:divBdr>
    </w:div>
    <w:div w:id="1082292434">
      <w:bodyDiv w:val="1"/>
      <w:marLeft w:val="0"/>
      <w:marRight w:val="0"/>
      <w:marTop w:val="0"/>
      <w:marBottom w:val="0"/>
      <w:divBdr>
        <w:top w:val="none" w:sz="0" w:space="0" w:color="auto"/>
        <w:left w:val="none" w:sz="0" w:space="0" w:color="auto"/>
        <w:bottom w:val="none" w:sz="0" w:space="0" w:color="auto"/>
        <w:right w:val="none" w:sz="0" w:space="0" w:color="auto"/>
      </w:divBdr>
    </w:div>
    <w:div w:id="1087575924">
      <w:bodyDiv w:val="1"/>
      <w:marLeft w:val="0"/>
      <w:marRight w:val="0"/>
      <w:marTop w:val="0"/>
      <w:marBottom w:val="0"/>
      <w:divBdr>
        <w:top w:val="none" w:sz="0" w:space="0" w:color="auto"/>
        <w:left w:val="none" w:sz="0" w:space="0" w:color="auto"/>
        <w:bottom w:val="none" w:sz="0" w:space="0" w:color="auto"/>
        <w:right w:val="none" w:sz="0" w:space="0" w:color="auto"/>
      </w:divBdr>
    </w:div>
    <w:div w:id="1097212141">
      <w:bodyDiv w:val="1"/>
      <w:marLeft w:val="0"/>
      <w:marRight w:val="0"/>
      <w:marTop w:val="0"/>
      <w:marBottom w:val="0"/>
      <w:divBdr>
        <w:top w:val="none" w:sz="0" w:space="0" w:color="auto"/>
        <w:left w:val="none" w:sz="0" w:space="0" w:color="auto"/>
        <w:bottom w:val="none" w:sz="0" w:space="0" w:color="auto"/>
        <w:right w:val="none" w:sz="0" w:space="0" w:color="auto"/>
      </w:divBdr>
    </w:div>
    <w:div w:id="1115520198">
      <w:bodyDiv w:val="1"/>
      <w:marLeft w:val="0"/>
      <w:marRight w:val="0"/>
      <w:marTop w:val="0"/>
      <w:marBottom w:val="0"/>
      <w:divBdr>
        <w:top w:val="none" w:sz="0" w:space="0" w:color="auto"/>
        <w:left w:val="none" w:sz="0" w:space="0" w:color="auto"/>
        <w:bottom w:val="none" w:sz="0" w:space="0" w:color="auto"/>
        <w:right w:val="none" w:sz="0" w:space="0" w:color="auto"/>
      </w:divBdr>
    </w:div>
    <w:div w:id="1120418934">
      <w:bodyDiv w:val="1"/>
      <w:marLeft w:val="0"/>
      <w:marRight w:val="0"/>
      <w:marTop w:val="0"/>
      <w:marBottom w:val="0"/>
      <w:divBdr>
        <w:top w:val="none" w:sz="0" w:space="0" w:color="auto"/>
        <w:left w:val="none" w:sz="0" w:space="0" w:color="auto"/>
        <w:bottom w:val="none" w:sz="0" w:space="0" w:color="auto"/>
        <w:right w:val="none" w:sz="0" w:space="0" w:color="auto"/>
      </w:divBdr>
    </w:div>
    <w:div w:id="1129007934">
      <w:bodyDiv w:val="1"/>
      <w:marLeft w:val="0"/>
      <w:marRight w:val="0"/>
      <w:marTop w:val="0"/>
      <w:marBottom w:val="0"/>
      <w:divBdr>
        <w:top w:val="none" w:sz="0" w:space="0" w:color="auto"/>
        <w:left w:val="none" w:sz="0" w:space="0" w:color="auto"/>
        <w:bottom w:val="none" w:sz="0" w:space="0" w:color="auto"/>
        <w:right w:val="none" w:sz="0" w:space="0" w:color="auto"/>
      </w:divBdr>
    </w:div>
    <w:div w:id="1131248442">
      <w:bodyDiv w:val="1"/>
      <w:marLeft w:val="0"/>
      <w:marRight w:val="0"/>
      <w:marTop w:val="0"/>
      <w:marBottom w:val="0"/>
      <w:divBdr>
        <w:top w:val="none" w:sz="0" w:space="0" w:color="auto"/>
        <w:left w:val="none" w:sz="0" w:space="0" w:color="auto"/>
        <w:bottom w:val="none" w:sz="0" w:space="0" w:color="auto"/>
        <w:right w:val="none" w:sz="0" w:space="0" w:color="auto"/>
      </w:divBdr>
    </w:div>
    <w:div w:id="1152789137">
      <w:bodyDiv w:val="1"/>
      <w:marLeft w:val="0"/>
      <w:marRight w:val="0"/>
      <w:marTop w:val="0"/>
      <w:marBottom w:val="0"/>
      <w:divBdr>
        <w:top w:val="none" w:sz="0" w:space="0" w:color="auto"/>
        <w:left w:val="none" w:sz="0" w:space="0" w:color="auto"/>
        <w:bottom w:val="none" w:sz="0" w:space="0" w:color="auto"/>
        <w:right w:val="none" w:sz="0" w:space="0" w:color="auto"/>
      </w:divBdr>
    </w:div>
    <w:div w:id="1156192269">
      <w:bodyDiv w:val="1"/>
      <w:marLeft w:val="0"/>
      <w:marRight w:val="0"/>
      <w:marTop w:val="0"/>
      <w:marBottom w:val="0"/>
      <w:divBdr>
        <w:top w:val="none" w:sz="0" w:space="0" w:color="auto"/>
        <w:left w:val="none" w:sz="0" w:space="0" w:color="auto"/>
        <w:bottom w:val="none" w:sz="0" w:space="0" w:color="auto"/>
        <w:right w:val="none" w:sz="0" w:space="0" w:color="auto"/>
      </w:divBdr>
    </w:div>
    <w:div w:id="1184590345">
      <w:bodyDiv w:val="1"/>
      <w:marLeft w:val="0"/>
      <w:marRight w:val="0"/>
      <w:marTop w:val="0"/>
      <w:marBottom w:val="0"/>
      <w:divBdr>
        <w:top w:val="none" w:sz="0" w:space="0" w:color="auto"/>
        <w:left w:val="none" w:sz="0" w:space="0" w:color="auto"/>
        <w:bottom w:val="none" w:sz="0" w:space="0" w:color="auto"/>
        <w:right w:val="none" w:sz="0" w:space="0" w:color="auto"/>
      </w:divBdr>
    </w:div>
    <w:div w:id="1198271855">
      <w:bodyDiv w:val="1"/>
      <w:marLeft w:val="0"/>
      <w:marRight w:val="0"/>
      <w:marTop w:val="0"/>
      <w:marBottom w:val="0"/>
      <w:divBdr>
        <w:top w:val="none" w:sz="0" w:space="0" w:color="auto"/>
        <w:left w:val="none" w:sz="0" w:space="0" w:color="auto"/>
        <w:bottom w:val="none" w:sz="0" w:space="0" w:color="auto"/>
        <w:right w:val="none" w:sz="0" w:space="0" w:color="auto"/>
      </w:divBdr>
    </w:div>
    <w:div w:id="1217010704">
      <w:bodyDiv w:val="1"/>
      <w:marLeft w:val="0"/>
      <w:marRight w:val="0"/>
      <w:marTop w:val="0"/>
      <w:marBottom w:val="0"/>
      <w:divBdr>
        <w:top w:val="none" w:sz="0" w:space="0" w:color="auto"/>
        <w:left w:val="none" w:sz="0" w:space="0" w:color="auto"/>
        <w:bottom w:val="none" w:sz="0" w:space="0" w:color="auto"/>
        <w:right w:val="none" w:sz="0" w:space="0" w:color="auto"/>
      </w:divBdr>
    </w:div>
    <w:div w:id="1247611937">
      <w:bodyDiv w:val="1"/>
      <w:marLeft w:val="0"/>
      <w:marRight w:val="0"/>
      <w:marTop w:val="0"/>
      <w:marBottom w:val="0"/>
      <w:divBdr>
        <w:top w:val="none" w:sz="0" w:space="0" w:color="auto"/>
        <w:left w:val="none" w:sz="0" w:space="0" w:color="auto"/>
        <w:bottom w:val="none" w:sz="0" w:space="0" w:color="auto"/>
        <w:right w:val="none" w:sz="0" w:space="0" w:color="auto"/>
      </w:divBdr>
    </w:div>
    <w:div w:id="1249778406">
      <w:bodyDiv w:val="1"/>
      <w:marLeft w:val="0"/>
      <w:marRight w:val="0"/>
      <w:marTop w:val="0"/>
      <w:marBottom w:val="0"/>
      <w:divBdr>
        <w:top w:val="none" w:sz="0" w:space="0" w:color="auto"/>
        <w:left w:val="none" w:sz="0" w:space="0" w:color="auto"/>
        <w:bottom w:val="none" w:sz="0" w:space="0" w:color="auto"/>
        <w:right w:val="none" w:sz="0" w:space="0" w:color="auto"/>
      </w:divBdr>
    </w:div>
    <w:div w:id="1253665030">
      <w:bodyDiv w:val="1"/>
      <w:marLeft w:val="0"/>
      <w:marRight w:val="0"/>
      <w:marTop w:val="0"/>
      <w:marBottom w:val="0"/>
      <w:divBdr>
        <w:top w:val="none" w:sz="0" w:space="0" w:color="auto"/>
        <w:left w:val="none" w:sz="0" w:space="0" w:color="auto"/>
        <w:bottom w:val="none" w:sz="0" w:space="0" w:color="auto"/>
        <w:right w:val="none" w:sz="0" w:space="0" w:color="auto"/>
      </w:divBdr>
    </w:div>
    <w:div w:id="1254585510">
      <w:bodyDiv w:val="1"/>
      <w:marLeft w:val="0"/>
      <w:marRight w:val="0"/>
      <w:marTop w:val="0"/>
      <w:marBottom w:val="0"/>
      <w:divBdr>
        <w:top w:val="none" w:sz="0" w:space="0" w:color="auto"/>
        <w:left w:val="none" w:sz="0" w:space="0" w:color="auto"/>
        <w:bottom w:val="none" w:sz="0" w:space="0" w:color="auto"/>
        <w:right w:val="none" w:sz="0" w:space="0" w:color="auto"/>
      </w:divBdr>
    </w:div>
    <w:div w:id="1295603080">
      <w:bodyDiv w:val="1"/>
      <w:marLeft w:val="0"/>
      <w:marRight w:val="0"/>
      <w:marTop w:val="0"/>
      <w:marBottom w:val="0"/>
      <w:divBdr>
        <w:top w:val="none" w:sz="0" w:space="0" w:color="auto"/>
        <w:left w:val="none" w:sz="0" w:space="0" w:color="auto"/>
        <w:bottom w:val="none" w:sz="0" w:space="0" w:color="auto"/>
        <w:right w:val="none" w:sz="0" w:space="0" w:color="auto"/>
      </w:divBdr>
    </w:div>
    <w:div w:id="1311910865">
      <w:bodyDiv w:val="1"/>
      <w:marLeft w:val="0"/>
      <w:marRight w:val="0"/>
      <w:marTop w:val="0"/>
      <w:marBottom w:val="0"/>
      <w:divBdr>
        <w:top w:val="none" w:sz="0" w:space="0" w:color="auto"/>
        <w:left w:val="none" w:sz="0" w:space="0" w:color="auto"/>
        <w:bottom w:val="none" w:sz="0" w:space="0" w:color="auto"/>
        <w:right w:val="none" w:sz="0" w:space="0" w:color="auto"/>
      </w:divBdr>
    </w:div>
    <w:div w:id="1319261154">
      <w:bodyDiv w:val="1"/>
      <w:marLeft w:val="0"/>
      <w:marRight w:val="0"/>
      <w:marTop w:val="0"/>
      <w:marBottom w:val="0"/>
      <w:divBdr>
        <w:top w:val="none" w:sz="0" w:space="0" w:color="auto"/>
        <w:left w:val="none" w:sz="0" w:space="0" w:color="auto"/>
        <w:bottom w:val="none" w:sz="0" w:space="0" w:color="auto"/>
        <w:right w:val="none" w:sz="0" w:space="0" w:color="auto"/>
      </w:divBdr>
    </w:div>
    <w:div w:id="1319308992">
      <w:bodyDiv w:val="1"/>
      <w:marLeft w:val="0"/>
      <w:marRight w:val="0"/>
      <w:marTop w:val="0"/>
      <w:marBottom w:val="0"/>
      <w:divBdr>
        <w:top w:val="none" w:sz="0" w:space="0" w:color="auto"/>
        <w:left w:val="none" w:sz="0" w:space="0" w:color="auto"/>
        <w:bottom w:val="none" w:sz="0" w:space="0" w:color="auto"/>
        <w:right w:val="none" w:sz="0" w:space="0" w:color="auto"/>
      </w:divBdr>
    </w:div>
    <w:div w:id="1354039840">
      <w:bodyDiv w:val="1"/>
      <w:marLeft w:val="0"/>
      <w:marRight w:val="0"/>
      <w:marTop w:val="0"/>
      <w:marBottom w:val="0"/>
      <w:divBdr>
        <w:top w:val="none" w:sz="0" w:space="0" w:color="auto"/>
        <w:left w:val="none" w:sz="0" w:space="0" w:color="auto"/>
        <w:bottom w:val="none" w:sz="0" w:space="0" w:color="auto"/>
        <w:right w:val="none" w:sz="0" w:space="0" w:color="auto"/>
      </w:divBdr>
    </w:div>
    <w:div w:id="1360665141">
      <w:bodyDiv w:val="1"/>
      <w:marLeft w:val="0"/>
      <w:marRight w:val="0"/>
      <w:marTop w:val="0"/>
      <w:marBottom w:val="0"/>
      <w:divBdr>
        <w:top w:val="none" w:sz="0" w:space="0" w:color="auto"/>
        <w:left w:val="none" w:sz="0" w:space="0" w:color="auto"/>
        <w:bottom w:val="none" w:sz="0" w:space="0" w:color="auto"/>
        <w:right w:val="none" w:sz="0" w:space="0" w:color="auto"/>
      </w:divBdr>
    </w:div>
    <w:div w:id="1379159510">
      <w:bodyDiv w:val="1"/>
      <w:marLeft w:val="0"/>
      <w:marRight w:val="0"/>
      <w:marTop w:val="0"/>
      <w:marBottom w:val="0"/>
      <w:divBdr>
        <w:top w:val="none" w:sz="0" w:space="0" w:color="auto"/>
        <w:left w:val="none" w:sz="0" w:space="0" w:color="auto"/>
        <w:bottom w:val="none" w:sz="0" w:space="0" w:color="auto"/>
        <w:right w:val="none" w:sz="0" w:space="0" w:color="auto"/>
      </w:divBdr>
    </w:div>
    <w:div w:id="1384333642">
      <w:bodyDiv w:val="1"/>
      <w:marLeft w:val="0"/>
      <w:marRight w:val="0"/>
      <w:marTop w:val="0"/>
      <w:marBottom w:val="0"/>
      <w:divBdr>
        <w:top w:val="none" w:sz="0" w:space="0" w:color="auto"/>
        <w:left w:val="none" w:sz="0" w:space="0" w:color="auto"/>
        <w:bottom w:val="none" w:sz="0" w:space="0" w:color="auto"/>
        <w:right w:val="none" w:sz="0" w:space="0" w:color="auto"/>
      </w:divBdr>
    </w:div>
    <w:div w:id="1395544280">
      <w:bodyDiv w:val="1"/>
      <w:marLeft w:val="0"/>
      <w:marRight w:val="0"/>
      <w:marTop w:val="0"/>
      <w:marBottom w:val="0"/>
      <w:divBdr>
        <w:top w:val="none" w:sz="0" w:space="0" w:color="auto"/>
        <w:left w:val="none" w:sz="0" w:space="0" w:color="auto"/>
        <w:bottom w:val="none" w:sz="0" w:space="0" w:color="auto"/>
        <w:right w:val="none" w:sz="0" w:space="0" w:color="auto"/>
      </w:divBdr>
    </w:div>
    <w:div w:id="1398087983">
      <w:bodyDiv w:val="1"/>
      <w:marLeft w:val="0"/>
      <w:marRight w:val="0"/>
      <w:marTop w:val="0"/>
      <w:marBottom w:val="0"/>
      <w:divBdr>
        <w:top w:val="none" w:sz="0" w:space="0" w:color="auto"/>
        <w:left w:val="none" w:sz="0" w:space="0" w:color="auto"/>
        <w:bottom w:val="none" w:sz="0" w:space="0" w:color="auto"/>
        <w:right w:val="none" w:sz="0" w:space="0" w:color="auto"/>
      </w:divBdr>
    </w:div>
    <w:div w:id="1408334706">
      <w:bodyDiv w:val="1"/>
      <w:marLeft w:val="0"/>
      <w:marRight w:val="0"/>
      <w:marTop w:val="0"/>
      <w:marBottom w:val="0"/>
      <w:divBdr>
        <w:top w:val="none" w:sz="0" w:space="0" w:color="auto"/>
        <w:left w:val="none" w:sz="0" w:space="0" w:color="auto"/>
        <w:bottom w:val="none" w:sz="0" w:space="0" w:color="auto"/>
        <w:right w:val="none" w:sz="0" w:space="0" w:color="auto"/>
      </w:divBdr>
    </w:div>
    <w:div w:id="1408378913">
      <w:bodyDiv w:val="1"/>
      <w:marLeft w:val="0"/>
      <w:marRight w:val="0"/>
      <w:marTop w:val="0"/>
      <w:marBottom w:val="0"/>
      <w:divBdr>
        <w:top w:val="none" w:sz="0" w:space="0" w:color="auto"/>
        <w:left w:val="none" w:sz="0" w:space="0" w:color="auto"/>
        <w:bottom w:val="none" w:sz="0" w:space="0" w:color="auto"/>
        <w:right w:val="none" w:sz="0" w:space="0" w:color="auto"/>
      </w:divBdr>
    </w:div>
    <w:div w:id="1409577816">
      <w:bodyDiv w:val="1"/>
      <w:marLeft w:val="0"/>
      <w:marRight w:val="0"/>
      <w:marTop w:val="0"/>
      <w:marBottom w:val="0"/>
      <w:divBdr>
        <w:top w:val="none" w:sz="0" w:space="0" w:color="auto"/>
        <w:left w:val="none" w:sz="0" w:space="0" w:color="auto"/>
        <w:bottom w:val="none" w:sz="0" w:space="0" w:color="auto"/>
        <w:right w:val="none" w:sz="0" w:space="0" w:color="auto"/>
      </w:divBdr>
    </w:div>
    <w:div w:id="1440644804">
      <w:bodyDiv w:val="1"/>
      <w:marLeft w:val="0"/>
      <w:marRight w:val="0"/>
      <w:marTop w:val="0"/>
      <w:marBottom w:val="0"/>
      <w:divBdr>
        <w:top w:val="none" w:sz="0" w:space="0" w:color="auto"/>
        <w:left w:val="none" w:sz="0" w:space="0" w:color="auto"/>
        <w:bottom w:val="none" w:sz="0" w:space="0" w:color="auto"/>
        <w:right w:val="none" w:sz="0" w:space="0" w:color="auto"/>
      </w:divBdr>
      <w:divsChild>
        <w:div w:id="1276522602">
          <w:marLeft w:val="0"/>
          <w:marRight w:val="0"/>
          <w:marTop w:val="0"/>
          <w:marBottom w:val="0"/>
          <w:divBdr>
            <w:top w:val="none" w:sz="0" w:space="0" w:color="auto"/>
            <w:left w:val="none" w:sz="0" w:space="0" w:color="auto"/>
            <w:bottom w:val="none" w:sz="0" w:space="0" w:color="auto"/>
            <w:right w:val="none" w:sz="0" w:space="0" w:color="auto"/>
          </w:divBdr>
        </w:div>
      </w:divsChild>
    </w:div>
    <w:div w:id="1443307432">
      <w:bodyDiv w:val="1"/>
      <w:marLeft w:val="0"/>
      <w:marRight w:val="0"/>
      <w:marTop w:val="0"/>
      <w:marBottom w:val="0"/>
      <w:divBdr>
        <w:top w:val="none" w:sz="0" w:space="0" w:color="auto"/>
        <w:left w:val="none" w:sz="0" w:space="0" w:color="auto"/>
        <w:bottom w:val="none" w:sz="0" w:space="0" w:color="auto"/>
        <w:right w:val="none" w:sz="0" w:space="0" w:color="auto"/>
      </w:divBdr>
    </w:div>
    <w:div w:id="1453744047">
      <w:bodyDiv w:val="1"/>
      <w:marLeft w:val="0"/>
      <w:marRight w:val="0"/>
      <w:marTop w:val="0"/>
      <w:marBottom w:val="0"/>
      <w:divBdr>
        <w:top w:val="none" w:sz="0" w:space="0" w:color="auto"/>
        <w:left w:val="none" w:sz="0" w:space="0" w:color="auto"/>
        <w:bottom w:val="none" w:sz="0" w:space="0" w:color="auto"/>
        <w:right w:val="none" w:sz="0" w:space="0" w:color="auto"/>
      </w:divBdr>
    </w:div>
    <w:div w:id="1456831021">
      <w:bodyDiv w:val="1"/>
      <w:marLeft w:val="0"/>
      <w:marRight w:val="0"/>
      <w:marTop w:val="0"/>
      <w:marBottom w:val="0"/>
      <w:divBdr>
        <w:top w:val="none" w:sz="0" w:space="0" w:color="auto"/>
        <w:left w:val="none" w:sz="0" w:space="0" w:color="auto"/>
        <w:bottom w:val="none" w:sz="0" w:space="0" w:color="auto"/>
        <w:right w:val="none" w:sz="0" w:space="0" w:color="auto"/>
      </w:divBdr>
    </w:div>
    <w:div w:id="1476800107">
      <w:bodyDiv w:val="1"/>
      <w:marLeft w:val="0"/>
      <w:marRight w:val="0"/>
      <w:marTop w:val="0"/>
      <w:marBottom w:val="0"/>
      <w:divBdr>
        <w:top w:val="none" w:sz="0" w:space="0" w:color="auto"/>
        <w:left w:val="none" w:sz="0" w:space="0" w:color="auto"/>
        <w:bottom w:val="none" w:sz="0" w:space="0" w:color="auto"/>
        <w:right w:val="none" w:sz="0" w:space="0" w:color="auto"/>
      </w:divBdr>
    </w:div>
    <w:div w:id="1478260002">
      <w:bodyDiv w:val="1"/>
      <w:marLeft w:val="0"/>
      <w:marRight w:val="0"/>
      <w:marTop w:val="0"/>
      <w:marBottom w:val="0"/>
      <w:divBdr>
        <w:top w:val="none" w:sz="0" w:space="0" w:color="auto"/>
        <w:left w:val="none" w:sz="0" w:space="0" w:color="auto"/>
        <w:bottom w:val="none" w:sz="0" w:space="0" w:color="auto"/>
        <w:right w:val="none" w:sz="0" w:space="0" w:color="auto"/>
      </w:divBdr>
    </w:div>
    <w:div w:id="1479420538">
      <w:bodyDiv w:val="1"/>
      <w:marLeft w:val="0"/>
      <w:marRight w:val="0"/>
      <w:marTop w:val="0"/>
      <w:marBottom w:val="0"/>
      <w:divBdr>
        <w:top w:val="none" w:sz="0" w:space="0" w:color="auto"/>
        <w:left w:val="none" w:sz="0" w:space="0" w:color="auto"/>
        <w:bottom w:val="none" w:sz="0" w:space="0" w:color="auto"/>
        <w:right w:val="none" w:sz="0" w:space="0" w:color="auto"/>
      </w:divBdr>
    </w:div>
    <w:div w:id="1480265187">
      <w:bodyDiv w:val="1"/>
      <w:marLeft w:val="0"/>
      <w:marRight w:val="0"/>
      <w:marTop w:val="0"/>
      <w:marBottom w:val="0"/>
      <w:divBdr>
        <w:top w:val="none" w:sz="0" w:space="0" w:color="auto"/>
        <w:left w:val="none" w:sz="0" w:space="0" w:color="auto"/>
        <w:bottom w:val="none" w:sz="0" w:space="0" w:color="auto"/>
        <w:right w:val="none" w:sz="0" w:space="0" w:color="auto"/>
      </w:divBdr>
    </w:div>
    <w:div w:id="1512069476">
      <w:bodyDiv w:val="1"/>
      <w:marLeft w:val="0"/>
      <w:marRight w:val="0"/>
      <w:marTop w:val="0"/>
      <w:marBottom w:val="0"/>
      <w:divBdr>
        <w:top w:val="none" w:sz="0" w:space="0" w:color="auto"/>
        <w:left w:val="none" w:sz="0" w:space="0" w:color="auto"/>
        <w:bottom w:val="none" w:sz="0" w:space="0" w:color="auto"/>
        <w:right w:val="none" w:sz="0" w:space="0" w:color="auto"/>
      </w:divBdr>
    </w:div>
    <w:div w:id="1512723863">
      <w:bodyDiv w:val="1"/>
      <w:marLeft w:val="0"/>
      <w:marRight w:val="0"/>
      <w:marTop w:val="0"/>
      <w:marBottom w:val="0"/>
      <w:divBdr>
        <w:top w:val="none" w:sz="0" w:space="0" w:color="auto"/>
        <w:left w:val="none" w:sz="0" w:space="0" w:color="auto"/>
        <w:bottom w:val="none" w:sz="0" w:space="0" w:color="auto"/>
        <w:right w:val="none" w:sz="0" w:space="0" w:color="auto"/>
      </w:divBdr>
    </w:div>
    <w:div w:id="1517696540">
      <w:bodyDiv w:val="1"/>
      <w:marLeft w:val="0"/>
      <w:marRight w:val="0"/>
      <w:marTop w:val="0"/>
      <w:marBottom w:val="0"/>
      <w:divBdr>
        <w:top w:val="none" w:sz="0" w:space="0" w:color="auto"/>
        <w:left w:val="none" w:sz="0" w:space="0" w:color="auto"/>
        <w:bottom w:val="none" w:sz="0" w:space="0" w:color="auto"/>
        <w:right w:val="none" w:sz="0" w:space="0" w:color="auto"/>
      </w:divBdr>
    </w:div>
    <w:div w:id="1528257909">
      <w:bodyDiv w:val="1"/>
      <w:marLeft w:val="0"/>
      <w:marRight w:val="0"/>
      <w:marTop w:val="0"/>
      <w:marBottom w:val="0"/>
      <w:divBdr>
        <w:top w:val="none" w:sz="0" w:space="0" w:color="auto"/>
        <w:left w:val="none" w:sz="0" w:space="0" w:color="auto"/>
        <w:bottom w:val="none" w:sz="0" w:space="0" w:color="auto"/>
        <w:right w:val="none" w:sz="0" w:space="0" w:color="auto"/>
      </w:divBdr>
    </w:div>
    <w:div w:id="1542160098">
      <w:bodyDiv w:val="1"/>
      <w:marLeft w:val="0"/>
      <w:marRight w:val="0"/>
      <w:marTop w:val="0"/>
      <w:marBottom w:val="0"/>
      <w:divBdr>
        <w:top w:val="none" w:sz="0" w:space="0" w:color="auto"/>
        <w:left w:val="none" w:sz="0" w:space="0" w:color="auto"/>
        <w:bottom w:val="none" w:sz="0" w:space="0" w:color="auto"/>
        <w:right w:val="none" w:sz="0" w:space="0" w:color="auto"/>
      </w:divBdr>
    </w:div>
    <w:div w:id="1547638717">
      <w:bodyDiv w:val="1"/>
      <w:marLeft w:val="0"/>
      <w:marRight w:val="0"/>
      <w:marTop w:val="0"/>
      <w:marBottom w:val="0"/>
      <w:divBdr>
        <w:top w:val="none" w:sz="0" w:space="0" w:color="auto"/>
        <w:left w:val="none" w:sz="0" w:space="0" w:color="auto"/>
        <w:bottom w:val="none" w:sz="0" w:space="0" w:color="auto"/>
        <w:right w:val="none" w:sz="0" w:space="0" w:color="auto"/>
      </w:divBdr>
    </w:div>
    <w:div w:id="1551378218">
      <w:bodyDiv w:val="1"/>
      <w:marLeft w:val="0"/>
      <w:marRight w:val="0"/>
      <w:marTop w:val="0"/>
      <w:marBottom w:val="0"/>
      <w:divBdr>
        <w:top w:val="none" w:sz="0" w:space="0" w:color="auto"/>
        <w:left w:val="none" w:sz="0" w:space="0" w:color="auto"/>
        <w:bottom w:val="none" w:sz="0" w:space="0" w:color="auto"/>
        <w:right w:val="none" w:sz="0" w:space="0" w:color="auto"/>
      </w:divBdr>
    </w:div>
    <w:div w:id="1582257870">
      <w:bodyDiv w:val="1"/>
      <w:marLeft w:val="0"/>
      <w:marRight w:val="0"/>
      <w:marTop w:val="0"/>
      <w:marBottom w:val="0"/>
      <w:divBdr>
        <w:top w:val="none" w:sz="0" w:space="0" w:color="auto"/>
        <w:left w:val="none" w:sz="0" w:space="0" w:color="auto"/>
        <w:bottom w:val="none" w:sz="0" w:space="0" w:color="auto"/>
        <w:right w:val="none" w:sz="0" w:space="0" w:color="auto"/>
      </w:divBdr>
    </w:div>
    <w:div w:id="1605453902">
      <w:bodyDiv w:val="1"/>
      <w:marLeft w:val="0"/>
      <w:marRight w:val="0"/>
      <w:marTop w:val="0"/>
      <w:marBottom w:val="0"/>
      <w:divBdr>
        <w:top w:val="none" w:sz="0" w:space="0" w:color="auto"/>
        <w:left w:val="none" w:sz="0" w:space="0" w:color="auto"/>
        <w:bottom w:val="none" w:sz="0" w:space="0" w:color="auto"/>
        <w:right w:val="none" w:sz="0" w:space="0" w:color="auto"/>
      </w:divBdr>
    </w:div>
    <w:div w:id="1616404669">
      <w:bodyDiv w:val="1"/>
      <w:marLeft w:val="0"/>
      <w:marRight w:val="0"/>
      <w:marTop w:val="0"/>
      <w:marBottom w:val="0"/>
      <w:divBdr>
        <w:top w:val="none" w:sz="0" w:space="0" w:color="auto"/>
        <w:left w:val="none" w:sz="0" w:space="0" w:color="auto"/>
        <w:bottom w:val="none" w:sz="0" w:space="0" w:color="auto"/>
        <w:right w:val="none" w:sz="0" w:space="0" w:color="auto"/>
      </w:divBdr>
    </w:div>
    <w:div w:id="1640649125">
      <w:bodyDiv w:val="1"/>
      <w:marLeft w:val="0"/>
      <w:marRight w:val="0"/>
      <w:marTop w:val="0"/>
      <w:marBottom w:val="0"/>
      <w:divBdr>
        <w:top w:val="none" w:sz="0" w:space="0" w:color="auto"/>
        <w:left w:val="none" w:sz="0" w:space="0" w:color="auto"/>
        <w:bottom w:val="none" w:sz="0" w:space="0" w:color="auto"/>
        <w:right w:val="none" w:sz="0" w:space="0" w:color="auto"/>
      </w:divBdr>
    </w:div>
    <w:div w:id="1649556086">
      <w:bodyDiv w:val="1"/>
      <w:marLeft w:val="0"/>
      <w:marRight w:val="0"/>
      <w:marTop w:val="0"/>
      <w:marBottom w:val="0"/>
      <w:divBdr>
        <w:top w:val="none" w:sz="0" w:space="0" w:color="auto"/>
        <w:left w:val="none" w:sz="0" w:space="0" w:color="auto"/>
        <w:bottom w:val="none" w:sz="0" w:space="0" w:color="auto"/>
        <w:right w:val="none" w:sz="0" w:space="0" w:color="auto"/>
      </w:divBdr>
    </w:div>
    <w:div w:id="1709140904">
      <w:bodyDiv w:val="1"/>
      <w:marLeft w:val="0"/>
      <w:marRight w:val="0"/>
      <w:marTop w:val="0"/>
      <w:marBottom w:val="0"/>
      <w:divBdr>
        <w:top w:val="none" w:sz="0" w:space="0" w:color="auto"/>
        <w:left w:val="none" w:sz="0" w:space="0" w:color="auto"/>
        <w:bottom w:val="none" w:sz="0" w:space="0" w:color="auto"/>
        <w:right w:val="none" w:sz="0" w:space="0" w:color="auto"/>
      </w:divBdr>
    </w:div>
    <w:div w:id="1737972912">
      <w:bodyDiv w:val="1"/>
      <w:marLeft w:val="0"/>
      <w:marRight w:val="0"/>
      <w:marTop w:val="0"/>
      <w:marBottom w:val="0"/>
      <w:divBdr>
        <w:top w:val="none" w:sz="0" w:space="0" w:color="auto"/>
        <w:left w:val="none" w:sz="0" w:space="0" w:color="auto"/>
        <w:bottom w:val="none" w:sz="0" w:space="0" w:color="auto"/>
        <w:right w:val="none" w:sz="0" w:space="0" w:color="auto"/>
      </w:divBdr>
    </w:div>
    <w:div w:id="1757089053">
      <w:bodyDiv w:val="1"/>
      <w:marLeft w:val="0"/>
      <w:marRight w:val="0"/>
      <w:marTop w:val="0"/>
      <w:marBottom w:val="0"/>
      <w:divBdr>
        <w:top w:val="none" w:sz="0" w:space="0" w:color="auto"/>
        <w:left w:val="none" w:sz="0" w:space="0" w:color="auto"/>
        <w:bottom w:val="none" w:sz="0" w:space="0" w:color="auto"/>
        <w:right w:val="none" w:sz="0" w:space="0" w:color="auto"/>
      </w:divBdr>
    </w:div>
    <w:div w:id="1769503943">
      <w:bodyDiv w:val="1"/>
      <w:marLeft w:val="0"/>
      <w:marRight w:val="0"/>
      <w:marTop w:val="0"/>
      <w:marBottom w:val="0"/>
      <w:divBdr>
        <w:top w:val="none" w:sz="0" w:space="0" w:color="auto"/>
        <w:left w:val="none" w:sz="0" w:space="0" w:color="auto"/>
        <w:bottom w:val="none" w:sz="0" w:space="0" w:color="auto"/>
        <w:right w:val="none" w:sz="0" w:space="0" w:color="auto"/>
      </w:divBdr>
    </w:div>
    <w:div w:id="1782994124">
      <w:bodyDiv w:val="1"/>
      <w:marLeft w:val="0"/>
      <w:marRight w:val="0"/>
      <w:marTop w:val="0"/>
      <w:marBottom w:val="0"/>
      <w:divBdr>
        <w:top w:val="none" w:sz="0" w:space="0" w:color="auto"/>
        <w:left w:val="none" w:sz="0" w:space="0" w:color="auto"/>
        <w:bottom w:val="none" w:sz="0" w:space="0" w:color="auto"/>
        <w:right w:val="none" w:sz="0" w:space="0" w:color="auto"/>
      </w:divBdr>
    </w:div>
    <w:div w:id="1785494730">
      <w:bodyDiv w:val="1"/>
      <w:marLeft w:val="0"/>
      <w:marRight w:val="0"/>
      <w:marTop w:val="0"/>
      <w:marBottom w:val="0"/>
      <w:divBdr>
        <w:top w:val="none" w:sz="0" w:space="0" w:color="auto"/>
        <w:left w:val="none" w:sz="0" w:space="0" w:color="auto"/>
        <w:bottom w:val="none" w:sz="0" w:space="0" w:color="auto"/>
        <w:right w:val="none" w:sz="0" w:space="0" w:color="auto"/>
      </w:divBdr>
    </w:div>
    <w:div w:id="1789934897">
      <w:bodyDiv w:val="1"/>
      <w:marLeft w:val="0"/>
      <w:marRight w:val="0"/>
      <w:marTop w:val="0"/>
      <w:marBottom w:val="0"/>
      <w:divBdr>
        <w:top w:val="none" w:sz="0" w:space="0" w:color="auto"/>
        <w:left w:val="none" w:sz="0" w:space="0" w:color="auto"/>
        <w:bottom w:val="none" w:sz="0" w:space="0" w:color="auto"/>
        <w:right w:val="none" w:sz="0" w:space="0" w:color="auto"/>
      </w:divBdr>
    </w:div>
    <w:div w:id="1805193368">
      <w:bodyDiv w:val="1"/>
      <w:marLeft w:val="0"/>
      <w:marRight w:val="0"/>
      <w:marTop w:val="0"/>
      <w:marBottom w:val="0"/>
      <w:divBdr>
        <w:top w:val="none" w:sz="0" w:space="0" w:color="auto"/>
        <w:left w:val="none" w:sz="0" w:space="0" w:color="auto"/>
        <w:bottom w:val="none" w:sz="0" w:space="0" w:color="auto"/>
        <w:right w:val="none" w:sz="0" w:space="0" w:color="auto"/>
      </w:divBdr>
    </w:div>
    <w:div w:id="1824352827">
      <w:bodyDiv w:val="1"/>
      <w:marLeft w:val="0"/>
      <w:marRight w:val="0"/>
      <w:marTop w:val="0"/>
      <w:marBottom w:val="0"/>
      <w:divBdr>
        <w:top w:val="none" w:sz="0" w:space="0" w:color="auto"/>
        <w:left w:val="none" w:sz="0" w:space="0" w:color="auto"/>
        <w:bottom w:val="none" w:sz="0" w:space="0" w:color="auto"/>
        <w:right w:val="none" w:sz="0" w:space="0" w:color="auto"/>
      </w:divBdr>
    </w:div>
    <w:div w:id="1834563805">
      <w:bodyDiv w:val="1"/>
      <w:marLeft w:val="0"/>
      <w:marRight w:val="0"/>
      <w:marTop w:val="0"/>
      <w:marBottom w:val="0"/>
      <w:divBdr>
        <w:top w:val="none" w:sz="0" w:space="0" w:color="auto"/>
        <w:left w:val="none" w:sz="0" w:space="0" w:color="auto"/>
        <w:bottom w:val="none" w:sz="0" w:space="0" w:color="auto"/>
        <w:right w:val="none" w:sz="0" w:space="0" w:color="auto"/>
      </w:divBdr>
    </w:div>
    <w:div w:id="1839808622">
      <w:bodyDiv w:val="1"/>
      <w:marLeft w:val="0"/>
      <w:marRight w:val="0"/>
      <w:marTop w:val="0"/>
      <w:marBottom w:val="0"/>
      <w:divBdr>
        <w:top w:val="none" w:sz="0" w:space="0" w:color="auto"/>
        <w:left w:val="none" w:sz="0" w:space="0" w:color="auto"/>
        <w:bottom w:val="none" w:sz="0" w:space="0" w:color="auto"/>
        <w:right w:val="none" w:sz="0" w:space="0" w:color="auto"/>
      </w:divBdr>
    </w:div>
    <w:div w:id="1874492124">
      <w:bodyDiv w:val="1"/>
      <w:marLeft w:val="0"/>
      <w:marRight w:val="0"/>
      <w:marTop w:val="0"/>
      <w:marBottom w:val="0"/>
      <w:divBdr>
        <w:top w:val="none" w:sz="0" w:space="0" w:color="auto"/>
        <w:left w:val="none" w:sz="0" w:space="0" w:color="auto"/>
        <w:bottom w:val="none" w:sz="0" w:space="0" w:color="auto"/>
        <w:right w:val="none" w:sz="0" w:space="0" w:color="auto"/>
      </w:divBdr>
    </w:div>
    <w:div w:id="1875580661">
      <w:bodyDiv w:val="1"/>
      <w:marLeft w:val="0"/>
      <w:marRight w:val="0"/>
      <w:marTop w:val="0"/>
      <w:marBottom w:val="0"/>
      <w:divBdr>
        <w:top w:val="none" w:sz="0" w:space="0" w:color="auto"/>
        <w:left w:val="none" w:sz="0" w:space="0" w:color="auto"/>
        <w:bottom w:val="none" w:sz="0" w:space="0" w:color="auto"/>
        <w:right w:val="none" w:sz="0" w:space="0" w:color="auto"/>
      </w:divBdr>
    </w:div>
    <w:div w:id="1881818065">
      <w:bodyDiv w:val="1"/>
      <w:marLeft w:val="0"/>
      <w:marRight w:val="0"/>
      <w:marTop w:val="0"/>
      <w:marBottom w:val="0"/>
      <w:divBdr>
        <w:top w:val="none" w:sz="0" w:space="0" w:color="auto"/>
        <w:left w:val="none" w:sz="0" w:space="0" w:color="auto"/>
        <w:bottom w:val="none" w:sz="0" w:space="0" w:color="auto"/>
        <w:right w:val="none" w:sz="0" w:space="0" w:color="auto"/>
      </w:divBdr>
    </w:div>
    <w:div w:id="1883324424">
      <w:bodyDiv w:val="1"/>
      <w:marLeft w:val="0"/>
      <w:marRight w:val="0"/>
      <w:marTop w:val="0"/>
      <w:marBottom w:val="0"/>
      <w:divBdr>
        <w:top w:val="none" w:sz="0" w:space="0" w:color="auto"/>
        <w:left w:val="none" w:sz="0" w:space="0" w:color="auto"/>
        <w:bottom w:val="none" w:sz="0" w:space="0" w:color="auto"/>
        <w:right w:val="none" w:sz="0" w:space="0" w:color="auto"/>
      </w:divBdr>
    </w:div>
    <w:div w:id="1886333728">
      <w:bodyDiv w:val="1"/>
      <w:marLeft w:val="0"/>
      <w:marRight w:val="0"/>
      <w:marTop w:val="0"/>
      <w:marBottom w:val="0"/>
      <w:divBdr>
        <w:top w:val="none" w:sz="0" w:space="0" w:color="auto"/>
        <w:left w:val="none" w:sz="0" w:space="0" w:color="auto"/>
        <w:bottom w:val="none" w:sz="0" w:space="0" w:color="auto"/>
        <w:right w:val="none" w:sz="0" w:space="0" w:color="auto"/>
      </w:divBdr>
    </w:div>
    <w:div w:id="1889023267">
      <w:bodyDiv w:val="1"/>
      <w:marLeft w:val="0"/>
      <w:marRight w:val="0"/>
      <w:marTop w:val="0"/>
      <w:marBottom w:val="0"/>
      <w:divBdr>
        <w:top w:val="none" w:sz="0" w:space="0" w:color="auto"/>
        <w:left w:val="none" w:sz="0" w:space="0" w:color="auto"/>
        <w:bottom w:val="none" w:sz="0" w:space="0" w:color="auto"/>
        <w:right w:val="none" w:sz="0" w:space="0" w:color="auto"/>
      </w:divBdr>
    </w:div>
    <w:div w:id="1895657306">
      <w:bodyDiv w:val="1"/>
      <w:marLeft w:val="0"/>
      <w:marRight w:val="0"/>
      <w:marTop w:val="0"/>
      <w:marBottom w:val="0"/>
      <w:divBdr>
        <w:top w:val="none" w:sz="0" w:space="0" w:color="auto"/>
        <w:left w:val="none" w:sz="0" w:space="0" w:color="auto"/>
        <w:bottom w:val="none" w:sz="0" w:space="0" w:color="auto"/>
        <w:right w:val="none" w:sz="0" w:space="0" w:color="auto"/>
      </w:divBdr>
    </w:div>
    <w:div w:id="1909416280">
      <w:bodyDiv w:val="1"/>
      <w:marLeft w:val="0"/>
      <w:marRight w:val="0"/>
      <w:marTop w:val="0"/>
      <w:marBottom w:val="0"/>
      <w:divBdr>
        <w:top w:val="none" w:sz="0" w:space="0" w:color="auto"/>
        <w:left w:val="none" w:sz="0" w:space="0" w:color="auto"/>
        <w:bottom w:val="none" w:sz="0" w:space="0" w:color="auto"/>
        <w:right w:val="none" w:sz="0" w:space="0" w:color="auto"/>
      </w:divBdr>
      <w:divsChild>
        <w:div w:id="654258746">
          <w:marLeft w:val="0"/>
          <w:marRight w:val="0"/>
          <w:marTop w:val="0"/>
          <w:marBottom w:val="0"/>
          <w:divBdr>
            <w:top w:val="none" w:sz="0" w:space="0" w:color="auto"/>
            <w:left w:val="none" w:sz="0" w:space="0" w:color="auto"/>
            <w:bottom w:val="none" w:sz="0" w:space="0" w:color="auto"/>
            <w:right w:val="none" w:sz="0" w:space="0" w:color="auto"/>
          </w:divBdr>
        </w:div>
      </w:divsChild>
    </w:div>
    <w:div w:id="1914701254">
      <w:bodyDiv w:val="1"/>
      <w:marLeft w:val="0"/>
      <w:marRight w:val="0"/>
      <w:marTop w:val="0"/>
      <w:marBottom w:val="0"/>
      <w:divBdr>
        <w:top w:val="none" w:sz="0" w:space="0" w:color="auto"/>
        <w:left w:val="none" w:sz="0" w:space="0" w:color="auto"/>
        <w:bottom w:val="none" w:sz="0" w:space="0" w:color="auto"/>
        <w:right w:val="none" w:sz="0" w:space="0" w:color="auto"/>
      </w:divBdr>
    </w:div>
    <w:div w:id="1923568177">
      <w:bodyDiv w:val="1"/>
      <w:marLeft w:val="0"/>
      <w:marRight w:val="0"/>
      <w:marTop w:val="0"/>
      <w:marBottom w:val="0"/>
      <w:divBdr>
        <w:top w:val="none" w:sz="0" w:space="0" w:color="auto"/>
        <w:left w:val="none" w:sz="0" w:space="0" w:color="auto"/>
        <w:bottom w:val="none" w:sz="0" w:space="0" w:color="auto"/>
        <w:right w:val="none" w:sz="0" w:space="0" w:color="auto"/>
      </w:divBdr>
    </w:div>
    <w:div w:id="1936356625">
      <w:bodyDiv w:val="1"/>
      <w:marLeft w:val="0"/>
      <w:marRight w:val="0"/>
      <w:marTop w:val="0"/>
      <w:marBottom w:val="0"/>
      <w:divBdr>
        <w:top w:val="none" w:sz="0" w:space="0" w:color="auto"/>
        <w:left w:val="none" w:sz="0" w:space="0" w:color="auto"/>
        <w:bottom w:val="none" w:sz="0" w:space="0" w:color="auto"/>
        <w:right w:val="none" w:sz="0" w:space="0" w:color="auto"/>
      </w:divBdr>
    </w:div>
    <w:div w:id="1953046152">
      <w:bodyDiv w:val="1"/>
      <w:marLeft w:val="0"/>
      <w:marRight w:val="0"/>
      <w:marTop w:val="0"/>
      <w:marBottom w:val="0"/>
      <w:divBdr>
        <w:top w:val="none" w:sz="0" w:space="0" w:color="auto"/>
        <w:left w:val="none" w:sz="0" w:space="0" w:color="auto"/>
        <w:bottom w:val="none" w:sz="0" w:space="0" w:color="auto"/>
        <w:right w:val="none" w:sz="0" w:space="0" w:color="auto"/>
      </w:divBdr>
    </w:div>
    <w:div w:id="1961959558">
      <w:bodyDiv w:val="1"/>
      <w:marLeft w:val="0"/>
      <w:marRight w:val="0"/>
      <w:marTop w:val="0"/>
      <w:marBottom w:val="0"/>
      <w:divBdr>
        <w:top w:val="none" w:sz="0" w:space="0" w:color="auto"/>
        <w:left w:val="none" w:sz="0" w:space="0" w:color="auto"/>
        <w:bottom w:val="none" w:sz="0" w:space="0" w:color="auto"/>
        <w:right w:val="none" w:sz="0" w:space="0" w:color="auto"/>
      </w:divBdr>
    </w:div>
    <w:div w:id="1988514954">
      <w:bodyDiv w:val="1"/>
      <w:marLeft w:val="0"/>
      <w:marRight w:val="0"/>
      <w:marTop w:val="0"/>
      <w:marBottom w:val="0"/>
      <w:divBdr>
        <w:top w:val="none" w:sz="0" w:space="0" w:color="auto"/>
        <w:left w:val="none" w:sz="0" w:space="0" w:color="auto"/>
        <w:bottom w:val="none" w:sz="0" w:space="0" w:color="auto"/>
        <w:right w:val="none" w:sz="0" w:space="0" w:color="auto"/>
      </w:divBdr>
    </w:div>
    <w:div w:id="1992367690">
      <w:bodyDiv w:val="1"/>
      <w:marLeft w:val="0"/>
      <w:marRight w:val="0"/>
      <w:marTop w:val="0"/>
      <w:marBottom w:val="0"/>
      <w:divBdr>
        <w:top w:val="none" w:sz="0" w:space="0" w:color="auto"/>
        <w:left w:val="none" w:sz="0" w:space="0" w:color="auto"/>
        <w:bottom w:val="none" w:sz="0" w:space="0" w:color="auto"/>
        <w:right w:val="none" w:sz="0" w:space="0" w:color="auto"/>
      </w:divBdr>
    </w:div>
    <w:div w:id="2000772152">
      <w:bodyDiv w:val="1"/>
      <w:marLeft w:val="0"/>
      <w:marRight w:val="0"/>
      <w:marTop w:val="0"/>
      <w:marBottom w:val="0"/>
      <w:divBdr>
        <w:top w:val="none" w:sz="0" w:space="0" w:color="auto"/>
        <w:left w:val="none" w:sz="0" w:space="0" w:color="auto"/>
        <w:bottom w:val="none" w:sz="0" w:space="0" w:color="auto"/>
        <w:right w:val="none" w:sz="0" w:space="0" w:color="auto"/>
      </w:divBdr>
    </w:div>
    <w:div w:id="2003003121">
      <w:bodyDiv w:val="1"/>
      <w:marLeft w:val="0"/>
      <w:marRight w:val="0"/>
      <w:marTop w:val="0"/>
      <w:marBottom w:val="0"/>
      <w:divBdr>
        <w:top w:val="none" w:sz="0" w:space="0" w:color="auto"/>
        <w:left w:val="none" w:sz="0" w:space="0" w:color="auto"/>
        <w:bottom w:val="none" w:sz="0" w:space="0" w:color="auto"/>
        <w:right w:val="none" w:sz="0" w:space="0" w:color="auto"/>
      </w:divBdr>
    </w:div>
    <w:div w:id="2012364448">
      <w:bodyDiv w:val="1"/>
      <w:marLeft w:val="0"/>
      <w:marRight w:val="0"/>
      <w:marTop w:val="0"/>
      <w:marBottom w:val="0"/>
      <w:divBdr>
        <w:top w:val="none" w:sz="0" w:space="0" w:color="auto"/>
        <w:left w:val="none" w:sz="0" w:space="0" w:color="auto"/>
        <w:bottom w:val="none" w:sz="0" w:space="0" w:color="auto"/>
        <w:right w:val="none" w:sz="0" w:space="0" w:color="auto"/>
      </w:divBdr>
    </w:div>
    <w:div w:id="2012877001">
      <w:bodyDiv w:val="1"/>
      <w:marLeft w:val="0"/>
      <w:marRight w:val="0"/>
      <w:marTop w:val="0"/>
      <w:marBottom w:val="0"/>
      <w:divBdr>
        <w:top w:val="none" w:sz="0" w:space="0" w:color="auto"/>
        <w:left w:val="none" w:sz="0" w:space="0" w:color="auto"/>
        <w:bottom w:val="none" w:sz="0" w:space="0" w:color="auto"/>
        <w:right w:val="none" w:sz="0" w:space="0" w:color="auto"/>
      </w:divBdr>
    </w:div>
    <w:div w:id="2055277226">
      <w:bodyDiv w:val="1"/>
      <w:marLeft w:val="0"/>
      <w:marRight w:val="0"/>
      <w:marTop w:val="0"/>
      <w:marBottom w:val="0"/>
      <w:divBdr>
        <w:top w:val="none" w:sz="0" w:space="0" w:color="auto"/>
        <w:left w:val="none" w:sz="0" w:space="0" w:color="auto"/>
        <w:bottom w:val="none" w:sz="0" w:space="0" w:color="auto"/>
        <w:right w:val="none" w:sz="0" w:space="0" w:color="auto"/>
      </w:divBdr>
    </w:div>
    <w:div w:id="2056418088">
      <w:bodyDiv w:val="1"/>
      <w:marLeft w:val="0"/>
      <w:marRight w:val="0"/>
      <w:marTop w:val="0"/>
      <w:marBottom w:val="0"/>
      <w:divBdr>
        <w:top w:val="none" w:sz="0" w:space="0" w:color="auto"/>
        <w:left w:val="none" w:sz="0" w:space="0" w:color="auto"/>
        <w:bottom w:val="none" w:sz="0" w:space="0" w:color="auto"/>
        <w:right w:val="none" w:sz="0" w:space="0" w:color="auto"/>
      </w:divBdr>
    </w:div>
    <w:div w:id="2059284267">
      <w:bodyDiv w:val="1"/>
      <w:marLeft w:val="0"/>
      <w:marRight w:val="0"/>
      <w:marTop w:val="0"/>
      <w:marBottom w:val="0"/>
      <w:divBdr>
        <w:top w:val="none" w:sz="0" w:space="0" w:color="auto"/>
        <w:left w:val="none" w:sz="0" w:space="0" w:color="auto"/>
        <w:bottom w:val="none" w:sz="0" w:space="0" w:color="auto"/>
        <w:right w:val="none" w:sz="0" w:space="0" w:color="auto"/>
      </w:divBdr>
    </w:div>
    <w:div w:id="2073766598">
      <w:bodyDiv w:val="1"/>
      <w:marLeft w:val="0"/>
      <w:marRight w:val="0"/>
      <w:marTop w:val="0"/>
      <w:marBottom w:val="0"/>
      <w:divBdr>
        <w:top w:val="none" w:sz="0" w:space="0" w:color="auto"/>
        <w:left w:val="none" w:sz="0" w:space="0" w:color="auto"/>
        <w:bottom w:val="none" w:sz="0" w:space="0" w:color="auto"/>
        <w:right w:val="none" w:sz="0" w:space="0" w:color="auto"/>
      </w:divBdr>
    </w:div>
    <w:div w:id="2080975505">
      <w:bodyDiv w:val="1"/>
      <w:marLeft w:val="0"/>
      <w:marRight w:val="0"/>
      <w:marTop w:val="0"/>
      <w:marBottom w:val="0"/>
      <w:divBdr>
        <w:top w:val="none" w:sz="0" w:space="0" w:color="auto"/>
        <w:left w:val="none" w:sz="0" w:space="0" w:color="auto"/>
        <w:bottom w:val="none" w:sz="0" w:space="0" w:color="auto"/>
        <w:right w:val="none" w:sz="0" w:space="0" w:color="auto"/>
      </w:divBdr>
    </w:div>
    <w:div w:id="2102023119">
      <w:bodyDiv w:val="1"/>
      <w:marLeft w:val="0"/>
      <w:marRight w:val="0"/>
      <w:marTop w:val="0"/>
      <w:marBottom w:val="0"/>
      <w:divBdr>
        <w:top w:val="none" w:sz="0" w:space="0" w:color="auto"/>
        <w:left w:val="none" w:sz="0" w:space="0" w:color="auto"/>
        <w:bottom w:val="none" w:sz="0" w:space="0" w:color="auto"/>
        <w:right w:val="none" w:sz="0" w:space="0" w:color="auto"/>
      </w:divBdr>
    </w:div>
    <w:div w:id="2102026794">
      <w:bodyDiv w:val="1"/>
      <w:marLeft w:val="0"/>
      <w:marRight w:val="0"/>
      <w:marTop w:val="0"/>
      <w:marBottom w:val="0"/>
      <w:divBdr>
        <w:top w:val="none" w:sz="0" w:space="0" w:color="auto"/>
        <w:left w:val="none" w:sz="0" w:space="0" w:color="auto"/>
        <w:bottom w:val="none" w:sz="0" w:space="0" w:color="auto"/>
        <w:right w:val="none" w:sz="0" w:space="0" w:color="auto"/>
      </w:divBdr>
    </w:div>
    <w:div w:id="210849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hyperlink" Target="https://www.youtube.com/user/INEGIInforma" TargetMode="External"/><Relationship Id="rId34" Type="http://schemas.openxmlformats.org/officeDocument/2006/relationships/chart" Target="charts/chart8.xml"/><Relationship Id="rId42" Type="http://schemas.openxmlformats.org/officeDocument/2006/relationships/chart" Target="charts/chart14.xml"/><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chart" Target="charts/chart21.xml"/><Relationship Id="rId63" Type="http://schemas.openxmlformats.org/officeDocument/2006/relationships/hyperlink" Target="https://www.inegi.org.mx/programas/cnpje/2021/"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7.png"/><Relationship Id="rId11" Type="http://schemas.openxmlformats.org/officeDocument/2006/relationships/hyperlink" Target="https://www.inegi.org.mx/programas/cnpje/2021/" TargetMode="External"/><Relationship Id="rId24" Type="http://schemas.openxmlformats.org/officeDocument/2006/relationships/image" Target="media/image6.pn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image" Target="media/image8.png"/><Relationship Id="rId45" Type="http://schemas.openxmlformats.org/officeDocument/2006/relationships/image" Target="media/image11.png"/><Relationship Id="rId53" Type="http://schemas.openxmlformats.org/officeDocument/2006/relationships/chart" Target="charts/chart19.xml"/><Relationship Id="rId58" Type="http://schemas.openxmlformats.org/officeDocument/2006/relationships/chart" Target="charts/chart24.xm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7.png"/><Relationship Id="rId19" Type="http://schemas.openxmlformats.org/officeDocument/2006/relationships/hyperlink" Target="https://twitter.com/INEGI_INFORMA" TargetMode="Externa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chart" Target="charts/chart2.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image" Target="media/image10.emf"/><Relationship Id="rId48" Type="http://schemas.openxmlformats.org/officeDocument/2006/relationships/image" Target="media/image13.png"/><Relationship Id="rId56" Type="http://schemas.openxmlformats.org/officeDocument/2006/relationships/chart" Target="charts/chart22.xml"/><Relationship Id="rId64"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chart" Target="charts/chart17.xml"/><Relationship Id="rId3" Type="http://schemas.openxmlformats.org/officeDocument/2006/relationships/customXml" Target="../customXml/item3.xml"/><Relationship Id="rId12" Type="http://schemas.openxmlformats.org/officeDocument/2006/relationships/hyperlink" Target="mailto:comunicacionsocial@inegi.org.mx" TargetMode="External"/><Relationship Id="rId17" Type="http://schemas.openxmlformats.org/officeDocument/2006/relationships/hyperlink" Target="https://www.instagram.com/inegi_informa/" TargetMode="External"/><Relationship Id="rId25" Type="http://schemas.openxmlformats.org/officeDocument/2006/relationships/hyperlink" Target="https://www.inegi.org.mx/programas/cnpje/2021/" TargetMode="Externa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16.xml"/><Relationship Id="rId59" Type="http://schemas.openxmlformats.org/officeDocument/2006/relationships/chart" Target="charts/chart25.xml"/><Relationship Id="rId20" Type="http://schemas.openxmlformats.org/officeDocument/2006/relationships/image" Target="media/image4.jpeg"/><Relationship Id="rId41" Type="http://schemas.openxmlformats.org/officeDocument/2006/relationships/image" Target="media/image9.png"/><Relationship Id="rId54" Type="http://schemas.openxmlformats.org/officeDocument/2006/relationships/chart" Target="charts/chart20.xml"/><Relationship Id="rId62"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facebook.com/INEGIInforma/" TargetMode="External"/><Relationship Id="rId23" Type="http://schemas.openxmlformats.org/officeDocument/2006/relationships/hyperlink" Target="http://www.inegi.org.mx/" TargetMode="External"/><Relationship Id="rId28" Type="http://schemas.openxmlformats.org/officeDocument/2006/relationships/chart" Target="charts/chart3.xml"/><Relationship Id="rId36" Type="http://schemas.openxmlformats.org/officeDocument/2006/relationships/chart" Target="charts/chart10.xml"/><Relationship Id="rId49" Type="http://schemas.openxmlformats.org/officeDocument/2006/relationships/image" Target="media/image14.png"/><Relationship Id="rId57" Type="http://schemas.openxmlformats.org/officeDocument/2006/relationships/chart" Target="charts/chart23.xml"/><Relationship Id="rId10" Type="http://schemas.openxmlformats.org/officeDocument/2006/relationships/endnotes" Target="endnotes.xml"/><Relationship Id="rId31" Type="http://schemas.openxmlformats.org/officeDocument/2006/relationships/chart" Target="charts/chart5.xml"/><Relationship Id="rId44" Type="http://schemas.openxmlformats.org/officeDocument/2006/relationships/chart" Target="charts/chart15.xml"/><Relationship Id="rId52" Type="http://schemas.openxmlformats.org/officeDocument/2006/relationships/chart" Target="charts/chart18.xml"/><Relationship Id="rId60" Type="http://schemas.openxmlformats.org/officeDocument/2006/relationships/image" Target="media/image16.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jpeg"/><Relationship Id="rId39" Type="http://schemas.openxmlformats.org/officeDocument/2006/relationships/chart" Target="charts/chart1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driana.callejas\Desktop\Censos_2021\PJE_2021\bd_cnpje_202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driana.callejas\Desktop\Censos_2021\PJE_2021\bd_cnpje_202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driana.callejas\Desktop\Censos_2021\PJE_2021\bd_cnpje_202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driana.callejas\Desktop\Censos_2021\PJE_2021\bd_cnpje_202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driana.callejas\Desktop\Censos_2021\PJE_2021\bd_cnpje_202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driana.callejas\Desktop\Censos_2021\PJE_2021\bd_cnpje_202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driana.callejas\Desktop\Censos_2021\PJE_2021\bd_cnpje_202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driana.callejas\Desktop\Censos_2021\PJE_2021\bd_cnpje_202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driana.callejas\Desktop\Censos_2021\PJE_2021\bd_cnpje_202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driana.callejas\Desktop\Censos_2021\PJE_2021\bd_cnpje_202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driana.callejas\Desktop\Censos_2021\PJE_2021\bd_cnpje_202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riana.callejas\Desktop\Censos_2021\PJE_2021\bd_cnpje_202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driana.callejas\Desktop\Censos_2021\PJE_2021\bd_cnpje_2021.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driana.callejas\Desktop\Censos_2021\PJE_2021\bd_cnpje_2021.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driana.callejas\Desktop\Censos_2021\PJE_2021\bd_cnpje_2021.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driana.callejas\Desktop\Censos_2021\PJE_2021\bd_cnpje_2021.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driana.callejas\Desktop\Censos_2021\PJE_2021\bd_cnpje_2021.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driana.callejas\Desktop\Censos_2021\PJE_2021\bd_cnpje_2021.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riana.callejas\Desktop\Censos_2021\PJE_2021\bd_cnpje_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riana.callejas\Desktop\Censos_2021\PJE_2021\bd_cnpje_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riana.callejas\Desktop\Censos_2021\PJE_2021\bd_cnpje_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riana.callejas\Desktop\Censos_2021\PJE_2021\bd_cnpje_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riana.callejas\Desktop\Censos_2021\PJE_2021\bd_cnpje_202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driana.callejas\Desktop\Censos_2021\PJE_2021\bd_cnpje_202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driana.callejas\Desktop\Censos_2021\PJE_2021\bd_cnpje_202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804053"/>
              </a:solidFill>
              <a:round/>
            </a:ln>
            <a:effectLst>
              <a:outerShdw blurRad="50800" dist="38100" dir="2700000" algn="tl" rotWithShape="0">
                <a:prstClr val="black">
                  <a:alpha val="40000"/>
                </a:prstClr>
              </a:outerShdw>
            </a:effectLst>
          </c:spPr>
          <c:marker>
            <c:symbol val="diamond"/>
            <c:size val="6"/>
            <c:spPr>
              <a:solidFill>
                <a:srgbClr val="804053"/>
              </a:solidFill>
              <a:ln w="28575">
                <a:solidFill>
                  <a:srgbClr val="804053"/>
                </a:solidFill>
              </a:ln>
              <a:effectLst>
                <a:outerShdw blurRad="50800" dist="38100" dir="2700000" algn="tl" rotWithShape="0">
                  <a:prstClr val="black">
                    <a:alpha val="40000"/>
                  </a:prstClr>
                </a:outerShdw>
              </a:effectLst>
            </c:spPr>
          </c:marker>
          <c:dLbls>
            <c:spPr>
              <a:noFill/>
              <a:ln>
                <a:noFill/>
              </a:ln>
              <a:effectLst/>
            </c:spPr>
            <c:txPr>
              <a:bodyPr rot="0" spcFirstLastPara="1" vertOverflow="ellipsis" vert="horz"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'm1'!$A$35:$A$45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'm1'!$B$35:$B$45</c:f>
              <c:numCache>
                <c:formatCode>#,##0</c:formatCode>
                <c:ptCount val="11"/>
                <c:pt idx="0">
                  <c:v>1330</c:v>
                </c:pt>
                <c:pt idx="1">
                  <c:v>1151</c:v>
                </c:pt>
                <c:pt idx="2">
                  <c:v>1036</c:v>
                </c:pt>
                <c:pt idx="3">
                  <c:v>1071</c:v>
                </c:pt>
                <c:pt idx="4">
                  <c:v>1098</c:v>
                </c:pt>
                <c:pt idx="5">
                  <c:v>1248</c:v>
                </c:pt>
                <c:pt idx="6">
                  <c:v>1386</c:v>
                </c:pt>
                <c:pt idx="7">
                  <c:v>1504</c:v>
                </c:pt>
                <c:pt idx="8">
                  <c:v>1400</c:v>
                </c:pt>
                <c:pt idx="9">
                  <c:v>1458</c:v>
                </c:pt>
                <c:pt idx="10">
                  <c:v>1169</c:v>
                </c:pt>
              </c:numCache>
            </c:numRef>
          </c:val>
          <c:smooth val="0"/>
          <c:extLst>
            <c:ext xmlns:c16="http://schemas.microsoft.com/office/drawing/2014/chart" uri="{C3380CC4-5D6E-409C-BE32-E72D297353CC}">
              <c16:uniqueId val="{00000000-1D81-469B-9610-5528AC8D6E99}"/>
            </c:ext>
          </c:extLst>
        </c:ser>
        <c:dLbls>
          <c:dLblPos val="t"/>
          <c:showLegendKey val="0"/>
          <c:showVal val="1"/>
          <c:showCatName val="0"/>
          <c:showSerName val="0"/>
          <c:showPercent val="0"/>
          <c:showBubbleSize val="0"/>
        </c:dLbls>
        <c:marker val="1"/>
        <c:smooth val="0"/>
        <c:axId val="1415296399"/>
        <c:axId val="1415000639"/>
      </c:lineChart>
      <c:catAx>
        <c:axId val="141529639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415000639"/>
        <c:crosses val="autoZero"/>
        <c:auto val="1"/>
        <c:lblAlgn val="ctr"/>
        <c:lblOffset val="100"/>
        <c:noMultiLvlLbl val="0"/>
      </c:catAx>
      <c:valAx>
        <c:axId val="1415000639"/>
        <c:scaling>
          <c:orientation val="minMax"/>
        </c:scaling>
        <c:delete val="1"/>
        <c:axPos val="l"/>
        <c:numFmt formatCode="#,##0" sourceLinked="1"/>
        <c:majorTickMark val="out"/>
        <c:minorTickMark val="none"/>
        <c:tickLblPos val="nextTo"/>
        <c:crossAx val="141529639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5B90A7"/>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285172"/>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996A-4420-BB65-655B51A0200C}"/>
              </c:ext>
            </c:extLst>
          </c:dPt>
          <c:dLbls>
            <c:spPr>
              <a:noFill/>
              <a:ln>
                <a:noFill/>
              </a:ln>
              <a:effectLst/>
            </c:spPr>
            <c:txPr>
              <a:bodyPr rot="-5400000" spcFirstLastPara="1" vertOverflow="ellipsis"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'm1'!$Y$111:$Y$136</c:f>
              <c:strCache>
                <c:ptCount val="26"/>
                <c:pt idx="0">
                  <c:v>CDMX</c:v>
                </c:pt>
                <c:pt idx="1">
                  <c:v>MEX</c:v>
                </c:pt>
                <c:pt idx="2">
                  <c:v>CHIS</c:v>
                </c:pt>
                <c:pt idx="3">
                  <c:v>GRO</c:v>
                </c:pt>
                <c:pt idx="4">
                  <c:v>TAB</c:v>
                </c:pt>
                <c:pt idx="5">
                  <c:v>DGO</c:v>
                </c:pt>
                <c:pt idx="6">
                  <c:v>BC</c:v>
                </c:pt>
                <c:pt idx="7">
                  <c:v>COAH</c:v>
                </c:pt>
                <c:pt idx="8">
                  <c:v>MICH</c:v>
                </c:pt>
                <c:pt idx="9">
                  <c:v>PUE</c:v>
                </c:pt>
                <c:pt idx="10">
                  <c:v>QROO</c:v>
                </c:pt>
                <c:pt idx="11">
                  <c:v>TLAX</c:v>
                </c:pt>
                <c:pt idx="12">
                  <c:v>CHIH</c:v>
                </c:pt>
                <c:pt idx="13">
                  <c:v>GTO</c:v>
                </c:pt>
                <c:pt idx="14">
                  <c:v>OAX</c:v>
                </c:pt>
                <c:pt idx="15">
                  <c:v>TAMPS</c:v>
                </c:pt>
                <c:pt idx="16">
                  <c:v>VER</c:v>
                </c:pt>
                <c:pt idx="17">
                  <c:v>BCS</c:v>
                </c:pt>
                <c:pt idx="18">
                  <c:v>JAL</c:v>
                </c:pt>
                <c:pt idx="19">
                  <c:v>SIN</c:v>
                </c:pt>
                <c:pt idx="20">
                  <c:v>SON</c:v>
                </c:pt>
                <c:pt idx="21">
                  <c:v>AGS</c:v>
                </c:pt>
                <c:pt idx="22">
                  <c:v>CAMP</c:v>
                </c:pt>
                <c:pt idx="23">
                  <c:v>HGO</c:v>
                </c:pt>
                <c:pt idx="24">
                  <c:v>MOR</c:v>
                </c:pt>
                <c:pt idx="25">
                  <c:v>ZAC</c:v>
                </c:pt>
              </c:strCache>
            </c:strRef>
          </c:cat>
          <c:val>
            <c:numRef>
              <c:f>'m1'!$Z$111:$Z$136</c:f>
              <c:numCache>
                <c:formatCode>General</c:formatCode>
                <c:ptCount val="26"/>
                <c:pt idx="0">
                  <c:v>75</c:v>
                </c:pt>
                <c:pt idx="1">
                  <c:v>30</c:v>
                </c:pt>
                <c:pt idx="2">
                  <c:v>16</c:v>
                </c:pt>
                <c:pt idx="3">
                  <c:v>15</c:v>
                </c:pt>
                <c:pt idx="4">
                  <c:v>14</c:v>
                </c:pt>
                <c:pt idx="5">
                  <c:v>9</c:v>
                </c:pt>
                <c:pt idx="6">
                  <c:v>7</c:v>
                </c:pt>
                <c:pt idx="7">
                  <c:v>7</c:v>
                </c:pt>
                <c:pt idx="8">
                  <c:v>7</c:v>
                </c:pt>
                <c:pt idx="9">
                  <c:v>7</c:v>
                </c:pt>
                <c:pt idx="10">
                  <c:v>7</c:v>
                </c:pt>
                <c:pt idx="11">
                  <c:v>6</c:v>
                </c:pt>
                <c:pt idx="12">
                  <c:v>5</c:v>
                </c:pt>
                <c:pt idx="13">
                  <c:v>4</c:v>
                </c:pt>
                <c:pt idx="14">
                  <c:v>3</c:v>
                </c:pt>
                <c:pt idx="15">
                  <c:v>3</c:v>
                </c:pt>
                <c:pt idx="16">
                  <c:v>3</c:v>
                </c:pt>
                <c:pt idx="17">
                  <c:v>2</c:v>
                </c:pt>
                <c:pt idx="18">
                  <c:v>2</c:v>
                </c:pt>
                <c:pt idx="19">
                  <c:v>2</c:v>
                </c:pt>
                <c:pt idx="20">
                  <c:v>2</c:v>
                </c:pt>
                <c:pt idx="21">
                  <c:v>1</c:v>
                </c:pt>
                <c:pt idx="22">
                  <c:v>1</c:v>
                </c:pt>
                <c:pt idx="23">
                  <c:v>1</c:v>
                </c:pt>
                <c:pt idx="24">
                  <c:v>1</c:v>
                </c:pt>
                <c:pt idx="25">
                  <c:v>1</c:v>
                </c:pt>
              </c:numCache>
            </c:numRef>
          </c:val>
          <c:extLst>
            <c:ext xmlns:c16="http://schemas.microsoft.com/office/drawing/2014/chart" uri="{C3380CC4-5D6E-409C-BE32-E72D297353CC}">
              <c16:uniqueId val="{00000002-996A-4420-BB65-655B51A0200C}"/>
            </c:ext>
          </c:extLst>
        </c:ser>
        <c:dLbls>
          <c:dLblPos val="outEnd"/>
          <c:showLegendKey val="0"/>
          <c:showVal val="1"/>
          <c:showCatName val="0"/>
          <c:showSerName val="0"/>
          <c:showPercent val="0"/>
          <c:showBubbleSize val="0"/>
        </c:dLbls>
        <c:gapWidth val="80"/>
        <c:overlap val="-27"/>
        <c:axId val="623132351"/>
        <c:axId val="618313695"/>
      </c:barChart>
      <c:catAx>
        <c:axId val="623132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618313695"/>
        <c:crosses val="autoZero"/>
        <c:auto val="1"/>
        <c:lblAlgn val="ctr"/>
        <c:lblOffset val="100"/>
        <c:noMultiLvlLbl val="0"/>
      </c:catAx>
      <c:valAx>
        <c:axId val="618313695"/>
        <c:scaling>
          <c:orientation val="minMax"/>
        </c:scaling>
        <c:delete val="1"/>
        <c:axPos val="l"/>
        <c:numFmt formatCode="General" sourceLinked="1"/>
        <c:majorTickMark val="none"/>
        <c:minorTickMark val="none"/>
        <c:tickLblPos val="nextTo"/>
        <c:crossAx val="62313235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877A67"/>
              </a:solidFill>
              <a:round/>
            </a:ln>
            <a:effectLst>
              <a:outerShdw blurRad="50800" dist="38100" dir="2700000" algn="tl" rotWithShape="0">
                <a:prstClr val="black">
                  <a:alpha val="40000"/>
                </a:prstClr>
              </a:outerShdw>
            </a:effectLst>
          </c:spPr>
          <c:marker>
            <c:symbol val="diamond"/>
            <c:size val="6"/>
            <c:spPr>
              <a:solidFill>
                <a:srgbClr val="877A67"/>
              </a:solidFill>
              <a:ln w="9525">
                <a:solidFill>
                  <a:srgbClr val="877A67"/>
                </a:solidFill>
              </a:ln>
              <a:effectLst>
                <a:outerShdw blurRad="50800" dist="38100" dir="2700000" algn="tl" rotWithShape="0">
                  <a:prstClr val="black">
                    <a:alpha val="40000"/>
                  </a:prstClr>
                </a:outerShdw>
              </a:effectLst>
            </c:spPr>
          </c:marker>
          <c:dLbls>
            <c:spPr>
              <a:noFill/>
              <a:ln>
                <a:noFill/>
              </a:ln>
              <a:effectLst/>
            </c:spPr>
            <c:txPr>
              <a:bodyPr rot="0" spcFirstLastPara="1" vertOverflow="ellipsis" vert="horz"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'm1'!$AL$39:$AL$46</c:f>
              <c:numCache>
                <c:formatCode>General</c:formatCode>
                <c:ptCount val="8"/>
                <c:pt idx="0">
                  <c:v>2013</c:v>
                </c:pt>
                <c:pt idx="1">
                  <c:v>2014</c:v>
                </c:pt>
                <c:pt idx="2">
                  <c:v>2015</c:v>
                </c:pt>
                <c:pt idx="3">
                  <c:v>2016</c:v>
                </c:pt>
                <c:pt idx="4">
                  <c:v>2017</c:v>
                </c:pt>
                <c:pt idx="5">
                  <c:v>2018</c:v>
                </c:pt>
                <c:pt idx="6">
                  <c:v>2019</c:v>
                </c:pt>
                <c:pt idx="7">
                  <c:v>2020</c:v>
                </c:pt>
              </c:numCache>
            </c:numRef>
          </c:cat>
          <c:val>
            <c:numRef>
              <c:f>'m1'!$AM$39:$AM$46</c:f>
              <c:numCache>
                <c:formatCode>#,##0.0</c:formatCode>
                <c:ptCount val="8"/>
                <c:pt idx="0">
                  <c:v>28538</c:v>
                </c:pt>
                <c:pt idx="1">
                  <c:v>36457</c:v>
                </c:pt>
                <c:pt idx="2">
                  <c:v>36534</c:v>
                </c:pt>
                <c:pt idx="3">
                  <c:v>34914</c:v>
                </c:pt>
                <c:pt idx="4">
                  <c:v>39993</c:v>
                </c:pt>
                <c:pt idx="5">
                  <c:v>40619</c:v>
                </c:pt>
                <c:pt idx="6">
                  <c:v>42830</c:v>
                </c:pt>
                <c:pt idx="7">
                  <c:v>46015.127067019988</c:v>
                </c:pt>
              </c:numCache>
            </c:numRef>
          </c:val>
          <c:smooth val="0"/>
          <c:extLst>
            <c:ext xmlns:c16="http://schemas.microsoft.com/office/drawing/2014/chart" uri="{C3380CC4-5D6E-409C-BE32-E72D297353CC}">
              <c16:uniqueId val="{00000000-E677-4298-A023-A3897C782504}"/>
            </c:ext>
          </c:extLst>
        </c:ser>
        <c:dLbls>
          <c:dLblPos val="t"/>
          <c:showLegendKey val="0"/>
          <c:showVal val="1"/>
          <c:showCatName val="0"/>
          <c:showSerName val="0"/>
          <c:showPercent val="0"/>
          <c:showBubbleSize val="0"/>
        </c:dLbls>
        <c:marker val="1"/>
        <c:smooth val="0"/>
        <c:axId val="466162255"/>
        <c:axId val="295837343"/>
      </c:lineChart>
      <c:catAx>
        <c:axId val="466162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295837343"/>
        <c:crosses val="autoZero"/>
        <c:auto val="1"/>
        <c:lblAlgn val="ctr"/>
        <c:lblOffset val="100"/>
        <c:noMultiLvlLbl val="0"/>
      </c:catAx>
      <c:valAx>
        <c:axId val="295837343"/>
        <c:scaling>
          <c:orientation val="minMax"/>
        </c:scaling>
        <c:delete val="1"/>
        <c:axPos val="l"/>
        <c:numFmt formatCode="#,##0.0" sourceLinked="1"/>
        <c:majorTickMark val="none"/>
        <c:minorTickMark val="none"/>
        <c:tickLblPos val="nextTo"/>
        <c:crossAx val="46616225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141958972185894E-2"/>
          <c:y val="0.12962962962962962"/>
          <c:w val="0.95305480641324436"/>
          <c:h val="0.67157370953630802"/>
        </c:manualLayout>
      </c:layout>
      <c:barChart>
        <c:barDir val="col"/>
        <c:grouping val="clustered"/>
        <c:varyColors val="0"/>
        <c:ser>
          <c:idx val="0"/>
          <c:order val="0"/>
          <c:tx>
            <c:strRef>
              <c:f>'m1'!$AN$3</c:f>
              <c:strCache>
                <c:ptCount val="1"/>
                <c:pt idx="0">
                  <c:v>millones de pesos </c:v>
                </c:pt>
              </c:strCache>
            </c:strRef>
          </c:tx>
          <c:spPr>
            <a:solidFill>
              <a:srgbClr val="F2D9B1"/>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EAC479"/>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9563-4A39-A5D5-7968E57C824E}"/>
              </c:ext>
            </c:extLst>
          </c:dPt>
          <c:dLbls>
            <c:spPr>
              <a:noFill/>
              <a:ln>
                <a:noFill/>
              </a:ln>
              <a:effectLst/>
            </c:spPr>
            <c:txPr>
              <a:bodyPr rot="-5400000" spcFirstLastPara="1" vertOverflow="ellipsis"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'm1'!$AL$4:$AL$35</c:f>
              <c:strCache>
                <c:ptCount val="32"/>
                <c:pt idx="0">
                  <c:v>CDMX</c:v>
                </c:pt>
                <c:pt idx="1">
                  <c:v>MEX</c:v>
                </c:pt>
                <c:pt idx="2">
                  <c:v>NL</c:v>
                </c:pt>
                <c:pt idx="3">
                  <c:v>GTO</c:v>
                </c:pt>
                <c:pt idx="4">
                  <c:v>BC</c:v>
                </c:pt>
                <c:pt idx="5">
                  <c:v>CHIH</c:v>
                </c:pt>
                <c:pt idx="6">
                  <c:v>JAL</c:v>
                </c:pt>
                <c:pt idx="7">
                  <c:v>VER</c:v>
                </c:pt>
                <c:pt idx="8">
                  <c:v>SON</c:v>
                </c:pt>
                <c:pt idx="9">
                  <c:v>MICH</c:v>
                </c:pt>
                <c:pt idx="10">
                  <c:v>CHIS</c:v>
                </c:pt>
                <c:pt idx="11">
                  <c:v>GRO</c:v>
                </c:pt>
                <c:pt idx="12">
                  <c:v>PUE</c:v>
                </c:pt>
                <c:pt idx="13">
                  <c:v>TAB</c:v>
                </c:pt>
                <c:pt idx="14">
                  <c:v>SLP</c:v>
                </c:pt>
                <c:pt idx="15">
                  <c:v>QROO</c:v>
                </c:pt>
                <c:pt idx="16">
                  <c:v>QRO</c:v>
                </c:pt>
                <c:pt idx="17">
                  <c:v>SIN</c:v>
                </c:pt>
                <c:pt idx="18">
                  <c:v>OAX</c:v>
                </c:pt>
                <c:pt idx="19">
                  <c:v>MOR</c:v>
                </c:pt>
                <c:pt idx="20">
                  <c:v>COAH</c:v>
                </c:pt>
                <c:pt idx="21">
                  <c:v>DGO</c:v>
                </c:pt>
                <c:pt idx="22">
                  <c:v>ZAC</c:v>
                </c:pt>
                <c:pt idx="23">
                  <c:v>NAY</c:v>
                </c:pt>
                <c:pt idx="24">
                  <c:v>AGS</c:v>
                </c:pt>
                <c:pt idx="25">
                  <c:v>YUC</c:v>
                </c:pt>
                <c:pt idx="26">
                  <c:v>CAMP</c:v>
                </c:pt>
                <c:pt idx="27">
                  <c:v>COL</c:v>
                </c:pt>
                <c:pt idx="28">
                  <c:v>BCS</c:v>
                </c:pt>
                <c:pt idx="29">
                  <c:v>TLAX</c:v>
                </c:pt>
                <c:pt idx="30">
                  <c:v>TAMPS</c:v>
                </c:pt>
                <c:pt idx="31">
                  <c:v>HGO</c:v>
                </c:pt>
              </c:strCache>
            </c:strRef>
          </c:cat>
          <c:val>
            <c:numRef>
              <c:f>'m1'!$AN$4:$AN$35</c:f>
              <c:numCache>
                <c:formatCode>#,##0.0</c:formatCode>
                <c:ptCount val="32"/>
                <c:pt idx="0">
                  <c:v>7116.3326964099997</c:v>
                </c:pt>
                <c:pt idx="1">
                  <c:v>5479.0703999999996</c:v>
                </c:pt>
                <c:pt idx="2">
                  <c:v>3067.2460689999998</c:v>
                </c:pt>
                <c:pt idx="3">
                  <c:v>2797.77956825</c:v>
                </c:pt>
                <c:pt idx="4">
                  <c:v>2593.2391254600002</c:v>
                </c:pt>
                <c:pt idx="5">
                  <c:v>2510.2290440000002</c:v>
                </c:pt>
                <c:pt idx="6">
                  <c:v>2147.8095176500001</c:v>
                </c:pt>
                <c:pt idx="7">
                  <c:v>1552.3609959999999</c:v>
                </c:pt>
                <c:pt idx="8">
                  <c:v>1525.0111710000001</c:v>
                </c:pt>
                <c:pt idx="9">
                  <c:v>1475</c:v>
                </c:pt>
                <c:pt idx="10">
                  <c:v>1452.7149888399999</c:v>
                </c:pt>
                <c:pt idx="11">
                  <c:v>1348.58726467</c:v>
                </c:pt>
                <c:pt idx="12">
                  <c:v>1270.4633193499999</c:v>
                </c:pt>
                <c:pt idx="13">
                  <c:v>1046.36369352</c:v>
                </c:pt>
                <c:pt idx="14">
                  <c:v>1000.2635320000001</c:v>
                </c:pt>
                <c:pt idx="15">
                  <c:v>975.71613078999997</c:v>
                </c:pt>
                <c:pt idx="16">
                  <c:v>969.26412600000003</c:v>
                </c:pt>
                <c:pt idx="17">
                  <c:v>846.66104138000003</c:v>
                </c:pt>
                <c:pt idx="18">
                  <c:v>801.12336474999995</c:v>
                </c:pt>
                <c:pt idx="19">
                  <c:v>796.34935841999993</c:v>
                </c:pt>
                <c:pt idx="20">
                  <c:v>713.70462299999997</c:v>
                </c:pt>
                <c:pt idx="21">
                  <c:v>686.94383296000001</c:v>
                </c:pt>
                <c:pt idx="22">
                  <c:v>677.73223700000005</c:v>
                </c:pt>
                <c:pt idx="23">
                  <c:v>508.44431663</c:v>
                </c:pt>
                <c:pt idx="24">
                  <c:v>507.08602334</c:v>
                </c:pt>
                <c:pt idx="25">
                  <c:v>430.87253299999998</c:v>
                </c:pt>
                <c:pt idx="26">
                  <c:v>405.02369526000001</c:v>
                </c:pt>
                <c:pt idx="27">
                  <c:v>396.00428199999999</c:v>
                </c:pt>
                <c:pt idx="28">
                  <c:v>311.17745100000002</c:v>
                </c:pt>
                <c:pt idx="29">
                  <c:v>282.42706458999999</c:v>
                </c:pt>
                <c:pt idx="30">
                  <c:v>213.13022669999998</c:v>
                </c:pt>
                <c:pt idx="31">
                  <c:v>110.99537405</c:v>
                </c:pt>
              </c:numCache>
            </c:numRef>
          </c:val>
          <c:extLst>
            <c:ext xmlns:c16="http://schemas.microsoft.com/office/drawing/2014/chart" uri="{C3380CC4-5D6E-409C-BE32-E72D297353CC}">
              <c16:uniqueId val="{00000002-9563-4A39-A5D5-7968E57C824E}"/>
            </c:ext>
          </c:extLst>
        </c:ser>
        <c:dLbls>
          <c:showLegendKey val="0"/>
          <c:showVal val="0"/>
          <c:showCatName val="0"/>
          <c:showSerName val="0"/>
          <c:showPercent val="0"/>
          <c:showBubbleSize val="0"/>
        </c:dLbls>
        <c:gapWidth val="90"/>
        <c:overlap val="-27"/>
        <c:axId val="657897711"/>
        <c:axId val="296862015"/>
      </c:barChart>
      <c:catAx>
        <c:axId val="657897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lgn="ct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296862015"/>
        <c:crosses val="autoZero"/>
        <c:auto val="1"/>
        <c:lblAlgn val="ctr"/>
        <c:lblOffset val="100"/>
        <c:noMultiLvlLbl val="0"/>
      </c:catAx>
      <c:valAx>
        <c:axId val="296862015"/>
        <c:scaling>
          <c:orientation val="minMax"/>
        </c:scaling>
        <c:delete val="1"/>
        <c:axPos val="l"/>
        <c:numFmt formatCode="#,##0.0" sourceLinked="1"/>
        <c:majorTickMark val="none"/>
        <c:minorTickMark val="none"/>
        <c:tickLblPos val="nextTo"/>
        <c:crossAx val="65789771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245062429865744E-2"/>
          <c:y val="5.3076090607157511E-2"/>
          <c:w val="0.9455445544554455"/>
          <c:h val="0.54623129454789732"/>
        </c:manualLayout>
      </c:layout>
      <c:barChart>
        <c:barDir val="col"/>
        <c:grouping val="clustered"/>
        <c:varyColors val="0"/>
        <c:ser>
          <c:idx val="0"/>
          <c:order val="0"/>
          <c:spPr>
            <a:solidFill>
              <a:srgbClr val="D8C8AB"/>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BCAD93"/>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37F3-4785-9D50-31D8F6F3DAE7}"/>
              </c:ext>
            </c:extLst>
          </c:dPt>
          <c:dPt>
            <c:idx val="2"/>
            <c:invertIfNegative val="0"/>
            <c:bubble3D val="0"/>
            <c:spPr>
              <a:solidFill>
                <a:srgbClr val="877A67"/>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37F3-4785-9D50-31D8F6F3DAE7}"/>
              </c:ext>
            </c:extLst>
          </c:dPt>
          <c:dPt>
            <c:idx val="3"/>
            <c:invertIfNegative val="0"/>
            <c:bubble3D val="0"/>
            <c:spPr>
              <a:solidFill>
                <a:srgbClr val="63716D"/>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37F3-4785-9D50-31D8F6F3DAE7}"/>
              </c:ext>
            </c:extLst>
          </c:dPt>
          <c:dPt>
            <c:idx val="4"/>
            <c:invertIfNegative val="0"/>
            <c:bubble3D val="0"/>
            <c:spPr>
              <a:solidFill>
                <a:srgbClr val="939C92"/>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37F3-4785-9D50-31D8F6F3DAE7}"/>
              </c:ext>
            </c:extLst>
          </c:dPt>
          <c:dPt>
            <c:idx val="5"/>
            <c:invertIfNegative val="0"/>
            <c:bubble3D val="0"/>
            <c:spPr>
              <a:solidFill>
                <a:srgbClr val="C29B61"/>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37F3-4785-9D50-31D8F6F3DAE7}"/>
              </c:ext>
            </c:extLst>
          </c:dPt>
          <c:dLbls>
            <c:spPr>
              <a:noFill/>
              <a:ln>
                <a:noFill/>
              </a:ln>
              <a:effectLst/>
            </c:spPr>
            <c:txPr>
              <a:bodyPr rot="0" spcFirstLastPara="1" vertOverflow="ellipsis" vert="horz"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'm1'!$AV$4:$AW$9</c:f>
              <c:multiLvlStrCache>
                <c:ptCount val="6"/>
                <c:lvl>
                  <c:pt idx="0">
                    <c:v>Servicios periciales</c:v>
                  </c:pt>
                  <c:pt idx="1">
                    <c:v>Servicio médico forense</c:v>
                  </c:pt>
                  <c:pt idx="2">
                    <c:v> Servicios periciales y servicio médico forense</c:v>
                  </c:pt>
                  <c:pt idx="3">
                    <c:v>Fijos</c:v>
                  </c:pt>
                  <c:pt idx="4">
                    <c:v>Móviles</c:v>
                  </c:pt>
                  <c:pt idx="5">
                    <c:v> </c:v>
                  </c:pt>
                </c:lvl>
                <c:lvl>
                  <c:pt idx="0">
                    <c:v>Unidades</c:v>
                  </c:pt>
                  <c:pt idx="3">
                    <c:v>Laboratorios </c:v>
                  </c:pt>
                  <c:pt idx="5">
                    <c:v>Anfiteatros</c:v>
                  </c:pt>
                </c:lvl>
              </c:multiLvlStrCache>
            </c:multiLvlStrRef>
          </c:cat>
          <c:val>
            <c:numRef>
              <c:f>'m1'!$AY$4:$AY$9</c:f>
              <c:numCache>
                <c:formatCode>General</c:formatCode>
                <c:ptCount val="6"/>
                <c:pt idx="0">
                  <c:v>102</c:v>
                </c:pt>
                <c:pt idx="1">
                  <c:v>31</c:v>
                </c:pt>
                <c:pt idx="2">
                  <c:v>150</c:v>
                </c:pt>
                <c:pt idx="3">
                  <c:v>377</c:v>
                </c:pt>
                <c:pt idx="4">
                  <c:v>47</c:v>
                </c:pt>
                <c:pt idx="5">
                  <c:v>205</c:v>
                </c:pt>
              </c:numCache>
            </c:numRef>
          </c:val>
          <c:extLst>
            <c:ext xmlns:c16="http://schemas.microsoft.com/office/drawing/2014/chart" uri="{C3380CC4-5D6E-409C-BE32-E72D297353CC}">
              <c16:uniqueId val="{0000000A-37F3-4785-9D50-31D8F6F3DAE7}"/>
            </c:ext>
          </c:extLst>
        </c:ser>
        <c:dLbls>
          <c:dLblPos val="outEnd"/>
          <c:showLegendKey val="0"/>
          <c:showVal val="1"/>
          <c:showCatName val="0"/>
          <c:showSerName val="0"/>
          <c:showPercent val="0"/>
          <c:showBubbleSize val="0"/>
        </c:dLbls>
        <c:gapWidth val="80"/>
        <c:overlap val="-27"/>
        <c:axId val="1398224495"/>
        <c:axId val="1343304831"/>
      </c:barChart>
      <c:catAx>
        <c:axId val="1398224495"/>
        <c:scaling>
          <c:orientation val="minMax"/>
        </c:scaling>
        <c:delete val="0"/>
        <c:axPos val="b"/>
        <c:numFmt formatCode="General" sourceLinked="1"/>
        <c:majorTickMark val="none"/>
        <c:minorTickMark val="none"/>
        <c:tickLblPos val="nextTo"/>
        <c:spPr>
          <a:noFill/>
          <a:ln w="9525" cap="flat" cmpd="sng" algn="ctr">
            <a:solidFill>
              <a:schemeClr val="accent3"/>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343304831"/>
        <c:crosses val="autoZero"/>
        <c:auto val="1"/>
        <c:lblAlgn val="ctr"/>
        <c:lblOffset val="100"/>
        <c:noMultiLvlLbl val="0"/>
      </c:catAx>
      <c:valAx>
        <c:axId val="1343304831"/>
        <c:scaling>
          <c:orientation val="minMax"/>
        </c:scaling>
        <c:delete val="1"/>
        <c:axPos val="l"/>
        <c:numFmt formatCode="General" sourceLinked="1"/>
        <c:majorTickMark val="none"/>
        <c:minorTickMark val="none"/>
        <c:tickLblPos val="nextTo"/>
        <c:crossAx val="13982244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793203481143803E-2"/>
          <c:y val="7.0944856497903899E-2"/>
          <c:w val="0.95441359303771234"/>
          <c:h val="0.6205653751520338"/>
        </c:manualLayout>
      </c:layout>
      <c:barChart>
        <c:barDir val="col"/>
        <c:grouping val="clustered"/>
        <c:varyColors val="0"/>
        <c:ser>
          <c:idx val="0"/>
          <c:order val="0"/>
          <c:tx>
            <c:strRef>
              <c:f>'m1'!$AZ$18</c:f>
              <c:strCache>
                <c:ptCount val="1"/>
                <c:pt idx="0">
                  <c:v>Laboratorios (fijos y móviles)</c:v>
                </c:pt>
              </c:strCache>
            </c:strRef>
          </c:tx>
          <c:spPr>
            <a:solidFill>
              <a:srgbClr val="5B90A7"/>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'm1'!$AY$19:$AY$49</c:f>
              <c:strCache>
                <c:ptCount val="31"/>
                <c:pt idx="0">
                  <c:v>TAB</c:v>
                </c:pt>
                <c:pt idx="1">
                  <c:v>CHIS</c:v>
                </c:pt>
                <c:pt idx="2">
                  <c:v>MOR</c:v>
                </c:pt>
                <c:pt idx="3">
                  <c:v>SLP</c:v>
                </c:pt>
                <c:pt idx="4">
                  <c:v>CHIH</c:v>
                </c:pt>
                <c:pt idx="5">
                  <c:v>GTO</c:v>
                </c:pt>
                <c:pt idx="6">
                  <c:v>MICH</c:v>
                </c:pt>
                <c:pt idx="7">
                  <c:v>BC</c:v>
                </c:pt>
                <c:pt idx="8">
                  <c:v>MEX</c:v>
                </c:pt>
                <c:pt idx="9">
                  <c:v>GRO</c:v>
                </c:pt>
                <c:pt idx="10">
                  <c:v>COAH</c:v>
                </c:pt>
                <c:pt idx="11">
                  <c:v>TAMPS</c:v>
                </c:pt>
                <c:pt idx="12">
                  <c:v>SIN</c:v>
                </c:pt>
                <c:pt idx="13">
                  <c:v>BCS</c:v>
                </c:pt>
                <c:pt idx="14">
                  <c:v>NL</c:v>
                </c:pt>
                <c:pt idx="15">
                  <c:v>SON</c:v>
                </c:pt>
                <c:pt idx="16">
                  <c:v>COL</c:v>
                </c:pt>
                <c:pt idx="17">
                  <c:v>NAY</c:v>
                </c:pt>
                <c:pt idx="18">
                  <c:v>YUC</c:v>
                </c:pt>
                <c:pt idx="19">
                  <c:v>AGS</c:v>
                </c:pt>
                <c:pt idx="20">
                  <c:v>DGO</c:v>
                </c:pt>
                <c:pt idx="21">
                  <c:v>OAX</c:v>
                </c:pt>
                <c:pt idx="22">
                  <c:v>CAMP</c:v>
                </c:pt>
                <c:pt idx="23">
                  <c:v>QRO</c:v>
                </c:pt>
                <c:pt idx="24">
                  <c:v>TLAX</c:v>
                </c:pt>
                <c:pt idx="25">
                  <c:v>CDMX</c:v>
                </c:pt>
                <c:pt idx="26">
                  <c:v>HGO</c:v>
                </c:pt>
                <c:pt idx="27">
                  <c:v>QROO</c:v>
                </c:pt>
                <c:pt idx="28">
                  <c:v>VER</c:v>
                </c:pt>
                <c:pt idx="29">
                  <c:v>PUE</c:v>
                </c:pt>
                <c:pt idx="30">
                  <c:v>ZAC</c:v>
                </c:pt>
              </c:strCache>
            </c:strRef>
          </c:cat>
          <c:val>
            <c:numRef>
              <c:f>'m1'!$AZ$19:$AZ$49</c:f>
              <c:numCache>
                <c:formatCode>General</c:formatCode>
                <c:ptCount val="31"/>
                <c:pt idx="0">
                  <c:v>56</c:v>
                </c:pt>
                <c:pt idx="1">
                  <c:v>38</c:v>
                </c:pt>
                <c:pt idx="2">
                  <c:v>28</c:v>
                </c:pt>
                <c:pt idx="3">
                  <c:v>28</c:v>
                </c:pt>
                <c:pt idx="4">
                  <c:v>26</c:v>
                </c:pt>
                <c:pt idx="5">
                  <c:v>23</c:v>
                </c:pt>
                <c:pt idx="6">
                  <c:v>23</c:v>
                </c:pt>
                <c:pt idx="7">
                  <c:v>20</c:v>
                </c:pt>
                <c:pt idx="8">
                  <c:v>16</c:v>
                </c:pt>
                <c:pt idx="9">
                  <c:v>15</c:v>
                </c:pt>
                <c:pt idx="10">
                  <c:v>14</c:v>
                </c:pt>
                <c:pt idx="11">
                  <c:v>14</c:v>
                </c:pt>
                <c:pt idx="12">
                  <c:v>10</c:v>
                </c:pt>
                <c:pt idx="13">
                  <c:v>9</c:v>
                </c:pt>
                <c:pt idx="14">
                  <c:v>9</c:v>
                </c:pt>
                <c:pt idx="15">
                  <c:v>9</c:v>
                </c:pt>
                <c:pt idx="16">
                  <c:v>8</c:v>
                </c:pt>
                <c:pt idx="17">
                  <c:v>8</c:v>
                </c:pt>
                <c:pt idx="18">
                  <c:v>8</c:v>
                </c:pt>
                <c:pt idx="19">
                  <c:v>7</c:v>
                </c:pt>
                <c:pt idx="20">
                  <c:v>7</c:v>
                </c:pt>
                <c:pt idx="21">
                  <c:v>7</c:v>
                </c:pt>
                <c:pt idx="22">
                  <c:v>6</c:v>
                </c:pt>
                <c:pt idx="23">
                  <c:v>6</c:v>
                </c:pt>
                <c:pt idx="24">
                  <c:v>6</c:v>
                </c:pt>
                <c:pt idx="25">
                  <c:v>5</c:v>
                </c:pt>
                <c:pt idx="26">
                  <c:v>5</c:v>
                </c:pt>
                <c:pt idx="27">
                  <c:v>5</c:v>
                </c:pt>
                <c:pt idx="28">
                  <c:v>4</c:v>
                </c:pt>
                <c:pt idx="29">
                  <c:v>2</c:v>
                </c:pt>
                <c:pt idx="30">
                  <c:v>2</c:v>
                </c:pt>
              </c:numCache>
            </c:numRef>
          </c:val>
          <c:extLst>
            <c:ext xmlns:c16="http://schemas.microsoft.com/office/drawing/2014/chart" uri="{C3380CC4-5D6E-409C-BE32-E72D297353CC}">
              <c16:uniqueId val="{00000000-CD78-4153-8472-C251E0DA1CA1}"/>
            </c:ext>
          </c:extLst>
        </c:ser>
        <c:ser>
          <c:idx val="1"/>
          <c:order val="1"/>
          <c:tx>
            <c:strRef>
              <c:f>'m1'!$BA$18</c:f>
              <c:strCache>
                <c:ptCount val="1"/>
                <c:pt idx="0">
                  <c:v>Laboratorios que contaron con área para realizar necropsias</c:v>
                </c:pt>
              </c:strCache>
            </c:strRef>
          </c:tx>
          <c:spPr>
            <a:solidFill>
              <a:srgbClr val="183051"/>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'm1'!$AY$19:$AY$49</c:f>
              <c:strCache>
                <c:ptCount val="31"/>
                <c:pt idx="0">
                  <c:v>TAB</c:v>
                </c:pt>
                <c:pt idx="1">
                  <c:v>CHIS</c:v>
                </c:pt>
                <c:pt idx="2">
                  <c:v>MOR</c:v>
                </c:pt>
                <c:pt idx="3">
                  <c:v>SLP</c:v>
                </c:pt>
                <c:pt idx="4">
                  <c:v>CHIH</c:v>
                </c:pt>
                <c:pt idx="5">
                  <c:v>GTO</c:v>
                </c:pt>
                <c:pt idx="6">
                  <c:v>MICH</c:v>
                </c:pt>
                <c:pt idx="7">
                  <c:v>BC</c:v>
                </c:pt>
                <c:pt idx="8">
                  <c:v>MEX</c:v>
                </c:pt>
                <c:pt idx="9">
                  <c:v>GRO</c:v>
                </c:pt>
                <c:pt idx="10">
                  <c:v>COAH</c:v>
                </c:pt>
                <c:pt idx="11">
                  <c:v>TAMPS</c:v>
                </c:pt>
                <c:pt idx="12">
                  <c:v>SIN</c:v>
                </c:pt>
                <c:pt idx="13">
                  <c:v>BCS</c:v>
                </c:pt>
                <c:pt idx="14">
                  <c:v>NL</c:v>
                </c:pt>
                <c:pt idx="15">
                  <c:v>SON</c:v>
                </c:pt>
                <c:pt idx="16">
                  <c:v>COL</c:v>
                </c:pt>
                <c:pt idx="17">
                  <c:v>NAY</c:v>
                </c:pt>
                <c:pt idx="18">
                  <c:v>YUC</c:v>
                </c:pt>
                <c:pt idx="19">
                  <c:v>AGS</c:v>
                </c:pt>
                <c:pt idx="20">
                  <c:v>DGO</c:v>
                </c:pt>
                <c:pt idx="21">
                  <c:v>OAX</c:v>
                </c:pt>
                <c:pt idx="22">
                  <c:v>CAMP</c:v>
                </c:pt>
                <c:pt idx="23">
                  <c:v>QRO</c:v>
                </c:pt>
                <c:pt idx="24">
                  <c:v>TLAX</c:v>
                </c:pt>
                <c:pt idx="25">
                  <c:v>CDMX</c:v>
                </c:pt>
                <c:pt idx="26">
                  <c:v>HGO</c:v>
                </c:pt>
                <c:pt idx="27">
                  <c:v>QROO</c:v>
                </c:pt>
                <c:pt idx="28">
                  <c:v>VER</c:v>
                </c:pt>
                <c:pt idx="29">
                  <c:v>PUE</c:v>
                </c:pt>
                <c:pt idx="30">
                  <c:v>ZAC</c:v>
                </c:pt>
              </c:strCache>
            </c:strRef>
          </c:cat>
          <c:val>
            <c:numRef>
              <c:f>'m1'!$BA$19:$BA$49</c:f>
              <c:numCache>
                <c:formatCode>General</c:formatCode>
                <c:ptCount val="31"/>
                <c:pt idx="0">
                  <c:v>21</c:v>
                </c:pt>
                <c:pt idx="2">
                  <c:v>4</c:v>
                </c:pt>
                <c:pt idx="3">
                  <c:v>5</c:v>
                </c:pt>
                <c:pt idx="4">
                  <c:v>2</c:v>
                </c:pt>
                <c:pt idx="5">
                  <c:v>7</c:v>
                </c:pt>
                <c:pt idx="6">
                  <c:v>10</c:v>
                </c:pt>
                <c:pt idx="8">
                  <c:v>15</c:v>
                </c:pt>
                <c:pt idx="10">
                  <c:v>4</c:v>
                </c:pt>
                <c:pt idx="12">
                  <c:v>4</c:v>
                </c:pt>
                <c:pt idx="16">
                  <c:v>8</c:v>
                </c:pt>
                <c:pt idx="17">
                  <c:v>2</c:v>
                </c:pt>
                <c:pt idx="18">
                  <c:v>1</c:v>
                </c:pt>
                <c:pt idx="19">
                  <c:v>1</c:v>
                </c:pt>
                <c:pt idx="21">
                  <c:v>1</c:v>
                </c:pt>
                <c:pt idx="24">
                  <c:v>6</c:v>
                </c:pt>
                <c:pt idx="27">
                  <c:v>1</c:v>
                </c:pt>
                <c:pt idx="29">
                  <c:v>2</c:v>
                </c:pt>
                <c:pt idx="30">
                  <c:v>2</c:v>
                </c:pt>
              </c:numCache>
            </c:numRef>
          </c:val>
          <c:extLst>
            <c:ext xmlns:c16="http://schemas.microsoft.com/office/drawing/2014/chart" uri="{C3380CC4-5D6E-409C-BE32-E72D297353CC}">
              <c16:uniqueId val="{00000001-CD78-4153-8472-C251E0DA1CA1}"/>
            </c:ext>
          </c:extLst>
        </c:ser>
        <c:dLbls>
          <c:dLblPos val="outEnd"/>
          <c:showLegendKey val="0"/>
          <c:showVal val="1"/>
          <c:showCatName val="0"/>
          <c:showSerName val="0"/>
          <c:showPercent val="0"/>
          <c:showBubbleSize val="0"/>
        </c:dLbls>
        <c:gapWidth val="50"/>
        <c:overlap val="-27"/>
        <c:axId val="783078048"/>
        <c:axId val="324745152"/>
      </c:barChart>
      <c:catAx>
        <c:axId val="78307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324745152"/>
        <c:crosses val="autoZero"/>
        <c:auto val="1"/>
        <c:lblAlgn val="ctr"/>
        <c:lblOffset val="100"/>
        <c:noMultiLvlLbl val="0"/>
      </c:catAx>
      <c:valAx>
        <c:axId val="324745152"/>
        <c:scaling>
          <c:orientation val="minMax"/>
        </c:scaling>
        <c:delete val="1"/>
        <c:axPos val="l"/>
        <c:numFmt formatCode="General" sourceLinked="1"/>
        <c:majorTickMark val="none"/>
        <c:minorTickMark val="none"/>
        <c:tickLblPos val="nextTo"/>
        <c:crossAx val="783078048"/>
        <c:crosses val="autoZero"/>
        <c:crossBetween val="between"/>
      </c:valAx>
      <c:spPr>
        <a:noFill/>
        <a:ln>
          <a:noFill/>
        </a:ln>
        <a:effectLst/>
      </c:spPr>
    </c:plotArea>
    <c:legend>
      <c:legendPos val="b"/>
      <c:layout>
        <c:manualLayout>
          <c:xMode val="edge"/>
          <c:yMode val="edge"/>
          <c:x val="0.4633921899422746"/>
          <c:y val="0.13602774822447419"/>
          <c:w val="0.52385732139885333"/>
          <c:h val="0.19559240909587414"/>
        </c:manualLayout>
      </c:layout>
      <c:overlay val="0"/>
      <c:spPr>
        <a:noFill/>
        <a:ln>
          <a:noFill/>
        </a:ln>
        <a:effectLst/>
      </c:spPr>
      <c:txPr>
        <a:bodyPr rot="0" spcFirstLastPara="1" vertOverflow="ellipsis" vert="horz" wrap="square" anchor="ctr" anchorCtr="1"/>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7046979865772E-2"/>
          <c:y val="0.19631901840490798"/>
          <c:w val="0.95385906040268453"/>
          <c:h val="0.54834500748756099"/>
        </c:manualLayout>
      </c:layout>
      <c:barChart>
        <c:barDir val="col"/>
        <c:grouping val="clustered"/>
        <c:varyColors val="0"/>
        <c:ser>
          <c:idx val="0"/>
          <c:order val="0"/>
          <c:tx>
            <c:strRef>
              <c:f>'m1'!$AU$86</c:f>
              <c:strCache>
                <c:ptCount val="1"/>
                <c:pt idx="0">
                  <c:v>Hombres</c:v>
                </c:pt>
              </c:strCache>
            </c:strRef>
          </c:tx>
          <c:spPr>
            <a:solidFill>
              <a:srgbClr val="877A67"/>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'm1'!$AS$87:$AS$91</c:f>
              <c:strCache>
                <c:ptCount val="5"/>
                <c:pt idx="0">
                  <c:v>Peritos</c:v>
                </c:pt>
                <c:pt idx="1">
                  <c:v>Personal administrativo y de apoyo</c:v>
                </c:pt>
                <c:pt idx="2">
                  <c:v>Oficiales secretarios</c:v>
                </c:pt>
                <c:pt idx="3">
                  <c:v>Trabajadores sociales</c:v>
                </c:pt>
                <c:pt idx="4">
                  <c:v>Otro cargo y/o función desempeñada </c:v>
                </c:pt>
              </c:strCache>
            </c:strRef>
          </c:cat>
          <c:val>
            <c:numRef>
              <c:f>'m1'!$AU$87:$AU$91</c:f>
              <c:numCache>
                <c:formatCode>#,##0</c:formatCode>
                <c:ptCount val="5"/>
                <c:pt idx="0">
                  <c:v>4366</c:v>
                </c:pt>
                <c:pt idx="1">
                  <c:v>852</c:v>
                </c:pt>
                <c:pt idx="2">
                  <c:v>10</c:v>
                </c:pt>
                <c:pt idx="3">
                  <c:v>0</c:v>
                </c:pt>
                <c:pt idx="4">
                  <c:v>68</c:v>
                </c:pt>
              </c:numCache>
            </c:numRef>
          </c:val>
          <c:extLst>
            <c:ext xmlns:c16="http://schemas.microsoft.com/office/drawing/2014/chart" uri="{C3380CC4-5D6E-409C-BE32-E72D297353CC}">
              <c16:uniqueId val="{00000000-AD5D-43F2-A0B7-E394C4A8F202}"/>
            </c:ext>
          </c:extLst>
        </c:ser>
        <c:ser>
          <c:idx val="1"/>
          <c:order val="1"/>
          <c:tx>
            <c:strRef>
              <c:f>'m1'!$AV$86</c:f>
              <c:strCache>
                <c:ptCount val="1"/>
                <c:pt idx="0">
                  <c:v>Mujeres</c:v>
                </c:pt>
              </c:strCache>
            </c:strRef>
          </c:tx>
          <c:spPr>
            <a:solidFill>
              <a:srgbClr val="EAC479"/>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'm1'!$AS$87:$AS$91</c:f>
              <c:strCache>
                <c:ptCount val="5"/>
                <c:pt idx="0">
                  <c:v>Peritos</c:v>
                </c:pt>
                <c:pt idx="1">
                  <c:v>Personal administrativo y de apoyo</c:v>
                </c:pt>
                <c:pt idx="2">
                  <c:v>Oficiales secretarios</c:v>
                </c:pt>
                <c:pt idx="3">
                  <c:v>Trabajadores sociales</c:v>
                </c:pt>
                <c:pt idx="4">
                  <c:v>Otro cargo y/o función desempeñada </c:v>
                </c:pt>
              </c:strCache>
            </c:strRef>
          </c:cat>
          <c:val>
            <c:numRef>
              <c:f>'m1'!$AV$87:$AV$91</c:f>
              <c:numCache>
                <c:formatCode>#,##0</c:formatCode>
                <c:ptCount val="5"/>
                <c:pt idx="0">
                  <c:v>3810</c:v>
                </c:pt>
                <c:pt idx="1">
                  <c:v>892</c:v>
                </c:pt>
                <c:pt idx="2">
                  <c:v>32</c:v>
                </c:pt>
                <c:pt idx="3">
                  <c:v>31</c:v>
                </c:pt>
                <c:pt idx="4">
                  <c:v>58</c:v>
                </c:pt>
              </c:numCache>
            </c:numRef>
          </c:val>
          <c:extLst>
            <c:ext xmlns:c16="http://schemas.microsoft.com/office/drawing/2014/chart" uri="{C3380CC4-5D6E-409C-BE32-E72D297353CC}">
              <c16:uniqueId val="{00000001-AD5D-43F2-A0B7-E394C4A8F202}"/>
            </c:ext>
          </c:extLst>
        </c:ser>
        <c:dLbls>
          <c:dLblPos val="outEnd"/>
          <c:showLegendKey val="0"/>
          <c:showVal val="1"/>
          <c:showCatName val="0"/>
          <c:showSerName val="0"/>
          <c:showPercent val="0"/>
          <c:showBubbleSize val="0"/>
        </c:dLbls>
        <c:gapWidth val="80"/>
        <c:overlap val="-27"/>
        <c:axId val="1211696639"/>
        <c:axId val="1560387023"/>
      </c:barChart>
      <c:catAx>
        <c:axId val="1211696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560387023"/>
        <c:crosses val="autoZero"/>
        <c:auto val="1"/>
        <c:lblAlgn val="ctr"/>
        <c:lblOffset val="100"/>
        <c:noMultiLvlLbl val="0"/>
      </c:catAx>
      <c:valAx>
        <c:axId val="1560387023"/>
        <c:scaling>
          <c:orientation val="minMax"/>
        </c:scaling>
        <c:delete val="1"/>
        <c:axPos val="l"/>
        <c:numFmt formatCode="#,##0" sourceLinked="1"/>
        <c:majorTickMark val="none"/>
        <c:minorTickMark val="none"/>
        <c:tickLblPos val="nextTo"/>
        <c:crossAx val="1211696639"/>
        <c:crosses val="autoZero"/>
        <c:crossBetween val="between"/>
      </c:valAx>
      <c:spPr>
        <a:noFill/>
        <a:ln>
          <a:noFill/>
        </a:ln>
        <a:effectLst/>
      </c:spPr>
    </c:plotArea>
    <c:legend>
      <c:legendPos val="b"/>
      <c:layout>
        <c:manualLayout>
          <c:xMode val="edge"/>
          <c:yMode val="edge"/>
          <c:x val="0.69287569741452726"/>
          <c:y val="0.14941935172213902"/>
          <c:w val="0.23645176605484042"/>
          <c:h val="0.11421235689097145"/>
        </c:manualLayout>
      </c:layout>
      <c:overlay val="0"/>
      <c:spPr>
        <a:noFill/>
        <a:ln>
          <a:noFill/>
        </a:ln>
        <a:effectLst/>
      </c:spPr>
      <c:txPr>
        <a:bodyPr rot="0" spcFirstLastPara="1" vertOverflow="ellipsis" vert="horz" wrap="square" anchor="ctr" anchorCtr="1"/>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093244923331953E-2"/>
          <c:y val="0.22099940495135822"/>
          <c:w val="0.94546384715667353"/>
          <c:h val="0.57224839253171955"/>
        </c:manualLayout>
      </c:layout>
      <c:barChart>
        <c:barDir val="col"/>
        <c:grouping val="clustered"/>
        <c:varyColors val="0"/>
        <c:ser>
          <c:idx val="0"/>
          <c:order val="0"/>
          <c:tx>
            <c:strRef>
              <c:f>'m1'!$AZ$60</c:f>
              <c:strCache>
                <c:ptCount val="1"/>
                <c:pt idx="0">
                  <c:v>Admitidas</c:v>
                </c:pt>
              </c:strCache>
            </c:strRef>
          </c:tx>
          <c:spPr>
            <a:solidFill>
              <a:srgbClr val="EAC479"/>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lIns="38100" tIns="19050" rIns="38100" bIns="19050" anchor="ctr" anchorCtr="0">
                <a:spAutoFit/>
              </a:bodyPr>
              <a:lstStyle/>
              <a:p>
                <a:pPr algn="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'm1'!$AY$61:$AY$65</c:f>
              <c:numCache>
                <c:formatCode>General</c:formatCode>
                <c:ptCount val="5"/>
                <c:pt idx="0">
                  <c:v>2016</c:v>
                </c:pt>
                <c:pt idx="1">
                  <c:v>2017</c:v>
                </c:pt>
                <c:pt idx="2">
                  <c:v>2018</c:v>
                </c:pt>
                <c:pt idx="3">
                  <c:v>2019</c:v>
                </c:pt>
                <c:pt idx="4">
                  <c:v>2020</c:v>
                </c:pt>
              </c:numCache>
            </c:numRef>
          </c:cat>
          <c:val>
            <c:numRef>
              <c:f>'m1'!$AZ$61:$AZ$65</c:f>
              <c:numCache>
                <c:formatCode>#,##0</c:formatCode>
                <c:ptCount val="5"/>
                <c:pt idx="0">
                  <c:v>2949574</c:v>
                </c:pt>
                <c:pt idx="1">
                  <c:v>3082971</c:v>
                </c:pt>
                <c:pt idx="2">
                  <c:v>4190298</c:v>
                </c:pt>
                <c:pt idx="3">
                  <c:v>4476253</c:v>
                </c:pt>
                <c:pt idx="4">
                  <c:v>3499259</c:v>
                </c:pt>
              </c:numCache>
            </c:numRef>
          </c:val>
          <c:extLst>
            <c:ext xmlns:c16="http://schemas.microsoft.com/office/drawing/2014/chart" uri="{C3380CC4-5D6E-409C-BE32-E72D297353CC}">
              <c16:uniqueId val="{00000000-CDAC-446A-B053-358AFCCAC7BB}"/>
            </c:ext>
          </c:extLst>
        </c:ser>
        <c:ser>
          <c:idx val="1"/>
          <c:order val="1"/>
          <c:tx>
            <c:strRef>
              <c:f>'m1'!$BA$60</c:f>
              <c:strCache>
                <c:ptCount val="1"/>
                <c:pt idx="0">
                  <c:v>Concluidas</c:v>
                </c:pt>
              </c:strCache>
            </c:strRef>
          </c:tx>
          <c:spPr>
            <a:solidFill>
              <a:srgbClr val="804053"/>
            </a:solidFill>
            <a:ln>
              <a:noFill/>
            </a:ln>
            <a:effectLst>
              <a:outerShdw blurRad="50800" dist="38100" dir="2700000" algn="tl" rotWithShape="0">
                <a:prstClr val="black">
                  <a:alpha val="40000"/>
                </a:prstClr>
              </a:outerShdw>
            </a:effectLst>
          </c:spPr>
          <c:invertIfNegative val="0"/>
          <c:dLbls>
            <c:dLbl>
              <c:idx val="1"/>
              <c:tx>
                <c:rich>
                  <a:bodyPr/>
                  <a:lstStyle/>
                  <a:p>
                    <a:r>
                      <a:rPr lang="en-US"/>
                      <a:t>2,986,958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4A-4F71-B04A-37C53DED892B}"/>
                </c:ext>
              </c:extLst>
            </c:dLbl>
            <c:spPr>
              <a:noFill/>
              <a:ln>
                <a:noFill/>
              </a:ln>
              <a:effectLst/>
            </c:spPr>
            <c:txPr>
              <a:bodyPr rot="-5400000" spcFirstLastPara="1" vertOverflow="ellipsis" wrap="square" lIns="38100" tIns="19050" rIns="38100" bIns="19050" anchor="ctr" anchorCtr="0">
                <a:spAutoFit/>
              </a:bodyPr>
              <a:lstStyle/>
              <a:p>
                <a:pPr algn="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'm1'!$AY$61:$AY$65</c:f>
              <c:numCache>
                <c:formatCode>General</c:formatCode>
                <c:ptCount val="5"/>
                <c:pt idx="0">
                  <c:v>2016</c:v>
                </c:pt>
                <c:pt idx="1">
                  <c:v>2017</c:v>
                </c:pt>
                <c:pt idx="2">
                  <c:v>2018</c:v>
                </c:pt>
                <c:pt idx="3">
                  <c:v>2019</c:v>
                </c:pt>
                <c:pt idx="4">
                  <c:v>2020</c:v>
                </c:pt>
              </c:numCache>
            </c:numRef>
          </c:cat>
          <c:val>
            <c:numRef>
              <c:f>'m1'!$BA$61:$BA$65</c:f>
              <c:numCache>
                <c:formatCode>#,##0</c:formatCode>
                <c:ptCount val="5"/>
                <c:pt idx="0">
                  <c:v>2758609</c:v>
                </c:pt>
                <c:pt idx="1">
                  <c:v>2918237</c:v>
                </c:pt>
                <c:pt idx="2">
                  <c:v>4121998</c:v>
                </c:pt>
                <c:pt idx="3">
                  <c:v>4361711</c:v>
                </c:pt>
                <c:pt idx="4">
                  <c:v>3674002</c:v>
                </c:pt>
              </c:numCache>
            </c:numRef>
          </c:val>
          <c:extLst>
            <c:ext xmlns:c16="http://schemas.microsoft.com/office/drawing/2014/chart" uri="{C3380CC4-5D6E-409C-BE32-E72D297353CC}">
              <c16:uniqueId val="{00000001-CDAC-446A-B053-358AFCCAC7BB}"/>
            </c:ext>
          </c:extLst>
        </c:ser>
        <c:dLbls>
          <c:dLblPos val="outEnd"/>
          <c:showLegendKey val="0"/>
          <c:showVal val="1"/>
          <c:showCatName val="0"/>
          <c:showSerName val="0"/>
          <c:showPercent val="0"/>
          <c:showBubbleSize val="0"/>
        </c:dLbls>
        <c:gapWidth val="90"/>
        <c:overlap val="-27"/>
        <c:axId val="496569232"/>
        <c:axId val="518116736"/>
      </c:barChart>
      <c:catAx>
        <c:axId val="49656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518116736"/>
        <c:crosses val="autoZero"/>
        <c:auto val="1"/>
        <c:lblAlgn val="ctr"/>
        <c:lblOffset val="100"/>
        <c:noMultiLvlLbl val="0"/>
      </c:catAx>
      <c:valAx>
        <c:axId val="518116736"/>
        <c:scaling>
          <c:orientation val="minMax"/>
        </c:scaling>
        <c:delete val="1"/>
        <c:axPos val="l"/>
        <c:numFmt formatCode="#,##0" sourceLinked="1"/>
        <c:majorTickMark val="none"/>
        <c:minorTickMark val="none"/>
        <c:tickLblPos val="nextTo"/>
        <c:crossAx val="496569232"/>
        <c:crosses val="autoZero"/>
        <c:crossBetween val="between"/>
      </c:valAx>
      <c:spPr>
        <a:noFill/>
        <a:ln>
          <a:noFill/>
        </a:ln>
        <a:effectLst/>
      </c:spPr>
    </c:plotArea>
    <c:legend>
      <c:legendPos val="b"/>
      <c:layout>
        <c:manualLayout>
          <c:xMode val="edge"/>
          <c:yMode val="edge"/>
          <c:x val="0.26773415068082929"/>
          <c:y val="0.90050201148437237"/>
          <c:w val="0.4501076291638042"/>
          <c:h val="9.9497988515627689E-2"/>
        </c:manualLayout>
      </c:layout>
      <c:overlay val="0"/>
      <c:spPr>
        <a:noFill/>
        <a:ln>
          <a:noFill/>
        </a:ln>
        <a:effectLst/>
      </c:spPr>
      <c:txPr>
        <a:bodyPr rot="0" spcFirstLastPara="1" vertOverflow="ellipsis" vert="horz" wrap="square" anchor="ctr" anchorCtr="1"/>
        <a:lstStyle/>
        <a:p>
          <a:pPr algn="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105860160216503E-2"/>
          <c:y val="0.13233347393602862"/>
          <c:w val="0.95978827967956704"/>
          <c:h val="0.36706541915203206"/>
        </c:manualLayout>
      </c:layout>
      <c:barChart>
        <c:barDir val="col"/>
        <c:grouping val="clustered"/>
        <c:varyColors val="0"/>
        <c:ser>
          <c:idx val="0"/>
          <c:order val="0"/>
          <c:tx>
            <c:strRef>
              <c:f>'m2 y m3'!$M$60</c:f>
              <c:strCache>
                <c:ptCount val="1"/>
                <c:pt idx="0">
                  <c:v>2019</c:v>
                </c:pt>
              </c:strCache>
            </c:strRef>
          </c:tx>
          <c:spPr>
            <a:solidFill>
              <a:srgbClr val="AF8D95"/>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lIns="38100" tIns="19050" rIns="38100" bIns="19050" anchor="ctr" anchorCtr="0">
                <a:spAutoFit/>
              </a:bodyPr>
              <a:lstStyle/>
              <a:p>
                <a:pPr algn="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y m3'!$L$61:$L$70</c:f>
              <c:strCache>
                <c:ptCount val="10"/>
                <c:pt idx="0">
                  <c:v>Robo*</c:v>
                </c:pt>
                <c:pt idx="1">
                  <c:v>Violencia familiar</c:v>
                </c:pt>
                <c:pt idx="2">
                  <c:v>Lesiones</c:v>
                </c:pt>
                <c:pt idx="3">
                  <c:v>Daño a la propiedad</c:v>
                </c:pt>
                <c:pt idx="4">
                  <c:v>Amenazas</c:v>
                </c:pt>
                <c:pt idx="5">
                  <c:v>Delitos contra la salud relacionados con narcóticos en su modalidad de narcomenudeo</c:v>
                </c:pt>
                <c:pt idx="6">
                  <c:v>Fraude</c:v>
                </c:pt>
                <c:pt idx="7">
                  <c:v>Homicidio</c:v>
                </c:pt>
                <c:pt idx="8">
                  <c:v>Despojo</c:v>
                </c:pt>
                <c:pt idx="9">
                  <c:v>Abuso de confianza</c:v>
                </c:pt>
              </c:strCache>
            </c:strRef>
          </c:cat>
          <c:val>
            <c:numRef>
              <c:f>'m2 y m3'!$M$61:$M$70</c:f>
              <c:numCache>
                <c:formatCode>#,##0</c:formatCode>
                <c:ptCount val="10"/>
                <c:pt idx="0">
                  <c:v>775428</c:v>
                </c:pt>
                <c:pt idx="1">
                  <c:v>209593</c:v>
                </c:pt>
                <c:pt idx="2">
                  <c:v>214613</c:v>
                </c:pt>
                <c:pt idx="3">
                  <c:v>136614</c:v>
                </c:pt>
                <c:pt idx="4">
                  <c:v>110286</c:v>
                </c:pt>
                <c:pt idx="5">
                  <c:v>93823</c:v>
                </c:pt>
                <c:pt idx="6">
                  <c:v>77496</c:v>
                </c:pt>
                <c:pt idx="7">
                  <c:v>47285</c:v>
                </c:pt>
                <c:pt idx="8">
                  <c:v>28809</c:v>
                </c:pt>
                <c:pt idx="9">
                  <c:v>27628</c:v>
                </c:pt>
              </c:numCache>
            </c:numRef>
          </c:val>
          <c:extLst>
            <c:ext xmlns:c16="http://schemas.microsoft.com/office/drawing/2014/chart" uri="{C3380CC4-5D6E-409C-BE32-E72D297353CC}">
              <c16:uniqueId val="{00000000-9775-421C-95F2-EE8D43F9FE22}"/>
            </c:ext>
          </c:extLst>
        </c:ser>
        <c:ser>
          <c:idx val="1"/>
          <c:order val="1"/>
          <c:tx>
            <c:strRef>
              <c:f>'m2 y m3'!$N$60</c:f>
              <c:strCache>
                <c:ptCount val="1"/>
                <c:pt idx="0">
                  <c:v>2020</c:v>
                </c:pt>
              </c:strCache>
            </c:strRef>
          </c:tx>
          <c:spPr>
            <a:solidFill>
              <a:srgbClr val="5B90A7"/>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lIns="38100" tIns="19050" rIns="38100" bIns="19050" anchor="ctr" anchorCtr="0">
                <a:spAutoFit/>
              </a:bodyPr>
              <a:lstStyle/>
              <a:p>
                <a:pPr algn="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y m3'!$L$61:$L$70</c:f>
              <c:strCache>
                <c:ptCount val="10"/>
                <c:pt idx="0">
                  <c:v>Robo*</c:v>
                </c:pt>
                <c:pt idx="1">
                  <c:v>Violencia familiar</c:v>
                </c:pt>
                <c:pt idx="2">
                  <c:v>Lesiones</c:v>
                </c:pt>
                <c:pt idx="3">
                  <c:v>Daño a la propiedad</c:v>
                </c:pt>
                <c:pt idx="4">
                  <c:v>Amenazas</c:v>
                </c:pt>
                <c:pt idx="5">
                  <c:v>Delitos contra la salud relacionados con narcóticos en su modalidad de narcomenudeo</c:v>
                </c:pt>
                <c:pt idx="6">
                  <c:v>Fraude</c:v>
                </c:pt>
                <c:pt idx="7">
                  <c:v>Homicidio</c:v>
                </c:pt>
                <c:pt idx="8">
                  <c:v>Despojo</c:v>
                </c:pt>
                <c:pt idx="9">
                  <c:v>Abuso de confianza</c:v>
                </c:pt>
              </c:strCache>
            </c:strRef>
          </c:cat>
          <c:val>
            <c:numRef>
              <c:f>'m2 y m3'!$N$61:$N$70</c:f>
              <c:numCache>
                <c:formatCode>#,##0</c:formatCode>
                <c:ptCount val="10"/>
                <c:pt idx="0">
                  <c:v>612114</c:v>
                </c:pt>
                <c:pt idx="1">
                  <c:v>220609</c:v>
                </c:pt>
                <c:pt idx="2">
                  <c:v>184860</c:v>
                </c:pt>
                <c:pt idx="3">
                  <c:v>115915</c:v>
                </c:pt>
                <c:pt idx="4">
                  <c:v>104294</c:v>
                </c:pt>
                <c:pt idx="5">
                  <c:v>91838</c:v>
                </c:pt>
                <c:pt idx="6">
                  <c:v>74001</c:v>
                </c:pt>
                <c:pt idx="7">
                  <c:v>45805</c:v>
                </c:pt>
                <c:pt idx="8">
                  <c:v>28829</c:v>
                </c:pt>
                <c:pt idx="9">
                  <c:v>24592</c:v>
                </c:pt>
              </c:numCache>
            </c:numRef>
          </c:val>
          <c:extLst>
            <c:ext xmlns:c16="http://schemas.microsoft.com/office/drawing/2014/chart" uri="{C3380CC4-5D6E-409C-BE32-E72D297353CC}">
              <c16:uniqueId val="{00000001-9775-421C-95F2-EE8D43F9FE22}"/>
            </c:ext>
          </c:extLst>
        </c:ser>
        <c:dLbls>
          <c:dLblPos val="outEnd"/>
          <c:showLegendKey val="0"/>
          <c:showVal val="1"/>
          <c:showCatName val="0"/>
          <c:showSerName val="0"/>
          <c:showPercent val="0"/>
          <c:showBubbleSize val="0"/>
        </c:dLbls>
        <c:gapWidth val="80"/>
        <c:overlap val="-27"/>
        <c:axId val="1654154991"/>
        <c:axId val="1801677407"/>
      </c:barChart>
      <c:catAx>
        <c:axId val="1654154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801677407"/>
        <c:crosses val="autoZero"/>
        <c:auto val="1"/>
        <c:lblAlgn val="ctr"/>
        <c:lblOffset val="100"/>
        <c:noMultiLvlLbl val="0"/>
      </c:catAx>
      <c:valAx>
        <c:axId val="1801677407"/>
        <c:scaling>
          <c:orientation val="minMax"/>
        </c:scaling>
        <c:delete val="1"/>
        <c:axPos val="l"/>
        <c:numFmt formatCode="#,##0" sourceLinked="1"/>
        <c:majorTickMark val="none"/>
        <c:minorTickMark val="none"/>
        <c:tickLblPos val="nextTo"/>
        <c:crossAx val="1654154991"/>
        <c:crosses val="autoZero"/>
        <c:crossBetween val="between"/>
      </c:valAx>
      <c:spPr>
        <a:noFill/>
        <a:ln>
          <a:noFill/>
        </a:ln>
        <a:effectLst/>
      </c:spPr>
    </c:plotArea>
    <c:legend>
      <c:legendPos val="b"/>
      <c:layout>
        <c:manualLayout>
          <c:xMode val="edge"/>
          <c:yMode val="edge"/>
          <c:x val="0.73139793729514535"/>
          <c:y val="6.2318042732978543E-2"/>
          <c:w val="0.2077571431022944"/>
          <c:h val="8.5976572796277045E-2"/>
        </c:manualLayout>
      </c:layout>
      <c:overlay val="0"/>
      <c:spPr>
        <a:noFill/>
        <a:ln>
          <a:noFill/>
        </a:ln>
        <a:effectLst/>
      </c:spPr>
      <c:txPr>
        <a:bodyPr rot="0" spcFirstLastPara="1" vertOverflow="ellipsis" vert="horz" wrap="square" anchor="ctr" anchorCtr="1"/>
        <a:lstStyle/>
        <a:p>
          <a:pPr algn="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350144557651709E-2"/>
          <c:y val="0.160953129266485"/>
          <c:w val="0.96725360151782014"/>
          <c:h val="0.57053959019453782"/>
        </c:manualLayout>
      </c:layout>
      <c:barChart>
        <c:barDir val="col"/>
        <c:grouping val="clustered"/>
        <c:varyColors val="0"/>
        <c:ser>
          <c:idx val="0"/>
          <c:order val="0"/>
          <c:tx>
            <c:strRef>
              <c:f>'m2 y m3'!$AE$60</c:f>
              <c:strCache>
                <c:ptCount val="1"/>
                <c:pt idx="0">
                  <c:v>total </c:v>
                </c:pt>
              </c:strCache>
            </c:strRef>
          </c:tx>
          <c:spPr>
            <a:solidFill>
              <a:srgbClr val="AF8D95"/>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804053"/>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8783-4705-8943-3D3ACF780DDB}"/>
              </c:ext>
            </c:extLst>
          </c:dPt>
          <c:dLbls>
            <c:spPr>
              <a:noFill/>
              <a:ln>
                <a:noFill/>
              </a:ln>
              <a:effectLst/>
            </c:spPr>
            <c:txPr>
              <a:bodyPr rot="-5400000" spcFirstLastPara="1" vertOverflow="ellipsis"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y m3'!$AD$61:$AD$92</c:f>
              <c:strCache>
                <c:ptCount val="32"/>
                <c:pt idx="0">
                  <c:v>MEX</c:v>
                </c:pt>
                <c:pt idx="1">
                  <c:v>CDMX</c:v>
                </c:pt>
                <c:pt idx="2">
                  <c:v>JAL</c:v>
                </c:pt>
                <c:pt idx="3">
                  <c:v>GTO</c:v>
                </c:pt>
                <c:pt idx="4">
                  <c:v>BC</c:v>
                </c:pt>
                <c:pt idx="5">
                  <c:v>VER</c:v>
                </c:pt>
                <c:pt idx="6">
                  <c:v>NL</c:v>
                </c:pt>
                <c:pt idx="7">
                  <c:v>CHIH</c:v>
                </c:pt>
                <c:pt idx="8">
                  <c:v>PUE</c:v>
                </c:pt>
                <c:pt idx="9">
                  <c:v>QRO</c:v>
                </c:pt>
                <c:pt idx="10">
                  <c:v>COAH</c:v>
                </c:pt>
                <c:pt idx="11">
                  <c:v>MICH</c:v>
                </c:pt>
                <c:pt idx="12">
                  <c:v>SLP</c:v>
                </c:pt>
                <c:pt idx="13">
                  <c:v>TAB</c:v>
                </c:pt>
                <c:pt idx="14">
                  <c:v>HGO</c:v>
                </c:pt>
                <c:pt idx="15">
                  <c:v>QROO</c:v>
                </c:pt>
                <c:pt idx="16">
                  <c:v>MOR</c:v>
                </c:pt>
                <c:pt idx="17">
                  <c:v>OAX</c:v>
                </c:pt>
                <c:pt idx="18">
                  <c:v>AGS</c:v>
                </c:pt>
                <c:pt idx="19">
                  <c:v>SON</c:v>
                </c:pt>
                <c:pt idx="20">
                  <c:v>TAMPS</c:v>
                </c:pt>
                <c:pt idx="21">
                  <c:v>DGO</c:v>
                </c:pt>
                <c:pt idx="22">
                  <c:v>COL</c:v>
                </c:pt>
                <c:pt idx="23">
                  <c:v>GRO</c:v>
                </c:pt>
                <c:pt idx="24">
                  <c:v>SIN</c:v>
                </c:pt>
                <c:pt idx="25">
                  <c:v>ZAC</c:v>
                </c:pt>
                <c:pt idx="26">
                  <c:v>BCS</c:v>
                </c:pt>
                <c:pt idx="27">
                  <c:v>CHIS</c:v>
                </c:pt>
                <c:pt idx="28">
                  <c:v>YUC</c:v>
                </c:pt>
                <c:pt idx="29">
                  <c:v>NAY</c:v>
                </c:pt>
                <c:pt idx="30">
                  <c:v>TLAX</c:v>
                </c:pt>
                <c:pt idx="31">
                  <c:v>CAMP</c:v>
                </c:pt>
              </c:strCache>
            </c:strRef>
          </c:cat>
          <c:val>
            <c:numRef>
              <c:f>'m2 y m3'!$AE$61:$AE$92</c:f>
              <c:numCache>
                <c:formatCode>#,##0</c:formatCode>
                <c:ptCount val="32"/>
                <c:pt idx="0">
                  <c:v>343775</c:v>
                </c:pt>
                <c:pt idx="1">
                  <c:v>199761</c:v>
                </c:pt>
                <c:pt idx="2">
                  <c:v>126991</c:v>
                </c:pt>
                <c:pt idx="3">
                  <c:v>124172</c:v>
                </c:pt>
                <c:pt idx="4">
                  <c:v>86534</c:v>
                </c:pt>
                <c:pt idx="5">
                  <c:v>85385</c:v>
                </c:pt>
                <c:pt idx="6">
                  <c:v>81209</c:v>
                </c:pt>
                <c:pt idx="7">
                  <c:v>66768</c:v>
                </c:pt>
                <c:pt idx="8">
                  <c:v>63587</c:v>
                </c:pt>
                <c:pt idx="9">
                  <c:v>52250</c:v>
                </c:pt>
                <c:pt idx="10">
                  <c:v>48461</c:v>
                </c:pt>
                <c:pt idx="11">
                  <c:v>45888</c:v>
                </c:pt>
                <c:pt idx="12">
                  <c:v>45808</c:v>
                </c:pt>
                <c:pt idx="13">
                  <c:v>45265</c:v>
                </c:pt>
                <c:pt idx="14">
                  <c:v>41488</c:v>
                </c:pt>
                <c:pt idx="15">
                  <c:v>41096</c:v>
                </c:pt>
                <c:pt idx="16">
                  <c:v>40494</c:v>
                </c:pt>
                <c:pt idx="17">
                  <c:v>39428</c:v>
                </c:pt>
                <c:pt idx="18">
                  <c:v>34309</c:v>
                </c:pt>
                <c:pt idx="19">
                  <c:v>32997</c:v>
                </c:pt>
                <c:pt idx="20">
                  <c:v>31845</c:v>
                </c:pt>
                <c:pt idx="21">
                  <c:v>26678</c:v>
                </c:pt>
                <c:pt idx="22">
                  <c:v>25960</c:v>
                </c:pt>
                <c:pt idx="23">
                  <c:v>25262</c:v>
                </c:pt>
                <c:pt idx="24">
                  <c:v>23799</c:v>
                </c:pt>
                <c:pt idx="25">
                  <c:v>22814</c:v>
                </c:pt>
                <c:pt idx="26">
                  <c:v>18374</c:v>
                </c:pt>
                <c:pt idx="27">
                  <c:v>17269</c:v>
                </c:pt>
                <c:pt idx="28">
                  <c:v>8682</c:v>
                </c:pt>
                <c:pt idx="29">
                  <c:v>4271</c:v>
                </c:pt>
                <c:pt idx="30">
                  <c:v>4141</c:v>
                </c:pt>
                <c:pt idx="31">
                  <c:v>2044</c:v>
                </c:pt>
              </c:numCache>
            </c:numRef>
          </c:val>
          <c:extLst>
            <c:ext xmlns:c16="http://schemas.microsoft.com/office/drawing/2014/chart" uri="{C3380CC4-5D6E-409C-BE32-E72D297353CC}">
              <c16:uniqueId val="{00000002-8783-4705-8943-3D3ACF780DDB}"/>
            </c:ext>
          </c:extLst>
        </c:ser>
        <c:dLbls>
          <c:dLblPos val="outEnd"/>
          <c:showLegendKey val="0"/>
          <c:showVal val="1"/>
          <c:showCatName val="0"/>
          <c:showSerName val="0"/>
          <c:showPercent val="0"/>
          <c:showBubbleSize val="0"/>
        </c:dLbls>
        <c:gapWidth val="50"/>
        <c:overlap val="-27"/>
        <c:axId val="215530048"/>
        <c:axId val="1923546096"/>
      </c:barChart>
      <c:catAx>
        <c:axId val="21553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923546096"/>
        <c:crosses val="autoZero"/>
        <c:auto val="1"/>
        <c:lblAlgn val="ctr"/>
        <c:lblOffset val="100"/>
        <c:noMultiLvlLbl val="0"/>
      </c:catAx>
      <c:valAx>
        <c:axId val="1923546096"/>
        <c:scaling>
          <c:orientation val="minMax"/>
        </c:scaling>
        <c:delete val="1"/>
        <c:axPos val="l"/>
        <c:numFmt formatCode="#,##0" sourceLinked="1"/>
        <c:majorTickMark val="none"/>
        <c:minorTickMark val="none"/>
        <c:tickLblPos val="nextTo"/>
        <c:crossAx val="215530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117161361139611E-2"/>
          <c:y val="0.10648148148148148"/>
          <c:w val="0.96376567727772078"/>
          <c:h val="0.54906444825284295"/>
        </c:manualLayout>
      </c:layout>
      <c:barChart>
        <c:barDir val="col"/>
        <c:grouping val="clustered"/>
        <c:varyColors val="0"/>
        <c:ser>
          <c:idx val="0"/>
          <c:order val="0"/>
          <c:tx>
            <c:strRef>
              <c:f>'m2 y m3'!$C$148</c:f>
              <c:strCache>
                <c:ptCount val="1"/>
                <c:pt idx="0">
                  <c:v>Adultos</c:v>
                </c:pt>
              </c:strCache>
            </c:strRef>
          </c:tx>
          <c:spPr>
            <a:solidFill>
              <a:srgbClr val="877A67"/>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'm2 y m3'!$A$149:$B$157</c:f>
              <c:multiLvlStrCache>
                <c:ptCount val="9"/>
                <c:lvl>
                  <c:pt idx="0">
                    <c:v>Hombres</c:v>
                  </c:pt>
                  <c:pt idx="1">
                    <c:v>Mujeres</c:v>
                  </c:pt>
                  <c:pt idx="2">
                    <c:v>No identificada</c:v>
                  </c:pt>
                  <c:pt idx="3">
                    <c:v>Sector público</c:v>
                  </c:pt>
                  <c:pt idx="4">
                    <c:v>Sector privado</c:v>
                  </c:pt>
                  <c:pt idx="5">
                    <c:v>Sociedad</c:v>
                  </c:pt>
                  <c:pt idx="6">
                    <c:v>Estado</c:v>
                  </c:pt>
                  <c:pt idx="7">
                    <c:v>Otro</c:v>
                  </c:pt>
                </c:lvl>
                <c:lvl>
                  <c:pt idx="0">
                    <c:v>Personas Físicas</c:v>
                  </c:pt>
                  <c:pt idx="3">
                    <c:v>Personas morales</c:v>
                  </c:pt>
                  <c:pt idx="5">
                    <c:v>Otro tipo de víctima</c:v>
                  </c:pt>
                  <c:pt idx="8">
                    <c:v>No identificada</c:v>
                  </c:pt>
                </c:lvl>
              </c:multiLvlStrCache>
            </c:multiLvlStrRef>
          </c:cat>
          <c:val>
            <c:numRef>
              <c:f>'m2 y m3'!$C$149:$C$157</c:f>
              <c:numCache>
                <c:formatCode>#,##0</c:formatCode>
                <c:ptCount val="9"/>
                <c:pt idx="0">
                  <c:v>773380</c:v>
                </c:pt>
                <c:pt idx="1">
                  <c:v>680300</c:v>
                </c:pt>
                <c:pt idx="2">
                  <c:v>101631</c:v>
                </c:pt>
                <c:pt idx="3">
                  <c:v>30988</c:v>
                </c:pt>
                <c:pt idx="4">
                  <c:v>98904</c:v>
                </c:pt>
                <c:pt idx="5">
                  <c:v>80075</c:v>
                </c:pt>
                <c:pt idx="6">
                  <c:v>55756</c:v>
                </c:pt>
                <c:pt idx="7">
                  <c:v>1756</c:v>
                </c:pt>
                <c:pt idx="8">
                  <c:v>154102</c:v>
                </c:pt>
              </c:numCache>
            </c:numRef>
          </c:val>
          <c:extLst>
            <c:ext xmlns:c16="http://schemas.microsoft.com/office/drawing/2014/chart" uri="{C3380CC4-5D6E-409C-BE32-E72D297353CC}">
              <c16:uniqueId val="{00000000-038C-4BCA-8632-9D903549056B}"/>
            </c:ext>
          </c:extLst>
        </c:ser>
        <c:ser>
          <c:idx val="1"/>
          <c:order val="1"/>
          <c:tx>
            <c:strRef>
              <c:f>'m2 y m3'!$D$148</c:f>
              <c:strCache>
                <c:ptCount val="1"/>
                <c:pt idx="0">
                  <c:v>Justicia para adolescentes</c:v>
                </c:pt>
              </c:strCache>
            </c:strRef>
          </c:tx>
          <c:spPr>
            <a:solidFill>
              <a:srgbClr val="804053"/>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'm2 y m3'!$A$149:$B$157</c:f>
              <c:multiLvlStrCache>
                <c:ptCount val="9"/>
                <c:lvl>
                  <c:pt idx="0">
                    <c:v>Hombres</c:v>
                  </c:pt>
                  <c:pt idx="1">
                    <c:v>Mujeres</c:v>
                  </c:pt>
                  <c:pt idx="2">
                    <c:v>No identificada</c:v>
                  </c:pt>
                  <c:pt idx="3">
                    <c:v>Sector público</c:v>
                  </c:pt>
                  <c:pt idx="4">
                    <c:v>Sector privado</c:v>
                  </c:pt>
                  <c:pt idx="5">
                    <c:v>Sociedad</c:v>
                  </c:pt>
                  <c:pt idx="6">
                    <c:v>Estado</c:v>
                  </c:pt>
                  <c:pt idx="7">
                    <c:v>Otro</c:v>
                  </c:pt>
                </c:lvl>
                <c:lvl>
                  <c:pt idx="0">
                    <c:v>Personas Físicas</c:v>
                  </c:pt>
                  <c:pt idx="3">
                    <c:v>Personas morales</c:v>
                  </c:pt>
                  <c:pt idx="5">
                    <c:v>Otro tipo de víctima</c:v>
                  </c:pt>
                  <c:pt idx="8">
                    <c:v>No identificada</c:v>
                  </c:pt>
                </c:lvl>
              </c:multiLvlStrCache>
            </c:multiLvlStrRef>
          </c:cat>
          <c:val>
            <c:numRef>
              <c:f>'m2 y m3'!$D$149:$D$157</c:f>
              <c:numCache>
                <c:formatCode>#,##0</c:formatCode>
                <c:ptCount val="9"/>
                <c:pt idx="0">
                  <c:v>8639</c:v>
                </c:pt>
                <c:pt idx="1">
                  <c:v>10069</c:v>
                </c:pt>
                <c:pt idx="2">
                  <c:v>203</c:v>
                </c:pt>
                <c:pt idx="3">
                  <c:v>72</c:v>
                </c:pt>
                <c:pt idx="4">
                  <c:v>935</c:v>
                </c:pt>
                <c:pt idx="5">
                  <c:v>3722</c:v>
                </c:pt>
                <c:pt idx="6">
                  <c:v>776</c:v>
                </c:pt>
                <c:pt idx="7">
                  <c:v>1</c:v>
                </c:pt>
                <c:pt idx="8">
                  <c:v>278</c:v>
                </c:pt>
              </c:numCache>
            </c:numRef>
          </c:val>
          <c:extLst>
            <c:ext xmlns:c16="http://schemas.microsoft.com/office/drawing/2014/chart" uri="{C3380CC4-5D6E-409C-BE32-E72D297353CC}">
              <c16:uniqueId val="{00000001-038C-4BCA-8632-9D903549056B}"/>
            </c:ext>
          </c:extLst>
        </c:ser>
        <c:dLbls>
          <c:dLblPos val="outEnd"/>
          <c:showLegendKey val="0"/>
          <c:showVal val="1"/>
          <c:showCatName val="0"/>
          <c:showSerName val="0"/>
          <c:showPercent val="0"/>
          <c:showBubbleSize val="0"/>
        </c:dLbls>
        <c:gapWidth val="80"/>
        <c:overlap val="-27"/>
        <c:axId val="601241504"/>
        <c:axId val="327820576"/>
      </c:barChart>
      <c:catAx>
        <c:axId val="601241504"/>
        <c:scaling>
          <c:orientation val="minMax"/>
        </c:scaling>
        <c:delete val="0"/>
        <c:axPos val="b"/>
        <c:numFmt formatCode="General" sourceLinked="1"/>
        <c:majorTickMark val="none"/>
        <c:minorTickMark val="none"/>
        <c:tickLblPos val="nextTo"/>
        <c:spPr>
          <a:noFill/>
          <a:ln w="9525" cap="flat" cmpd="sng" algn="ctr">
            <a:solidFill>
              <a:schemeClr val="accent3"/>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327820576"/>
        <c:crosses val="autoZero"/>
        <c:auto val="1"/>
        <c:lblAlgn val="ctr"/>
        <c:lblOffset val="100"/>
        <c:noMultiLvlLbl val="0"/>
      </c:catAx>
      <c:valAx>
        <c:axId val="327820576"/>
        <c:scaling>
          <c:orientation val="minMax"/>
        </c:scaling>
        <c:delete val="1"/>
        <c:axPos val="l"/>
        <c:numFmt formatCode="#,##0" sourceLinked="1"/>
        <c:majorTickMark val="none"/>
        <c:minorTickMark val="none"/>
        <c:tickLblPos val="nextTo"/>
        <c:crossAx val="601241504"/>
        <c:crosses val="autoZero"/>
        <c:crossBetween val="between"/>
      </c:valAx>
      <c:spPr>
        <a:noFill/>
        <a:ln>
          <a:noFill/>
        </a:ln>
        <a:effectLst/>
      </c:spPr>
    </c:plotArea>
    <c:legend>
      <c:legendPos val="b"/>
      <c:layout>
        <c:manualLayout>
          <c:xMode val="edge"/>
          <c:yMode val="edge"/>
          <c:x val="0.34475648292459576"/>
          <c:y val="0.11531782994155973"/>
          <c:w val="0.4481345732671414"/>
          <c:h val="7.38404053659959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'm1'!$C$3</c:f>
              <c:strCache>
                <c:ptCount val="1"/>
                <c:pt idx="0">
                  <c:v>TOTAL </c:v>
                </c:pt>
              </c:strCache>
            </c:strRef>
          </c:tx>
          <c:spPr>
            <a:solidFill>
              <a:srgbClr val="EAC479"/>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C29B61"/>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497E-42FE-A2F5-4DDEDCCCD981}"/>
              </c:ext>
            </c:extLst>
          </c:dPt>
          <c:dPt>
            <c:idx val="26"/>
            <c:invertIfNegative val="0"/>
            <c:bubble3D val="0"/>
            <c:spPr>
              <a:solidFill>
                <a:srgbClr val="B7BCB7"/>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497E-42FE-A2F5-4DDEDCCCD98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'm1'!$B$4:$B$30</c:f>
              <c:strCache>
                <c:ptCount val="27"/>
                <c:pt idx="0">
                  <c:v>Investigación, análisis criminal y/o inteligencia</c:v>
                </c:pt>
                <c:pt idx="1">
                  <c:v>Administración y finanzas</c:v>
                </c:pt>
                <c:pt idx="2">
                  <c:v>Coordinación de ministerios públicos</c:v>
                </c:pt>
                <c:pt idx="3">
                  <c:v>Servicios periciales o servicio médico forense</c:v>
                </c:pt>
                <c:pt idx="4">
                  <c:v>Policía judicial, ministerial o de investigación</c:v>
                </c:pt>
                <c:pt idx="5">
                  <c:v>Asuntos jurídicos</c:v>
                </c:pt>
                <c:pt idx="6">
                  <c:v>Capacitación, formación y evaluación del personal</c:v>
                </c:pt>
                <c:pt idx="7">
                  <c:v>Atención directa a víctimas</c:v>
                </c:pt>
                <c:pt idx="8">
                  <c:v>Despacho del Procurador o Fiscal</c:v>
                </c:pt>
                <c:pt idx="9">
                  <c:v>Control de procesos y/o litigio</c:v>
                </c:pt>
                <c:pt idx="10">
                  <c:v>Atención especializada en justicia para las mujeres</c:v>
                </c:pt>
                <c:pt idx="11">
                  <c:v>Mecanismos alternativos de solución de controversias en materia penal</c:v>
                </c:pt>
                <c:pt idx="12">
                  <c:v>Informática y tecnologías de la información </c:v>
                </c:pt>
                <c:pt idx="13">
                  <c:v>Visitaduría general</c:v>
                </c:pt>
                <c:pt idx="14">
                  <c:v>Derechos humanos </c:v>
                </c:pt>
                <c:pt idx="15">
                  <c:v>Contraloría interna</c:v>
                </c:pt>
                <c:pt idx="16">
                  <c:v>Planeación y evaluación</c:v>
                </c:pt>
                <c:pt idx="17">
                  <c:v>Comunicación social y difusión</c:v>
                </c:pt>
                <c:pt idx="18">
                  <c:v>Acceso a la información pública y protección de datos personales</c:v>
                </c:pt>
                <c:pt idx="19">
                  <c:v>Seguridad pública y/o prevención del delito</c:v>
                </c:pt>
                <c:pt idx="20">
                  <c:v>Asuntos internos</c:v>
                </c:pt>
                <c:pt idx="21">
                  <c:v>Vinculación y promoción con la sociedad</c:v>
                </c:pt>
                <c:pt idx="22">
                  <c:v>Atención especializada para adolescentes</c:v>
                </c:pt>
                <c:pt idx="23">
                  <c:v>Estadística</c:v>
                </c:pt>
                <c:pt idx="24">
                  <c:v>Supervisión de medidas cautelares y suspensión condicional del proceso</c:v>
                </c:pt>
                <c:pt idx="25">
                  <c:v>Reinserción social y/o sistema penitenciario</c:v>
                </c:pt>
                <c:pt idx="26">
                  <c:v>Otra función </c:v>
                </c:pt>
              </c:strCache>
            </c:strRef>
          </c:cat>
          <c:val>
            <c:numRef>
              <c:f>'m1'!$C$4:$C$30</c:f>
              <c:numCache>
                <c:formatCode>General</c:formatCode>
                <c:ptCount val="27"/>
                <c:pt idx="0">
                  <c:v>127</c:v>
                </c:pt>
                <c:pt idx="1">
                  <c:v>103</c:v>
                </c:pt>
                <c:pt idx="2">
                  <c:v>97</c:v>
                </c:pt>
                <c:pt idx="3">
                  <c:v>81</c:v>
                </c:pt>
                <c:pt idx="4">
                  <c:v>75</c:v>
                </c:pt>
                <c:pt idx="5">
                  <c:v>70</c:v>
                </c:pt>
                <c:pt idx="6">
                  <c:v>51</c:v>
                </c:pt>
                <c:pt idx="7">
                  <c:v>49</c:v>
                </c:pt>
                <c:pt idx="8">
                  <c:v>47</c:v>
                </c:pt>
                <c:pt idx="9">
                  <c:v>44</c:v>
                </c:pt>
                <c:pt idx="10">
                  <c:v>43</c:v>
                </c:pt>
                <c:pt idx="11">
                  <c:v>39</c:v>
                </c:pt>
                <c:pt idx="12">
                  <c:v>37</c:v>
                </c:pt>
                <c:pt idx="13">
                  <c:v>33</c:v>
                </c:pt>
                <c:pt idx="14">
                  <c:v>32</c:v>
                </c:pt>
                <c:pt idx="15">
                  <c:v>28</c:v>
                </c:pt>
                <c:pt idx="16">
                  <c:v>27</c:v>
                </c:pt>
                <c:pt idx="17">
                  <c:v>20</c:v>
                </c:pt>
                <c:pt idx="18">
                  <c:v>16</c:v>
                </c:pt>
                <c:pt idx="19">
                  <c:v>16</c:v>
                </c:pt>
                <c:pt idx="20">
                  <c:v>14</c:v>
                </c:pt>
                <c:pt idx="21">
                  <c:v>11</c:v>
                </c:pt>
                <c:pt idx="22">
                  <c:v>9</c:v>
                </c:pt>
                <c:pt idx="23">
                  <c:v>9</c:v>
                </c:pt>
                <c:pt idx="24">
                  <c:v>5</c:v>
                </c:pt>
                <c:pt idx="25">
                  <c:v>1</c:v>
                </c:pt>
                <c:pt idx="26">
                  <c:v>85</c:v>
                </c:pt>
              </c:numCache>
            </c:numRef>
          </c:val>
          <c:extLst>
            <c:ext xmlns:c16="http://schemas.microsoft.com/office/drawing/2014/chart" uri="{C3380CC4-5D6E-409C-BE32-E72D297353CC}">
              <c16:uniqueId val="{00000004-497E-42FE-A2F5-4DDEDCCCD981}"/>
            </c:ext>
          </c:extLst>
        </c:ser>
        <c:dLbls>
          <c:dLblPos val="outEnd"/>
          <c:showLegendKey val="0"/>
          <c:showVal val="1"/>
          <c:showCatName val="0"/>
          <c:showSerName val="0"/>
          <c:showPercent val="0"/>
          <c:showBubbleSize val="0"/>
        </c:dLbls>
        <c:gapWidth val="60"/>
        <c:axId val="1369648687"/>
        <c:axId val="1058796127"/>
      </c:barChart>
      <c:catAx>
        <c:axId val="136964868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s-MX" sz="7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058796127"/>
        <c:crosses val="autoZero"/>
        <c:auto val="1"/>
        <c:lblAlgn val="ctr"/>
        <c:lblOffset val="100"/>
        <c:noMultiLvlLbl val="0"/>
      </c:catAx>
      <c:valAx>
        <c:axId val="1058796127"/>
        <c:scaling>
          <c:orientation val="minMax"/>
        </c:scaling>
        <c:delete val="1"/>
        <c:axPos val="t"/>
        <c:numFmt formatCode="General" sourceLinked="1"/>
        <c:majorTickMark val="none"/>
        <c:minorTickMark val="none"/>
        <c:tickLblPos val="nextTo"/>
        <c:crossAx val="136964868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183231027345097E-2"/>
          <c:y val="0.1284129189346993"/>
          <c:w val="0.96163353794530981"/>
          <c:h val="0.60156610715535397"/>
        </c:manualLayout>
      </c:layout>
      <c:barChart>
        <c:barDir val="col"/>
        <c:grouping val="clustered"/>
        <c:varyColors val="0"/>
        <c:ser>
          <c:idx val="0"/>
          <c:order val="0"/>
          <c:tx>
            <c:strRef>
              <c:f>'m2 y m3'!$I$163</c:f>
              <c:strCache>
                <c:ptCount val="1"/>
                <c:pt idx="0">
                  <c:v>total </c:v>
                </c:pt>
              </c:strCache>
            </c:strRef>
          </c:tx>
          <c:spPr>
            <a:solidFill>
              <a:srgbClr val="EAC479"/>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C29B61"/>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E676-4D26-B0A5-B37FD0FF9AAA}"/>
              </c:ext>
            </c:extLst>
          </c:dPt>
          <c:dLbls>
            <c:spPr>
              <a:noFill/>
              <a:ln>
                <a:noFill/>
              </a:ln>
              <a:effectLst/>
            </c:spPr>
            <c:txPr>
              <a:bodyPr rot="-5400000" spcFirstLastPara="1" vertOverflow="ellipsis"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y m3'!$H$164:$H$195</c:f>
              <c:strCache>
                <c:ptCount val="32"/>
                <c:pt idx="0">
                  <c:v>MEX</c:v>
                </c:pt>
                <c:pt idx="1">
                  <c:v>CDMX</c:v>
                </c:pt>
                <c:pt idx="2">
                  <c:v>GTO</c:v>
                </c:pt>
                <c:pt idx="3">
                  <c:v>JAL</c:v>
                </c:pt>
                <c:pt idx="4">
                  <c:v>VER</c:v>
                </c:pt>
                <c:pt idx="5">
                  <c:v>BC</c:v>
                </c:pt>
                <c:pt idx="6">
                  <c:v>NL</c:v>
                </c:pt>
                <c:pt idx="7">
                  <c:v>CHIH</c:v>
                </c:pt>
                <c:pt idx="8">
                  <c:v>PUE</c:v>
                </c:pt>
                <c:pt idx="9">
                  <c:v>QRO</c:v>
                </c:pt>
                <c:pt idx="10">
                  <c:v>TAB</c:v>
                </c:pt>
                <c:pt idx="11">
                  <c:v>COAH</c:v>
                </c:pt>
                <c:pt idx="12">
                  <c:v>MICH</c:v>
                </c:pt>
                <c:pt idx="13">
                  <c:v>SLP</c:v>
                </c:pt>
                <c:pt idx="14">
                  <c:v>HGO</c:v>
                </c:pt>
                <c:pt idx="15">
                  <c:v>OAX</c:v>
                </c:pt>
                <c:pt idx="16">
                  <c:v>MOR</c:v>
                </c:pt>
                <c:pt idx="17">
                  <c:v>QROO</c:v>
                </c:pt>
                <c:pt idx="18">
                  <c:v>AGS</c:v>
                </c:pt>
                <c:pt idx="19">
                  <c:v>TAMPS</c:v>
                </c:pt>
                <c:pt idx="20">
                  <c:v>SON</c:v>
                </c:pt>
                <c:pt idx="21">
                  <c:v>ZAC</c:v>
                </c:pt>
                <c:pt idx="22">
                  <c:v>DGO</c:v>
                </c:pt>
                <c:pt idx="23">
                  <c:v>COL</c:v>
                </c:pt>
                <c:pt idx="24">
                  <c:v>GRO</c:v>
                </c:pt>
                <c:pt idx="25">
                  <c:v>SIN</c:v>
                </c:pt>
                <c:pt idx="26">
                  <c:v>BCS</c:v>
                </c:pt>
                <c:pt idx="27">
                  <c:v>CHIS</c:v>
                </c:pt>
                <c:pt idx="28">
                  <c:v>YUC</c:v>
                </c:pt>
                <c:pt idx="29">
                  <c:v>NAY</c:v>
                </c:pt>
                <c:pt idx="30">
                  <c:v>TLAX</c:v>
                </c:pt>
                <c:pt idx="31">
                  <c:v>CAMP</c:v>
                </c:pt>
              </c:strCache>
            </c:strRef>
          </c:cat>
          <c:val>
            <c:numRef>
              <c:f>'m2 y m3'!$I$164:$I$195</c:f>
              <c:numCache>
                <c:formatCode>#,##0</c:formatCode>
                <c:ptCount val="32"/>
                <c:pt idx="0">
                  <c:v>354155</c:v>
                </c:pt>
                <c:pt idx="1">
                  <c:v>209983</c:v>
                </c:pt>
                <c:pt idx="2">
                  <c:v>143109</c:v>
                </c:pt>
                <c:pt idx="3">
                  <c:v>133627</c:v>
                </c:pt>
                <c:pt idx="4">
                  <c:v>105729</c:v>
                </c:pt>
                <c:pt idx="5">
                  <c:v>97185</c:v>
                </c:pt>
                <c:pt idx="6">
                  <c:v>85143</c:v>
                </c:pt>
                <c:pt idx="7">
                  <c:v>79096</c:v>
                </c:pt>
                <c:pt idx="8">
                  <c:v>67081</c:v>
                </c:pt>
                <c:pt idx="9">
                  <c:v>63424</c:v>
                </c:pt>
                <c:pt idx="10">
                  <c:v>51137</c:v>
                </c:pt>
                <c:pt idx="11">
                  <c:v>49929</c:v>
                </c:pt>
                <c:pt idx="12">
                  <c:v>48801</c:v>
                </c:pt>
                <c:pt idx="13">
                  <c:v>47503</c:v>
                </c:pt>
                <c:pt idx="14">
                  <c:v>43391</c:v>
                </c:pt>
                <c:pt idx="15">
                  <c:v>43382</c:v>
                </c:pt>
                <c:pt idx="16">
                  <c:v>41166</c:v>
                </c:pt>
                <c:pt idx="17">
                  <c:v>41096</c:v>
                </c:pt>
                <c:pt idx="18">
                  <c:v>38421</c:v>
                </c:pt>
                <c:pt idx="19">
                  <c:v>35716</c:v>
                </c:pt>
                <c:pt idx="20">
                  <c:v>33619</c:v>
                </c:pt>
                <c:pt idx="21">
                  <c:v>28372</c:v>
                </c:pt>
                <c:pt idx="22">
                  <c:v>27674</c:v>
                </c:pt>
                <c:pt idx="23">
                  <c:v>26445</c:v>
                </c:pt>
                <c:pt idx="24">
                  <c:v>24799</c:v>
                </c:pt>
                <c:pt idx="25">
                  <c:v>24732</c:v>
                </c:pt>
                <c:pt idx="26">
                  <c:v>19266</c:v>
                </c:pt>
                <c:pt idx="27">
                  <c:v>17999</c:v>
                </c:pt>
                <c:pt idx="28">
                  <c:v>8693</c:v>
                </c:pt>
                <c:pt idx="29">
                  <c:v>4620</c:v>
                </c:pt>
                <c:pt idx="30">
                  <c:v>4192</c:v>
                </c:pt>
                <c:pt idx="31">
                  <c:v>2102</c:v>
                </c:pt>
              </c:numCache>
            </c:numRef>
          </c:val>
          <c:extLst>
            <c:ext xmlns:c16="http://schemas.microsoft.com/office/drawing/2014/chart" uri="{C3380CC4-5D6E-409C-BE32-E72D297353CC}">
              <c16:uniqueId val="{00000002-E676-4D26-B0A5-B37FD0FF9AAA}"/>
            </c:ext>
          </c:extLst>
        </c:ser>
        <c:dLbls>
          <c:dLblPos val="outEnd"/>
          <c:showLegendKey val="0"/>
          <c:showVal val="1"/>
          <c:showCatName val="0"/>
          <c:showSerName val="0"/>
          <c:showPercent val="0"/>
          <c:showBubbleSize val="0"/>
        </c:dLbls>
        <c:gapWidth val="80"/>
        <c:overlap val="-27"/>
        <c:axId val="576586256"/>
        <c:axId val="596458240"/>
      </c:barChart>
      <c:catAx>
        <c:axId val="57658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596458240"/>
        <c:crosses val="autoZero"/>
        <c:auto val="1"/>
        <c:lblAlgn val="ctr"/>
        <c:lblOffset val="100"/>
        <c:noMultiLvlLbl val="0"/>
      </c:catAx>
      <c:valAx>
        <c:axId val="596458240"/>
        <c:scaling>
          <c:orientation val="minMax"/>
        </c:scaling>
        <c:delete val="1"/>
        <c:axPos val="l"/>
        <c:numFmt formatCode="#,##0" sourceLinked="1"/>
        <c:majorTickMark val="none"/>
        <c:minorTickMark val="none"/>
        <c:tickLblPos val="nextTo"/>
        <c:crossAx val="5765862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330920634454074E-2"/>
          <c:y val="5.1314676879156688E-2"/>
          <c:w val="0.97666914460772192"/>
          <c:h val="0.68311074934121063"/>
        </c:manualLayout>
      </c:layout>
      <c:barChart>
        <c:barDir val="col"/>
        <c:grouping val="clustered"/>
        <c:varyColors val="0"/>
        <c:ser>
          <c:idx val="0"/>
          <c:order val="0"/>
          <c:tx>
            <c:strRef>
              <c:f>'m2 y m3'!$C$209</c:f>
              <c:strCache>
                <c:ptCount val="1"/>
                <c:pt idx="0">
                  <c:v>Adultos</c:v>
                </c:pt>
              </c:strCache>
            </c:strRef>
          </c:tx>
          <c:spPr>
            <a:solidFill>
              <a:srgbClr val="877A67"/>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y m3'!$B$210:$B$213</c:f>
              <c:strCache>
                <c:ptCount val="4"/>
                <c:pt idx="0">
                  <c:v>Hombres</c:v>
                </c:pt>
                <c:pt idx="1">
                  <c:v>Mujeres</c:v>
                </c:pt>
                <c:pt idx="2">
                  <c:v>No identificado</c:v>
                </c:pt>
                <c:pt idx="3">
                  <c:v>Otro</c:v>
                </c:pt>
              </c:strCache>
            </c:strRef>
          </c:cat>
          <c:val>
            <c:numRef>
              <c:f>'m2 y m3'!$C$210:$C$213</c:f>
              <c:numCache>
                <c:formatCode>#,##0</c:formatCode>
                <c:ptCount val="4"/>
                <c:pt idx="0">
                  <c:v>861064</c:v>
                </c:pt>
                <c:pt idx="1">
                  <c:v>191094</c:v>
                </c:pt>
                <c:pt idx="2">
                  <c:v>735130</c:v>
                </c:pt>
                <c:pt idx="3">
                  <c:v>4052</c:v>
                </c:pt>
              </c:numCache>
            </c:numRef>
          </c:val>
          <c:extLst>
            <c:ext xmlns:c16="http://schemas.microsoft.com/office/drawing/2014/chart" uri="{C3380CC4-5D6E-409C-BE32-E72D297353CC}">
              <c16:uniqueId val="{00000000-260C-43F7-AF73-E1B391F5F32B}"/>
            </c:ext>
          </c:extLst>
        </c:ser>
        <c:ser>
          <c:idx val="1"/>
          <c:order val="1"/>
          <c:tx>
            <c:strRef>
              <c:f>'m2 y m3'!$D$209</c:f>
              <c:strCache>
                <c:ptCount val="1"/>
                <c:pt idx="0">
                  <c:v>Justicia para adolescentes</c:v>
                </c:pt>
              </c:strCache>
            </c:strRef>
          </c:tx>
          <c:spPr>
            <a:solidFill>
              <a:srgbClr val="804053"/>
            </a:solidFill>
            <a:ln>
              <a:noFill/>
            </a:ln>
            <a:effectLst>
              <a:outerShdw blurRad="50800" dist="38100" dir="2700000" algn="tl" rotWithShape="0">
                <a:prstClr val="black">
                  <a:alpha val="40000"/>
                </a:prstClr>
              </a:outerShdw>
            </a:effectLst>
          </c:spPr>
          <c:invertIfNegative val="0"/>
          <c:dLbls>
            <c:dLbl>
              <c:idx val="3"/>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0C-43F7-AF73-E1B391F5F32B}"/>
                </c:ext>
              </c:extLst>
            </c:dLbl>
            <c:spPr>
              <a:noFill/>
              <a:ln>
                <a:noFill/>
              </a:ln>
              <a:effectLst/>
            </c:spPr>
            <c:txPr>
              <a:bodyPr rot="0" spcFirstLastPara="1" vertOverflow="ellipsis" vert="horz"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y m3'!$B$210:$B$213</c:f>
              <c:strCache>
                <c:ptCount val="4"/>
                <c:pt idx="0">
                  <c:v>Hombres</c:v>
                </c:pt>
                <c:pt idx="1">
                  <c:v>Mujeres</c:v>
                </c:pt>
                <c:pt idx="2">
                  <c:v>No identificado</c:v>
                </c:pt>
                <c:pt idx="3">
                  <c:v>Otro</c:v>
                </c:pt>
              </c:strCache>
            </c:strRef>
          </c:cat>
          <c:val>
            <c:numRef>
              <c:f>'m2 y m3'!$D$210:$D$213</c:f>
              <c:numCache>
                <c:formatCode>#,##0</c:formatCode>
                <c:ptCount val="4"/>
                <c:pt idx="0">
                  <c:v>19298</c:v>
                </c:pt>
                <c:pt idx="1">
                  <c:v>3660</c:v>
                </c:pt>
                <c:pt idx="2">
                  <c:v>1209</c:v>
                </c:pt>
                <c:pt idx="3">
                  <c:v>0</c:v>
                </c:pt>
              </c:numCache>
            </c:numRef>
          </c:val>
          <c:extLst>
            <c:ext xmlns:c16="http://schemas.microsoft.com/office/drawing/2014/chart" uri="{C3380CC4-5D6E-409C-BE32-E72D297353CC}">
              <c16:uniqueId val="{00000002-260C-43F7-AF73-E1B391F5F32B}"/>
            </c:ext>
          </c:extLst>
        </c:ser>
        <c:dLbls>
          <c:dLblPos val="outEnd"/>
          <c:showLegendKey val="0"/>
          <c:showVal val="1"/>
          <c:showCatName val="0"/>
          <c:showSerName val="0"/>
          <c:showPercent val="0"/>
          <c:showBubbleSize val="0"/>
        </c:dLbls>
        <c:gapWidth val="90"/>
        <c:overlap val="-27"/>
        <c:axId val="1953153328"/>
        <c:axId val="327824320"/>
      </c:barChart>
      <c:catAx>
        <c:axId val="195315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327824320"/>
        <c:crosses val="autoZero"/>
        <c:auto val="1"/>
        <c:lblAlgn val="ctr"/>
        <c:lblOffset val="100"/>
        <c:noMultiLvlLbl val="0"/>
      </c:catAx>
      <c:valAx>
        <c:axId val="327824320"/>
        <c:scaling>
          <c:orientation val="minMax"/>
        </c:scaling>
        <c:delete val="1"/>
        <c:axPos val="l"/>
        <c:numFmt formatCode="#,##0" sourceLinked="1"/>
        <c:majorTickMark val="none"/>
        <c:minorTickMark val="none"/>
        <c:tickLblPos val="nextTo"/>
        <c:crossAx val="1953153328"/>
        <c:crosses val="autoZero"/>
        <c:crossBetween val="between"/>
      </c:valAx>
      <c:spPr>
        <a:noFill/>
        <a:ln>
          <a:noFill/>
        </a:ln>
        <a:effectLst/>
      </c:spPr>
    </c:plotArea>
    <c:legend>
      <c:legendPos val="b"/>
      <c:layout>
        <c:manualLayout>
          <c:xMode val="edge"/>
          <c:yMode val="edge"/>
          <c:x val="0.70071128104638658"/>
          <c:y val="8.2199381242143266E-2"/>
          <c:w val="0.29745784507242989"/>
          <c:h val="0.207270524083611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163402240945021"/>
          <c:y val="4.9557195637405925E-2"/>
          <c:w val="0.31384922760197664"/>
          <c:h val="0.92618540955591666"/>
        </c:manualLayout>
      </c:layout>
      <c:barChart>
        <c:barDir val="bar"/>
        <c:grouping val="clustered"/>
        <c:varyColors val="0"/>
        <c:ser>
          <c:idx val="0"/>
          <c:order val="0"/>
          <c:tx>
            <c:strRef>
              <c:f>'m2 y m3'!$B$267</c:f>
              <c:strCache>
                <c:ptCount val="1"/>
                <c:pt idx="0">
                  <c:v>2019</c:v>
                </c:pt>
              </c:strCache>
            </c:strRef>
          </c:tx>
          <c:spPr>
            <a:solidFill>
              <a:srgbClr val="AF8D95"/>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y m3'!$A$268:$A$272</c:f>
              <c:strCache>
                <c:ptCount val="5"/>
                <c:pt idx="0">
                  <c:v>No ejercicio de la acción penal / Improcedencia</c:v>
                </c:pt>
                <c:pt idx="1">
                  <c:v>Reserva / Archivo</c:v>
                </c:pt>
                <c:pt idx="2">
                  <c:v>Otra determinación y/o conclusión </c:v>
                </c:pt>
                <c:pt idx="3">
                  <c:v>Ejercicio de la acción penal / Procedencia</c:v>
                </c:pt>
                <c:pt idx="4">
                  <c:v>Incompetencia</c:v>
                </c:pt>
              </c:strCache>
            </c:strRef>
          </c:cat>
          <c:val>
            <c:numRef>
              <c:f>'m2 y m3'!$B$268:$B$272</c:f>
              <c:numCache>
                <c:formatCode>#,##0</c:formatCode>
                <c:ptCount val="5"/>
                <c:pt idx="0">
                  <c:v>224380</c:v>
                </c:pt>
                <c:pt idx="1">
                  <c:v>20243</c:v>
                </c:pt>
                <c:pt idx="2">
                  <c:v>22427</c:v>
                </c:pt>
                <c:pt idx="3">
                  <c:v>6809</c:v>
                </c:pt>
                <c:pt idx="4">
                  <c:v>1529</c:v>
                </c:pt>
              </c:numCache>
            </c:numRef>
          </c:val>
          <c:extLst>
            <c:ext xmlns:c16="http://schemas.microsoft.com/office/drawing/2014/chart" uri="{C3380CC4-5D6E-409C-BE32-E72D297353CC}">
              <c16:uniqueId val="{00000000-405A-44BD-BD5E-58375E9E7594}"/>
            </c:ext>
          </c:extLst>
        </c:ser>
        <c:ser>
          <c:idx val="1"/>
          <c:order val="1"/>
          <c:tx>
            <c:strRef>
              <c:f>'m2 y m3'!$C$267</c:f>
              <c:strCache>
                <c:ptCount val="1"/>
                <c:pt idx="0">
                  <c:v>2020</c:v>
                </c:pt>
              </c:strCache>
            </c:strRef>
          </c:tx>
          <c:spPr>
            <a:solidFill>
              <a:srgbClr val="5B90A7"/>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y m3'!$A$268:$A$272</c:f>
              <c:strCache>
                <c:ptCount val="5"/>
                <c:pt idx="0">
                  <c:v>No ejercicio de la acción penal / Improcedencia</c:v>
                </c:pt>
                <c:pt idx="1">
                  <c:v>Reserva / Archivo</c:v>
                </c:pt>
                <c:pt idx="2">
                  <c:v>Otra determinación y/o conclusión </c:v>
                </c:pt>
                <c:pt idx="3">
                  <c:v>Ejercicio de la acción penal / Procedencia</c:v>
                </c:pt>
                <c:pt idx="4">
                  <c:v>Incompetencia</c:v>
                </c:pt>
              </c:strCache>
            </c:strRef>
          </c:cat>
          <c:val>
            <c:numRef>
              <c:f>'m2 y m3'!$C$268:$C$272</c:f>
              <c:numCache>
                <c:formatCode>#,##0</c:formatCode>
                <c:ptCount val="5"/>
                <c:pt idx="0">
                  <c:v>142088</c:v>
                </c:pt>
                <c:pt idx="1">
                  <c:v>18939</c:v>
                </c:pt>
                <c:pt idx="2">
                  <c:v>10269</c:v>
                </c:pt>
                <c:pt idx="3">
                  <c:v>1655</c:v>
                </c:pt>
                <c:pt idx="4">
                  <c:v>1292</c:v>
                </c:pt>
              </c:numCache>
            </c:numRef>
          </c:val>
          <c:extLst>
            <c:ext xmlns:c16="http://schemas.microsoft.com/office/drawing/2014/chart" uri="{C3380CC4-5D6E-409C-BE32-E72D297353CC}">
              <c16:uniqueId val="{00000001-405A-44BD-BD5E-58375E9E7594}"/>
            </c:ext>
          </c:extLst>
        </c:ser>
        <c:dLbls>
          <c:dLblPos val="outEnd"/>
          <c:showLegendKey val="0"/>
          <c:showVal val="1"/>
          <c:showCatName val="0"/>
          <c:showSerName val="0"/>
          <c:showPercent val="0"/>
          <c:showBubbleSize val="0"/>
        </c:dLbls>
        <c:gapWidth val="80"/>
        <c:axId val="786387968"/>
        <c:axId val="789293344"/>
      </c:barChart>
      <c:catAx>
        <c:axId val="7863879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789293344"/>
        <c:crosses val="autoZero"/>
        <c:auto val="1"/>
        <c:lblAlgn val="ctr"/>
        <c:lblOffset val="100"/>
        <c:noMultiLvlLbl val="0"/>
      </c:catAx>
      <c:valAx>
        <c:axId val="789293344"/>
        <c:scaling>
          <c:orientation val="minMax"/>
        </c:scaling>
        <c:delete val="1"/>
        <c:axPos val="t"/>
        <c:numFmt formatCode="#,##0" sourceLinked="1"/>
        <c:majorTickMark val="none"/>
        <c:minorTickMark val="none"/>
        <c:tickLblPos val="nextTo"/>
        <c:crossAx val="786387968"/>
        <c:crosses val="autoZero"/>
        <c:crossBetween val="between"/>
      </c:valAx>
      <c:spPr>
        <a:noFill/>
        <a:ln>
          <a:noFill/>
        </a:ln>
        <a:effectLst/>
      </c:spPr>
    </c:plotArea>
    <c:legend>
      <c:legendPos val="b"/>
      <c:layout>
        <c:manualLayout>
          <c:xMode val="edge"/>
          <c:yMode val="edge"/>
          <c:x val="0.70696658576143978"/>
          <c:y val="0.49466812931423221"/>
          <c:w val="9.5928074113745918E-2"/>
          <c:h val="0.19300097124423324"/>
        </c:manualLayout>
      </c:layout>
      <c:overlay val="0"/>
      <c:spPr>
        <a:noFill/>
        <a:ln>
          <a:noFill/>
        </a:ln>
        <a:effectLst/>
      </c:spPr>
      <c:txPr>
        <a:bodyPr rot="0" spcFirstLastPara="1" vertOverflow="ellipsis" vert="horz" wrap="square" anchor="ctr" anchorCtr="1"/>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83986051528262"/>
          <c:y val="4.3023323137493547E-2"/>
          <c:w val="0.44588678460075043"/>
          <c:h val="0.91728436112189493"/>
        </c:manualLayout>
      </c:layout>
      <c:barChart>
        <c:barDir val="bar"/>
        <c:grouping val="clustered"/>
        <c:varyColors val="0"/>
        <c:ser>
          <c:idx val="0"/>
          <c:order val="0"/>
          <c:tx>
            <c:strRef>
              <c:f>'m2 y m3'!$B$294</c:f>
              <c:strCache>
                <c:ptCount val="1"/>
                <c:pt idx="0">
                  <c:v>2019</c:v>
                </c:pt>
              </c:strCache>
            </c:strRef>
          </c:tx>
          <c:spPr>
            <a:solidFill>
              <a:srgbClr val="AF8D95"/>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0">
                <a:spAutoFit/>
              </a:bodyPr>
              <a:lstStyle/>
              <a:p>
                <a:pPr algn="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y m3'!$A$295:$A$303</c:f>
              <c:strCache>
                <c:ptCount val="9"/>
                <c:pt idx="0">
                  <c:v>Archivo temporal</c:v>
                </c:pt>
                <c:pt idx="1">
                  <c:v>No ejercicio de la acción penal por la actualización de alguna causal de sobreseimiento</c:v>
                </c:pt>
                <c:pt idx="2">
                  <c:v>Ejercicio de la acción penal</c:v>
                </c:pt>
                <c:pt idx="3">
                  <c:v>Incompetencia</c:v>
                </c:pt>
                <c:pt idx="4">
                  <c:v>Acuerdos reparatorios aprobados por el Ministerio Público en los que se decretó la extinción de la acción penal (cumplidos)</c:v>
                </c:pt>
                <c:pt idx="5">
                  <c:v>Criterios de oportunidad en los que se decretó la extinción de la acción penal</c:v>
                </c:pt>
                <c:pt idx="6">
                  <c:v>Facultad de abstenerse de investigar </c:v>
                </c:pt>
                <c:pt idx="7">
                  <c:v>Prescripción de la acción penal en relación con el grupo etario en el que se ubique el adolescente</c:v>
                </c:pt>
                <c:pt idx="8">
                  <c:v>Otras determinaciones y/o conclusiones en la etapa de investigación inicial</c:v>
                </c:pt>
              </c:strCache>
            </c:strRef>
          </c:cat>
          <c:val>
            <c:numRef>
              <c:f>'m2 y m3'!$B$295:$B$303</c:f>
              <c:numCache>
                <c:formatCode>#,##0</c:formatCode>
                <c:ptCount val="9"/>
                <c:pt idx="0">
                  <c:v>703846</c:v>
                </c:pt>
                <c:pt idx="1">
                  <c:v>293209</c:v>
                </c:pt>
                <c:pt idx="2">
                  <c:v>149710</c:v>
                </c:pt>
                <c:pt idx="3">
                  <c:v>79981</c:v>
                </c:pt>
                <c:pt idx="4">
                  <c:v>61143</c:v>
                </c:pt>
                <c:pt idx="5">
                  <c:v>44596</c:v>
                </c:pt>
                <c:pt idx="6">
                  <c:v>50975</c:v>
                </c:pt>
                <c:pt idx="7">
                  <c:v>145</c:v>
                </c:pt>
                <c:pt idx="8">
                  <c:v>43298</c:v>
                </c:pt>
              </c:numCache>
            </c:numRef>
          </c:val>
          <c:extLst>
            <c:ext xmlns:c16="http://schemas.microsoft.com/office/drawing/2014/chart" uri="{C3380CC4-5D6E-409C-BE32-E72D297353CC}">
              <c16:uniqueId val="{00000000-D4A9-4C30-A88A-413D1E79FC37}"/>
            </c:ext>
          </c:extLst>
        </c:ser>
        <c:ser>
          <c:idx val="1"/>
          <c:order val="1"/>
          <c:tx>
            <c:strRef>
              <c:f>'m2 y m3'!$C$294</c:f>
              <c:strCache>
                <c:ptCount val="1"/>
                <c:pt idx="0">
                  <c:v>2020</c:v>
                </c:pt>
              </c:strCache>
            </c:strRef>
          </c:tx>
          <c:spPr>
            <a:solidFill>
              <a:srgbClr val="5B90A7"/>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0">
                <a:spAutoFit/>
              </a:bodyPr>
              <a:lstStyle/>
              <a:p>
                <a:pPr algn="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y m3'!$A$295:$A$303</c:f>
              <c:strCache>
                <c:ptCount val="9"/>
                <c:pt idx="0">
                  <c:v>Archivo temporal</c:v>
                </c:pt>
                <c:pt idx="1">
                  <c:v>No ejercicio de la acción penal por la actualización de alguna causal de sobreseimiento</c:v>
                </c:pt>
                <c:pt idx="2">
                  <c:v>Ejercicio de la acción penal</c:v>
                </c:pt>
                <c:pt idx="3">
                  <c:v>Incompetencia</c:v>
                </c:pt>
                <c:pt idx="4">
                  <c:v>Acuerdos reparatorios aprobados por el Ministerio Público en los que se decretó la extinción de la acción penal (cumplidos)</c:v>
                </c:pt>
                <c:pt idx="5">
                  <c:v>Criterios de oportunidad en los que se decretó la extinción de la acción penal</c:v>
                </c:pt>
                <c:pt idx="6">
                  <c:v>Facultad de abstenerse de investigar </c:v>
                </c:pt>
                <c:pt idx="7">
                  <c:v>Prescripción de la acción penal en relación con el grupo etario en el que se ubique el adolescente</c:v>
                </c:pt>
                <c:pt idx="8">
                  <c:v>Otras determinaciones y/o conclusiones en la etapa de investigación inicial</c:v>
                </c:pt>
              </c:strCache>
            </c:strRef>
          </c:cat>
          <c:val>
            <c:numRef>
              <c:f>'m2 y m3'!$C$295:$C$303</c:f>
              <c:numCache>
                <c:formatCode>#,##0</c:formatCode>
                <c:ptCount val="9"/>
                <c:pt idx="0">
                  <c:v>554556</c:v>
                </c:pt>
                <c:pt idx="1">
                  <c:v>287466</c:v>
                </c:pt>
                <c:pt idx="2">
                  <c:v>120381</c:v>
                </c:pt>
                <c:pt idx="3">
                  <c:v>65815</c:v>
                </c:pt>
                <c:pt idx="4">
                  <c:v>43878</c:v>
                </c:pt>
                <c:pt idx="5">
                  <c:v>34094</c:v>
                </c:pt>
                <c:pt idx="6">
                  <c:v>30877</c:v>
                </c:pt>
                <c:pt idx="7">
                  <c:v>193</c:v>
                </c:pt>
                <c:pt idx="8">
                  <c:v>20381</c:v>
                </c:pt>
              </c:numCache>
            </c:numRef>
          </c:val>
          <c:extLst>
            <c:ext xmlns:c16="http://schemas.microsoft.com/office/drawing/2014/chart" uri="{C3380CC4-5D6E-409C-BE32-E72D297353CC}">
              <c16:uniqueId val="{00000001-D4A9-4C30-A88A-413D1E79FC37}"/>
            </c:ext>
          </c:extLst>
        </c:ser>
        <c:dLbls>
          <c:dLblPos val="outEnd"/>
          <c:showLegendKey val="0"/>
          <c:showVal val="1"/>
          <c:showCatName val="0"/>
          <c:showSerName val="0"/>
          <c:showPercent val="0"/>
          <c:showBubbleSize val="0"/>
        </c:dLbls>
        <c:gapWidth val="80"/>
        <c:axId val="786404768"/>
        <c:axId val="789294592"/>
      </c:barChart>
      <c:catAx>
        <c:axId val="7864047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789294592"/>
        <c:crosses val="autoZero"/>
        <c:auto val="1"/>
        <c:lblAlgn val="ctr"/>
        <c:lblOffset val="100"/>
        <c:noMultiLvlLbl val="0"/>
      </c:catAx>
      <c:valAx>
        <c:axId val="789294592"/>
        <c:scaling>
          <c:orientation val="minMax"/>
        </c:scaling>
        <c:delete val="1"/>
        <c:axPos val="t"/>
        <c:numFmt formatCode="#,##0" sourceLinked="1"/>
        <c:majorTickMark val="none"/>
        <c:minorTickMark val="none"/>
        <c:tickLblPos val="nextTo"/>
        <c:crossAx val="786404768"/>
        <c:crosses val="autoZero"/>
        <c:crossBetween val="between"/>
      </c:valAx>
      <c:spPr>
        <a:noFill/>
        <a:ln>
          <a:noFill/>
        </a:ln>
        <a:effectLst/>
      </c:spPr>
    </c:plotArea>
    <c:legend>
      <c:legendPos val="b"/>
      <c:layout>
        <c:manualLayout>
          <c:xMode val="edge"/>
          <c:yMode val="edge"/>
          <c:x val="0.73907348200602441"/>
          <c:y val="0.62204221850887287"/>
          <c:w val="9.4420150081910903E-2"/>
          <c:h val="0.17064555442081025"/>
        </c:manualLayout>
      </c:layout>
      <c:overlay val="0"/>
      <c:spPr>
        <a:noFill/>
        <a:ln>
          <a:noFill/>
        </a:ln>
        <a:effectLst/>
      </c:spPr>
      <c:txPr>
        <a:bodyPr rot="0" spcFirstLastPara="1" vertOverflow="ellipsis" vert="horz" wrap="square" anchor="ctr" anchorCtr="1"/>
        <a:lstStyle/>
        <a:p>
          <a:pPr algn="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20089283791736"/>
          <c:y val="1.425345586742055E-2"/>
          <c:w val="0.42738155537055988"/>
          <c:h val="0.99245951151278133"/>
        </c:manualLayout>
      </c:layout>
      <c:barChart>
        <c:barDir val="bar"/>
        <c:grouping val="clustered"/>
        <c:varyColors val="0"/>
        <c:ser>
          <c:idx val="0"/>
          <c:order val="0"/>
          <c:tx>
            <c:strRef>
              <c:f>'m2 y m3'!$B$323</c:f>
              <c:strCache>
                <c:ptCount val="1"/>
                <c:pt idx="0">
                  <c:v>2019</c:v>
                </c:pt>
              </c:strCache>
            </c:strRef>
          </c:tx>
          <c:spPr>
            <a:solidFill>
              <a:srgbClr val="AF8D95"/>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0">
                <a:spAutoFit/>
              </a:bodyPr>
              <a:lstStyle/>
              <a:p>
                <a:pPr algn="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y m3'!$A$324:$A$332</c:f>
              <c:strCache>
                <c:ptCount val="9"/>
                <c:pt idx="0">
                  <c:v>Formulación de la acusación</c:v>
                </c:pt>
                <c:pt idx="1">
                  <c:v>Soluciones alternas en las que se decretó la extinción de la acción penal </c:v>
                </c:pt>
                <c:pt idx="2">
                  <c:v>Procedimientos abreviados concluidos con sentencia</c:v>
                </c:pt>
                <c:pt idx="3">
                  <c:v>Suspensión del proceso</c:v>
                </c:pt>
                <c:pt idx="4">
                  <c:v>Incompetencias en la etapa de investigación complementaria</c:v>
                </c:pt>
                <c:pt idx="5">
                  <c:v>Sobreseimiento total o parcial decretado por el Juez de Control o Garantías en la etapa de investigación complementaria</c:v>
                </c:pt>
                <c:pt idx="6">
                  <c:v>Desistimiento de la acción penal del Ministerio Público en la etapa de investigación complementaria </c:v>
                </c:pt>
                <c:pt idx="7">
                  <c:v>Criterios de oportunidad en los que se decretó la extinción de la acción penal </c:v>
                </c:pt>
                <c:pt idx="8">
                  <c:v>Otras determinaciones y/o conclusiones en la etapa de investigación complementaria </c:v>
                </c:pt>
              </c:strCache>
            </c:strRef>
          </c:cat>
          <c:val>
            <c:numRef>
              <c:f>'m2 y m3'!$B$324:$B$332</c:f>
              <c:numCache>
                <c:formatCode>#,##0</c:formatCode>
                <c:ptCount val="9"/>
                <c:pt idx="0">
                  <c:v>45033</c:v>
                </c:pt>
                <c:pt idx="1">
                  <c:v>13929</c:v>
                </c:pt>
                <c:pt idx="2">
                  <c:v>10522</c:v>
                </c:pt>
                <c:pt idx="3">
                  <c:v>9978</c:v>
                </c:pt>
                <c:pt idx="4">
                  <c:v>9145</c:v>
                </c:pt>
                <c:pt idx="5">
                  <c:v>8031</c:v>
                </c:pt>
                <c:pt idx="6">
                  <c:v>6001</c:v>
                </c:pt>
                <c:pt idx="7">
                  <c:v>2821</c:v>
                </c:pt>
                <c:pt idx="8">
                  <c:v>10554</c:v>
                </c:pt>
              </c:numCache>
            </c:numRef>
          </c:val>
          <c:extLst>
            <c:ext xmlns:c16="http://schemas.microsoft.com/office/drawing/2014/chart" uri="{C3380CC4-5D6E-409C-BE32-E72D297353CC}">
              <c16:uniqueId val="{00000000-DCA5-4C6C-9180-9C49545DC0FA}"/>
            </c:ext>
          </c:extLst>
        </c:ser>
        <c:ser>
          <c:idx val="1"/>
          <c:order val="1"/>
          <c:tx>
            <c:strRef>
              <c:f>'m2 y m3'!$C$323</c:f>
              <c:strCache>
                <c:ptCount val="1"/>
                <c:pt idx="0">
                  <c:v>2020</c:v>
                </c:pt>
              </c:strCache>
            </c:strRef>
          </c:tx>
          <c:spPr>
            <a:solidFill>
              <a:srgbClr val="5B90A7"/>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0">
                <a:spAutoFit/>
              </a:bodyPr>
              <a:lstStyle/>
              <a:p>
                <a:pPr algn="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'm2 y m3'!$A$324:$A$332</c:f>
              <c:strCache>
                <c:ptCount val="9"/>
                <c:pt idx="0">
                  <c:v>Formulación de la acusación</c:v>
                </c:pt>
                <c:pt idx="1">
                  <c:v>Soluciones alternas en las que se decretó la extinción de la acción penal </c:v>
                </c:pt>
                <c:pt idx="2">
                  <c:v>Procedimientos abreviados concluidos con sentencia</c:v>
                </c:pt>
                <c:pt idx="3">
                  <c:v>Suspensión del proceso</c:v>
                </c:pt>
                <c:pt idx="4">
                  <c:v>Incompetencias en la etapa de investigación complementaria</c:v>
                </c:pt>
                <c:pt idx="5">
                  <c:v>Sobreseimiento total o parcial decretado por el Juez de Control o Garantías en la etapa de investigación complementaria</c:v>
                </c:pt>
                <c:pt idx="6">
                  <c:v>Desistimiento de la acción penal del Ministerio Público en la etapa de investigación complementaria </c:v>
                </c:pt>
                <c:pt idx="7">
                  <c:v>Criterios de oportunidad en los que se decretó la extinción de la acción penal </c:v>
                </c:pt>
                <c:pt idx="8">
                  <c:v>Otras determinaciones y/o conclusiones en la etapa de investigación complementaria </c:v>
                </c:pt>
              </c:strCache>
            </c:strRef>
          </c:cat>
          <c:val>
            <c:numRef>
              <c:f>'m2 y m3'!$C$324:$C$332</c:f>
              <c:numCache>
                <c:formatCode>#,##0</c:formatCode>
                <c:ptCount val="9"/>
                <c:pt idx="0">
                  <c:v>42786</c:v>
                </c:pt>
                <c:pt idx="1">
                  <c:v>14563</c:v>
                </c:pt>
                <c:pt idx="2">
                  <c:v>9317</c:v>
                </c:pt>
                <c:pt idx="3">
                  <c:v>7389</c:v>
                </c:pt>
                <c:pt idx="4">
                  <c:v>7273</c:v>
                </c:pt>
                <c:pt idx="5">
                  <c:v>5816</c:v>
                </c:pt>
                <c:pt idx="6">
                  <c:v>3724</c:v>
                </c:pt>
                <c:pt idx="7">
                  <c:v>2013</c:v>
                </c:pt>
                <c:pt idx="8">
                  <c:v>18935</c:v>
                </c:pt>
              </c:numCache>
            </c:numRef>
          </c:val>
          <c:extLst>
            <c:ext xmlns:c16="http://schemas.microsoft.com/office/drawing/2014/chart" uri="{C3380CC4-5D6E-409C-BE32-E72D297353CC}">
              <c16:uniqueId val="{00000001-DCA5-4C6C-9180-9C49545DC0FA}"/>
            </c:ext>
          </c:extLst>
        </c:ser>
        <c:dLbls>
          <c:dLblPos val="outEnd"/>
          <c:showLegendKey val="0"/>
          <c:showVal val="1"/>
          <c:showCatName val="0"/>
          <c:showSerName val="0"/>
          <c:showPercent val="0"/>
          <c:showBubbleSize val="0"/>
        </c:dLbls>
        <c:gapWidth val="80"/>
        <c:axId val="786391968"/>
        <c:axId val="607710912"/>
      </c:barChart>
      <c:catAx>
        <c:axId val="7863919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607710912"/>
        <c:crosses val="autoZero"/>
        <c:auto val="1"/>
        <c:lblAlgn val="ctr"/>
        <c:lblOffset val="100"/>
        <c:noMultiLvlLbl val="0"/>
      </c:catAx>
      <c:valAx>
        <c:axId val="607710912"/>
        <c:scaling>
          <c:orientation val="minMax"/>
        </c:scaling>
        <c:delete val="1"/>
        <c:axPos val="t"/>
        <c:numFmt formatCode="#,##0" sourceLinked="1"/>
        <c:majorTickMark val="none"/>
        <c:minorTickMark val="none"/>
        <c:tickLblPos val="nextTo"/>
        <c:crossAx val="786391968"/>
        <c:crosses val="autoZero"/>
        <c:crossBetween val="between"/>
      </c:valAx>
      <c:spPr>
        <a:noFill/>
        <a:ln>
          <a:noFill/>
        </a:ln>
        <a:effectLst/>
      </c:spPr>
    </c:plotArea>
    <c:legend>
      <c:legendPos val="b"/>
      <c:layout>
        <c:manualLayout>
          <c:xMode val="edge"/>
          <c:yMode val="edge"/>
          <c:x val="0.83051533298064162"/>
          <c:y val="0.61656124860753758"/>
          <c:w val="9.4147989408647284E-2"/>
          <c:h val="0.139292242890074"/>
        </c:manualLayout>
      </c:layout>
      <c:overlay val="0"/>
      <c:spPr>
        <a:noFill/>
        <a:ln>
          <a:noFill/>
        </a:ln>
        <a:effectLst/>
      </c:spPr>
      <c:txPr>
        <a:bodyPr rot="0" spcFirstLastPara="1" vertOverflow="ellipsis" vert="horz" wrap="square" anchor="ctr" anchorCtr="1"/>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499269361909399E-2"/>
          <c:y val="5.0790067720090294E-2"/>
          <c:w val="0.88309790550414025"/>
          <c:h val="0.60265503634844741"/>
        </c:manualLayout>
      </c:layout>
      <c:barChart>
        <c:barDir val="col"/>
        <c:grouping val="clustered"/>
        <c:varyColors val="0"/>
        <c:ser>
          <c:idx val="0"/>
          <c:order val="0"/>
          <c:tx>
            <c:strRef>
              <c:f>ppt!$D$68</c:f>
              <c:strCache>
                <c:ptCount val="1"/>
                <c:pt idx="0">
                  <c:v>2019</c:v>
                </c:pt>
              </c:strCache>
            </c:strRef>
          </c:tx>
          <c:spPr>
            <a:solidFill>
              <a:srgbClr val="AF8D95"/>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ppt!$B$69:$C$70</c:f>
              <c:multiLvlStrCache>
                <c:ptCount val="2"/>
                <c:lvl>
                  <c:pt idx="0">
                    <c:v>Largas</c:v>
                  </c:pt>
                  <c:pt idx="1">
                    <c:v>Cortas</c:v>
                  </c:pt>
                </c:lvl>
                <c:lvl>
                  <c:pt idx="0">
                    <c:v>Armas de fuego</c:v>
                  </c:pt>
                </c:lvl>
              </c:multiLvlStrCache>
            </c:multiLvlStrRef>
          </c:cat>
          <c:val>
            <c:numRef>
              <c:f>ppt!$D$69:$D$70</c:f>
              <c:numCache>
                <c:formatCode>#,##0</c:formatCode>
                <c:ptCount val="2"/>
                <c:pt idx="0">
                  <c:v>1827</c:v>
                </c:pt>
                <c:pt idx="1">
                  <c:v>5372</c:v>
                </c:pt>
              </c:numCache>
            </c:numRef>
          </c:val>
          <c:extLst>
            <c:ext xmlns:c16="http://schemas.microsoft.com/office/drawing/2014/chart" uri="{C3380CC4-5D6E-409C-BE32-E72D297353CC}">
              <c16:uniqueId val="{00000000-1468-4D63-B3C3-CED51F4B48DF}"/>
            </c:ext>
          </c:extLst>
        </c:ser>
        <c:ser>
          <c:idx val="1"/>
          <c:order val="1"/>
          <c:tx>
            <c:strRef>
              <c:f>ppt!$E$68</c:f>
              <c:strCache>
                <c:ptCount val="1"/>
                <c:pt idx="0">
                  <c:v>2020</c:v>
                </c:pt>
              </c:strCache>
            </c:strRef>
          </c:tx>
          <c:spPr>
            <a:solidFill>
              <a:srgbClr val="5B90A7"/>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ppt!$B$69:$C$70</c:f>
              <c:multiLvlStrCache>
                <c:ptCount val="2"/>
                <c:lvl>
                  <c:pt idx="0">
                    <c:v>Largas</c:v>
                  </c:pt>
                  <c:pt idx="1">
                    <c:v>Cortas</c:v>
                  </c:pt>
                </c:lvl>
                <c:lvl>
                  <c:pt idx="0">
                    <c:v>Armas de fuego</c:v>
                  </c:pt>
                </c:lvl>
              </c:multiLvlStrCache>
            </c:multiLvlStrRef>
          </c:cat>
          <c:val>
            <c:numRef>
              <c:f>ppt!$E$69:$E$70</c:f>
              <c:numCache>
                <c:formatCode>#,##0</c:formatCode>
                <c:ptCount val="2"/>
                <c:pt idx="0">
                  <c:v>1992</c:v>
                </c:pt>
                <c:pt idx="1">
                  <c:v>5289</c:v>
                </c:pt>
              </c:numCache>
            </c:numRef>
          </c:val>
          <c:extLst>
            <c:ext xmlns:c16="http://schemas.microsoft.com/office/drawing/2014/chart" uri="{C3380CC4-5D6E-409C-BE32-E72D297353CC}">
              <c16:uniqueId val="{00000001-1468-4D63-B3C3-CED51F4B48DF}"/>
            </c:ext>
          </c:extLst>
        </c:ser>
        <c:dLbls>
          <c:dLblPos val="outEnd"/>
          <c:showLegendKey val="0"/>
          <c:showVal val="1"/>
          <c:showCatName val="0"/>
          <c:showSerName val="0"/>
          <c:showPercent val="0"/>
          <c:showBubbleSize val="0"/>
        </c:dLbls>
        <c:gapWidth val="219"/>
        <c:overlap val="-27"/>
        <c:axId val="33150784"/>
        <c:axId val="112851872"/>
      </c:barChart>
      <c:catAx>
        <c:axId val="33150784"/>
        <c:scaling>
          <c:orientation val="minMax"/>
        </c:scaling>
        <c:delete val="0"/>
        <c:axPos val="b"/>
        <c:numFmt formatCode="General" sourceLinked="1"/>
        <c:majorTickMark val="none"/>
        <c:minorTickMark val="none"/>
        <c:tickLblPos val="nextTo"/>
        <c:spPr>
          <a:noFill/>
          <a:ln w="9525" cap="flat" cmpd="sng" algn="ctr">
            <a:solidFill>
              <a:schemeClr val="accent3"/>
            </a:solidFill>
            <a:round/>
          </a:ln>
          <a:effectLst/>
        </c:spPr>
        <c:txPr>
          <a:bodyPr rot="-60000000" spcFirstLastPara="1" vertOverflow="ellipsis" vert="horz" wrap="square" anchor="ctr" anchorCtr="1"/>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12851872"/>
        <c:crosses val="autoZero"/>
        <c:auto val="1"/>
        <c:lblAlgn val="ctr"/>
        <c:lblOffset val="100"/>
        <c:noMultiLvlLbl val="0"/>
      </c:catAx>
      <c:valAx>
        <c:axId val="112851872"/>
        <c:scaling>
          <c:orientation val="minMax"/>
        </c:scaling>
        <c:delete val="1"/>
        <c:axPos val="l"/>
        <c:numFmt formatCode="#,##0" sourceLinked="1"/>
        <c:majorTickMark val="none"/>
        <c:minorTickMark val="none"/>
        <c:tickLblPos val="nextTo"/>
        <c:crossAx val="33150784"/>
        <c:crosses val="autoZero"/>
        <c:crossBetween val="between"/>
      </c:valAx>
      <c:spPr>
        <a:noFill/>
        <a:ln>
          <a:noFill/>
        </a:ln>
        <a:effectLst/>
      </c:spPr>
    </c:plotArea>
    <c:legend>
      <c:legendPos val="b"/>
      <c:layout>
        <c:manualLayout>
          <c:xMode val="edge"/>
          <c:yMode val="edge"/>
          <c:x val="0.30624496937882761"/>
          <c:y val="0.89872630504520268"/>
          <c:w val="0.43320702179641085"/>
          <c:h val="7.8763678460845851E-2"/>
        </c:manualLayout>
      </c:layout>
      <c:overlay val="0"/>
      <c:spPr>
        <a:noFill/>
        <a:ln>
          <a:noFill/>
        </a:ln>
        <a:effectLst/>
      </c:spPr>
      <c:txPr>
        <a:bodyPr rot="0" spcFirstLastPara="1" vertOverflow="ellipsis" vert="horz" wrap="square" anchor="ctr" anchorCtr="1"/>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785939612438034E-2"/>
          <c:y val="2.7777777777777776E-2"/>
          <c:w val="0.95042812077512395"/>
          <c:h val="0.73771566054243221"/>
        </c:manualLayout>
      </c:layout>
      <c:barChart>
        <c:barDir val="col"/>
        <c:grouping val="clustered"/>
        <c:varyColors val="0"/>
        <c:ser>
          <c:idx val="1"/>
          <c:order val="1"/>
          <c:tx>
            <c:strRef>
              <c:f>'m1'!$M$8</c:f>
              <c:strCache>
                <c:ptCount val="1"/>
                <c:pt idx="0">
                  <c:v>Hombres</c:v>
                </c:pt>
              </c:strCache>
            </c:strRef>
          </c:tx>
          <c:spPr>
            <a:solidFill>
              <a:srgbClr val="877A67"/>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'm1'!$K$9:$K$19</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'm1'!$M$9:$M$19</c:f>
              <c:numCache>
                <c:formatCode>#,##0</c:formatCode>
                <c:ptCount val="11"/>
                <c:pt idx="0">
                  <c:v>44297</c:v>
                </c:pt>
                <c:pt idx="1">
                  <c:v>49050</c:v>
                </c:pt>
                <c:pt idx="2">
                  <c:v>49758</c:v>
                </c:pt>
                <c:pt idx="3">
                  <c:v>55410</c:v>
                </c:pt>
                <c:pt idx="4">
                  <c:v>56115</c:v>
                </c:pt>
                <c:pt idx="5">
                  <c:v>56981</c:v>
                </c:pt>
                <c:pt idx="6">
                  <c:v>57260</c:v>
                </c:pt>
                <c:pt idx="7">
                  <c:v>55204</c:v>
                </c:pt>
                <c:pt idx="8">
                  <c:v>56101</c:v>
                </c:pt>
                <c:pt idx="9">
                  <c:v>54154</c:v>
                </c:pt>
                <c:pt idx="10">
                  <c:v>53638</c:v>
                </c:pt>
              </c:numCache>
            </c:numRef>
          </c:val>
          <c:extLst>
            <c:ext xmlns:c16="http://schemas.microsoft.com/office/drawing/2014/chart" uri="{C3380CC4-5D6E-409C-BE32-E72D297353CC}">
              <c16:uniqueId val="{00000000-6AF0-4775-9F7C-B20D24DF276E}"/>
            </c:ext>
          </c:extLst>
        </c:ser>
        <c:ser>
          <c:idx val="2"/>
          <c:order val="2"/>
          <c:tx>
            <c:strRef>
              <c:f>'m1'!$N$8</c:f>
              <c:strCache>
                <c:ptCount val="1"/>
                <c:pt idx="0">
                  <c:v>Mujeres </c:v>
                </c:pt>
              </c:strCache>
            </c:strRef>
          </c:tx>
          <c:spPr>
            <a:solidFill>
              <a:srgbClr val="EAC479"/>
            </a:solidFill>
            <a:ln>
              <a:noFill/>
            </a:ln>
            <a:effectLst>
              <a:outerShdw blurRad="50800" dist="38100" dir="2700000" algn="tl" rotWithShape="0">
                <a:prstClr val="black">
                  <a:alpha val="40000"/>
                </a:prstClr>
              </a:outerShdw>
            </a:effectLst>
          </c:spPr>
          <c:invertIfNegative val="0"/>
          <c:dLbls>
            <c:dLbl>
              <c:idx val="9"/>
              <c:tx>
                <c:rich>
                  <a:bodyPr/>
                  <a:lstStyle/>
                  <a:p>
                    <a:r>
                      <a:rPr lang="en-US"/>
                      <a:t>40,996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AF-402F-AF4B-3054E80A5736}"/>
                </c:ext>
              </c:extLst>
            </c:dLbl>
            <c:spPr>
              <a:noFill/>
              <a:ln>
                <a:noFill/>
              </a:ln>
              <a:effectLst/>
            </c:spPr>
            <c:txPr>
              <a:bodyPr rot="-5400000" spcFirstLastPara="1" vertOverflow="ellipsis" wrap="square" lIns="38100" tIns="19050" rIns="38100" bIns="19050" anchor="ctr" anchorCtr="0">
                <a:spAutoFit/>
              </a:bodyPr>
              <a:lstStyle/>
              <a:p>
                <a:pPr algn="ct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'm1'!$K$9:$K$19</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'm1'!$N$9:$N$19</c:f>
              <c:numCache>
                <c:formatCode>#,##0</c:formatCode>
                <c:ptCount val="11"/>
                <c:pt idx="0">
                  <c:v>25540</c:v>
                </c:pt>
                <c:pt idx="1">
                  <c:v>30277</c:v>
                </c:pt>
                <c:pt idx="2">
                  <c:v>31098</c:v>
                </c:pt>
                <c:pt idx="3">
                  <c:v>34241</c:v>
                </c:pt>
                <c:pt idx="4">
                  <c:v>35767</c:v>
                </c:pt>
                <c:pt idx="5">
                  <c:v>37684</c:v>
                </c:pt>
                <c:pt idx="6">
                  <c:v>39146</c:v>
                </c:pt>
                <c:pt idx="7">
                  <c:v>38322</c:v>
                </c:pt>
                <c:pt idx="8">
                  <c:v>40746</c:v>
                </c:pt>
                <c:pt idx="9" formatCode="General">
                  <c:v>40996</c:v>
                </c:pt>
                <c:pt idx="10">
                  <c:v>41964</c:v>
                </c:pt>
              </c:numCache>
            </c:numRef>
          </c:val>
          <c:extLst>
            <c:ext xmlns:c16="http://schemas.microsoft.com/office/drawing/2014/chart" uri="{C3380CC4-5D6E-409C-BE32-E72D297353CC}">
              <c16:uniqueId val="{00000001-6AF0-4775-9F7C-B20D24DF276E}"/>
            </c:ext>
          </c:extLst>
        </c:ser>
        <c:dLbls>
          <c:showLegendKey val="0"/>
          <c:showVal val="1"/>
          <c:showCatName val="0"/>
          <c:showSerName val="0"/>
          <c:showPercent val="0"/>
          <c:showBubbleSize val="0"/>
        </c:dLbls>
        <c:gapWidth val="90"/>
        <c:axId val="1418100735"/>
        <c:axId val="982725983"/>
      </c:barChart>
      <c:lineChart>
        <c:grouping val="standard"/>
        <c:varyColors val="0"/>
        <c:ser>
          <c:idx val="0"/>
          <c:order val="0"/>
          <c:tx>
            <c:strRef>
              <c:f>'m1'!$L$8</c:f>
              <c:strCache>
                <c:ptCount val="1"/>
                <c:pt idx="0">
                  <c:v>Total </c:v>
                </c:pt>
              </c:strCache>
            </c:strRef>
          </c:tx>
          <c:spPr>
            <a:ln w="28575" cap="rnd">
              <a:solidFill>
                <a:srgbClr val="B7BCB7"/>
              </a:solidFill>
              <a:round/>
            </a:ln>
            <a:effectLst>
              <a:outerShdw blurRad="50800" dist="38100" dir="2700000" algn="tl" rotWithShape="0">
                <a:prstClr val="black">
                  <a:alpha val="40000"/>
                </a:prstClr>
              </a:outerShdw>
            </a:effectLst>
          </c:spPr>
          <c:marker>
            <c:symbol val="diamond"/>
            <c:size val="6"/>
            <c:spPr>
              <a:solidFill>
                <a:srgbClr val="B7BCB7"/>
              </a:solidFill>
              <a:ln w="9525">
                <a:solidFill>
                  <a:srgbClr val="B7BCB7"/>
                </a:solidFill>
              </a:ln>
              <a:effectLst>
                <a:outerShdw blurRad="50800" dist="38100" dir="2700000" algn="tl" rotWithShape="0">
                  <a:prstClr val="black">
                    <a:alpha val="40000"/>
                  </a:prstClr>
                </a:outerShdw>
              </a:effectLst>
            </c:spPr>
          </c:marker>
          <c:dLbls>
            <c:dLbl>
              <c:idx val="0"/>
              <c:layout>
                <c:manualLayout>
                  <c:x val="-5.5232547824266447E-2"/>
                  <c:y val="-5.46272965879265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F0-4775-9F7C-B20D24DF276E}"/>
                </c:ext>
              </c:extLst>
            </c:dLbl>
            <c:dLbl>
              <c:idx val="1"/>
              <c:layout>
                <c:manualLayout>
                  <c:x val="-5.1303976058144525E-2"/>
                  <c:y val="-4.351610095735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F0-4775-9F7C-B20D24DF276E}"/>
                </c:ext>
              </c:extLst>
            </c:dLbl>
            <c:dLbl>
              <c:idx val="2"/>
              <c:layout>
                <c:manualLayout>
                  <c:x val="-4.4890979050876439E-2"/>
                  <c:y val="-3.91644908616188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F0-4775-9F7C-B20D24DF276E}"/>
                </c:ext>
              </c:extLst>
            </c:dLbl>
            <c:dLbl>
              <c:idx val="3"/>
              <c:layout>
                <c:manualLayout>
                  <c:x val="-4.7028644719965838E-2"/>
                  <c:y val="-3.9164490861618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AF0-4775-9F7C-B20D24DF276E}"/>
                </c:ext>
              </c:extLst>
            </c:dLbl>
            <c:dLbl>
              <c:idx val="4"/>
              <c:layout>
                <c:manualLayout>
                  <c:x val="-4.4890979050876439E-2"/>
                  <c:y val="-3.9164490861618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F0-4775-9F7C-B20D24DF276E}"/>
                </c:ext>
              </c:extLst>
            </c:dLbl>
            <c:dLbl>
              <c:idx val="5"/>
              <c:layout>
                <c:manualLayout>
                  <c:x val="-5.1303976058144588E-2"/>
                  <c:y val="-3.9164490861618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AF0-4775-9F7C-B20D24DF276E}"/>
                </c:ext>
              </c:extLst>
            </c:dLbl>
            <c:dLbl>
              <c:idx val="6"/>
              <c:layout>
                <c:manualLayout>
                  <c:x val="-4.9166310389055154E-2"/>
                  <c:y val="-3.91644908616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AF0-4775-9F7C-B20D24DF276E}"/>
                </c:ext>
              </c:extLst>
            </c:dLbl>
            <c:dLbl>
              <c:idx val="7"/>
              <c:layout>
                <c:manualLayout>
                  <c:x val="-4.2753313381787166E-2"/>
                  <c:y val="-3.48128807658833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AF0-4775-9F7C-B20D24DF276E}"/>
                </c:ext>
              </c:extLst>
            </c:dLbl>
            <c:dLbl>
              <c:idx val="8"/>
              <c:layout>
                <c:manualLayout>
                  <c:x val="-4.4890979050876439E-2"/>
                  <c:y val="-3.48128807658833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AF0-4775-9F7C-B20D24DF276E}"/>
                </c:ext>
              </c:extLst>
            </c:dLbl>
            <c:dLbl>
              <c:idx val="9"/>
              <c:layout>
                <c:manualLayout>
                  <c:x val="-4.0615647712697892E-2"/>
                  <c:y val="-3.48128807658833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AF0-4775-9F7C-B20D24DF276E}"/>
                </c:ext>
              </c:extLst>
            </c:dLbl>
            <c:dLbl>
              <c:idx val="10"/>
              <c:layout>
                <c:manualLayout>
                  <c:x val="-1.4963659683625482E-2"/>
                  <c:y val="-3.9164490861618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AF0-4775-9F7C-B20D24DF276E}"/>
                </c:ext>
              </c:extLst>
            </c:dLbl>
            <c:spPr>
              <a:noFill/>
              <a:ln>
                <a:noFill/>
              </a:ln>
              <a:effectLst/>
            </c:spPr>
            <c:txPr>
              <a:bodyPr rot="0" spcFirstLastPara="1" vertOverflow="ellipsis" vert="horz" wrap="square" lIns="38100" tIns="19050" rIns="38100" bIns="19050" anchor="ctr" anchorCtr="0">
                <a:spAutoFit/>
              </a:bodyPr>
              <a:lstStyle/>
              <a:p>
                <a:pPr algn="ct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'm1'!$K$9:$K$19</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'm1'!$L$9:$L$19</c:f>
              <c:numCache>
                <c:formatCode>#,##0</c:formatCode>
                <c:ptCount val="11"/>
                <c:pt idx="0">
                  <c:v>71589</c:v>
                </c:pt>
                <c:pt idx="1">
                  <c:v>79327</c:v>
                </c:pt>
                <c:pt idx="2">
                  <c:v>80856</c:v>
                </c:pt>
                <c:pt idx="3">
                  <c:v>89651</c:v>
                </c:pt>
                <c:pt idx="4">
                  <c:v>91882</c:v>
                </c:pt>
                <c:pt idx="5">
                  <c:v>94665</c:v>
                </c:pt>
                <c:pt idx="6">
                  <c:v>96406</c:v>
                </c:pt>
                <c:pt idx="7">
                  <c:v>93526</c:v>
                </c:pt>
                <c:pt idx="8">
                  <c:v>96847</c:v>
                </c:pt>
                <c:pt idx="9">
                  <c:v>95150</c:v>
                </c:pt>
                <c:pt idx="10">
                  <c:v>95602</c:v>
                </c:pt>
              </c:numCache>
            </c:numRef>
          </c:val>
          <c:smooth val="0"/>
          <c:extLst>
            <c:ext xmlns:c16="http://schemas.microsoft.com/office/drawing/2014/chart" uri="{C3380CC4-5D6E-409C-BE32-E72D297353CC}">
              <c16:uniqueId val="{0000000D-6AF0-4775-9F7C-B20D24DF276E}"/>
            </c:ext>
          </c:extLst>
        </c:ser>
        <c:dLbls>
          <c:showLegendKey val="0"/>
          <c:showVal val="1"/>
          <c:showCatName val="0"/>
          <c:showSerName val="0"/>
          <c:showPercent val="0"/>
          <c:showBubbleSize val="0"/>
        </c:dLbls>
        <c:marker val="1"/>
        <c:smooth val="0"/>
        <c:axId val="1418100735"/>
        <c:axId val="982725983"/>
      </c:lineChart>
      <c:catAx>
        <c:axId val="1418100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982725983"/>
        <c:crosses val="autoZero"/>
        <c:auto val="1"/>
        <c:lblAlgn val="ctr"/>
        <c:lblOffset val="100"/>
        <c:noMultiLvlLbl val="0"/>
      </c:catAx>
      <c:valAx>
        <c:axId val="982725983"/>
        <c:scaling>
          <c:orientation val="minMax"/>
        </c:scaling>
        <c:delete val="1"/>
        <c:axPos val="l"/>
        <c:numFmt formatCode="#,##0" sourceLinked="1"/>
        <c:majorTickMark val="none"/>
        <c:minorTickMark val="none"/>
        <c:tickLblPos val="nextTo"/>
        <c:crossAx val="1418100735"/>
        <c:crosses val="autoZero"/>
        <c:crossBetween val="between"/>
      </c:valAx>
      <c:spPr>
        <a:noFill/>
        <a:ln>
          <a:noFill/>
        </a:ln>
        <a:effectLst/>
      </c:spPr>
    </c:plotArea>
    <c:legend>
      <c:legendPos val="b"/>
      <c:layout>
        <c:manualLayout>
          <c:xMode val="edge"/>
          <c:yMode val="edge"/>
          <c:x val="0.28984120678801423"/>
          <c:y val="0.93059387485180545"/>
          <c:w val="0.46307089980575855"/>
          <c:h val="6.9406125148194595E-2"/>
        </c:manualLayout>
      </c:layout>
      <c:overlay val="0"/>
      <c:spPr>
        <a:noFill/>
        <a:ln>
          <a:noFill/>
        </a:ln>
        <a:effectLst/>
      </c:spPr>
      <c:txPr>
        <a:bodyPr rot="0" spcFirstLastPara="1" vertOverflow="ellipsis" vert="horz" wrap="square" anchor="ctr" anchorCtr="1"/>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507478736924431E-2"/>
          <c:y val="0.1227156486766352"/>
          <c:w val="0.95698504252615113"/>
          <c:h val="0.43008944716459613"/>
        </c:manualLayout>
      </c:layout>
      <c:barChart>
        <c:barDir val="col"/>
        <c:grouping val="clustered"/>
        <c:varyColors val="0"/>
        <c:ser>
          <c:idx val="0"/>
          <c:order val="0"/>
          <c:tx>
            <c:strRef>
              <c:f>'m1'!$T$2</c:f>
              <c:strCache>
                <c:ptCount val="1"/>
                <c:pt idx="0">
                  <c:v>2019</c:v>
                </c:pt>
              </c:strCache>
            </c:strRef>
          </c:tx>
          <c:spPr>
            <a:solidFill>
              <a:srgbClr val="AF8D95"/>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'm1'!$Q$3:$Q$17</c:f>
              <c:strCache>
                <c:ptCount val="15"/>
                <c:pt idx="0">
                  <c:v>De 1 a 5,000 pesos</c:v>
                </c:pt>
                <c:pt idx="1">
                  <c:v>De 5,001 a 10,000 pesos</c:v>
                </c:pt>
                <c:pt idx="2">
                  <c:v>De 10,001 a 15,000 pesos</c:v>
                </c:pt>
                <c:pt idx="3">
                  <c:v>De 15,001 a 20,000 pesos</c:v>
                </c:pt>
                <c:pt idx="4">
                  <c:v>De 20,001 a 25,000 pesos</c:v>
                </c:pt>
                <c:pt idx="5">
                  <c:v>De 25,001 a 30,000 pesos</c:v>
                </c:pt>
                <c:pt idx="6">
                  <c:v>De 30,001 a 35,000 pesos</c:v>
                </c:pt>
                <c:pt idx="7">
                  <c:v>De 35,001 a 40,000 pesos</c:v>
                </c:pt>
                <c:pt idx="8">
                  <c:v>De 40,001 a 45,000 pesos</c:v>
                </c:pt>
                <c:pt idx="9">
                  <c:v>De 45,001 a 50,000 pesos</c:v>
                </c:pt>
                <c:pt idx="10">
                  <c:v>De 50,001 a 55,000 pesos</c:v>
                </c:pt>
                <c:pt idx="11">
                  <c:v>De 55,001 a 60,000 pesos</c:v>
                </c:pt>
                <c:pt idx="12">
                  <c:v>De 60,001 a 65,000 pesos</c:v>
                </c:pt>
                <c:pt idx="13">
                  <c:v>De 65,001 a 70,000 pesos</c:v>
                </c:pt>
                <c:pt idx="14">
                  <c:v>Más de 70,000 pesos</c:v>
                </c:pt>
              </c:strCache>
            </c:strRef>
          </c:cat>
          <c:val>
            <c:numRef>
              <c:f>'m1'!$T$3:$T$17</c:f>
              <c:numCache>
                <c:formatCode>0.0%</c:formatCode>
                <c:ptCount val="15"/>
                <c:pt idx="0">
                  <c:v>5.8328954282711506E-3</c:v>
                </c:pt>
                <c:pt idx="1">
                  <c:v>0.1523699421965318</c:v>
                </c:pt>
                <c:pt idx="2">
                  <c:v>0.24439306358381502</c:v>
                </c:pt>
                <c:pt idx="3">
                  <c:v>0.27254860746190224</c:v>
                </c:pt>
                <c:pt idx="4">
                  <c:v>0.13442984760903837</c:v>
                </c:pt>
                <c:pt idx="5">
                  <c:v>8.8134524435102474E-2</c:v>
                </c:pt>
                <c:pt idx="6">
                  <c:v>5.8675775091960064E-2</c:v>
                </c:pt>
                <c:pt idx="7">
                  <c:v>1.1749868628481345E-2</c:v>
                </c:pt>
                <c:pt idx="8">
                  <c:v>3.5943247503941148E-3</c:v>
                </c:pt>
                <c:pt idx="9">
                  <c:v>1.9653179190751444E-3</c:v>
                </c:pt>
                <c:pt idx="10">
                  <c:v>2.4592748292170258E-3</c:v>
                </c:pt>
                <c:pt idx="11">
                  <c:v>8.3236994219653172E-3</c:v>
                </c:pt>
                <c:pt idx="12">
                  <c:v>1.0961639516552811E-2</c:v>
                </c:pt>
                <c:pt idx="13">
                  <c:v>5.990541250656858E-4</c:v>
                </c:pt>
                <c:pt idx="14">
                  <c:v>3.9621650026274305E-3</c:v>
                </c:pt>
              </c:numCache>
            </c:numRef>
          </c:val>
          <c:extLst>
            <c:ext xmlns:c16="http://schemas.microsoft.com/office/drawing/2014/chart" uri="{C3380CC4-5D6E-409C-BE32-E72D297353CC}">
              <c16:uniqueId val="{00000000-6EED-409D-9A4E-C79682EF2622}"/>
            </c:ext>
          </c:extLst>
        </c:ser>
        <c:ser>
          <c:idx val="1"/>
          <c:order val="1"/>
          <c:tx>
            <c:strRef>
              <c:f>'m1'!$U$2</c:f>
              <c:strCache>
                <c:ptCount val="1"/>
                <c:pt idx="0">
                  <c:v>2020</c:v>
                </c:pt>
              </c:strCache>
            </c:strRef>
          </c:tx>
          <c:spPr>
            <a:solidFill>
              <a:srgbClr val="5B90A7"/>
            </a:solidFill>
            <a:ln>
              <a:noFill/>
            </a:ln>
            <a:effectLst>
              <a:outerShdw blurRad="50800" dist="38100" dir="2700000" algn="tl" rotWithShape="0">
                <a:prstClr val="black">
                  <a:alpha val="40000"/>
                </a:prstClr>
              </a:outerShdw>
            </a:effectLst>
          </c:spPr>
          <c:invertIfNegative val="0"/>
          <c:dLbls>
            <c:dLbl>
              <c:idx val="10"/>
              <c:tx>
                <c:rich>
                  <a:bodyPr/>
                  <a:lstStyle/>
                  <a:p>
                    <a:r>
                      <a:rPr lang="en-US"/>
                      <a:t>0.2%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38-4757-A104-CF78535BAA26}"/>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'm1'!$Q$3:$Q$17</c:f>
              <c:strCache>
                <c:ptCount val="15"/>
                <c:pt idx="0">
                  <c:v>De 1 a 5,000 pesos</c:v>
                </c:pt>
                <c:pt idx="1">
                  <c:v>De 5,001 a 10,000 pesos</c:v>
                </c:pt>
                <c:pt idx="2">
                  <c:v>De 10,001 a 15,000 pesos</c:v>
                </c:pt>
                <c:pt idx="3">
                  <c:v>De 15,001 a 20,000 pesos</c:v>
                </c:pt>
                <c:pt idx="4">
                  <c:v>De 20,001 a 25,000 pesos</c:v>
                </c:pt>
                <c:pt idx="5">
                  <c:v>De 25,001 a 30,000 pesos</c:v>
                </c:pt>
                <c:pt idx="6">
                  <c:v>De 30,001 a 35,000 pesos</c:v>
                </c:pt>
                <c:pt idx="7">
                  <c:v>De 35,001 a 40,000 pesos</c:v>
                </c:pt>
                <c:pt idx="8">
                  <c:v>De 40,001 a 45,000 pesos</c:v>
                </c:pt>
                <c:pt idx="9">
                  <c:v>De 45,001 a 50,000 pesos</c:v>
                </c:pt>
                <c:pt idx="10">
                  <c:v>De 50,001 a 55,000 pesos</c:v>
                </c:pt>
                <c:pt idx="11">
                  <c:v>De 55,001 a 60,000 pesos</c:v>
                </c:pt>
                <c:pt idx="12">
                  <c:v>De 60,001 a 65,000 pesos</c:v>
                </c:pt>
                <c:pt idx="13">
                  <c:v>De 65,001 a 70,000 pesos</c:v>
                </c:pt>
                <c:pt idx="14">
                  <c:v>Más de 70,000 pesos</c:v>
                </c:pt>
              </c:strCache>
            </c:strRef>
          </c:cat>
          <c:val>
            <c:numRef>
              <c:f>'m1'!$U$3:$U$17</c:f>
              <c:numCache>
                <c:formatCode>0.0%</c:formatCode>
                <c:ptCount val="15"/>
                <c:pt idx="0">
                  <c:v>3.9329721135541095E-3</c:v>
                </c:pt>
                <c:pt idx="1">
                  <c:v>0.12317733938620531</c:v>
                </c:pt>
                <c:pt idx="2">
                  <c:v>0.23373987991883016</c:v>
                </c:pt>
                <c:pt idx="3">
                  <c:v>0.21708750862952658</c:v>
                </c:pt>
                <c:pt idx="4">
                  <c:v>0.20786176021422145</c:v>
                </c:pt>
                <c:pt idx="5">
                  <c:v>0.10964205769753771</c:v>
                </c:pt>
                <c:pt idx="6">
                  <c:v>5.3220643919583276E-2</c:v>
                </c:pt>
                <c:pt idx="7">
                  <c:v>1.5826028744168531E-2</c:v>
                </c:pt>
                <c:pt idx="8">
                  <c:v>6.8931612309365911E-3</c:v>
                </c:pt>
                <c:pt idx="9">
                  <c:v>1.6945252191376749E-3</c:v>
                </c:pt>
                <c:pt idx="10">
                  <c:v>2.5522478609234117E-3</c:v>
                </c:pt>
                <c:pt idx="11">
                  <c:v>9.06884793205163E-3</c:v>
                </c:pt>
                <c:pt idx="12">
                  <c:v>1.0376351959164034E-2</c:v>
                </c:pt>
                <c:pt idx="13">
                  <c:v>5.3346164306186065E-4</c:v>
                </c:pt>
                <c:pt idx="14">
                  <c:v>4.3932135310976754E-3</c:v>
                </c:pt>
              </c:numCache>
            </c:numRef>
          </c:val>
          <c:extLst>
            <c:ext xmlns:c16="http://schemas.microsoft.com/office/drawing/2014/chart" uri="{C3380CC4-5D6E-409C-BE32-E72D297353CC}">
              <c16:uniqueId val="{00000001-6EED-409D-9A4E-C79682EF2622}"/>
            </c:ext>
          </c:extLst>
        </c:ser>
        <c:dLbls>
          <c:dLblPos val="outEnd"/>
          <c:showLegendKey val="0"/>
          <c:showVal val="1"/>
          <c:showCatName val="0"/>
          <c:showSerName val="0"/>
          <c:showPercent val="0"/>
          <c:showBubbleSize val="0"/>
        </c:dLbls>
        <c:gapWidth val="60"/>
        <c:overlap val="-27"/>
        <c:axId val="1707399071"/>
        <c:axId val="1215032415"/>
      </c:barChart>
      <c:catAx>
        <c:axId val="1707399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215032415"/>
        <c:crosses val="autoZero"/>
        <c:auto val="1"/>
        <c:lblAlgn val="ctr"/>
        <c:lblOffset val="100"/>
        <c:noMultiLvlLbl val="0"/>
      </c:catAx>
      <c:valAx>
        <c:axId val="1215032415"/>
        <c:scaling>
          <c:orientation val="minMax"/>
        </c:scaling>
        <c:delete val="1"/>
        <c:axPos val="l"/>
        <c:numFmt formatCode="0.0%" sourceLinked="1"/>
        <c:majorTickMark val="none"/>
        <c:minorTickMark val="none"/>
        <c:tickLblPos val="nextTo"/>
        <c:crossAx val="1707399071"/>
        <c:crosses val="autoZero"/>
        <c:crossBetween val="between"/>
      </c:valAx>
      <c:spPr>
        <a:noFill/>
        <a:ln>
          <a:noFill/>
        </a:ln>
        <a:effectLst/>
      </c:spPr>
    </c:plotArea>
    <c:legend>
      <c:legendPos val="b"/>
      <c:layout>
        <c:manualLayout>
          <c:xMode val="edge"/>
          <c:yMode val="edge"/>
          <c:x val="0.80525324401905052"/>
          <c:y val="3.0902589766403418E-2"/>
          <c:w val="0.13638959173509313"/>
          <c:h val="9.66345202002733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8299110544890589"/>
          <c:y val="1.048386816667766E-2"/>
          <c:w val="0.43777627476315761"/>
          <c:h val="0.97576139100864323"/>
        </c:manualLayout>
      </c:layout>
      <c:barChart>
        <c:barDir val="bar"/>
        <c:grouping val="clustered"/>
        <c:varyColors val="0"/>
        <c:ser>
          <c:idx val="0"/>
          <c:order val="0"/>
          <c:tx>
            <c:strRef>
              <c:f>'m1'!$Z$35</c:f>
              <c:strCache>
                <c:ptCount val="1"/>
                <c:pt idx="0">
                  <c:v>2019</c:v>
                </c:pt>
              </c:strCache>
            </c:strRef>
          </c:tx>
          <c:spPr>
            <a:solidFill>
              <a:srgbClr val="AF8D95"/>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0">
                <a:spAutoFit/>
              </a:bodyPr>
              <a:lstStyle/>
              <a:p>
                <a:pPr algn="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'm1'!$Y$36:$Y$45</c:f>
              <c:strCache>
                <c:ptCount val="10"/>
                <c:pt idx="0">
                  <c:v>Mixta o general</c:v>
                </c:pt>
                <c:pt idx="1">
                  <c:v>Especializada en mecanismos de solución de controversias</c:v>
                </c:pt>
                <c:pt idx="2">
                  <c:v>Especializada en violencia intrafamiliar</c:v>
                </c:pt>
                <c:pt idx="3">
                  <c:v>Especializada en delitos contra las mujeres</c:v>
                </c:pt>
                <c:pt idx="4">
                  <c:v>Especializada en delitos sexuales</c:v>
                </c:pt>
                <c:pt idx="5">
                  <c:v>Especializada en robos</c:v>
                </c:pt>
                <c:pt idx="6">
                  <c:v>Especializada en homicidios</c:v>
                </c:pt>
                <c:pt idx="7">
                  <c:v>Especializada en atención de adolescentes</c:v>
                </c:pt>
                <c:pt idx="8">
                  <c:v>Especializada en delitos patrimoniales o fraudes</c:v>
                </c:pt>
                <c:pt idx="9">
                  <c:v>Especializada en atención a personas desaparecidas, no localizadas, ausentes o extraviadas</c:v>
                </c:pt>
              </c:strCache>
            </c:strRef>
          </c:cat>
          <c:val>
            <c:numRef>
              <c:f>'m1'!$Z$36:$Z$45</c:f>
              <c:numCache>
                <c:formatCode>#,##0</c:formatCode>
                <c:ptCount val="10"/>
                <c:pt idx="0">
                  <c:v>1960</c:v>
                </c:pt>
                <c:pt idx="1">
                  <c:v>113</c:v>
                </c:pt>
                <c:pt idx="2">
                  <c:v>173</c:v>
                </c:pt>
                <c:pt idx="3">
                  <c:v>178</c:v>
                </c:pt>
                <c:pt idx="4">
                  <c:v>139</c:v>
                </c:pt>
                <c:pt idx="5">
                  <c:v>167</c:v>
                </c:pt>
                <c:pt idx="6">
                  <c:v>140</c:v>
                </c:pt>
                <c:pt idx="7">
                  <c:v>113</c:v>
                </c:pt>
                <c:pt idx="8">
                  <c:v>116</c:v>
                </c:pt>
                <c:pt idx="9">
                  <c:v>109</c:v>
                </c:pt>
              </c:numCache>
            </c:numRef>
          </c:val>
          <c:extLst>
            <c:ext xmlns:c16="http://schemas.microsoft.com/office/drawing/2014/chart" uri="{C3380CC4-5D6E-409C-BE32-E72D297353CC}">
              <c16:uniqueId val="{00000000-4354-4EF7-A060-42F05858D4AC}"/>
            </c:ext>
          </c:extLst>
        </c:ser>
        <c:ser>
          <c:idx val="1"/>
          <c:order val="1"/>
          <c:tx>
            <c:strRef>
              <c:f>'m1'!$AA$35</c:f>
              <c:strCache>
                <c:ptCount val="1"/>
                <c:pt idx="0">
                  <c:v>2020</c:v>
                </c:pt>
              </c:strCache>
            </c:strRef>
          </c:tx>
          <c:spPr>
            <a:solidFill>
              <a:srgbClr val="5B90A7"/>
            </a:solidFill>
            <a:ln>
              <a:noFill/>
            </a:ln>
            <a:effectLst>
              <a:outerShdw blurRad="50800" dist="38100" dir="2700000" algn="tl" rotWithShape="0">
                <a:prstClr val="black">
                  <a:alpha val="40000"/>
                </a:prstClr>
              </a:outerShdw>
            </a:effectLst>
          </c:spPr>
          <c:invertIfNegative val="0"/>
          <c:dLbls>
            <c:dLbl>
              <c:idx val="0"/>
              <c:layout>
                <c:manualLayout>
                  <c:x val="-2.1247211303517971E-3"/>
                  <c:y val="-8.8222320247022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54-4EF7-A060-42F05858D4AC}"/>
                </c:ext>
              </c:extLst>
            </c:dLbl>
            <c:spPr>
              <a:noFill/>
              <a:ln>
                <a:noFill/>
              </a:ln>
              <a:effectLst/>
            </c:spPr>
            <c:txPr>
              <a:bodyPr rot="0" spcFirstLastPara="1" vertOverflow="ellipsis" vert="horz" wrap="square" lIns="38100" tIns="19050" rIns="38100" bIns="19050" anchor="ctr" anchorCtr="0">
                <a:spAutoFit/>
              </a:bodyPr>
              <a:lstStyle/>
              <a:p>
                <a:pPr algn="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'm1'!$Y$36:$Y$45</c:f>
              <c:strCache>
                <c:ptCount val="10"/>
                <c:pt idx="0">
                  <c:v>Mixta o general</c:v>
                </c:pt>
                <c:pt idx="1">
                  <c:v>Especializada en mecanismos de solución de controversias</c:v>
                </c:pt>
                <c:pt idx="2">
                  <c:v>Especializada en violencia intrafamiliar</c:v>
                </c:pt>
                <c:pt idx="3">
                  <c:v>Especializada en delitos contra las mujeres</c:v>
                </c:pt>
                <c:pt idx="4">
                  <c:v>Especializada en delitos sexuales</c:v>
                </c:pt>
                <c:pt idx="5">
                  <c:v>Especializada en robos</c:v>
                </c:pt>
                <c:pt idx="6">
                  <c:v>Especializada en homicidios</c:v>
                </c:pt>
                <c:pt idx="7">
                  <c:v>Especializada en atención de adolescentes</c:v>
                </c:pt>
                <c:pt idx="8">
                  <c:v>Especializada en delitos patrimoniales o fraudes</c:v>
                </c:pt>
                <c:pt idx="9">
                  <c:v>Especializada en atención a personas desaparecidas, no localizadas, ausentes o extraviadas</c:v>
                </c:pt>
              </c:strCache>
            </c:strRef>
          </c:cat>
          <c:val>
            <c:numRef>
              <c:f>'m1'!$AA$36:$AA$45</c:f>
              <c:numCache>
                <c:formatCode>#,##0</c:formatCode>
                <c:ptCount val="10"/>
                <c:pt idx="0">
                  <c:v>1809</c:v>
                </c:pt>
                <c:pt idx="1">
                  <c:v>211</c:v>
                </c:pt>
                <c:pt idx="2">
                  <c:v>195</c:v>
                </c:pt>
                <c:pt idx="3">
                  <c:v>173</c:v>
                </c:pt>
                <c:pt idx="4">
                  <c:v>172</c:v>
                </c:pt>
                <c:pt idx="5">
                  <c:v>169</c:v>
                </c:pt>
                <c:pt idx="6">
                  <c:v>154</c:v>
                </c:pt>
                <c:pt idx="7">
                  <c:v>137</c:v>
                </c:pt>
                <c:pt idx="8">
                  <c:v>119</c:v>
                </c:pt>
                <c:pt idx="9">
                  <c:v>108</c:v>
                </c:pt>
              </c:numCache>
            </c:numRef>
          </c:val>
          <c:extLst>
            <c:ext xmlns:c16="http://schemas.microsoft.com/office/drawing/2014/chart" uri="{C3380CC4-5D6E-409C-BE32-E72D297353CC}">
              <c16:uniqueId val="{00000001-4354-4EF7-A060-42F05858D4AC}"/>
            </c:ext>
          </c:extLst>
        </c:ser>
        <c:dLbls>
          <c:dLblPos val="outEnd"/>
          <c:showLegendKey val="0"/>
          <c:showVal val="1"/>
          <c:showCatName val="0"/>
          <c:showSerName val="0"/>
          <c:showPercent val="0"/>
          <c:showBubbleSize val="0"/>
        </c:dLbls>
        <c:gapWidth val="80"/>
        <c:axId val="555884927"/>
        <c:axId val="646645903"/>
      </c:barChart>
      <c:catAx>
        <c:axId val="55588492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646645903"/>
        <c:crosses val="autoZero"/>
        <c:auto val="1"/>
        <c:lblAlgn val="ctr"/>
        <c:lblOffset val="100"/>
        <c:noMultiLvlLbl val="0"/>
      </c:catAx>
      <c:valAx>
        <c:axId val="646645903"/>
        <c:scaling>
          <c:orientation val="minMax"/>
        </c:scaling>
        <c:delete val="1"/>
        <c:axPos val="t"/>
        <c:numFmt formatCode="#,##0" sourceLinked="1"/>
        <c:majorTickMark val="none"/>
        <c:minorTickMark val="none"/>
        <c:tickLblPos val="nextTo"/>
        <c:crossAx val="555884927"/>
        <c:crosses val="autoZero"/>
        <c:crossBetween val="between"/>
      </c:valAx>
      <c:spPr>
        <a:noFill/>
        <a:ln>
          <a:noFill/>
        </a:ln>
        <a:effectLst/>
      </c:spPr>
    </c:plotArea>
    <c:legend>
      <c:legendPos val="b"/>
      <c:layout>
        <c:manualLayout>
          <c:xMode val="edge"/>
          <c:yMode val="edge"/>
          <c:x val="0.69185236366860703"/>
          <c:y val="0.28936218448272372"/>
          <c:w val="8.3742804578691349E-2"/>
          <c:h val="0.20384056683023236"/>
        </c:manualLayout>
      </c:layout>
      <c:overlay val="0"/>
      <c:spPr>
        <a:noFill/>
        <a:ln>
          <a:noFill/>
        </a:ln>
        <a:effectLst/>
      </c:spPr>
      <c:txPr>
        <a:bodyPr rot="0" spcFirstLastPara="1" vertOverflow="ellipsis" vert="horz" wrap="square" anchor="ctr" anchorCtr="1"/>
        <a:lstStyle/>
        <a:p>
          <a:pPr algn="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'm1'!$AA$72</c:f>
              <c:strCache>
                <c:ptCount val="1"/>
                <c:pt idx="0">
                  <c:v>Hombres</c:v>
                </c:pt>
              </c:strCache>
            </c:strRef>
          </c:tx>
          <c:spPr>
            <a:solidFill>
              <a:srgbClr val="877A67"/>
            </a:solidFill>
            <a:ln>
              <a:noFill/>
            </a:ln>
            <a:effectLst>
              <a:outerShdw blurRad="50800" dist="38100" dir="2700000" algn="tl" rotWithShape="0">
                <a:prstClr val="black">
                  <a:alpha val="40000"/>
                </a:prstClr>
              </a:outerShdw>
            </a:effectLst>
          </c:spPr>
          <c:invertIfNegative val="0"/>
          <c:dLbls>
            <c:dLbl>
              <c:idx val="0"/>
              <c:layout>
                <c:manualLayout>
                  <c:x val="-4.6906973563475568E-18"/>
                  <c:y val="0.16174871126720661"/>
                </c:manualLayout>
              </c:layout>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C2-4F1A-82F6-7F971679AA23}"/>
                </c:ext>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'm1'!$Y$73:$Y$83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'm1'!$AA$73:$AA$83</c:f>
              <c:numCache>
                <c:formatCode>#,##0</c:formatCode>
                <c:ptCount val="11"/>
                <c:pt idx="0">
                  <c:v>16534</c:v>
                </c:pt>
                <c:pt idx="1">
                  <c:v>19488</c:v>
                </c:pt>
                <c:pt idx="2">
                  <c:v>23108</c:v>
                </c:pt>
                <c:pt idx="3">
                  <c:v>24125</c:v>
                </c:pt>
                <c:pt idx="4">
                  <c:v>22097</c:v>
                </c:pt>
                <c:pt idx="5">
                  <c:v>21182</c:v>
                </c:pt>
                <c:pt idx="6">
                  <c:v>22412</c:v>
                </c:pt>
                <c:pt idx="7">
                  <c:v>24093</c:v>
                </c:pt>
                <c:pt idx="8">
                  <c:v>23163</c:v>
                </c:pt>
                <c:pt idx="9">
                  <c:v>25604</c:v>
                </c:pt>
                <c:pt idx="10">
                  <c:v>28163</c:v>
                </c:pt>
              </c:numCache>
            </c:numRef>
          </c:val>
          <c:extLst>
            <c:ext xmlns:c16="http://schemas.microsoft.com/office/drawing/2014/chart" uri="{C3380CC4-5D6E-409C-BE32-E72D297353CC}">
              <c16:uniqueId val="{00000001-68C2-4F1A-82F6-7F971679AA23}"/>
            </c:ext>
          </c:extLst>
        </c:ser>
        <c:ser>
          <c:idx val="2"/>
          <c:order val="2"/>
          <c:tx>
            <c:strRef>
              <c:f>'m1'!$AB$72</c:f>
              <c:strCache>
                <c:ptCount val="1"/>
                <c:pt idx="0">
                  <c:v>Mujeres </c:v>
                </c:pt>
              </c:strCache>
            </c:strRef>
          </c:tx>
          <c:spPr>
            <a:solidFill>
              <a:srgbClr val="EAC479"/>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'm1'!$Y$73:$Y$83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'm1'!$AB$73:$AB$83</c:f>
              <c:numCache>
                <c:formatCode>#,##0</c:formatCode>
                <c:ptCount val="11"/>
                <c:pt idx="0">
                  <c:v>10091</c:v>
                </c:pt>
                <c:pt idx="1">
                  <c:v>13248</c:v>
                </c:pt>
                <c:pt idx="2">
                  <c:v>15277</c:v>
                </c:pt>
                <c:pt idx="3">
                  <c:v>15963</c:v>
                </c:pt>
                <c:pt idx="4">
                  <c:v>15602</c:v>
                </c:pt>
                <c:pt idx="5">
                  <c:v>16563</c:v>
                </c:pt>
                <c:pt idx="6">
                  <c:v>17487</c:v>
                </c:pt>
                <c:pt idx="7">
                  <c:v>17999</c:v>
                </c:pt>
                <c:pt idx="8">
                  <c:v>20264</c:v>
                </c:pt>
                <c:pt idx="9">
                  <c:v>21171</c:v>
                </c:pt>
                <c:pt idx="10">
                  <c:v>23426</c:v>
                </c:pt>
              </c:numCache>
            </c:numRef>
          </c:val>
          <c:extLst>
            <c:ext xmlns:c16="http://schemas.microsoft.com/office/drawing/2014/chart" uri="{C3380CC4-5D6E-409C-BE32-E72D297353CC}">
              <c16:uniqueId val="{00000002-68C2-4F1A-82F6-7F971679AA23}"/>
            </c:ext>
          </c:extLst>
        </c:ser>
        <c:dLbls>
          <c:showLegendKey val="0"/>
          <c:showVal val="1"/>
          <c:showCatName val="0"/>
          <c:showSerName val="0"/>
          <c:showPercent val="0"/>
          <c:showBubbleSize val="0"/>
        </c:dLbls>
        <c:gapWidth val="80"/>
        <c:axId val="701827823"/>
        <c:axId val="117582527"/>
      </c:barChart>
      <c:lineChart>
        <c:grouping val="standard"/>
        <c:varyColors val="0"/>
        <c:ser>
          <c:idx val="0"/>
          <c:order val="0"/>
          <c:tx>
            <c:strRef>
              <c:f>'m1'!$Z$72</c:f>
              <c:strCache>
                <c:ptCount val="1"/>
                <c:pt idx="0">
                  <c:v>Total </c:v>
                </c:pt>
              </c:strCache>
            </c:strRef>
          </c:tx>
          <c:spPr>
            <a:ln w="28575" cap="rnd">
              <a:solidFill>
                <a:schemeClr val="accent3"/>
              </a:solidFill>
              <a:round/>
            </a:ln>
            <a:effectLst>
              <a:outerShdw blurRad="50800" dist="38100" dir="2700000" algn="tl" rotWithShape="0">
                <a:prstClr val="black">
                  <a:alpha val="40000"/>
                </a:prstClr>
              </a:outerShdw>
            </a:effectLst>
          </c:spPr>
          <c:marker>
            <c:symbol val="diamond"/>
            <c:size val="5"/>
            <c:spPr>
              <a:solidFill>
                <a:schemeClr val="accent3"/>
              </a:solidFill>
              <a:ln w="9525">
                <a:solidFill>
                  <a:schemeClr val="accent3"/>
                </a:solidFill>
              </a:ln>
              <a:effectLst>
                <a:outerShdw blurRad="50800" dist="38100" dir="2700000" algn="tl" rotWithShape="0">
                  <a:prstClr val="black">
                    <a:alpha val="40000"/>
                  </a:prstClr>
                </a:outerShdw>
              </a:effectLst>
            </c:spPr>
          </c:marker>
          <c:dLbls>
            <c:dLbl>
              <c:idx val="0"/>
              <c:layout>
                <c:manualLayout>
                  <c:x val="-5.1282250393119913E-2"/>
                  <c:y val="-3.91524974360766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C2-4F1A-82F6-7F971679AA23}"/>
                </c:ext>
              </c:extLst>
            </c:dLbl>
            <c:dLbl>
              <c:idx val="1"/>
              <c:layout>
                <c:manualLayout>
                  <c:x val="-6.1144221622566074E-2"/>
                  <c:y val="-3.48022199431792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C2-4F1A-82F6-7F971679AA23}"/>
                </c:ext>
              </c:extLst>
            </c:dLbl>
            <c:dLbl>
              <c:idx val="2"/>
              <c:layout>
                <c:manualLayout>
                  <c:x val="-3.7475490671895324E-2"/>
                  <c:y val="-4.3502774928974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C2-4F1A-82F6-7F971679AA23}"/>
                </c:ext>
              </c:extLst>
            </c:dLbl>
            <c:dLbl>
              <c:idx val="3"/>
              <c:layout>
                <c:manualLayout>
                  <c:x val="-2.7613519442449223E-2"/>
                  <c:y val="-3.91524974360766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8C2-4F1A-82F6-7F971679AA23}"/>
                </c:ext>
              </c:extLst>
            </c:dLbl>
            <c:dLbl>
              <c:idx val="4"/>
              <c:layout>
                <c:manualLayout>
                  <c:x val="-3.155830793422771E-2"/>
                  <c:y val="-3.9152497436076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8C2-4F1A-82F6-7F971679AA23}"/>
                </c:ext>
              </c:extLst>
            </c:dLbl>
            <c:dLbl>
              <c:idx val="5"/>
              <c:layout>
                <c:manualLayout>
                  <c:x val="-4.3392673409563008E-2"/>
                  <c:y val="-3.91524974360766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8C2-4F1A-82F6-7F971679AA23}"/>
                </c:ext>
              </c:extLst>
            </c:dLbl>
            <c:dLbl>
              <c:idx val="6"/>
              <c:layout>
                <c:manualLayout>
                  <c:x val="-5.1282250393119913E-2"/>
                  <c:y val="-2.6101664957384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8C2-4F1A-82F6-7F971679AA23}"/>
                </c:ext>
              </c:extLst>
            </c:dLbl>
            <c:dLbl>
              <c:idx val="7"/>
              <c:layout>
                <c:manualLayout>
                  <c:x val="-5.5227038884898369E-2"/>
                  <c:y val="-3.48022199431792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8C2-4F1A-82F6-7F971679AA23}"/>
                </c:ext>
              </c:extLst>
            </c:dLbl>
            <c:dLbl>
              <c:idx val="8"/>
              <c:layout>
                <c:manualLayout>
                  <c:x val="-4.3392673409563154E-2"/>
                  <c:y val="-4.3502774928974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8C2-4F1A-82F6-7F971679AA23}"/>
                </c:ext>
              </c:extLst>
            </c:dLbl>
            <c:dLbl>
              <c:idx val="9"/>
              <c:layout>
                <c:manualLayout>
                  <c:x val="-5.9171827376676971E-2"/>
                  <c:y val="-3.48022199431792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8C2-4F1A-82F6-7F971679AA23}"/>
                </c:ext>
              </c:extLst>
            </c:dLbl>
            <c:dLbl>
              <c:idx val="10"/>
              <c:layout>
                <c:manualLayout>
                  <c:x val="-4.5365067655452236E-2"/>
                  <c:y val="-3.48022199431792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8C2-4F1A-82F6-7F971679AA2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'm1'!$Y$73:$Y$83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'm1'!$Z$73:$Z$83</c:f>
              <c:numCache>
                <c:formatCode>#,##0</c:formatCode>
                <c:ptCount val="11"/>
                <c:pt idx="0">
                  <c:v>27832</c:v>
                </c:pt>
                <c:pt idx="1">
                  <c:v>35357</c:v>
                </c:pt>
                <c:pt idx="2">
                  <c:v>38385</c:v>
                </c:pt>
                <c:pt idx="3">
                  <c:v>40088</c:v>
                </c:pt>
                <c:pt idx="4">
                  <c:v>37699</c:v>
                </c:pt>
                <c:pt idx="5">
                  <c:v>37745</c:v>
                </c:pt>
                <c:pt idx="6">
                  <c:v>39899</c:v>
                </c:pt>
                <c:pt idx="7">
                  <c:v>44068</c:v>
                </c:pt>
                <c:pt idx="8">
                  <c:v>43427</c:v>
                </c:pt>
                <c:pt idx="9">
                  <c:v>46775</c:v>
                </c:pt>
                <c:pt idx="10">
                  <c:v>51589</c:v>
                </c:pt>
              </c:numCache>
            </c:numRef>
          </c:val>
          <c:smooth val="0"/>
          <c:extLst>
            <c:ext xmlns:c16="http://schemas.microsoft.com/office/drawing/2014/chart" uri="{C3380CC4-5D6E-409C-BE32-E72D297353CC}">
              <c16:uniqueId val="{0000000E-68C2-4F1A-82F6-7F971679AA23}"/>
            </c:ext>
          </c:extLst>
        </c:ser>
        <c:dLbls>
          <c:showLegendKey val="0"/>
          <c:showVal val="1"/>
          <c:showCatName val="0"/>
          <c:showSerName val="0"/>
          <c:showPercent val="0"/>
          <c:showBubbleSize val="0"/>
        </c:dLbls>
        <c:marker val="1"/>
        <c:smooth val="0"/>
        <c:axId val="701827823"/>
        <c:axId val="117582527"/>
      </c:lineChart>
      <c:catAx>
        <c:axId val="701827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17582527"/>
        <c:crosses val="autoZero"/>
        <c:auto val="1"/>
        <c:lblAlgn val="ctr"/>
        <c:lblOffset val="100"/>
        <c:noMultiLvlLbl val="0"/>
      </c:catAx>
      <c:valAx>
        <c:axId val="117582527"/>
        <c:scaling>
          <c:orientation val="minMax"/>
        </c:scaling>
        <c:delete val="1"/>
        <c:axPos val="l"/>
        <c:numFmt formatCode="#,##0" sourceLinked="1"/>
        <c:majorTickMark val="none"/>
        <c:minorTickMark val="none"/>
        <c:tickLblPos val="nextTo"/>
        <c:crossAx val="701827823"/>
        <c:crosses val="autoZero"/>
        <c:crossBetween val="between"/>
      </c:valAx>
      <c:spPr>
        <a:noFill/>
        <a:ln>
          <a:noFill/>
        </a:ln>
        <a:effectLst/>
      </c:spPr>
    </c:plotArea>
    <c:legend>
      <c:legendPos val="b"/>
      <c:layout>
        <c:manualLayout>
          <c:xMode val="edge"/>
          <c:yMode val="edge"/>
          <c:x val="0.27870969153652714"/>
          <c:y val="0.93158961565447884"/>
          <c:w val="0.47558888374813207"/>
          <c:h val="6.78449833618869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271711996859149E-2"/>
          <c:y val="0.14754375438705633"/>
          <c:w val="0.94345657600628174"/>
          <c:h val="0.62502602428933673"/>
        </c:manualLayout>
      </c:layout>
      <c:barChart>
        <c:barDir val="col"/>
        <c:grouping val="clustered"/>
        <c:varyColors val="0"/>
        <c:ser>
          <c:idx val="0"/>
          <c:order val="0"/>
          <c:tx>
            <c:strRef>
              <c:f>'m1'!$AG$35</c:f>
              <c:strCache>
                <c:ptCount val="1"/>
                <c:pt idx="0">
                  <c:v>total </c:v>
                </c:pt>
              </c:strCache>
            </c:strRef>
          </c:tx>
          <c:spPr>
            <a:solidFill>
              <a:srgbClr val="804053"/>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511427"/>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3631-40FB-AFEE-22AA8A7A0414}"/>
              </c:ext>
            </c:extLst>
          </c:dPt>
          <c:dLbls>
            <c:spPr>
              <a:noFill/>
              <a:ln>
                <a:noFill/>
              </a:ln>
              <a:effectLst/>
            </c:spPr>
            <c:txPr>
              <a:bodyPr rot="-5400000" spcFirstLastPara="1" vertOverflow="ellipsis"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'm1'!$AF$36:$AF$67</c:f>
              <c:strCache>
                <c:ptCount val="32"/>
                <c:pt idx="0">
                  <c:v>CDMX</c:v>
                </c:pt>
                <c:pt idx="1">
                  <c:v>JAL</c:v>
                </c:pt>
                <c:pt idx="2">
                  <c:v>MEX</c:v>
                </c:pt>
                <c:pt idx="3">
                  <c:v>CHIH</c:v>
                </c:pt>
                <c:pt idx="4">
                  <c:v>CHIS</c:v>
                </c:pt>
                <c:pt idx="5">
                  <c:v>TAMPS</c:v>
                </c:pt>
                <c:pt idx="6">
                  <c:v>MICH</c:v>
                </c:pt>
                <c:pt idx="7">
                  <c:v>GRO</c:v>
                </c:pt>
                <c:pt idx="8">
                  <c:v>HGO</c:v>
                </c:pt>
                <c:pt idx="9">
                  <c:v>PUE</c:v>
                </c:pt>
                <c:pt idx="10">
                  <c:v>TAB</c:v>
                </c:pt>
                <c:pt idx="11">
                  <c:v>GTO</c:v>
                </c:pt>
                <c:pt idx="12">
                  <c:v>BC</c:v>
                </c:pt>
                <c:pt idx="13">
                  <c:v>QROO</c:v>
                </c:pt>
                <c:pt idx="14">
                  <c:v>COAH</c:v>
                </c:pt>
                <c:pt idx="15">
                  <c:v>VER</c:v>
                </c:pt>
                <c:pt idx="16">
                  <c:v>OAX</c:v>
                </c:pt>
                <c:pt idx="17">
                  <c:v>QRO</c:v>
                </c:pt>
                <c:pt idx="18">
                  <c:v>SLP</c:v>
                </c:pt>
                <c:pt idx="19">
                  <c:v>COL</c:v>
                </c:pt>
                <c:pt idx="20">
                  <c:v>DGO</c:v>
                </c:pt>
                <c:pt idx="21">
                  <c:v>SON</c:v>
                </c:pt>
                <c:pt idx="22">
                  <c:v>MOR</c:v>
                </c:pt>
                <c:pt idx="23">
                  <c:v>BCS</c:v>
                </c:pt>
                <c:pt idx="24">
                  <c:v>TLAX</c:v>
                </c:pt>
                <c:pt idx="25">
                  <c:v>SIN</c:v>
                </c:pt>
                <c:pt idx="26">
                  <c:v>NAY</c:v>
                </c:pt>
                <c:pt idx="27">
                  <c:v>ZAC</c:v>
                </c:pt>
                <c:pt idx="28">
                  <c:v>NL</c:v>
                </c:pt>
                <c:pt idx="29">
                  <c:v>CAMP</c:v>
                </c:pt>
                <c:pt idx="30">
                  <c:v>AGS</c:v>
                </c:pt>
                <c:pt idx="31">
                  <c:v>YUC</c:v>
                </c:pt>
              </c:strCache>
            </c:strRef>
          </c:cat>
          <c:val>
            <c:numRef>
              <c:f>'m1'!$AG$36:$AG$67</c:f>
              <c:numCache>
                <c:formatCode>#,##0</c:formatCode>
                <c:ptCount val="32"/>
                <c:pt idx="0">
                  <c:v>8558</c:v>
                </c:pt>
                <c:pt idx="1">
                  <c:v>4268</c:v>
                </c:pt>
                <c:pt idx="2">
                  <c:v>3790</c:v>
                </c:pt>
                <c:pt idx="3">
                  <c:v>3120</c:v>
                </c:pt>
                <c:pt idx="4">
                  <c:v>2983</c:v>
                </c:pt>
                <c:pt idx="5">
                  <c:v>2440</c:v>
                </c:pt>
                <c:pt idx="6">
                  <c:v>2358</c:v>
                </c:pt>
                <c:pt idx="7">
                  <c:v>2210</c:v>
                </c:pt>
                <c:pt idx="8">
                  <c:v>2030</c:v>
                </c:pt>
                <c:pt idx="9">
                  <c:v>1711</c:v>
                </c:pt>
                <c:pt idx="10">
                  <c:v>1711</c:v>
                </c:pt>
                <c:pt idx="11">
                  <c:v>1453</c:v>
                </c:pt>
                <c:pt idx="12">
                  <c:v>1450</c:v>
                </c:pt>
                <c:pt idx="13">
                  <c:v>1438</c:v>
                </c:pt>
                <c:pt idx="14">
                  <c:v>1315</c:v>
                </c:pt>
                <c:pt idx="15">
                  <c:v>1261</c:v>
                </c:pt>
                <c:pt idx="16">
                  <c:v>877</c:v>
                </c:pt>
                <c:pt idx="17">
                  <c:v>836</c:v>
                </c:pt>
                <c:pt idx="18">
                  <c:v>834</c:v>
                </c:pt>
                <c:pt idx="19">
                  <c:v>807</c:v>
                </c:pt>
                <c:pt idx="20">
                  <c:v>793</c:v>
                </c:pt>
                <c:pt idx="21">
                  <c:v>740</c:v>
                </c:pt>
                <c:pt idx="22">
                  <c:v>588</c:v>
                </c:pt>
                <c:pt idx="23">
                  <c:v>568</c:v>
                </c:pt>
                <c:pt idx="24">
                  <c:v>518</c:v>
                </c:pt>
                <c:pt idx="25">
                  <c:v>475</c:v>
                </c:pt>
                <c:pt idx="26">
                  <c:v>455</c:v>
                </c:pt>
                <c:pt idx="27">
                  <c:v>450</c:v>
                </c:pt>
                <c:pt idx="28">
                  <c:v>423</c:v>
                </c:pt>
                <c:pt idx="29">
                  <c:v>402</c:v>
                </c:pt>
                <c:pt idx="30">
                  <c:v>387</c:v>
                </c:pt>
                <c:pt idx="31">
                  <c:v>340</c:v>
                </c:pt>
              </c:numCache>
            </c:numRef>
          </c:val>
          <c:extLst>
            <c:ext xmlns:c16="http://schemas.microsoft.com/office/drawing/2014/chart" uri="{C3380CC4-5D6E-409C-BE32-E72D297353CC}">
              <c16:uniqueId val="{00000002-3631-40FB-AFEE-22AA8A7A0414}"/>
            </c:ext>
          </c:extLst>
        </c:ser>
        <c:dLbls>
          <c:dLblPos val="outEnd"/>
          <c:showLegendKey val="0"/>
          <c:showVal val="1"/>
          <c:showCatName val="0"/>
          <c:showSerName val="0"/>
          <c:showPercent val="0"/>
          <c:showBubbleSize val="0"/>
        </c:dLbls>
        <c:gapWidth val="90"/>
        <c:overlap val="-27"/>
        <c:axId val="648673679"/>
        <c:axId val="564314735"/>
      </c:barChart>
      <c:catAx>
        <c:axId val="648673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564314735"/>
        <c:crosses val="autoZero"/>
        <c:auto val="1"/>
        <c:lblAlgn val="ctr"/>
        <c:lblOffset val="100"/>
        <c:noMultiLvlLbl val="0"/>
      </c:catAx>
      <c:valAx>
        <c:axId val="564314735"/>
        <c:scaling>
          <c:orientation val="minMax"/>
        </c:scaling>
        <c:delete val="1"/>
        <c:axPos val="l"/>
        <c:numFmt formatCode="#,##0" sourceLinked="1"/>
        <c:majorTickMark val="none"/>
        <c:minorTickMark val="none"/>
        <c:tickLblPos val="nextTo"/>
        <c:crossAx val="64867367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530264694202436E-2"/>
          <c:y val="0.12633434220416168"/>
          <c:w val="0.94893947061159512"/>
          <c:h val="0.34066312155084755"/>
        </c:manualLayout>
      </c:layout>
      <c:barChart>
        <c:barDir val="col"/>
        <c:grouping val="clustered"/>
        <c:varyColors val="0"/>
        <c:ser>
          <c:idx val="0"/>
          <c:order val="0"/>
          <c:tx>
            <c:strRef>
              <c:f>'m1'!$AD$87</c:f>
              <c:strCache>
                <c:ptCount val="1"/>
                <c:pt idx="0">
                  <c:v>2019</c:v>
                </c:pt>
              </c:strCache>
            </c:strRef>
          </c:tx>
          <c:spPr>
            <a:solidFill>
              <a:srgbClr val="AF8D95"/>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lIns="38100" tIns="19050" rIns="38100" bIns="19050" anchor="ctr" anchorCtr="0">
                <a:spAutoFit/>
              </a:bodyPr>
              <a:lstStyle/>
              <a:p>
                <a:pPr algn="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'm1'!$AC$88:$AC$95</c:f>
              <c:strCache>
                <c:ptCount val="8"/>
                <c:pt idx="0">
                  <c:v>Policías ministeriales o investigadores o judiciales</c:v>
                </c:pt>
                <c:pt idx="1">
                  <c:v>Personal administrativo y de apoyo </c:v>
                </c:pt>
                <c:pt idx="2">
                  <c:v>Agentes del Ministerio Público</c:v>
                </c:pt>
                <c:pt idx="3">
                  <c:v>Secretarios del Ministerio Público</c:v>
                </c:pt>
                <c:pt idx="4">
                  <c:v>Peritos</c:v>
                </c:pt>
                <c:pt idx="5">
                  <c:v>Fiscales del Ministerio Público</c:v>
                </c:pt>
                <c:pt idx="6">
                  <c:v>Actuarios del Ministerio Público</c:v>
                </c:pt>
                <c:pt idx="7">
                  <c:v>Otro cargo y/o función desempeñada</c:v>
                </c:pt>
              </c:strCache>
            </c:strRef>
          </c:cat>
          <c:val>
            <c:numRef>
              <c:f>'m1'!$AD$88:$AD$95</c:f>
              <c:numCache>
                <c:formatCode>#,##0</c:formatCode>
                <c:ptCount val="8"/>
                <c:pt idx="0">
                  <c:v>12572</c:v>
                </c:pt>
                <c:pt idx="1">
                  <c:v>8951</c:v>
                </c:pt>
                <c:pt idx="2">
                  <c:v>9981</c:v>
                </c:pt>
                <c:pt idx="3">
                  <c:v>6806</c:v>
                </c:pt>
                <c:pt idx="4">
                  <c:v>3347</c:v>
                </c:pt>
                <c:pt idx="5">
                  <c:v>2771</c:v>
                </c:pt>
                <c:pt idx="6">
                  <c:v>1230</c:v>
                </c:pt>
                <c:pt idx="7">
                  <c:v>1117</c:v>
                </c:pt>
              </c:numCache>
            </c:numRef>
          </c:val>
          <c:extLst>
            <c:ext xmlns:c16="http://schemas.microsoft.com/office/drawing/2014/chart" uri="{C3380CC4-5D6E-409C-BE32-E72D297353CC}">
              <c16:uniqueId val="{00000000-4510-4F13-B00C-97574F07F6F4}"/>
            </c:ext>
          </c:extLst>
        </c:ser>
        <c:ser>
          <c:idx val="1"/>
          <c:order val="1"/>
          <c:tx>
            <c:strRef>
              <c:f>'m1'!$AE$87</c:f>
              <c:strCache>
                <c:ptCount val="1"/>
                <c:pt idx="0">
                  <c:v>2020</c:v>
                </c:pt>
              </c:strCache>
            </c:strRef>
          </c:tx>
          <c:spPr>
            <a:solidFill>
              <a:srgbClr val="5B90A7"/>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lIns="38100" tIns="19050" rIns="38100" bIns="19050" anchor="ctr" anchorCtr="0">
                <a:spAutoFit/>
              </a:bodyPr>
              <a:lstStyle/>
              <a:p>
                <a:pPr algn="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'm1'!$AC$88:$AC$95</c:f>
              <c:strCache>
                <c:ptCount val="8"/>
                <c:pt idx="0">
                  <c:v>Policías ministeriales o investigadores o judiciales</c:v>
                </c:pt>
                <c:pt idx="1">
                  <c:v>Personal administrativo y de apoyo </c:v>
                </c:pt>
                <c:pt idx="2">
                  <c:v>Agentes del Ministerio Público</c:v>
                </c:pt>
                <c:pt idx="3">
                  <c:v>Secretarios del Ministerio Público</c:v>
                </c:pt>
                <c:pt idx="4">
                  <c:v>Peritos</c:v>
                </c:pt>
                <c:pt idx="5">
                  <c:v>Fiscales del Ministerio Público</c:v>
                </c:pt>
                <c:pt idx="6">
                  <c:v>Actuarios del Ministerio Público</c:v>
                </c:pt>
                <c:pt idx="7">
                  <c:v>Otro cargo y/o función desempeñada</c:v>
                </c:pt>
              </c:strCache>
            </c:strRef>
          </c:cat>
          <c:val>
            <c:numRef>
              <c:f>'m1'!$AE$88:$AE$95</c:f>
              <c:numCache>
                <c:formatCode>#,##0</c:formatCode>
                <c:ptCount val="8"/>
                <c:pt idx="0">
                  <c:v>14469</c:v>
                </c:pt>
                <c:pt idx="1">
                  <c:v>10444</c:v>
                </c:pt>
                <c:pt idx="2">
                  <c:v>10417</c:v>
                </c:pt>
                <c:pt idx="3">
                  <c:v>7225</c:v>
                </c:pt>
                <c:pt idx="4">
                  <c:v>3710</c:v>
                </c:pt>
                <c:pt idx="5">
                  <c:v>2817</c:v>
                </c:pt>
                <c:pt idx="6">
                  <c:v>924</c:v>
                </c:pt>
                <c:pt idx="7">
                  <c:v>1583</c:v>
                </c:pt>
              </c:numCache>
            </c:numRef>
          </c:val>
          <c:extLst>
            <c:ext xmlns:c16="http://schemas.microsoft.com/office/drawing/2014/chart" uri="{C3380CC4-5D6E-409C-BE32-E72D297353CC}">
              <c16:uniqueId val="{00000001-4510-4F13-B00C-97574F07F6F4}"/>
            </c:ext>
          </c:extLst>
        </c:ser>
        <c:dLbls>
          <c:dLblPos val="outEnd"/>
          <c:showLegendKey val="0"/>
          <c:showVal val="1"/>
          <c:showCatName val="0"/>
          <c:showSerName val="0"/>
          <c:showPercent val="0"/>
          <c:showBubbleSize val="0"/>
        </c:dLbls>
        <c:gapWidth val="80"/>
        <c:overlap val="-27"/>
        <c:axId val="1398281695"/>
        <c:axId val="1343294847"/>
      </c:barChart>
      <c:catAx>
        <c:axId val="1398281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lgn="r">
              <a:defRPr lang="es-MX"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343294847"/>
        <c:crosses val="autoZero"/>
        <c:auto val="1"/>
        <c:lblAlgn val="ctr"/>
        <c:lblOffset val="100"/>
        <c:noMultiLvlLbl val="0"/>
      </c:catAx>
      <c:valAx>
        <c:axId val="1343294847"/>
        <c:scaling>
          <c:orientation val="minMax"/>
        </c:scaling>
        <c:delete val="1"/>
        <c:axPos val="l"/>
        <c:numFmt formatCode="#,##0" sourceLinked="1"/>
        <c:majorTickMark val="none"/>
        <c:minorTickMark val="none"/>
        <c:tickLblPos val="nextTo"/>
        <c:crossAx val="1398281695"/>
        <c:crosses val="autoZero"/>
        <c:crossBetween val="between"/>
      </c:valAx>
      <c:spPr>
        <a:noFill/>
        <a:ln>
          <a:noFill/>
        </a:ln>
        <a:effectLst/>
      </c:spPr>
    </c:plotArea>
    <c:legend>
      <c:legendPos val="b"/>
      <c:layout>
        <c:manualLayout>
          <c:xMode val="edge"/>
          <c:yMode val="edge"/>
          <c:x val="0.73113722881871435"/>
          <c:y val="0"/>
          <c:w val="0.18897759060784758"/>
          <c:h val="0.11009476675512046"/>
        </c:manualLayout>
      </c:layout>
      <c:overlay val="0"/>
      <c:spPr>
        <a:noFill/>
        <a:ln>
          <a:noFill/>
        </a:ln>
        <a:effectLst/>
      </c:spPr>
      <c:txPr>
        <a:bodyPr rot="0" spcFirstLastPara="1" vertOverflow="ellipsis" vert="horz" wrap="square" anchor="ctr" anchorCtr="1"/>
        <a:lstStyle/>
        <a:p>
          <a:pPr algn="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691358024691357E-2"/>
          <c:y val="0.15846994535519127"/>
          <c:w val="0.95061728395061729"/>
          <c:h val="0.60688481562755481"/>
        </c:manualLayout>
      </c:layout>
      <c:barChart>
        <c:barDir val="col"/>
        <c:grouping val="clustered"/>
        <c:varyColors val="0"/>
        <c:ser>
          <c:idx val="0"/>
          <c:order val="0"/>
          <c:spPr>
            <a:solidFill>
              <a:srgbClr val="AF8D95"/>
            </a:solidFill>
            <a:ln>
              <a:noFill/>
            </a:ln>
            <a:effectLst>
              <a:outerShdw blurRad="50800" dist="38100" dir="2700000" algn="tl" rotWithShape="0">
                <a:prstClr val="black">
                  <a:alpha val="40000"/>
                </a:prstClr>
              </a:outerShdw>
            </a:effectLst>
          </c:spPr>
          <c:invertIfNegative val="0"/>
          <c:dPt>
            <c:idx val="0"/>
            <c:invertIfNegative val="0"/>
            <c:bubble3D val="0"/>
            <c:spPr>
              <a:solidFill>
                <a:srgbClr val="804053"/>
              </a:solidFill>
              <a:ln>
                <a:no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AE87-4320-9962-8A3C4C9D70B5}"/>
              </c:ext>
            </c:extLst>
          </c:dPt>
          <c:dLbls>
            <c:spPr>
              <a:noFill/>
              <a:ln>
                <a:noFill/>
              </a:ln>
              <a:effectLst/>
            </c:spPr>
            <c:txPr>
              <a:bodyPr rot="-5400000" spcFirstLastPara="1" vertOverflow="ellipsis" wrap="square" lIns="38100" tIns="19050" rIns="38100" bIns="19050" anchor="ctr" anchorCtr="0">
                <a:spAutoFit/>
              </a:bodyPr>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'[bd_cnpje_2021.xlsx]m1'!$AC$111:$AC$140</c:f>
              <c:strCache>
                <c:ptCount val="30"/>
                <c:pt idx="0">
                  <c:v>CDMX</c:v>
                </c:pt>
                <c:pt idx="1">
                  <c:v>MEX</c:v>
                </c:pt>
                <c:pt idx="2">
                  <c:v>BC</c:v>
                </c:pt>
                <c:pt idx="3">
                  <c:v>TAB</c:v>
                </c:pt>
                <c:pt idx="4">
                  <c:v>GRO</c:v>
                </c:pt>
                <c:pt idx="5">
                  <c:v>CHIS</c:v>
                </c:pt>
                <c:pt idx="6">
                  <c:v>CHIH</c:v>
                </c:pt>
                <c:pt idx="7">
                  <c:v>TAMPS</c:v>
                </c:pt>
                <c:pt idx="8">
                  <c:v>PUE</c:v>
                </c:pt>
                <c:pt idx="9">
                  <c:v>DGO</c:v>
                </c:pt>
                <c:pt idx="10">
                  <c:v>JAL</c:v>
                </c:pt>
                <c:pt idx="11">
                  <c:v>VER</c:v>
                </c:pt>
                <c:pt idx="12">
                  <c:v>COAH</c:v>
                </c:pt>
                <c:pt idx="13">
                  <c:v>GTO</c:v>
                </c:pt>
                <c:pt idx="14">
                  <c:v>MICH</c:v>
                </c:pt>
                <c:pt idx="15">
                  <c:v>QROO</c:v>
                </c:pt>
                <c:pt idx="16">
                  <c:v>TLAX</c:v>
                </c:pt>
                <c:pt idx="17">
                  <c:v>COL</c:v>
                </c:pt>
                <c:pt idx="18">
                  <c:v>OAX</c:v>
                </c:pt>
                <c:pt idx="19">
                  <c:v>AGS</c:v>
                </c:pt>
                <c:pt idx="20">
                  <c:v>BCS</c:v>
                </c:pt>
                <c:pt idx="21">
                  <c:v>MOR</c:v>
                </c:pt>
                <c:pt idx="22">
                  <c:v>SIN</c:v>
                </c:pt>
                <c:pt idx="23">
                  <c:v>CAMP</c:v>
                </c:pt>
                <c:pt idx="24">
                  <c:v>HGO</c:v>
                </c:pt>
                <c:pt idx="25">
                  <c:v>NAY</c:v>
                </c:pt>
                <c:pt idx="26">
                  <c:v>QRO</c:v>
                </c:pt>
                <c:pt idx="27">
                  <c:v>SON</c:v>
                </c:pt>
                <c:pt idx="28">
                  <c:v>NL</c:v>
                </c:pt>
                <c:pt idx="29">
                  <c:v>ZAC</c:v>
                </c:pt>
              </c:strCache>
            </c:strRef>
          </c:cat>
          <c:val>
            <c:numRef>
              <c:f>'[bd_cnpje_2021.xlsx]m1'!$AD$111:$AD$140</c:f>
              <c:numCache>
                <c:formatCode>General</c:formatCode>
                <c:ptCount val="30"/>
                <c:pt idx="0">
                  <c:v>112</c:v>
                </c:pt>
                <c:pt idx="1">
                  <c:v>36</c:v>
                </c:pt>
                <c:pt idx="2">
                  <c:v>27</c:v>
                </c:pt>
                <c:pt idx="3">
                  <c:v>25</c:v>
                </c:pt>
                <c:pt idx="4">
                  <c:v>23</c:v>
                </c:pt>
                <c:pt idx="5">
                  <c:v>22</c:v>
                </c:pt>
                <c:pt idx="6">
                  <c:v>20</c:v>
                </c:pt>
                <c:pt idx="7">
                  <c:v>16</c:v>
                </c:pt>
                <c:pt idx="8">
                  <c:v>14</c:v>
                </c:pt>
                <c:pt idx="9">
                  <c:v>13</c:v>
                </c:pt>
                <c:pt idx="10">
                  <c:v>12</c:v>
                </c:pt>
                <c:pt idx="11">
                  <c:v>11</c:v>
                </c:pt>
                <c:pt idx="12">
                  <c:v>10</c:v>
                </c:pt>
                <c:pt idx="13">
                  <c:v>10</c:v>
                </c:pt>
                <c:pt idx="14">
                  <c:v>9</c:v>
                </c:pt>
                <c:pt idx="15">
                  <c:v>7</c:v>
                </c:pt>
                <c:pt idx="16">
                  <c:v>7</c:v>
                </c:pt>
                <c:pt idx="17">
                  <c:v>4</c:v>
                </c:pt>
                <c:pt idx="18">
                  <c:v>4</c:v>
                </c:pt>
                <c:pt idx="19">
                  <c:v>3</c:v>
                </c:pt>
                <c:pt idx="20">
                  <c:v>3</c:v>
                </c:pt>
                <c:pt idx="21">
                  <c:v>3</c:v>
                </c:pt>
                <c:pt idx="22">
                  <c:v>3</c:v>
                </c:pt>
                <c:pt idx="23">
                  <c:v>2</c:v>
                </c:pt>
                <c:pt idx="24">
                  <c:v>2</c:v>
                </c:pt>
                <c:pt idx="25">
                  <c:v>2</c:v>
                </c:pt>
                <c:pt idx="26">
                  <c:v>2</c:v>
                </c:pt>
                <c:pt idx="27">
                  <c:v>2</c:v>
                </c:pt>
                <c:pt idx="28">
                  <c:v>1</c:v>
                </c:pt>
                <c:pt idx="29">
                  <c:v>1</c:v>
                </c:pt>
              </c:numCache>
            </c:numRef>
          </c:val>
          <c:extLst>
            <c:ext xmlns:c16="http://schemas.microsoft.com/office/drawing/2014/chart" uri="{C3380CC4-5D6E-409C-BE32-E72D297353CC}">
              <c16:uniqueId val="{00000002-AE87-4320-9962-8A3C4C9D70B5}"/>
            </c:ext>
          </c:extLst>
        </c:ser>
        <c:dLbls>
          <c:dLblPos val="outEnd"/>
          <c:showLegendKey val="0"/>
          <c:showVal val="1"/>
          <c:showCatName val="0"/>
          <c:showSerName val="0"/>
          <c:showPercent val="0"/>
          <c:showBubbleSize val="0"/>
        </c:dLbls>
        <c:gapWidth val="90"/>
        <c:overlap val="-27"/>
        <c:axId val="624739455"/>
        <c:axId val="724643119"/>
      </c:barChart>
      <c:catAx>
        <c:axId val="624739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lgn="ctr">
              <a:defRPr lang="es-MX"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724643119"/>
        <c:crosses val="autoZero"/>
        <c:auto val="1"/>
        <c:lblAlgn val="ctr"/>
        <c:lblOffset val="100"/>
        <c:noMultiLvlLbl val="0"/>
      </c:catAx>
      <c:valAx>
        <c:axId val="724643119"/>
        <c:scaling>
          <c:orientation val="minMax"/>
        </c:scaling>
        <c:delete val="1"/>
        <c:axPos val="l"/>
        <c:numFmt formatCode="General" sourceLinked="1"/>
        <c:majorTickMark val="none"/>
        <c:minorTickMark val="none"/>
        <c:tickLblPos val="nextTo"/>
        <c:crossAx val="62473945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360ADD2F1DFF4A9942B708C9B52C3A" ma:contentTypeVersion="12" ma:contentTypeDescription="Create a new document." ma:contentTypeScope="" ma:versionID="df36a9489d2a9a6a719aace5570be654">
  <xsd:schema xmlns:xsd="http://www.w3.org/2001/XMLSchema" xmlns:xs="http://www.w3.org/2001/XMLSchema" xmlns:p="http://schemas.microsoft.com/office/2006/metadata/properties" xmlns:ns3="abd82f08-da84-4abc-b6c0-90d2c08ae21d" xmlns:ns4="3863571c-1a6a-4417-8f19-59236f1e02e9" targetNamespace="http://schemas.microsoft.com/office/2006/metadata/properties" ma:root="true" ma:fieldsID="fe64d11ed34c1133c8bb373ec3dae916" ns3:_="" ns4:_="">
    <xsd:import namespace="abd82f08-da84-4abc-b6c0-90d2c08ae21d"/>
    <xsd:import namespace="3863571c-1a6a-4417-8f19-59236f1e02e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82f08-da84-4abc-b6c0-90d2c08ae21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63571c-1a6a-4417-8f19-59236f1e02e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25FC916C-4479-4815-8A5B-1B35F9954435}">
  <ds:schemaRefs>
    <ds:schemaRef ds:uri="http://schemas.microsoft.com/sharepoint/v3/contenttype/forms"/>
  </ds:schemaRefs>
</ds:datastoreItem>
</file>

<file path=customXml/itemProps2.xml><?xml version="1.0" encoding="utf-8"?>
<ds:datastoreItem xmlns:ds="http://schemas.openxmlformats.org/officeDocument/2006/customXml" ds:itemID="{379A7298-0DB6-4378-AB51-F2B997A230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4A3B0F-41FD-4781-886B-AF1E6EC267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d82f08-da84-4abc-b6c0-90d2c08ae21d"/>
    <ds:schemaRef ds:uri="3863571c-1a6a-4417-8f19-59236f1e02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770850-5636-4268-BF3F-18EE86F87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27</Pages>
  <Words>4422</Words>
  <Characters>24325</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Comunicado. Resultados del Censo Nacional de Procuración de Justicia Estatal (CNPJE) 2021</vt:lpstr>
    </vt:vector>
  </TitlesOfParts>
  <Company/>
  <LinksUpToDate>false</LinksUpToDate>
  <CharactersWithSpaces>28690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Resultados del Censo Nacional de Procuración de Justicia Estatal (CNPJE) 2021</dc:title>
  <dc:subject/>
  <dc:creator>INEGI</dc:creator>
  <cp:keywords/>
  <dc:description/>
  <cp:lastModifiedBy>GUILLEN MEDINA MOISES</cp:lastModifiedBy>
  <cp:revision>6</cp:revision>
  <cp:lastPrinted>2021-10-05T21:17:00Z</cp:lastPrinted>
  <dcterms:created xsi:type="dcterms:W3CDTF">2021-10-22T20:18:00Z</dcterms:created>
  <dcterms:modified xsi:type="dcterms:W3CDTF">2021-10-23T00:58:00Z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0x0101002C360ADD2F1DFF4A9942B708C9B52C3A</vt:lpwstr>
  </property>
</Properties>
</file>