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39E4D" w14:textId="055C5CDD" w:rsidR="00A214C6" w:rsidRDefault="00F9304F" w:rsidP="00F04D4E">
      <w:pPr>
        <w:autoSpaceDE w:val="0"/>
        <w:autoSpaceDN w:val="0"/>
        <w:adjustRightInd w:val="0"/>
        <w:spacing w:after="0" w:line="240" w:lineRule="auto"/>
        <w:ind w:left="-567"/>
        <w:jc w:val="center"/>
        <w:rPr>
          <w:b/>
          <w:bCs/>
        </w:rPr>
      </w:pPr>
      <w:bookmarkStart w:id="0" w:name="_Hlk61537795"/>
      <w:bookmarkEnd w:id="0"/>
      <w:r>
        <w:rPr>
          <w:rFonts w:ascii="Arial" w:hAnsi="Arial" w:cs="Arial"/>
          <w:b/>
          <w:bCs/>
          <w:color w:val="000000"/>
          <w:sz w:val="24"/>
          <w:szCs w:val="24"/>
        </w:rPr>
        <w:tab/>
      </w:r>
    </w:p>
    <w:p w14:paraId="2BF1A3EB" w14:textId="539DF87B" w:rsidR="00A214C6" w:rsidRDefault="00F9304F" w:rsidP="00813B61">
      <w:pPr>
        <w:spacing w:after="0" w:line="240" w:lineRule="auto"/>
        <w:ind w:right="567"/>
        <w:jc w:val="center"/>
        <w:rPr>
          <w:rFonts w:ascii="Arial" w:hAnsi="Arial" w:cs="Arial"/>
          <w:b/>
          <w:bCs/>
          <w:sz w:val="24"/>
          <w:szCs w:val="24"/>
        </w:rPr>
      </w:pPr>
      <w:r w:rsidRPr="00813B61">
        <w:rPr>
          <w:rFonts w:ascii="Arial" w:hAnsi="Arial" w:cs="Arial"/>
          <w:b/>
          <w:bCs/>
          <w:color w:val="000000"/>
          <w:sz w:val="24"/>
          <w:szCs w:val="24"/>
        </w:rPr>
        <w:t>RECOPILACIÓN DE INFORMACIÓN DE LOS CEMENTERIOS PÚBLICOS EN LAS ZONAS METROPOLITANAS DEL PAÍS 2021</w:t>
      </w:r>
    </w:p>
    <w:p w14:paraId="23FCA354" w14:textId="77777777" w:rsidR="00815E66" w:rsidRPr="00A33DCC" w:rsidRDefault="00815E66" w:rsidP="009503D1">
      <w:pPr>
        <w:spacing w:after="0" w:line="240" w:lineRule="auto"/>
        <w:ind w:right="567"/>
        <w:jc w:val="both"/>
        <w:rPr>
          <w:rFonts w:ascii="Arial" w:hAnsi="Arial" w:cs="Arial"/>
          <w:b/>
          <w:bCs/>
          <w:sz w:val="24"/>
          <w:szCs w:val="24"/>
        </w:rPr>
      </w:pPr>
    </w:p>
    <w:p w14:paraId="68BFCBCC" w14:textId="076268DD" w:rsidR="007429DB" w:rsidRDefault="00931451" w:rsidP="007429DB">
      <w:pPr>
        <w:pStyle w:val="Prrafodelista"/>
        <w:numPr>
          <w:ilvl w:val="0"/>
          <w:numId w:val="1"/>
        </w:numPr>
        <w:ind w:left="284" w:right="567"/>
        <w:jc w:val="both"/>
        <w:rPr>
          <w:rFonts w:ascii="Arial" w:hAnsi="Arial" w:cs="Arial"/>
          <w:sz w:val="24"/>
          <w:szCs w:val="24"/>
        </w:rPr>
      </w:pPr>
      <w:r>
        <w:rPr>
          <w:rFonts w:ascii="Arial" w:hAnsi="Arial" w:cs="Arial"/>
          <w:sz w:val="24"/>
          <w:szCs w:val="24"/>
        </w:rPr>
        <w:t>D</w:t>
      </w:r>
      <w:r w:rsidRPr="00931451">
        <w:rPr>
          <w:rFonts w:ascii="Arial" w:hAnsi="Arial" w:cs="Arial"/>
          <w:sz w:val="24"/>
          <w:szCs w:val="24"/>
        </w:rPr>
        <w:t xml:space="preserve">urante 2020 se reportaron 1 452 panteones </w:t>
      </w:r>
      <w:r w:rsidR="00BF6161">
        <w:rPr>
          <w:rFonts w:ascii="Arial" w:hAnsi="Arial" w:cs="Arial"/>
          <w:sz w:val="24"/>
          <w:szCs w:val="24"/>
        </w:rPr>
        <w:t xml:space="preserve">públicos </w:t>
      </w:r>
      <w:r w:rsidRPr="00931451">
        <w:rPr>
          <w:rFonts w:ascii="Arial" w:hAnsi="Arial" w:cs="Arial"/>
          <w:sz w:val="24"/>
          <w:szCs w:val="24"/>
        </w:rPr>
        <w:t>establecidos en los municipios y/o demarcaciones territoriales que conformaron las Zonas Metropolitanas del país.</w:t>
      </w:r>
      <w:r w:rsidR="007429DB">
        <w:rPr>
          <w:rFonts w:ascii="Arial" w:hAnsi="Arial" w:cs="Arial"/>
          <w:sz w:val="24"/>
          <w:szCs w:val="24"/>
        </w:rPr>
        <w:t xml:space="preserve"> </w:t>
      </w:r>
    </w:p>
    <w:p w14:paraId="03DF8C46" w14:textId="47E6FFEB" w:rsidR="007429DB" w:rsidRPr="007429DB" w:rsidRDefault="00F9304F" w:rsidP="007429DB">
      <w:pPr>
        <w:pStyle w:val="Prrafodelista"/>
        <w:numPr>
          <w:ilvl w:val="0"/>
          <w:numId w:val="1"/>
        </w:numPr>
        <w:ind w:left="284" w:right="567"/>
        <w:jc w:val="both"/>
        <w:rPr>
          <w:rFonts w:ascii="Arial" w:hAnsi="Arial" w:cs="Arial"/>
          <w:sz w:val="24"/>
          <w:szCs w:val="24"/>
        </w:rPr>
      </w:pPr>
      <w:r>
        <w:rPr>
          <w:rFonts w:ascii="Arial" w:hAnsi="Arial" w:cs="Arial"/>
          <w:color w:val="000000"/>
          <w:sz w:val="24"/>
          <w:szCs w:val="24"/>
        </w:rPr>
        <w:t xml:space="preserve">A </w:t>
      </w:r>
      <w:r w:rsidR="007429DB" w:rsidRPr="007429DB">
        <w:rPr>
          <w:rFonts w:ascii="Arial" w:hAnsi="Arial" w:cs="Arial"/>
          <w:color w:val="000000"/>
          <w:sz w:val="24"/>
          <w:szCs w:val="24"/>
        </w:rPr>
        <w:t>nivel nacional se reportaron 6 409 932 fosas o tumbas</w:t>
      </w:r>
      <w:r>
        <w:rPr>
          <w:rFonts w:ascii="Arial" w:hAnsi="Arial" w:cs="Arial"/>
          <w:color w:val="000000"/>
          <w:sz w:val="24"/>
          <w:szCs w:val="24"/>
        </w:rPr>
        <w:t>. D</w:t>
      </w:r>
      <w:r w:rsidR="007429DB" w:rsidRPr="007429DB">
        <w:rPr>
          <w:rFonts w:ascii="Arial" w:hAnsi="Arial" w:cs="Arial"/>
          <w:color w:val="000000"/>
          <w:sz w:val="24"/>
          <w:szCs w:val="24"/>
        </w:rPr>
        <w:t>e ellas, 80.8% estuvieron ocupadas y 18.8% disponibles.</w:t>
      </w:r>
      <w:r w:rsidR="007429DB">
        <w:rPr>
          <w:rStyle w:val="Refdenotaalpie"/>
          <w:rFonts w:ascii="Arial" w:hAnsi="Arial" w:cs="Arial"/>
          <w:color w:val="000000"/>
          <w:sz w:val="24"/>
          <w:szCs w:val="24"/>
        </w:rPr>
        <w:footnoteReference w:id="1"/>
      </w:r>
      <w:r w:rsidR="007429DB" w:rsidRPr="007429DB">
        <w:rPr>
          <w:rFonts w:ascii="Arial" w:hAnsi="Arial" w:cs="Arial"/>
          <w:color w:val="000000"/>
          <w:sz w:val="24"/>
          <w:szCs w:val="24"/>
        </w:rPr>
        <w:t xml:space="preserve"> </w:t>
      </w:r>
    </w:p>
    <w:p w14:paraId="4329E9DD" w14:textId="5DADDF18" w:rsidR="007429DB" w:rsidRDefault="007429DB" w:rsidP="007429DB">
      <w:pPr>
        <w:pStyle w:val="Prrafodelista"/>
        <w:numPr>
          <w:ilvl w:val="0"/>
          <w:numId w:val="1"/>
        </w:numPr>
        <w:ind w:left="284" w:right="567"/>
        <w:jc w:val="both"/>
        <w:rPr>
          <w:rFonts w:ascii="Arial" w:hAnsi="Arial" w:cs="Arial"/>
          <w:color w:val="000000"/>
          <w:sz w:val="24"/>
          <w:szCs w:val="24"/>
        </w:rPr>
      </w:pPr>
      <w:r w:rsidRPr="007429DB">
        <w:rPr>
          <w:rFonts w:ascii="Arial" w:hAnsi="Arial" w:cs="Arial"/>
          <w:color w:val="000000"/>
          <w:sz w:val="24"/>
          <w:szCs w:val="24"/>
        </w:rPr>
        <w:t>A nivel nacional, 226 panteones contaron con fosas comunes</w:t>
      </w:r>
      <w:r w:rsidR="00F9304F">
        <w:rPr>
          <w:rFonts w:ascii="Arial" w:hAnsi="Arial" w:cs="Arial"/>
          <w:color w:val="000000"/>
          <w:sz w:val="24"/>
          <w:szCs w:val="24"/>
        </w:rPr>
        <w:t>. E</w:t>
      </w:r>
      <w:r w:rsidRPr="007429DB">
        <w:rPr>
          <w:rFonts w:ascii="Arial" w:hAnsi="Arial" w:cs="Arial"/>
          <w:color w:val="000000"/>
          <w:sz w:val="24"/>
          <w:szCs w:val="24"/>
        </w:rPr>
        <w:t xml:space="preserve">n ellos se reportaron 8 032 fosas comunes en operación y 10 241 fuera de operación. </w:t>
      </w:r>
    </w:p>
    <w:p w14:paraId="465ED2EB" w14:textId="0FA0CBAF" w:rsidR="00A214C6" w:rsidRPr="00F759B1" w:rsidRDefault="00A214C6" w:rsidP="00EF1D04">
      <w:pPr>
        <w:pStyle w:val="Prrafodelista"/>
        <w:ind w:left="284" w:right="567"/>
        <w:jc w:val="both"/>
        <w:rPr>
          <w:rFonts w:ascii="Arial" w:hAnsi="Arial" w:cs="Arial"/>
          <w:sz w:val="24"/>
          <w:szCs w:val="24"/>
        </w:rPr>
      </w:pPr>
    </w:p>
    <w:p w14:paraId="3C3223CB" w14:textId="5D5886C7" w:rsidR="008277FB" w:rsidRDefault="00A214C6" w:rsidP="007816A8">
      <w:pPr>
        <w:spacing w:after="0" w:line="240" w:lineRule="auto"/>
        <w:ind w:left="-567"/>
        <w:jc w:val="both"/>
        <w:rPr>
          <w:rFonts w:ascii="Arial" w:hAnsi="Arial" w:cs="Arial"/>
          <w:color w:val="000000"/>
          <w:sz w:val="24"/>
          <w:szCs w:val="24"/>
        </w:rPr>
      </w:pPr>
      <w:r w:rsidRPr="00610160">
        <w:rPr>
          <w:rFonts w:ascii="Arial" w:hAnsi="Arial" w:cs="Arial"/>
          <w:color w:val="000000"/>
          <w:sz w:val="24"/>
          <w:szCs w:val="24"/>
        </w:rPr>
        <w:t xml:space="preserve">El Instituto Nacional de Estadística y Geografía (INEGI) </w:t>
      </w:r>
      <w:r w:rsidR="00813B61" w:rsidRPr="00813B61">
        <w:rPr>
          <w:rFonts w:ascii="Arial" w:hAnsi="Arial" w:cs="Arial"/>
          <w:color w:val="000000"/>
          <w:sz w:val="24"/>
          <w:szCs w:val="24"/>
        </w:rPr>
        <w:t>presenta los resultados de la Recopilación de Información de los Cementerios Públicos en las Zonas Metropolitanas del país</w:t>
      </w:r>
      <w:r w:rsidR="003F5271">
        <w:rPr>
          <w:rStyle w:val="Refdenotaalpie"/>
          <w:rFonts w:ascii="Arial" w:hAnsi="Arial" w:cs="Arial"/>
          <w:color w:val="000000"/>
          <w:sz w:val="24"/>
          <w:szCs w:val="24"/>
        </w:rPr>
        <w:footnoteReference w:id="2"/>
      </w:r>
      <w:r w:rsidR="00813B61" w:rsidRPr="00813B61">
        <w:rPr>
          <w:rFonts w:ascii="Arial" w:hAnsi="Arial" w:cs="Arial"/>
          <w:color w:val="000000"/>
          <w:sz w:val="24"/>
          <w:szCs w:val="24"/>
        </w:rPr>
        <w:t xml:space="preserve">  (RICPZMP) 202</w:t>
      </w:r>
      <w:r w:rsidR="00813B61">
        <w:rPr>
          <w:rFonts w:ascii="Arial" w:hAnsi="Arial" w:cs="Arial"/>
          <w:color w:val="000000"/>
          <w:sz w:val="24"/>
          <w:szCs w:val="24"/>
        </w:rPr>
        <w:t>1</w:t>
      </w:r>
      <w:r w:rsidR="00BF6161">
        <w:rPr>
          <w:rFonts w:ascii="Arial" w:hAnsi="Arial" w:cs="Arial"/>
          <w:color w:val="000000"/>
          <w:sz w:val="24"/>
          <w:szCs w:val="24"/>
        </w:rPr>
        <w:t>. Su</w:t>
      </w:r>
      <w:r w:rsidR="00813B61" w:rsidRPr="00813B61">
        <w:rPr>
          <w:rFonts w:ascii="Arial" w:hAnsi="Arial" w:cs="Arial"/>
          <w:color w:val="000000"/>
          <w:sz w:val="24"/>
          <w:szCs w:val="24"/>
        </w:rPr>
        <w:t xml:space="preserve"> objetivo </w:t>
      </w:r>
      <w:r w:rsidR="00BF6161">
        <w:rPr>
          <w:rFonts w:ascii="Arial" w:hAnsi="Arial" w:cs="Arial"/>
          <w:color w:val="000000"/>
          <w:sz w:val="24"/>
          <w:szCs w:val="24"/>
        </w:rPr>
        <w:t xml:space="preserve">es </w:t>
      </w:r>
      <w:r w:rsidR="00813B61" w:rsidRPr="00813B61">
        <w:rPr>
          <w:rFonts w:ascii="Arial" w:hAnsi="Arial" w:cs="Arial"/>
          <w:color w:val="000000"/>
          <w:sz w:val="24"/>
          <w:szCs w:val="24"/>
        </w:rPr>
        <w:t xml:space="preserve">obtener y generar información estadística y geográfica sobre la administración, capacidad </w:t>
      </w:r>
      <w:r w:rsidR="00BF6161">
        <w:rPr>
          <w:rFonts w:ascii="Arial" w:hAnsi="Arial" w:cs="Arial"/>
          <w:color w:val="000000"/>
          <w:sz w:val="24"/>
          <w:szCs w:val="24"/>
        </w:rPr>
        <w:t xml:space="preserve">y manejo de los restos mortales por parte </w:t>
      </w:r>
      <w:r w:rsidR="00813B61" w:rsidRPr="00813B61">
        <w:rPr>
          <w:rFonts w:ascii="Arial" w:hAnsi="Arial" w:cs="Arial"/>
          <w:color w:val="000000"/>
          <w:sz w:val="24"/>
          <w:szCs w:val="24"/>
        </w:rPr>
        <w:t>de los panteones o cementerios en las zonas metropolitanas del país</w:t>
      </w:r>
      <w:r w:rsidR="003E472F">
        <w:rPr>
          <w:rFonts w:ascii="Arial" w:hAnsi="Arial" w:cs="Arial"/>
          <w:color w:val="000000"/>
          <w:sz w:val="24"/>
          <w:szCs w:val="24"/>
        </w:rPr>
        <w:t>,</w:t>
      </w:r>
      <w:r w:rsidR="00813B61" w:rsidRPr="00813B61">
        <w:rPr>
          <w:rFonts w:ascii="Arial" w:hAnsi="Arial" w:cs="Arial"/>
          <w:color w:val="000000"/>
          <w:sz w:val="24"/>
          <w:szCs w:val="24"/>
        </w:rPr>
        <w:t xml:space="preserve"> cuya administración </w:t>
      </w:r>
      <w:r w:rsidR="00BF6161">
        <w:rPr>
          <w:rFonts w:ascii="Arial" w:hAnsi="Arial" w:cs="Arial"/>
          <w:color w:val="000000"/>
          <w:sz w:val="24"/>
          <w:szCs w:val="24"/>
        </w:rPr>
        <w:t>corresponde</w:t>
      </w:r>
      <w:r w:rsidR="00813B61" w:rsidRPr="00813B61">
        <w:rPr>
          <w:rFonts w:ascii="Arial" w:hAnsi="Arial" w:cs="Arial"/>
          <w:color w:val="000000"/>
          <w:sz w:val="24"/>
          <w:szCs w:val="24"/>
        </w:rPr>
        <w:t xml:space="preserve"> al sector público municipal. Asimismo, este ejercicio busca identificar los servicios brindados por los panteones durante 2020.</w:t>
      </w:r>
    </w:p>
    <w:p w14:paraId="06BF1732" w14:textId="77979A56" w:rsidR="003F5271" w:rsidRDefault="003F5271" w:rsidP="007816A8">
      <w:pPr>
        <w:spacing w:after="0" w:line="240" w:lineRule="auto"/>
        <w:ind w:left="-567"/>
        <w:jc w:val="both"/>
        <w:rPr>
          <w:rFonts w:ascii="Arial" w:hAnsi="Arial" w:cs="Arial"/>
          <w:color w:val="000000"/>
          <w:sz w:val="24"/>
          <w:szCs w:val="24"/>
        </w:rPr>
      </w:pPr>
    </w:p>
    <w:p w14:paraId="0E08CEDB" w14:textId="60237DDB" w:rsidR="003F5271" w:rsidRDefault="003F5271" w:rsidP="007816A8">
      <w:pPr>
        <w:spacing w:after="0" w:line="240" w:lineRule="auto"/>
        <w:ind w:left="-567"/>
        <w:jc w:val="both"/>
        <w:rPr>
          <w:rFonts w:ascii="Arial" w:hAnsi="Arial" w:cs="Arial"/>
          <w:color w:val="000000"/>
          <w:sz w:val="24"/>
          <w:szCs w:val="24"/>
        </w:rPr>
      </w:pPr>
      <w:r w:rsidRPr="003F5271">
        <w:rPr>
          <w:rFonts w:ascii="Arial" w:hAnsi="Arial" w:cs="Arial"/>
          <w:color w:val="000000"/>
          <w:sz w:val="24"/>
          <w:szCs w:val="24"/>
        </w:rPr>
        <w:t xml:space="preserve">De acuerdo con los resultados de la Recopilación de Información de los Cementerios Públicos en las Zonas Metropolitanas del País 2021, </w:t>
      </w:r>
      <w:r>
        <w:rPr>
          <w:rFonts w:ascii="Arial" w:hAnsi="Arial" w:cs="Arial"/>
          <w:color w:val="000000"/>
          <w:sz w:val="24"/>
          <w:szCs w:val="24"/>
        </w:rPr>
        <w:t>durante</w:t>
      </w:r>
      <w:r w:rsidRPr="003F5271">
        <w:rPr>
          <w:rFonts w:ascii="Arial" w:hAnsi="Arial" w:cs="Arial"/>
          <w:color w:val="000000"/>
          <w:sz w:val="24"/>
          <w:szCs w:val="24"/>
        </w:rPr>
        <w:t xml:space="preserve"> 2020 se reportaron </w:t>
      </w:r>
      <w:r>
        <w:rPr>
          <w:rFonts w:ascii="Arial" w:hAnsi="Arial" w:cs="Arial"/>
          <w:color w:val="000000"/>
          <w:sz w:val="24"/>
          <w:szCs w:val="24"/>
        </w:rPr>
        <w:t>1 452</w:t>
      </w:r>
      <w:r w:rsidRPr="003F5271">
        <w:rPr>
          <w:rFonts w:ascii="Arial" w:hAnsi="Arial" w:cs="Arial"/>
          <w:color w:val="000000"/>
          <w:sz w:val="24"/>
          <w:szCs w:val="24"/>
        </w:rPr>
        <w:t xml:space="preserve"> panteones establecidos en los municipios y/o demarcaciones territoriales que conformaron las Zonas Metropolitanas del país. </w:t>
      </w:r>
    </w:p>
    <w:p w14:paraId="4CA0258E" w14:textId="059207AD" w:rsidR="003F5271" w:rsidRDefault="003F5271" w:rsidP="007816A8">
      <w:pPr>
        <w:spacing w:after="0" w:line="240" w:lineRule="auto"/>
        <w:ind w:left="-567"/>
        <w:jc w:val="both"/>
        <w:rPr>
          <w:rFonts w:ascii="Arial" w:hAnsi="Arial" w:cs="Arial"/>
          <w:color w:val="000000"/>
          <w:sz w:val="24"/>
          <w:szCs w:val="24"/>
        </w:rPr>
      </w:pPr>
    </w:p>
    <w:p w14:paraId="7BAB5E4A" w14:textId="1161659F" w:rsidR="00931451" w:rsidRDefault="007E2C2A" w:rsidP="00931451">
      <w:pPr>
        <w:pStyle w:val="Default"/>
        <w:ind w:left="-567"/>
        <w:jc w:val="both"/>
      </w:pPr>
      <w:r w:rsidRPr="007E2C2A">
        <w:t xml:space="preserve">Respecto </w:t>
      </w:r>
      <w:r w:rsidR="00BF6161">
        <w:t>al</w:t>
      </w:r>
      <w:r w:rsidRPr="007E2C2A">
        <w:t xml:space="preserve"> personal adscrito </w:t>
      </w:r>
      <w:r w:rsidR="00BF6161">
        <w:t>en</w:t>
      </w:r>
      <w:r w:rsidRPr="007E2C2A">
        <w:t xml:space="preserve"> los panteones administrados por el sector público, a nivel nacional</w:t>
      </w:r>
      <w:r w:rsidR="00BF6161">
        <w:t>,</w:t>
      </w:r>
      <w:r w:rsidRPr="007E2C2A">
        <w:t xml:space="preserve"> se reportaron </w:t>
      </w:r>
      <w:r w:rsidR="00355C9C" w:rsidRPr="00355C9C">
        <w:t>5 337</w:t>
      </w:r>
      <w:r w:rsidRPr="007E2C2A">
        <w:t xml:space="preserve"> personas, de las cuales 79.2% fueron hombres y 20.8%</w:t>
      </w:r>
      <w:r w:rsidR="00BF6161">
        <w:t xml:space="preserve"> </w:t>
      </w:r>
      <w:r w:rsidRPr="007E2C2A">
        <w:t xml:space="preserve"> mujeres.</w:t>
      </w:r>
      <w:r w:rsidR="00931451" w:rsidRPr="00931451">
        <w:t xml:space="preserve"> </w:t>
      </w:r>
      <w:r w:rsidR="00931451" w:rsidRPr="002C2E72">
        <w:t xml:space="preserve">En comparación con lo reportado al cierre de junio de 2020, la cantidad de personal disminuyó 1.2% al cierre de </w:t>
      </w:r>
      <w:r w:rsidR="00596236">
        <w:t xml:space="preserve">diciembre de </w:t>
      </w:r>
      <w:r w:rsidR="00931451" w:rsidRPr="002C2E72">
        <w:t>2020.</w:t>
      </w:r>
    </w:p>
    <w:p w14:paraId="270DCD6C" w14:textId="6214773A" w:rsidR="00355C9C" w:rsidRDefault="00355C9C" w:rsidP="007816A8">
      <w:pPr>
        <w:spacing w:after="0" w:line="240" w:lineRule="auto"/>
        <w:ind w:left="-567"/>
        <w:jc w:val="both"/>
        <w:rPr>
          <w:rFonts w:ascii="Arial" w:hAnsi="Arial" w:cs="Arial"/>
          <w:color w:val="000000"/>
          <w:sz w:val="24"/>
          <w:szCs w:val="24"/>
        </w:rPr>
      </w:pPr>
    </w:p>
    <w:p w14:paraId="462ED425" w14:textId="68600D31" w:rsidR="00355C9C" w:rsidRDefault="00453A3A" w:rsidP="007816A8">
      <w:pPr>
        <w:spacing w:after="0" w:line="240" w:lineRule="auto"/>
        <w:ind w:left="-567"/>
        <w:jc w:val="both"/>
        <w:rPr>
          <w:rFonts w:ascii="Arial" w:hAnsi="Arial" w:cs="Arial"/>
          <w:color w:val="000000"/>
          <w:sz w:val="24"/>
          <w:szCs w:val="24"/>
        </w:rPr>
      </w:pPr>
      <w:r w:rsidRPr="00453A3A">
        <w:rPr>
          <w:rFonts w:ascii="Arial" w:hAnsi="Arial" w:cs="Arial"/>
          <w:color w:val="000000"/>
          <w:sz w:val="24"/>
          <w:szCs w:val="24"/>
        </w:rPr>
        <w:t>Sobre la capacidad instalada (espacios) que tuvieron estos panteones, a nivel nacional se reportaron 6</w:t>
      </w:r>
      <w:r w:rsidR="004A5F00">
        <w:rPr>
          <w:rFonts w:ascii="Arial" w:hAnsi="Arial" w:cs="Arial"/>
          <w:color w:val="000000"/>
          <w:sz w:val="24"/>
          <w:szCs w:val="24"/>
        </w:rPr>
        <w:t xml:space="preserve"> 409 932</w:t>
      </w:r>
      <w:r w:rsidRPr="00453A3A">
        <w:rPr>
          <w:rFonts w:ascii="Arial" w:hAnsi="Arial" w:cs="Arial"/>
          <w:color w:val="000000"/>
          <w:sz w:val="24"/>
          <w:szCs w:val="24"/>
        </w:rPr>
        <w:t xml:space="preserve"> fosas o tumbas</w:t>
      </w:r>
      <w:r w:rsidR="00EA263B">
        <w:rPr>
          <w:rFonts w:ascii="Arial" w:hAnsi="Arial" w:cs="Arial"/>
          <w:color w:val="000000"/>
          <w:sz w:val="24"/>
          <w:szCs w:val="24"/>
        </w:rPr>
        <w:t>. D</w:t>
      </w:r>
      <w:r w:rsidRPr="00453A3A">
        <w:rPr>
          <w:rFonts w:ascii="Arial" w:hAnsi="Arial" w:cs="Arial"/>
          <w:color w:val="000000"/>
          <w:sz w:val="24"/>
          <w:szCs w:val="24"/>
        </w:rPr>
        <w:t>e ellas, 8</w:t>
      </w:r>
      <w:r w:rsidR="004A5F00">
        <w:rPr>
          <w:rFonts w:ascii="Arial" w:hAnsi="Arial" w:cs="Arial"/>
          <w:color w:val="000000"/>
          <w:sz w:val="24"/>
          <w:szCs w:val="24"/>
        </w:rPr>
        <w:t>0.8</w:t>
      </w:r>
      <w:r w:rsidRPr="00453A3A">
        <w:rPr>
          <w:rFonts w:ascii="Arial" w:hAnsi="Arial" w:cs="Arial"/>
          <w:color w:val="000000"/>
          <w:sz w:val="24"/>
          <w:szCs w:val="24"/>
        </w:rPr>
        <w:t>% estuvieron ocupadas y 1</w:t>
      </w:r>
      <w:r w:rsidR="004A5F00">
        <w:rPr>
          <w:rFonts w:ascii="Arial" w:hAnsi="Arial" w:cs="Arial"/>
          <w:color w:val="000000"/>
          <w:sz w:val="24"/>
          <w:szCs w:val="24"/>
        </w:rPr>
        <w:t>8.8</w:t>
      </w:r>
      <w:r w:rsidRPr="00453A3A">
        <w:rPr>
          <w:rFonts w:ascii="Arial" w:hAnsi="Arial" w:cs="Arial"/>
          <w:color w:val="000000"/>
          <w:sz w:val="24"/>
          <w:szCs w:val="24"/>
        </w:rPr>
        <w:t>% disponibles</w:t>
      </w:r>
      <w:r>
        <w:rPr>
          <w:rFonts w:ascii="Arial" w:hAnsi="Arial" w:cs="Arial"/>
          <w:color w:val="000000"/>
          <w:sz w:val="24"/>
          <w:szCs w:val="24"/>
        </w:rPr>
        <w:t>.</w:t>
      </w:r>
      <w:r w:rsidR="004A5F00">
        <w:rPr>
          <w:rStyle w:val="Refdenotaalpie"/>
          <w:rFonts w:ascii="Arial" w:hAnsi="Arial" w:cs="Arial"/>
          <w:color w:val="000000"/>
          <w:sz w:val="24"/>
          <w:szCs w:val="24"/>
        </w:rPr>
        <w:footnoteReference w:id="3"/>
      </w:r>
      <w:r>
        <w:rPr>
          <w:rFonts w:ascii="Arial" w:hAnsi="Arial" w:cs="Arial"/>
          <w:color w:val="000000"/>
          <w:sz w:val="24"/>
          <w:szCs w:val="24"/>
        </w:rPr>
        <w:t xml:space="preserve"> </w:t>
      </w:r>
      <w:r w:rsidR="00596236">
        <w:rPr>
          <w:rFonts w:ascii="Arial" w:hAnsi="Arial" w:cs="Arial"/>
          <w:color w:val="000000"/>
          <w:sz w:val="24"/>
          <w:szCs w:val="24"/>
        </w:rPr>
        <w:t>Respecto de</w:t>
      </w:r>
      <w:r w:rsidR="00A151A3">
        <w:rPr>
          <w:rFonts w:ascii="Arial" w:hAnsi="Arial" w:cs="Arial"/>
          <w:color w:val="000000"/>
          <w:sz w:val="24"/>
          <w:szCs w:val="24"/>
        </w:rPr>
        <w:t xml:space="preserve"> </w:t>
      </w:r>
      <w:r w:rsidR="00596236">
        <w:rPr>
          <w:rFonts w:ascii="Arial" w:hAnsi="Arial" w:cs="Arial"/>
          <w:color w:val="000000"/>
          <w:sz w:val="24"/>
          <w:szCs w:val="24"/>
        </w:rPr>
        <w:t>lo reportado al cierre de junio de 2020</w:t>
      </w:r>
      <w:r w:rsidR="00A151A3">
        <w:rPr>
          <w:rFonts w:ascii="Arial" w:hAnsi="Arial" w:cs="Arial"/>
          <w:color w:val="000000"/>
          <w:sz w:val="24"/>
          <w:szCs w:val="24"/>
        </w:rPr>
        <w:t xml:space="preserve">, el número de fosas o tumbas incrementó </w:t>
      </w:r>
      <w:r w:rsidR="00596236">
        <w:rPr>
          <w:rFonts w:ascii="Arial" w:hAnsi="Arial" w:cs="Arial"/>
          <w:color w:val="000000"/>
          <w:sz w:val="24"/>
          <w:szCs w:val="24"/>
        </w:rPr>
        <w:t>5.1</w:t>
      </w:r>
      <w:r w:rsidR="00A151A3">
        <w:rPr>
          <w:rFonts w:ascii="Arial" w:hAnsi="Arial" w:cs="Arial"/>
          <w:color w:val="000000"/>
          <w:sz w:val="24"/>
          <w:szCs w:val="24"/>
        </w:rPr>
        <w:t>%</w:t>
      </w:r>
      <w:r w:rsidR="00596236">
        <w:rPr>
          <w:rFonts w:ascii="Arial" w:hAnsi="Arial" w:cs="Arial"/>
          <w:color w:val="000000"/>
          <w:sz w:val="24"/>
          <w:szCs w:val="24"/>
        </w:rPr>
        <w:t xml:space="preserve"> al cierre de diciembre de 2020.</w:t>
      </w:r>
    </w:p>
    <w:p w14:paraId="1D30C763" w14:textId="77777777" w:rsidR="00EA263B" w:rsidRDefault="00EA263B" w:rsidP="00EA263B">
      <w:pPr>
        <w:pStyle w:val="Default"/>
        <w:jc w:val="both"/>
      </w:pPr>
    </w:p>
    <w:p w14:paraId="5DC625EE" w14:textId="224A23D7" w:rsidR="00717BB2" w:rsidRDefault="00717BB2" w:rsidP="00717BB2">
      <w:pPr>
        <w:pStyle w:val="Default"/>
        <w:ind w:left="-567"/>
        <w:jc w:val="both"/>
      </w:pPr>
      <w:r w:rsidRPr="000B7A03">
        <w:t>A nivel nacional, 226 panteones contaron con fosas comunes</w:t>
      </w:r>
      <w:r w:rsidR="00EA263B">
        <w:t>;</w:t>
      </w:r>
      <w:r>
        <w:t xml:space="preserve"> en ellos </w:t>
      </w:r>
      <w:r w:rsidRPr="000B7A03">
        <w:t xml:space="preserve">se reportaron 8 032 fosas comunes en operación y 10 241 </w:t>
      </w:r>
      <w:r>
        <w:t>fuera de</w:t>
      </w:r>
      <w:r w:rsidRPr="000B7A03">
        <w:t xml:space="preserve"> operación. </w:t>
      </w:r>
      <w:r w:rsidR="00BF6161">
        <w:t>Por su parte</w:t>
      </w:r>
      <w:r w:rsidRPr="000B7A03">
        <w:t>, la cantidad de cadáveres inhumados en dichas fosas</w:t>
      </w:r>
      <w:r w:rsidR="00AB6486">
        <w:t>, al cierre de diciembre de 2020,</w:t>
      </w:r>
      <w:r w:rsidRPr="000B7A03">
        <w:t xml:space="preserve"> fue de 25 343</w:t>
      </w:r>
      <w:r w:rsidR="00AB6486">
        <w:t xml:space="preserve"> (independientemente del año de realización de la inhumación)</w:t>
      </w:r>
      <w:r w:rsidRPr="000B7A03">
        <w:t xml:space="preserve">. </w:t>
      </w:r>
    </w:p>
    <w:p w14:paraId="05A9D492" w14:textId="6486BB08" w:rsidR="004A5F00" w:rsidRDefault="004A5F00" w:rsidP="007816A8">
      <w:pPr>
        <w:spacing w:after="0" w:line="240" w:lineRule="auto"/>
        <w:ind w:left="-567"/>
        <w:jc w:val="both"/>
        <w:rPr>
          <w:rFonts w:ascii="Arial" w:hAnsi="Arial" w:cs="Arial"/>
          <w:color w:val="000000"/>
          <w:sz w:val="24"/>
          <w:szCs w:val="24"/>
        </w:rPr>
      </w:pPr>
    </w:p>
    <w:p w14:paraId="4214AEDF" w14:textId="77777777" w:rsidR="00EA263B" w:rsidRDefault="00EA263B" w:rsidP="00AB6486">
      <w:pPr>
        <w:pStyle w:val="Default"/>
        <w:spacing w:after="10"/>
        <w:jc w:val="both"/>
      </w:pPr>
    </w:p>
    <w:p w14:paraId="142685D6" w14:textId="25803241" w:rsidR="004A5F00" w:rsidRDefault="00F759B1" w:rsidP="00E34409">
      <w:pPr>
        <w:pStyle w:val="Default"/>
        <w:spacing w:after="10"/>
        <w:ind w:left="-567"/>
        <w:jc w:val="both"/>
      </w:pPr>
      <w:r w:rsidRPr="00F759B1">
        <w:t>Al cierre de 2019 se registró un total de 154 692 inhumaciones, mientras que para 2020 se repor</w:t>
      </w:r>
      <w:r w:rsidR="00EA263B">
        <w:t>taron</w:t>
      </w:r>
      <w:r w:rsidRPr="00F759B1">
        <w:t xml:space="preserve"> 198 686</w:t>
      </w:r>
      <w:r w:rsidR="00EA263B">
        <w:t>;</w:t>
      </w:r>
      <w:r w:rsidR="00BF6161">
        <w:t xml:space="preserve"> e</w:t>
      </w:r>
      <w:r w:rsidRPr="00F759B1">
        <w:t>sto representó un aumento de 28.4</w:t>
      </w:r>
      <w:r w:rsidR="00EA263B">
        <w:t xml:space="preserve"> por ciento</w:t>
      </w:r>
      <w:r w:rsidRPr="00F759B1">
        <w:t>. En tanto, para el primer trimestre de 2021 se reportó un total de 61,657 inhumaciones.</w:t>
      </w:r>
    </w:p>
    <w:p w14:paraId="2DBF680A" w14:textId="77777777" w:rsidR="00F759B1" w:rsidRDefault="00F759B1" w:rsidP="004A5F00">
      <w:pPr>
        <w:pStyle w:val="Default"/>
        <w:spacing w:after="10"/>
        <w:ind w:left="-567" w:right="-518"/>
        <w:jc w:val="both"/>
        <w:rPr>
          <w:b/>
          <w:bCs/>
          <w:i/>
          <w:iCs/>
          <w:color w:val="4472C4" w:themeColor="accent1"/>
          <w:sz w:val="20"/>
        </w:rPr>
      </w:pPr>
    </w:p>
    <w:p w14:paraId="291741D3" w14:textId="3646CDC5" w:rsidR="004A5F00" w:rsidRDefault="004A5F00" w:rsidP="004A5F00">
      <w:pPr>
        <w:pStyle w:val="Default"/>
        <w:ind w:left="-567"/>
        <w:jc w:val="both"/>
      </w:pPr>
      <w:r>
        <w:t xml:space="preserve">Para revisar esta y más información, se puede consultar </w:t>
      </w:r>
      <w:r w:rsidRPr="00B3344F">
        <w:t xml:space="preserve">la </w:t>
      </w:r>
      <w:r w:rsidRPr="00A83B63">
        <w:t>Recopilación de Información de los Cementerios Públicos en las Zonas Metropolitanas del País (RICPZMP) 2021</w:t>
      </w:r>
      <w:r>
        <w:t xml:space="preserve"> en: </w:t>
      </w:r>
      <w:r w:rsidR="00596236" w:rsidRPr="00596236">
        <w:rPr>
          <w:color w:val="0000FF"/>
          <w:u w:val="single"/>
        </w:rPr>
        <w:t>https://www.inegi.org.mx/programas/ricpzmp/2020/</w:t>
      </w:r>
    </w:p>
    <w:p w14:paraId="7C4507ED" w14:textId="77777777" w:rsidR="004A5F00" w:rsidRDefault="004A5F00" w:rsidP="004A5F00">
      <w:pPr>
        <w:pStyle w:val="Default"/>
        <w:ind w:left="-567"/>
        <w:jc w:val="both"/>
      </w:pPr>
    </w:p>
    <w:p w14:paraId="7F4E0BDA" w14:textId="77777777" w:rsidR="004A5F00" w:rsidRDefault="004A5F00" w:rsidP="004A5F00">
      <w:pPr>
        <w:pStyle w:val="Default"/>
        <w:jc w:val="center"/>
        <w:rPr>
          <w:b/>
        </w:rPr>
      </w:pPr>
    </w:p>
    <w:p w14:paraId="702994AA" w14:textId="77777777" w:rsidR="004A5F00" w:rsidRDefault="004A5F00" w:rsidP="004A5F00">
      <w:pPr>
        <w:pStyle w:val="Default"/>
        <w:jc w:val="center"/>
        <w:rPr>
          <w:b/>
        </w:rPr>
      </w:pPr>
    </w:p>
    <w:p w14:paraId="0639424F" w14:textId="77777777" w:rsidR="004A5F00" w:rsidRDefault="004A5F00" w:rsidP="004A5F00">
      <w:pPr>
        <w:pStyle w:val="Default"/>
        <w:jc w:val="center"/>
        <w:rPr>
          <w:b/>
        </w:rPr>
      </w:pPr>
      <w:bookmarkStart w:id="1" w:name="_Hlk54622182"/>
      <w:r w:rsidRPr="0030495D">
        <w:rPr>
          <w:b/>
        </w:rPr>
        <w:t>Se anexa Nota técnica</w:t>
      </w:r>
    </w:p>
    <w:bookmarkEnd w:id="1"/>
    <w:p w14:paraId="5DB1909D" w14:textId="77777777" w:rsidR="004A5F00" w:rsidRDefault="004A5F00" w:rsidP="004A5F00">
      <w:pPr>
        <w:pStyle w:val="Default"/>
        <w:jc w:val="center"/>
        <w:rPr>
          <w:b/>
        </w:rPr>
      </w:pPr>
    </w:p>
    <w:p w14:paraId="0005AE8E" w14:textId="77777777" w:rsidR="004A5F00" w:rsidRDefault="004A5F00" w:rsidP="004A5F00">
      <w:pPr>
        <w:pStyle w:val="Default"/>
        <w:jc w:val="center"/>
        <w:rPr>
          <w:b/>
        </w:rPr>
      </w:pPr>
    </w:p>
    <w:p w14:paraId="25F359CD" w14:textId="77777777" w:rsidR="004A5F00" w:rsidRDefault="004A5F00" w:rsidP="004A5F00">
      <w:pPr>
        <w:pStyle w:val="Default"/>
        <w:jc w:val="center"/>
        <w:rPr>
          <w:b/>
        </w:rPr>
      </w:pPr>
    </w:p>
    <w:p w14:paraId="03C8CA2B" w14:textId="014A4FD9" w:rsidR="004A5F00" w:rsidRDefault="004A5F00" w:rsidP="004A5F00">
      <w:pPr>
        <w:pStyle w:val="Default"/>
        <w:jc w:val="center"/>
        <w:rPr>
          <w:b/>
        </w:rPr>
      </w:pPr>
    </w:p>
    <w:p w14:paraId="1AE5EA30" w14:textId="0155E951" w:rsidR="00EA263B" w:rsidRDefault="00EA263B" w:rsidP="004A5F00">
      <w:pPr>
        <w:pStyle w:val="Default"/>
        <w:jc w:val="center"/>
        <w:rPr>
          <w:b/>
        </w:rPr>
      </w:pPr>
    </w:p>
    <w:p w14:paraId="57E4780B" w14:textId="72DE1540" w:rsidR="00EA263B" w:rsidRDefault="00EA263B" w:rsidP="004A5F00">
      <w:pPr>
        <w:pStyle w:val="Default"/>
        <w:jc w:val="center"/>
        <w:rPr>
          <w:b/>
        </w:rPr>
      </w:pPr>
    </w:p>
    <w:p w14:paraId="4CE21E60" w14:textId="19B438E5" w:rsidR="00EA263B" w:rsidRDefault="00EA263B" w:rsidP="004A5F00">
      <w:pPr>
        <w:pStyle w:val="Default"/>
        <w:jc w:val="center"/>
        <w:rPr>
          <w:b/>
        </w:rPr>
      </w:pPr>
    </w:p>
    <w:p w14:paraId="31F771DF" w14:textId="7CD85931" w:rsidR="00EA263B" w:rsidRDefault="00EA263B" w:rsidP="004A5F00">
      <w:pPr>
        <w:pStyle w:val="Default"/>
        <w:jc w:val="center"/>
        <w:rPr>
          <w:b/>
        </w:rPr>
      </w:pPr>
    </w:p>
    <w:p w14:paraId="12E29D32" w14:textId="1AB54C53" w:rsidR="00EA263B" w:rsidRDefault="00EA263B" w:rsidP="004A5F00">
      <w:pPr>
        <w:pStyle w:val="Default"/>
        <w:jc w:val="center"/>
        <w:rPr>
          <w:b/>
        </w:rPr>
      </w:pPr>
    </w:p>
    <w:p w14:paraId="383DD8BB" w14:textId="37B049D6" w:rsidR="00EA263B" w:rsidRDefault="00EA263B" w:rsidP="004A5F00">
      <w:pPr>
        <w:pStyle w:val="Default"/>
        <w:jc w:val="center"/>
        <w:rPr>
          <w:b/>
        </w:rPr>
      </w:pPr>
    </w:p>
    <w:p w14:paraId="010D70A9" w14:textId="77777777" w:rsidR="00EA263B" w:rsidRDefault="00EA263B" w:rsidP="004A5F00">
      <w:pPr>
        <w:pStyle w:val="Default"/>
        <w:jc w:val="center"/>
        <w:rPr>
          <w:b/>
        </w:rPr>
      </w:pPr>
    </w:p>
    <w:p w14:paraId="49008C0B" w14:textId="2E8570E3" w:rsidR="004A5F00" w:rsidRDefault="004A5F00" w:rsidP="004A5F00">
      <w:pPr>
        <w:pStyle w:val="Default"/>
        <w:jc w:val="center"/>
        <w:rPr>
          <w:b/>
        </w:rPr>
      </w:pPr>
    </w:p>
    <w:p w14:paraId="50488011" w14:textId="0865F095" w:rsidR="00EA263B" w:rsidRDefault="00EA263B" w:rsidP="004A5F00">
      <w:pPr>
        <w:pStyle w:val="Default"/>
        <w:jc w:val="center"/>
        <w:rPr>
          <w:b/>
        </w:rPr>
      </w:pPr>
    </w:p>
    <w:p w14:paraId="49CB46E4" w14:textId="166B6C9A" w:rsidR="00EA263B" w:rsidRDefault="00EA263B" w:rsidP="004A5F00">
      <w:pPr>
        <w:pStyle w:val="Default"/>
        <w:jc w:val="center"/>
        <w:rPr>
          <w:b/>
        </w:rPr>
      </w:pPr>
    </w:p>
    <w:p w14:paraId="32320645" w14:textId="442752FE" w:rsidR="00EA263B" w:rsidRDefault="00EA263B" w:rsidP="004A5F00">
      <w:pPr>
        <w:pStyle w:val="Default"/>
        <w:jc w:val="center"/>
        <w:rPr>
          <w:b/>
        </w:rPr>
      </w:pPr>
    </w:p>
    <w:p w14:paraId="33A7B084" w14:textId="432B946A" w:rsidR="00EA263B" w:rsidRDefault="00EA263B" w:rsidP="004A5F00">
      <w:pPr>
        <w:pStyle w:val="Default"/>
        <w:jc w:val="center"/>
        <w:rPr>
          <w:b/>
        </w:rPr>
      </w:pPr>
    </w:p>
    <w:p w14:paraId="79E985E3" w14:textId="0EC25E70" w:rsidR="00EA263B" w:rsidRDefault="00EA263B" w:rsidP="004A5F00">
      <w:pPr>
        <w:pStyle w:val="Default"/>
        <w:jc w:val="center"/>
        <w:rPr>
          <w:b/>
        </w:rPr>
      </w:pPr>
    </w:p>
    <w:p w14:paraId="51ADA3A9" w14:textId="0D6C7459" w:rsidR="00EA263B" w:rsidRDefault="00EA263B" w:rsidP="004A5F00">
      <w:pPr>
        <w:pStyle w:val="Default"/>
        <w:jc w:val="center"/>
        <w:rPr>
          <w:b/>
        </w:rPr>
      </w:pPr>
    </w:p>
    <w:p w14:paraId="14B827AB" w14:textId="77D67A79" w:rsidR="00EA263B" w:rsidRDefault="00EA263B" w:rsidP="004A5F00">
      <w:pPr>
        <w:pStyle w:val="Default"/>
        <w:jc w:val="center"/>
        <w:rPr>
          <w:b/>
        </w:rPr>
      </w:pPr>
    </w:p>
    <w:p w14:paraId="7A256C5D" w14:textId="77777777" w:rsidR="00EA263B" w:rsidRDefault="00EA263B" w:rsidP="004A5F00">
      <w:pPr>
        <w:pStyle w:val="Default"/>
        <w:jc w:val="center"/>
        <w:rPr>
          <w:b/>
        </w:rPr>
      </w:pPr>
    </w:p>
    <w:p w14:paraId="35095338" w14:textId="77777777" w:rsidR="004A5F00" w:rsidRPr="00CA3E22" w:rsidRDefault="004A5F00" w:rsidP="004A5F00">
      <w:pPr>
        <w:pStyle w:val="NormalWeb"/>
        <w:spacing w:before="0" w:beforeAutospacing="0" w:after="0" w:afterAutospacing="0"/>
        <w:ind w:left="-426" w:right="-518"/>
        <w:contextualSpacing/>
        <w:jc w:val="center"/>
        <w:rPr>
          <w:rFonts w:ascii="Arial" w:hAnsi="Arial" w:cs="Arial"/>
          <w:sz w:val="22"/>
          <w:szCs w:val="22"/>
        </w:rPr>
      </w:pPr>
      <w:r w:rsidRPr="00CA3E22">
        <w:rPr>
          <w:rFonts w:ascii="Arial" w:hAnsi="Arial" w:cs="Arial"/>
          <w:sz w:val="22"/>
          <w:szCs w:val="22"/>
        </w:rPr>
        <w:t xml:space="preserve">Para consultas de medios y periodistas, contactar a: </w:t>
      </w:r>
      <w:hyperlink r:id="rId11" w:history="1">
        <w:r w:rsidRPr="00CA3E22">
          <w:rPr>
            <w:rStyle w:val="Hipervnculo"/>
            <w:rFonts w:ascii="Arial" w:hAnsi="Arial" w:cs="Arial"/>
            <w:sz w:val="22"/>
            <w:szCs w:val="22"/>
          </w:rPr>
          <w:t>comunicacionsocial@inegi.org.mx</w:t>
        </w:r>
      </w:hyperlink>
      <w:r w:rsidRPr="00CA3E22">
        <w:rPr>
          <w:rFonts w:ascii="Arial" w:hAnsi="Arial" w:cs="Arial"/>
          <w:sz w:val="22"/>
          <w:szCs w:val="22"/>
        </w:rPr>
        <w:t xml:space="preserve"> </w:t>
      </w:r>
    </w:p>
    <w:p w14:paraId="41CA6149" w14:textId="77777777" w:rsidR="004A5F00" w:rsidRPr="00CA3E22" w:rsidRDefault="004A5F00" w:rsidP="004A5F00">
      <w:pPr>
        <w:pStyle w:val="NormalWeb"/>
        <w:spacing w:before="0" w:beforeAutospacing="0" w:after="0" w:afterAutospacing="0"/>
        <w:ind w:left="-426" w:right="-518"/>
        <w:contextualSpacing/>
        <w:jc w:val="center"/>
        <w:rPr>
          <w:rFonts w:ascii="Arial" w:hAnsi="Arial" w:cs="Arial"/>
          <w:sz w:val="22"/>
          <w:szCs w:val="22"/>
        </w:rPr>
      </w:pPr>
      <w:r w:rsidRPr="00CA3E22">
        <w:rPr>
          <w:rFonts w:ascii="Arial" w:hAnsi="Arial" w:cs="Arial"/>
          <w:sz w:val="22"/>
          <w:szCs w:val="22"/>
        </w:rPr>
        <w:t xml:space="preserve">o llamar al teléfono (55) 52-78-10-00, </w:t>
      </w:r>
      <w:proofErr w:type="spellStart"/>
      <w:r w:rsidRPr="00CA3E22">
        <w:rPr>
          <w:rFonts w:ascii="Arial" w:hAnsi="Arial" w:cs="Arial"/>
          <w:sz w:val="22"/>
          <w:szCs w:val="22"/>
        </w:rPr>
        <w:t>exts</w:t>
      </w:r>
      <w:proofErr w:type="spellEnd"/>
      <w:r w:rsidRPr="00CA3E22">
        <w:rPr>
          <w:rFonts w:ascii="Arial" w:hAnsi="Arial" w:cs="Arial"/>
          <w:sz w:val="22"/>
          <w:szCs w:val="22"/>
        </w:rPr>
        <w:t>. 1134, 1260 y 1241</w:t>
      </w:r>
    </w:p>
    <w:p w14:paraId="0C031479" w14:textId="77777777" w:rsidR="004A5F00" w:rsidRPr="00CA3E22" w:rsidRDefault="004A5F00" w:rsidP="004A5F00">
      <w:pPr>
        <w:ind w:left="-426" w:right="-518"/>
        <w:contextualSpacing/>
        <w:jc w:val="center"/>
        <w:rPr>
          <w:rFonts w:ascii="Arial" w:hAnsi="Arial" w:cs="Arial"/>
        </w:rPr>
      </w:pPr>
    </w:p>
    <w:p w14:paraId="6D352F76" w14:textId="77777777" w:rsidR="004A5F00" w:rsidRPr="00CA3E22" w:rsidRDefault="004A5F00" w:rsidP="004A5F00">
      <w:pPr>
        <w:ind w:left="-426" w:right="-518"/>
        <w:contextualSpacing/>
        <w:jc w:val="center"/>
        <w:rPr>
          <w:rFonts w:ascii="Arial" w:hAnsi="Arial" w:cs="Arial"/>
        </w:rPr>
      </w:pPr>
      <w:r w:rsidRPr="00CA3E22">
        <w:rPr>
          <w:rFonts w:ascii="Arial" w:hAnsi="Arial" w:cs="Arial"/>
        </w:rPr>
        <w:t>Dirección de Atención a Medios / Dirección General Adjunta de Comunicación</w:t>
      </w:r>
    </w:p>
    <w:p w14:paraId="2C6AA2FA" w14:textId="77777777" w:rsidR="004A5F00" w:rsidRPr="005951BC" w:rsidRDefault="004A5F00" w:rsidP="004A5F00">
      <w:pPr>
        <w:ind w:left="-426" w:right="-518"/>
        <w:contextualSpacing/>
        <w:jc w:val="center"/>
        <w:rPr>
          <w:sz w:val="20"/>
          <w:szCs w:val="20"/>
        </w:rPr>
      </w:pPr>
    </w:p>
    <w:p w14:paraId="3EB8EE89" w14:textId="77777777" w:rsidR="00F9304F" w:rsidRDefault="004A5F00" w:rsidP="004A5F00">
      <w:pPr>
        <w:ind w:left="-425" w:right="-516"/>
        <w:contextualSpacing/>
        <w:jc w:val="center"/>
        <w:rPr>
          <w:noProof/>
          <w:lang w:eastAsia="es-MX"/>
        </w:rPr>
        <w:sectPr w:rsidR="00F9304F" w:rsidSect="00EE62DF">
          <w:headerReference w:type="default" r:id="rId12"/>
          <w:footerReference w:type="default" r:id="rId13"/>
          <w:type w:val="continuous"/>
          <w:pgSz w:w="12240" w:h="15840"/>
          <w:pgMar w:top="1417" w:right="1183" w:bottom="1134" w:left="1701" w:header="708" w:footer="708" w:gutter="0"/>
          <w:cols w:space="708"/>
          <w:docGrid w:linePitch="360"/>
        </w:sectPr>
      </w:pPr>
      <w:r w:rsidRPr="00FF1218">
        <w:rPr>
          <w:noProof/>
          <w:lang w:eastAsia="es-MX"/>
        </w:rPr>
        <w:drawing>
          <wp:inline distT="0" distB="0" distL="0" distR="0" wp14:anchorId="64A51BE7" wp14:editId="2D2C53F2">
            <wp:extent cx="274320" cy="365760"/>
            <wp:effectExtent l="0" t="0" r="0" b="0"/>
            <wp:docPr id="5" name="Imagen 5" descr="C:\Users\saladeprensa\Desktop\NVOS LOGOS\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189D3B64" wp14:editId="62FC21F3">
            <wp:extent cx="365760" cy="365760"/>
            <wp:effectExtent l="0" t="0" r="0" b="0"/>
            <wp:docPr id="10" name="Imagen 10" descr="C:\Users\saladeprensa\Desktop\NVOS LOGOS\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7DAF5113" wp14:editId="49C63206">
            <wp:extent cx="365760" cy="365760"/>
            <wp:effectExtent l="0" t="0" r="0" b="0"/>
            <wp:docPr id="11" name="Imagen 11" descr="C:\Users\saladeprensa\Desktop\NVOS LOGOS\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5379EE37" wp14:editId="07B48C40">
            <wp:extent cx="365760" cy="365760"/>
            <wp:effectExtent l="0" t="0" r="0" b="0"/>
            <wp:docPr id="13" name="Imagen 13" descr="C:\Users\saladeprensa\Desktop\NVOS LOGOS\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sz w:val="14"/>
          <w:szCs w:val="18"/>
          <w:lang w:eastAsia="es-MX"/>
        </w:rPr>
        <w:drawing>
          <wp:inline distT="0" distB="0" distL="0" distR="0" wp14:anchorId="347525AE" wp14:editId="33FB8F69">
            <wp:extent cx="2865125" cy="343815"/>
            <wp:effectExtent l="0" t="0" r="0" b="0"/>
            <wp:docPr id="17" name="Imagen 1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6083" cy="348730"/>
                    </a:xfrm>
                    <a:prstGeom prst="rect">
                      <a:avLst/>
                    </a:prstGeom>
                    <a:noFill/>
                    <a:ln>
                      <a:noFill/>
                    </a:ln>
                  </pic:spPr>
                </pic:pic>
              </a:graphicData>
            </a:graphic>
          </wp:inline>
        </w:drawing>
      </w:r>
    </w:p>
    <w:p w14:paraId="11FB13E2" w14:textId="2193D0AB" w:rsidR="004A5F00" w:rsidRPr="00412C31" w:rsidRDefault="004A5F00" w:rsidP="004A5F00">
      <w:pPr>
        <w:ind w:left="-425" w:right="-516"/>
        <w:contextualSpacing/>
        <w:jc w:val="center"/>
        <w:rPr>
          <w:rStyle w:val="Hipervnculo"/>
          <w:snapToGrid w:val="0"/>
        </w:rPr>
      </w:pPr>
    </w:p>
    <w:p w14:paraId="68368E61" w14:textId="77777777" w:rsidR="004A5F00" w:rsidRDefault="004A5F00" w:rsidP="004A5F00">
      <w:pPr>
        <w:pStyle w:val="Default"/>
        <w:jc w:val="center"/>
        <w:rPr>
          <w:b/>
        </w:rPr>
      </w:pPr>
    </w:p>
    <w:p w14:paraId="100111CF" w14:textId="54B98A7B" w:rsidR="004A5F00" w:rsidRDefault="004A5F00" w:rsidP="004A5F00">
      <w:pPr>
        <w:pStyle w:val="Default"/>
        <w:jc w:val="center"/>
        <w:rPr>
          <w:b/>
        </w:rPr>
      </w:pPr>
    </w:p>
    <w:p w14:paraId="6D027AA1" w14:textId="13276C8D" w:rsidR="004A5F00" w:rsidRDefault="004A5F00" w:rsidP="004A5F00">
      <w:pPr>
        <w:pStyle w:val="Default"/>
        <w:jc w:val="center"/>
        <w:rPr>
          <w:b/>
        </w:rPr>
      </w:pPr>
    </w:p>
    <w:p w14:paraId="05DFF09A" w14:textId="77777777" w:rsidR="00EF1D04" w:rsidRDefault="00EF1D04" w:rsidP="004A5F00">
      <w:pPr>
        <w:pStyle w:val="Default"/>
        <w:ind w:left="567" w:right="1276"/>
        <w:jc w:val="center"/>
        <w:rPr>
          <w:b/>
          <w:sz w:val="28"/>
          <w:szCs w:val="28"/>
        </w:rPr>
      </w:pPr>
    </w:p>
    <w:p w14:paraId="35136C1F" w14:textId="4204F5C1" w:rsidR="004A5F00" w:rsidRPr="00F9304F" w:rsidRDefault="004A5F00" w:rsidP="004A5F00">
      <w:pPr>
        <w:pStyle w:val="Default"/>
        <w:ind w:left="567" w:right="1276"/>
        <w:jc w:val="center"/>
        <w:rPr>
          <w:b/>
        </w:rPr>
      </w:pPr>
      <w:r w:rsidRPr="00F9304F">
        <w:rPr>
          <w:b/>
        </w:rPr>
        <w:t xml:space="preserve">NOTA TÉCNICA </w:t>
      </w:r>
    </w:p>
    <w:p w14:paraId="4527B362" w14:textId="77777777" w:rsidR="004A5F00" w:rsidRPr="00F9304F" w:rsidRDefault="004A5F00" w:rsidP="004A5F00">
      <w:pPr>
        <w:pStyle w:val="Default"/>
        <w:ind w:left="567" w:right="1276"/>
        <w:jc w:val="center"/>
        <w:rPr>
          <w:b/>
        </w:rPr>
      </w:pPr>
    </w:p>
    <w:p w14:paraId="0F523674" w14:textId="1056203C" w:rsidR="004A5F00" w:rsidRPr="00F9304F" w:rsidRDefault="004A5F00" w:rsidP="004A5F00">
      <w:pPr>
        <w:pStyle w:val="Default"/>
        <w:ind w:left="567" w:right="1276"/>
        <w:jc w:val="center"/>
        <w:rPr>
          <w:b/>
        </w:rPr>
      </w:pPr>
      <w:r w:rsidRPr="00F9304F">
        <w:rPr>
          <w:b/>
        </w:rPr>
        <w:t>INEGI PRESENTA LA RECOPILACIÓN DE INFORMACIÓN DE LOS CEMENTERIOS PÚBLICOS EN LAS ZONAS METROPOLITANAS DEL PAÍS 2021</w:t>
      </w:r>
    </w:p>
    <w:p w14:paraId="531F59F7" w14:textId="77777777" w:rsidR="004A5F00" w:rsidRDefault="004A5F00" w:rsidP="004A5F00">
      <w:pPr>
        <w:pStyle w:val="Default"/>
        <w:ind w:left="567" w:right="1276"/>
        <w:jc w:val="center"/>
        <w:rPr>
          <w:b/>
        </w:rPr>
      </w:pPr>
    </w:p>
    <w:p w14:paraId="1414DB43" w14:textId="4DFBA9BF" w:rsidR="004A5F00" w:rsidRDefault="004A5F00" w:rsidP="004A5F00">
      <w:pPr>
        <w:pStyle w:val="Default"/>
        <w:ind w:left="-567"/>
        <w:jc w:val="both"/>
      </w:pPr>
      <w:r w:rsidRPr="00A83B63">
        <w:t>La Recopilación de Información de los Cementerios Públicos en las Zonas Metropolitanas del país (RICPZMP) 2021</w:t>
      </w:r>
      <w:r>
        <w:rPr>
          <w:i/>
        </w:rPr>
        <w:t xml:space="preserve"> </w:t>
      </w:r>
      <w:r>
        <w:t xml:space="preserve">surge como un </w:t>
      </w:r>
      <w:r w:rsidR="00A151A3">
        <w:t>programa estadístico especial</w:t>
      </w:r>
      <w:r>
        <w:t xml:space="preserve"> del INEGI en el contexto de la epidemia ocasionada por el virus SARS-CoV2 (COVID 19). Esta recopilación tiene como objetivo</w:t>
      </w:r>
      <w:r w:rsidR="00307948" w:rsidRPr="00307948">
        <w:t xml:space="preserve"> obtener y generar información estadística y geográfica sobre la administración, la capacidad </w:t>
      </w:r>
      <w:r w:rsidR="00BF6161">
        <w:t xml:space="preserve">y el manejo de los restos mortales por parte </w:t>
      </w:r>
      <w:r w:rsidR="00307948" w:rsidRPr="00307948">
        <w:t>de los panteones o cementerios en las zonas metropolitanas del país</w:t>
      </w:r>
      <w:r w:rsidR="00BF6161">
        <w:t xml:space="preserve"> en 2020</w:t>
      </w:r>
      <w:r w:rsidR="008F7D7C">
        <w:t>,</w:t>
      </w:r>
      <w:r w:rsidR="00307948" w:rsidRPr="00307948">
        <w:t xml:space="preserve"> cuya administración </w:t>
      </w:r>
      <w:r w:rsidR="00BF6161">
        <w:t>corresponde</w:t>
      </w:r>
      <w:r w:rsidR="00307948" w:rsidRPr="00307948">
        <w:t xml:space="preserve"> al sector público municipal. Asimismo, este ejercicio busca identificar los servicios brindados por los panteones durante 2020.</w:t>
      </w:r>
    </w:p>
    <w:p w14:paraId="1E82FC27" w14:textId="77777777" w:rsidR="00307948" w:rsidRDefault="00307948" w:rsidP="004A5F00">
      <w:pPr>
        <w:pStyle w:val="Default"/>
        <w:ind w:left="-567"/>
        <w:jc w:val="both"/>
      </w:pPr>
    </w:p>
    <w:p w14:paraId="20892E26" w14:textId="4754BDAF" w:rsidR="008D46A4" w:rsidRDefault="00307948" w:rsidP="004A5F00">
      <w:pPr>
        <w:pStyle w:val="Default"/>
        <w:ind w:left="-567"/>
        <w:jc w:val="both"/>
      </w:pPr>
      <w:r w:rsidRPr="00307948">
        <w:t>En relación con los aspectos metodológicos de la RICPZMP 202</w:t>
      </w:r>
      <w:r>
        <w:t>1</w:t>
      </w:r>
      <w:r w:rsidRPr="00307948">
        <w:t>, se destaca que la cobertura geográfica es nacional</w:t>
      </w:r>
      <w:r>
        <w:t xml:space="preserve"> urbano</w:t>
      </w:r>
      <w:r w:rsidRPr="00307948">
        <w:t>, desglosada en 417 municipios que conforman las 74 zonas metropolitanas del país.</w:t>
      </w:r>
      <w:r>
        <w:rPr>
          <w:rStyle w:val="Refdenotaalpie"/>
        </w:rPr>
        <w:footnoteReference w:id="4"/>
      </w:r>
      <w:r w:rsidRPr="00307948">
        <w:t xml:space="preserve"> </w:t>
      </w:r>
      <w:r w:rsidR="00EF5A5C">
        <w:t xml:space="preserve">Respecto </w:t>
      </w:r>
      <w:r w:rsidR="00A151A3">
        <w:t xml:space="preserve">a </w:t>
      </w:r>
      <w:r w:rsidR="00EF5A5C">
        <w:t xml:space="preserve">la temporalidad, se destaca que la </w:t>
      </w:r>
      <w:r w:rsidR="00EF5A5C" w:rsidRPr="00EF5A5C">
        <w:t>mayor parte refiere a la información existente en el periodo de enero a diciembre de 2020. Sin embargo, algunas preguntas considera</w:t>
      </w:r>
      <w:r w:rsidR="00A151A3">
        <w:t>n</w:t>
      </w:r>
      <w:r w:rsidR="00EF5A5C" w:rsidRPr="00EF5A5C">
        <w:t xml:space="preserve"> como referencia el año inmediato anterior, es decir, la información existente del 1 de enero al 31 de diciembre de 2019. De esta manera, algunas preguntas refieren a información correspondiente a un periodo anual completo</w:t>
      </w:r>
      <w:r w:rsidR="00A151A3">
        <w:t>,</w:t>
      </w:r>
      <w:r w:rsidR="00EF5A5C" w:rsidRPr="00EF5A5C">
        <w:t xml:space="preserve"> ya sea 2019 o 2020, o por periodos específicos; en este último caso, lo referente del 1 de enero al 31 de marzo de 2021.</w:t>
      </w:r>
      <w:r w:rsidR="00EF5A5C">
        <w:t xml:space="preserve"> </w:t>
      </w:r>
      <w:r w:rsidRPr="00307948">
        <w:t xml:space="preserve">La unidad de análisis son los panteones o cementerios </w:t>
      </w:r>
      <w:r w:rsidR="00EF5A5C" w:rsidRPr="00EF5A5C">
        <w:t>ubicado</w:t>
      </w:r>
      <w:r w:rsidR="00EF5A5C">
        <w:t>s</w:t>
      </w:r>
      <w:r w:rsidR="00EF5A5C" w:rsidRPr="00EF5A5C">
        <w:t xml:space="preserve"> en las zonas metropolitanas del país, cuya administración </w:t>
      </w:r>
      <w:r w:rsidR="00BF6161">
        <w:t>corresponde</w:t>
      </w:r>
      <w:r w:rsidR="00EF5A5C" w:rsidRPr="00EF5A5C">
        <w:t xml:space="preserve"> al sector público municipal.</w:t>
      </w:r>
      <w:r w:rsidR="00EF5A5C">
        <w:t xml:space="preserve"> </w:t>
      </w:r>
      <w:r w:rsidRPr="00307948">
        <w:t xml:space="preserve">El periodo de levantamiento </w:t>
      </w:r>
      <w:r w:rsidR="00BF6161">
        <w:t>fue</w:t>
      </w:r>
      <w:r w:rsidR="00EF5A5C" w:rsidRPr="00EF5A5C">
        <w:t xml:space="preserve"> del 22 de marzo al 14 de mayo de 2021</w:t>
      </w:r>
      <w:r w:rsidR="00EF5A5C">
        <w:t xml:space="preserve">. </w:t>
      </w:r>
    </w:p>
    <w:p w14:paraId="3E5AFE64" w14:textId="77777777" w:rsidR="00EF5A5C" w:rsidRDefault="00EF5A5C" w:rsidP="004A5F00">
      <w:pPr>
        <w:pStyle w:val="Default"/>
        <w:ind w:left="-567"/>
        <w:jc w:val="both"/>
      </w:pPr>
    </w:p>
    <w:p w14:paraId="30E0A13A" w14:textId="03E0B8CC" w:rsidR="00EF5A5C" w:rsidRPr="00EF5A5C" w:rsidRDefault="00EF5A5C" w:rsidP="00EF5A5C">
      <w:pPr>
        <w:pStyle w:val="Default"/>
        <w:ind w:left="-567"/>
        <w:jc w:val="both"/>
      </w:pPr>
      <w:r w:rsidRPr="00EF5A5C">
        <w:t xml:space="preserve">Conforme a los datos publicados por la Secretaría de Salud, al 31 de diciembre de 2020, se tenía un acumulado de 125 807 defunciones por COVID-19. De este total, casi 73% de las defunciones por COVID-19 ocurrieron en los 417 municipios que conforman las zonas metropolitanas del país. </w:t>
      </w:r>
    </w:p>
    <w:p w14:paraId="3495F22E" w14:textId="77777777" w:rsidR="00EF5A5C" w:rsidRPr="00EF5A5C" w:rsidRDefault="00EF5A5C" w:rsidP="00EF5A5C">
      <w:pPr>
        <w:pStyle w:val="Default"/>
        <w:ind w:left="-567"/>
        <w:jc w:val="both"/>
      </w:pPr>
    </w:p>
    <w:p w14:paraId="508A8FA2" w14:textId="5F1E28BF" w:rsidR="00EF5A5C" w:rsidRDefault="00EF5A5C" w:rsidP="00EF5A5C">
      <w:pPr>
        <w:pStyle w:val="Default"/>
        <w:ind w:left="-567"/>
        <w:jc w:val="both"/>
      </w:pPr>
      <w:r w:rsidRPr="00EF5A5C">
        <w:t>En este sentido, la selección de municipios cubre aquellos donde está mayormente concentrado el problema de contagio, así como la mayoría de las defunciones. Como resultado, ante el contexto de la pandemia, es en estos municipios donde se podría esperar una mayor saturación del servicio de panteones.</w:t>
      </w:r>
    </w:p>
    <w:p w14:paraId="7A551ADE" w14:textId="2DF4BEE8" w:rsidR="002C2E72" w:rsidRDefault="002C2E72" w:rsidP="00EF5A5C">
      <w:pPr>
        <w:pStyle w:val="Default"/>
        <w:ind w:left="-567"/>
        <w:jc w:val="both"/>
      </w:pPr>
    </w:p>
    <w:p w14:paraId="44C695AA" w14:textId="49C5D7F0" w:rsidR="002C2E72" w:rsidRDefault="002C2E72" w:rsidP="00EF5A5C">
      <w:pPr>
        <w:pStyle w:val="Default"/>
        <w:ind w:left="-567"/>
        <w:jc w:val="both"/>
      </w:pPr>
      <w:r w:rsidRPr="002C2E72">
        <w:t>La presente edición de RICPZMP 202</w:t>
      </w:r>
      <w:r>
        <w:t>1</w:t>
      </w:r>
      <w:r w:rsidRPr="002C2E72">
        <w:t xml:space="preserve"> se muestra </w:t>
      </w:r>
      <w:r w:rsidRPr="00C90D69">
        <w:t xml:space="preserve">en </w:t>
      </w:r>
      <w:r w:rsidR="00C90D69" w:rsidRPr="00C90D69">
        <w:t>13</w:t>
      </w:r>
      <w:r w:rsidRPr="00C90D69">
        <w:t xml:space="preserve"> cuadros</w:t>
      </w:r>
      <w:r w:rsidRPr="002C2E72">
        <w:t xml:space="preserve"> estadísticos, cuyo contenido integra información sobre el manejo de </w:t>
      </w:r>
      <w:r w:rsidR="00BF6161">
        <w:t xml:space="preserve">los </w:t>
      </w:r>
      <w:r w:rsidRPr="002C2E72">
        <w:t>restos mortales</w:t>
      </w:r>
      <w:r>
        <w:t xml:space="preserve"> y</w:t>
      </w:r>
      <w:r w:rsidR="00BF6161">
        <w:t xml:space="preserve"> los</w:t>
      </w:r>
      <w:r w:rsidRPr="002C2E72">
        <w:t xml:space="preserve"> servicios brindados</w:t>
      </w:r>
      <w:r>
        <w:t>.</w:t>
      </w:r>
    </w:p>
    <w:p w14:paraId="28FA6849" w14:textId="77777777" w:rsidR="00A151A3" w:rsidRDefault="00A151A3" w:rsidP="00EF5A5C">
      <w:pPr>
        <w:pStyle w:val="Default"/>
        <w:ind w:left="-567"/>
        <w:jc w:val="both"/>
      </w:pPr>
    </w:p>
    <w:p w14:paraId="7C8780EF" w14:textId="04A47AD2" w:rsidR="002C2E72" w:rsidRDefault="002C2E72" w:rsidP="00EF5A5C">
      <w:pPr>
        <w:pStyle w:val="Default"/>
        <w:ind w:left="-567"/>
        <w:jc w:val="both"/>
      </w:pPr>
      <w:r w:rsidRPr="002C2E72">
        <w:lastRenderedPageBreak/>
        <w:t xml:space="preserve">Entre la información principal que </w:t>
      </w:r>
      <w:r w:rsidR="00BF6161">
        <w:t xml:space="preserve">provee </w:t>
      </w:r>
      <w:r w:rsidRPr="002C2E72">
        <w:t xml:space="preserve">este programa </w:t>
      </w:r>
      <w:r w:rsidR="00A151A3">
        <w:t>especial</w:t>
      </w:r>
      <w:r w:rsidRPr="002C2E72">
        <w:t xml:space="preserve">, destaca </w:t>
      </w:r>
      <w:r w:rsidR="00DF6B33" w:rsidRPr="002C2E72">
        <w:t>que,</w:t>
      </w:r>
      <w:r w:rsidRPr="002C2E72">
        <w:t xml:space="preserve"> </w:t>
      </w:r>
      <w:r>
        <w:t>durante 2020</w:t>
      </w:r>
      <w:r w:rsidR="00BF6161">
        <w:t>,</w:t>
      </w:r>
      <w:r>
        <w:t xml:space="preserve"> se reportaron </w:t>
      </w:r>
      <w:r w:rsidRPr="002C2E72">
        <w:t>1</w:t>
      </w:r>
      <w:r>
        <w:t xml:space="preserve"> </w:t>
      </w:r>
      <w:r w:rsidRPr="002C2E72">
        <w:t>452 panteones establecidos en los municipios o demarcaciones territoriales del país</w:t>
      </w:r>
      <w:r>
        <w:t>.</w:t>
      </w:r>
      <w:r>
        <w:rPr>
          <w:rStyle w:val="Refdenotaalpie"/>
        </w:rPr>
        <w:footnoteReference w:id="5"/>
      </w:r>
      <w:r>
        <w:t xml:space="preserve"> En dichos panteones, al cierre de 2020</w:t>
      </w:r>
      <w:r w:rsidR="00BF6161">
        <w:t>,</w:t>
      </w:r>
      <w:r>
        <w:t xml:space="preserve"> se encontraron adscritas </w:t>
      </w:r>
      <w:r w:rsidRPr="002C2E72">
        <w:t>5 337 personas, de las cuales, 79.2% fueron hombres y 20.8% mujeres</w:t>
      </w:r>
      <w:r>
        <w:t xml:space="preserve">. </w:t>
      </w:r>
      <w:r w:rsidRPr="002C2E72">
        <w:t xml:space="preserve">La mayor proporción de personal </w:t>
      </w:r>
      <w:r w:rsidR="00A151A3">
        <w:t>realizó</w:t>
      </w:r>
      <w:r w:rsidRPr="002C2E72">
        <w:t xml:space="preserve"> actividades de tipo operativo (2 mil 858). En comparación con lo reportado al cierre de junio de 2020, la cantidad de personal </w:t>
      </w:r>
      <w:r w:rsidR="006D4675" w:rsidRPr="002C2E72">
        <w:t>al cierre de 2020</w:t>
      </w:r>
      <w:r w:rsidR="006D4675">
        <w:t xml:space="preserve"> </w:t>
      </w:r>
      <w:r w:rsidRPr="002C2E72">
        <w:t>disminuyó 1.2</w:t>
      </w:r>
      <w:r w:rsidR="00BF6161">
        <w:t>%.</w:t>
      </w:r>
    </w:p>
    <w:p w14:paraId="5C00D0FF" w14:textId="77777777" w:rsidR="00DF6B33" w:rsidRDefault="00DF6B33" w:rsidP="00DF6B33">
      <w:pPr>
        <w:pStyle w:val="Default"/>
        <w:ind w:left="284" w:right="1134"/>
        <w:jc w:val="center"/>
        <w:rPr>
          <w:b/>
          <w:bCs/>
          <w:i/>
          <w:iCs/>
          <w:color w:val="542788"/>
          <w:sz w:val="18"/>
        </w:rPr>
      </w:pPr>
    </w:p>
    <w:p w14:paraId="490CB69B" w14:textId="5065725A" w:rsidR="00C8155E" w:rsidRDefault="00DF6B33" w:rsidP="00E34409">
      <w:pPr>
        <w:pStyle w:val="Default"/>
        <w:ind w:left="284" w:right="1134"/>
        <w:jc w:val="center"/>
      </w:pPr>
      <w:r w:rsidRPr="00DF6B33">
        <w:rPr>
          <w:b/>
          <w:bCs/>
          <w:i/>
          <w:iCs/>
          <w:color w:val="E67208"/>
          <w:sz w:val="18"/>
        </w:rPr>
        <w:t>Gráfica 1.</w:t>
      </w:r>
      <w:r w:rsidRPr="00DF6B33">
        <w:rPr>
          <w:color w:val="E67208"/>
        </w:rPr>
        <w:t xml:space="preserve"> </w:t>
      </w:r>
      <w:r w:rsidRPr="00DF6B33">
        <w:rPr>
          <w:b/>
          <w:bCs/>
          <w:i/>
          <w:iCs/>
          <w:color w:val="E67208"/>
          <w:sz w:val="18"/>
        </w:rPr>
        <w:t xml:space="preserve">Personal adscrito a los </w:t>
      </w:r>
      <w:r w:rsidR="0094015E" w:rsidRPr="0094015E">
        <w:rPr>
          <w:b/>
          <w:bCs/>
          <w:i/>
          <w:iCs/>
          <w:color w:val="E67208"/>
          <w:sz w:val="18"/>
        </w:rPr>
        <w:t>panteones establecidos en los municipios o demarcaciones territoriales del país</w:t>
      </w:r>
      <w:r w:rsidRPr="00DF6B33">
        <w:rPr>
          <w:b/>
          <w:bCs/>
          <w:i/>
          <w:iCs/>
          <w:color w:val="E67208"/>
          <w:sz w:val="18"/>
        </w:rPr>
        <w:t>, según cargo y/o función desempeñada y sexo, 2020</w:t>
      </w:r>
    </w:p>
    <w:p w14:paraId="2FC0DAF4" w14:textId="4F21B1EF" w:rsidR="00C8155E" w:rsidRDefault="00C8155E" w:rsidP="00C8155E">
      <w:pPr>
        <w:pStyle w:val="Default"/>
        <w:ind w:left="-851" w:right="1134"/>
        <w:jc w:val="center"/>
      </w:pPr>
      <w:r>
        <w:rPr>
          <w:noProof/>
        </w:rPr>
        <w:drawing>
          <wp:inline distT="0" distB="0" distL="0" distR="0" wp14:anchorId="5AB40D04" wp14:editId="3807CAA5">
            <wp:extent cx="6152083" cy="2359296"/>
            <wp:effectExtent l="0" t="0" r="1270" b="317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5244" cy="2375848"/>
                    </a:xfrm>
                    <a:prstGeom prst="rect">
                      <a:avLst/>
                    </a:prstGeom>
                    <a:noFill/>
                    <a:ln>
                      <a:noFill/>
                    </a:ln>
                  </pic:spPr>
                </pic:pic>
              </a:graphicData>
            </a:graphic>
          </wp:inline>
        </w:drawing>
      </w:r>
    </w:p>
    <w:p w14:paraId="7FA38E2B" w14:textId="77777777" w:rsidR="00E34409" w:rsidRDefault="00E34409" w:rsidP="00EF5A5C">
      <w:pPr>
        <w:pStyle w:val="Default"/>
        <w:ind w:left="-567"/>
        <w:jc w:val="both"/>
      </w:pPr>
    </w:p>
    <w:p w14:paraId="75DBDABA" w14:textId="32C097CE" w:rsidR="00717BB2" w:rsidRDefault="0094015E" w:rsidP="00EF5A5C">
      <w:pPr>
        <w:pStyle w:val="Default"/>
        <w:ind w:left="-567"/>
        <w:jc w:val="both"/>
      </w:pPr>
      <w:r w:rsidRPr="0094015E">
        <w:t>En cuanto a la capacidad instalada (espacios) con la que contaron los panteones</w:t>
      </w:r>
      <w:r w:rsidR="000B7A03">
        <w:t xml:space="preserve"> al cierre de 2020</w:t>
      </w:r>
      <w:r w:rsidRPr="0094015E">
        <w:t xml:space="preserve">, a nivel nacional se reportaron 6 </w:t>
      </w:r>
      <w:r>
        <w:t>409 932</w:t>
      </w:r>
      <w:r w:rsidRPr="0094015E">
        <w:t xml:space="preserve"> fosas o tumbas, </w:t>
      </w:r>
      <w:r w:rsidR="009D1238">
        <w:t>354 595 criptas, 211 954 gavetas en criptas familiares, 1 068 640 gavetas, 130 412 nichos y 2 516 correspondieron a otro tipo de alojamiento.</w:t>
      </w:r>
    </w:p>
    <w:p w14:paraId="05C557B0" w14:textId="77777777" w:rsidR="00717BB2" w:rsidRDefault="00717BB2" w:rsidP="00EF5A5C">
      <w:pPr>
        <w:pStyle w:val="Default"/>
        <w:ind w:left="-567"/>
        <w:jc w:val="both"/>
      </w:pPr>
    </w:p>
    <w:p w14:paraId="51C5AD2D" w14:textId="3B7B05C1" w:rsidR="000B7A03" w:rsidRDefault="000B7A03" w:rsidP="000B7A03">
      <w:pPr>
        <w:pStyle w:val="Default"/>
        <w:ind w:left="284" w:right="1134"/>
        <w:jc w:val="center"/>
      </w:pPr>
      <w:r w:rsidRPr="00DF6B33">
        <w:rPr>
          <w:b/>
          <w:bCs/>
          <w:i/>
          <w:iCs/>
          <w:color w:val="E67208"/>
          <w:sz w:val="18"/>
        </w:rPr>
        <w:t xml:space="preserve">Gráfica </w:t>
      </w:r>
      <w:r>
        <w:rPr>
          <w:b/>
          <w:bCs/>
          <w:i/>
          <w:iCs/>
          <w:color w:val="E67208"/>
          <w:sz w:val="18"/>
        </w:rPr>
        <w:t>2</w:t>
      </w:r>
      <w:r w:rsidRPr="00DF6B33">
        <w:rPr>
          <w:b/>
          <w:bCs/>
          <w:i/>
          <w:iCs/>
          <w:color w:val="E67208"/>
          <w:sz w:val="18"/>
        </w:rPr>
        <w:t>.</w:t>
      </w:r>
      <w:r w:rsidRPr="00DF6B33">
        <w:rPr>
          <w:color w:val="E67208"/>
        </w:rPr>
        <w:t xml:space="preserve"> </w:t>
      </w:r>
      <w:r w:rsidRPr="000B7A03">
        <w:rPr>
          <w:b/>
          <w:bCs/>
          <w:i/>
          <w:iCs/>
          <w:color w:val="E67208"/>
          <w:sz w:val="18"/>
        </w:rPr>
        <w:t xml:space="preserve">Capacidad instalada </w:t>
      </w:r>
      <w:r>
        <w:rPr>
          <w:b/>
          <w:bCs/>
          <w:i/>
          <w:iCs/>
          <w:color w:val="E67208"/>
          <w:sz w:val="18"/>
        </w:rPr>
        <w:t xml:space="preserve">(espacios) </w:t>
      </w:r>
      <w:r w:rsidRPr="000B7A03">
        <w:rPr>
          <w:b/>
          <w:bCs/>
          <w:i/>
          <w:iCs/>
          <w:color w:val="E67208"/>
          <w:sz w:val="18"/>
        </w:rPr>
        <w:t>de los panteones, según tipo de alojamiento y disponibilidad, 2020</w:t>
      </w:r>
    </w:p>
    <w:p w14:paraId="108DBD2D" w14:textId="161EA9A2" w:rsidR="000B7A03" w:rsidRDefault="000B7A03" w:rsidP="00E34409">
      <w:pPr>
        <w:pStyle w:val="Default"/>
        <w:ind w:left="-567"/>
        <w:jc w:val="center"/>
      </w:pPr>
      <w:r>
        <w:rPr>
          <w:noProof/>
        </w:rPr>
        <w:drawing>
          <wp:inline distT="0" distB="0" distL="0" distR="0" wp14:anchorId="6D8E0F26" wp14:editId="271E6784">
            <wp:extent cx="4587691" cy="2136038"/>
            <wp:effectExtent l="0" t="0" r="381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24" b="2128"/>
                    <a:stretch/>
                  </pic:blipFill>
                  <pic:spPr bwMode="auto">
                    <a:xfrm>
                      <a:off x="0" y="0"/>
                      <a:ext cx="4651259" cy="2165635"/>
                    </a:xfrm>
                    <a:prstGeom prst="rect">
                      <a:avLst/>
                    </a:prstGeom>
                    <a:noFill/>
                    <a:ln>
                      <a:noFill/>
                    </a:ln>
                    <a:extLst>
                      <a:ext uri="{53640926-AAD7-44D8-BBD7-CCE9431645EC}">
                        <a14:shadowObscured xmlns:a14="http://schemas.microsoft.com/office/drawing/2010/main"/>
                      </a:ext>
                    </a:extLst>
                  </pic:spPr>
                </pic:pic>
              </a:graphicData>
            </a:graphic>
          </wp:inline>
        </w:drawing>
      </w:r>
    </w:p>
    <w:p w14:paraId="6C3CADD1" w14:textId="77777777" w:rsidR="00C90D69" w:rsidRDefault="00C90D69" w:rsidP="00EF5A5C">
      <w:pPr>
        <w:pStyle w:val="Default"/>
        <w:ind w:left="-567"/>
        <w:jc w:val="both"/>
      </w:pPr>
    </w:p>
    <w:p w14:paraId="652DCB57" w14:textId="77777777" w:rsidR="00C90D69" w:rsidRDefault="00C90D69" w:rsidP="00EF5A5C">
      <w:pPr>
        <w:pStyle w:val="Default"/>
        <w:ind w:left="-567"/>
        <w:jc w:val="both"/>
      </w:pPr>
    </w:p>
    <w:p w14:paraId="053AC557" w14:textId="77777777" w:rsidR="00C90D69" w:rsidRDefault="00C90D69" w:rsidP="00EF5A5C">
      <w:pPr>
        <w:pStyle w:val="Default"/>
        <w:ind w:left="-567"/>
        <w:jc w:val="both"/>
      </w:pPr>
    </w:p>
    <w:p w14:paraId="5BFA4648" w14:textId="28DEC510" w:rsidR="000B7A03" w:rsidRDefault="000B7A03" w:rsidP="00EF5A5C">
      <w:pPr>
        <w:pStyle w:val="Default"/>
        <w:ind w:left="-567"/>
        <w:jc w:val="both"/>
      </w:pPr>
      <w:r>
        <w:t>En comparación con l</w:t>
      </w:r>
      <w:r w:rsidRPr="000B7A03">
        <w:t xml:space="preserve">as cifras reportadas al cierre de junio de 2020, la cantidad </w:t>
      </w:r>
      <w:r w:rsidR="00BF6161">
        <w:t xml:space="preserve">tanto </w:t>
      </w:r>
      <w:r w:rsidRPr="000B7A03">
        <w:t xml:space="preserve">de </w:t>
      </w:r>
      <w:r w:rsidRPr="00F759B1">
        <w:rPr>
          <w:i/>
        </w:rPr>
        <w:t>Fosas o tumbas</w:t>
      </w:r>
      <w:r w:rsidRPr="000B7A03">
        <w:t xml:space="preserve"> </w:t>
      </w:r>
      <w:r w:rsidR="00BF6161">
        <w:t xml:space="preserve">como de </w:t>
      </w:r>
      <w:r w:rsidRPr="00F759B1">
        <w:rPr>
          <w:i/>
        </w:rPr>
        <w:t>Criptas familiares</w:t>
      </w:r>
      <w:r w:rsidRPr="000B7A03">
        <w:t xml:space="preserve"> aumentó 5.1%, en tanto, </w:t>
      </w:r>
      <w:r w:rsidRPr="00F759B1">
        <w:rPr>
          <w:i/>
        </w:rPr>
        <w:t>Gavetas en criptas familiares</w:t>
      </w:r>
      <w:r w:rsidRPr="000B7A03">
        <w:t xml:space="preserve"> y </w:t>
      </w:r>
      <w:r w:rsidRPr="00F759B1">
        <w:rPr>
          <w:i/>
        </w:rPr>
        <w:t>Nichos</w:t>
      </w:r>
      <w:r w:rsidRPr="000B7A03">
        <w:t xml:space="preserve"> presentaron un aumento de 4.3% y 10.1%, respectivamente. En contraste, </w:t>
      </w:r>
      <w:r w:rsidRPr="00F759B1">
        <w:rPr>
          <w:i/>
        </w:rPr>
        <w:t>Gavetas</w:t>
      </w:r>
      <w:r w:rsidRPr="000B7A03">
        <w:t xml:space="preserve"> y </w:t>
      </w:r>
      <w:r w:rsidRPr="00F759B1">
        <w:rPr>
          <w:i/>
        </w:rPr>
        <w:t>Otro tipo de alojamiento</w:t>
      </w:r>
      <w:r w:rsidRPr="000B7A03">
        <w:t xml:space="preserve"> reportaron una disminución de 5.7% y 19.8%, respectivamente</w:t>
      </w:r>
      <w:r w:rsidR="00BF6161">
        <w:t>,</w:t>
      </w:r>
      <w:r w:rsidRPr="000B7A03">
        <w:t xml:space="preserve"> al cierre de </w:t>
      </w:r>
      <w:r w:rsidR="009D1238">
        <w:t xml:space="preserve">diciembre de </w:t>
      </w:r>
      <w:r w:rsidRPr="000B7A03">
        <w:t xml:space="preserve">2020.  </w:t>
      </w:r>
    </w:p>
    <w:p w14:paraId="4F430003" w14:textId="77777777" w:rsidR="00E34409" w:rsidRDefault="00E34409" w:rsidP="000B7A03">
      <w:pPr>
        <w:pStyle w:val="Default"/>
        <w:ind w:left="284" w:right="1134"/>
        <w:jc w:val="center"/>
        <w:rPr>
          <w:b/>
          <w:bCs/>
          <w:i/>
          <w:iCs/>
          <w:color w:val="E67208"/>
          <w:sz w:val="18"/>
        </w:rPr>
      </w:pPr>
    </w:p>
    <w:p w14:paraId="084059B4" w14:textId="547608F8" w:rsidR="000B7A03" w:rsidRDefault="000B7A03" w:rsidP="000B7A03">
      <w:pPr>
        <w:pStyle w:val="Default"/>
        <w:ind w:left="284" w:right="1134"/>
        <w:jc w:val="center"/>
      </w:pPr>
      <w:r w:rsidRPr="00DF6B33">
        <w:rPr>
          <w:b/>
          <w:bCs/>
          <w:i/>
          <w:iCs/>
          <w:color w:val="E67208"/>
          <w:sz w:val="18"/>
        </w:rPr>
        <w:t xml:space="preserve">Gráfica </w:t>
      </w:r>
      <w:r>
        <w:rPr>
          <w:b/>
          <w:bCs/>
          <w:i/>
          <w:iCs/>
          <w:color w:val="E67208"/>
          <w:sz w:val="18"/>
        </w:rPr>
        <w:t>3</w:t>
      </w:r>
      <w:r w:rsidRPr="00DF6B33">
        <w:rPr>
          <w:b/>
          <w:bCs/>
          <w:i/>
          <w:iCs/>
          <w:color w:val="E67208"/>
          <w:sz w:val="18"/>
        </w:rPr>
        <w:t>.</w:t>
      </w:r>
      <w:r w:rsidRPr="00DF6B33">
        <w:rPr>
          <w:color w:val="E67208"/>
        </w:rPr>
        <w:t xml:space="preserve"> </w:t>
      </w:r>
      <w:r w:rsidRPr="000B7A03">
        <w:rPr>
          <w:b/>
          <w:bCs/>
          <w:i/>
          <w:iCs/>
          <w:color w:val="E67208"/>
          <w:sz w:val="18"/>
        </w:rPr>
        <w:t>Capacidad instalada (espacios) que presentaron los panteones públicos, según tipo de alojamiento y periodo de referencia, 2020</w:t>
      </w:r>
    </w:p>
    <w:p w14:paraId="75DF2FC0" w14:textId="0E37C1A7" w:rsidR="000B7A03" w:rsidRDefault="000B7A03" w:rsidP="00EF5A5C">
      <w:pPr>
        <w:pStyle w:val="Default"/>
        <w:ind w:left="-567"/>
        <w:jc w:val="both"/>
      </w:pPr>
    </w:p>
    <w:p w14:paraId="0C0CE289" w14:textId="3370EE45" w:rsidR="000B7A03" w:rsidRDefault="000B7A03" w:rsidP="000B7A03">
      <w:pPr>
        <w:pStyle w:val="Default"/>
        <w:ind w:left="-567"/>
        <w:jc w:val="center"/>
      </w:pPr>
      <w:r>
        <w:rPr>
          <w:noProof/>
        </w:rPr>
        <w:drawing>
          <wp:inline distT="0" distB="0" distL="0" distR="0" wp14:anchorId="69A46C81" wp14:editId="6182C129">
            <wp:extent cx="6158379" cy="1894637"/>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4454" cy="1905736"/>
                    </a:xfrm>
                    <a:prstGeom prst="rect">
                      <a:avLst/>
                    </a:prstGeom>
                    <a:noFill/>
                  </pic:spPr>
                </pic:pic>
              </a:graphicData>
            </a:graphic>
          </wp:inline>
        </w:drawing>
      </w:r>
    </w:p>
    <w:p w14:paraId="537787E9" w14:textId="2BA5CEE3" w:rsidR="008D46A4" w:rsidRDefault="008D46A4" w:rsidP="004A5F00">
      <w:pPr>
        <w:pStyle w:val="Default"/>
        <w:ind w:left="-567"/>
        <w:jc w:val="both"/>
      </w:pPr>
    </w:p>
    <w:p w14:paraId="43F06B6C" w14:textId="3531F297" w:rsidR="000F72E6" w:rsidRDefault="00F759B1" w:rsidP="000F72E6">
      <w:pPr>
        <w:pStyle w:val="Default"/>
        <w:ind w:left="-567"/>
        <w:jc w:val="both"/>
      </w:pPr>
      <w:r w:rsidRPr="00F759B1">
        <w:t xml:space="preserve">Por su parte, 226 panteones contaron con fosas comunes. A nivel nacional, </w:t>
      </w:r>
      <w:r w:rsidR="006D4675">
        <w:t>al cierre de</w:t>
      </w:r>
      <w:r w:rsidR="009D1238">
        <w:t xml:space="preserve"> 2020</w:t>
      </w:r>
      <w:r w:rsidR="00745A6B">
        <w:t>,</w:t>
      </w:r>
      <w:r w:rsidR="006D4675">
        <w:t xml:space="preserve"> </w:t>
      </w:r>
      <w:r w:rsidRPr="00F759B1">
        <w:t xml:space="preserve">se reportaron 8 032 fosas comunes en operación y 10 241 </w:t>
      </w:r>
      <w:r w:rsidR="00745A6B">
        <w:t>fuera de</w:t>
      </w:r>
      <w:r w:rsidRPr="00F759B1">
        <w:t xml:space="preserve"> operación. Respecto a la cifra reportada al cierre de junio de 2020, la cifra de fosas comunes en operación aumentó 32.3</w:t>
      </w:r>
      <w:r w:rsidR="00EA263B">
        <w:t xml:space="preserve"> por ciento</w:t>
      </w:r>
      <w:r w:rsidR="00BF6161">
        <w:t>.</w:t>
      </w:r>
    </w:p>
    <w:p w14:paraId="44530CAA" w14:textId="77777777" w:rsidR="00F759B1" w:rsidRDefault="00F759B1" w:rsidP="000F72E6">
      <w:pPr>
        <w:pStyle w:val="Default"/>
        <w:ind w:left="-567"/>
        <w:jc w:val="both"/>
      </w:pPr>
    </w:p>
    <w:p w14:paraId="1AE13111" w14:textId="4119BFEE" w:rsidR="000F72E6" w:rsidRDefault="000F72E6" w:rsidP="000F72E6">
      <w:pPr>
        <w:pStyle w:val="Default"/>
        <w:ind w:left="284" w:right="1134"/>
        <w:jc w:val="center"/>
        <w:rPr>
          <w:b/>
          <w:bCs/>
          <w:i/>
          <w:iCs/>
          <w:color w:val="E67208"/>
          <w:sz w:val="18"/>
        </w:rPr>
      </w:pPr>
      <w:r w:rsidRPr="00DF6B33">
        <w:rPr>
          <w:b/>
          <w:bCs/>
          <w:i/>
          <w:iCs/>
          <w:color w:val="E67208"/>
          <w:sz w:val="18"/>
        </w:rPr>
        <w:t xml:space="preserve">Gráfica </w:t>
      </w:r>
      <w:r>
        <w:rPr>
          <w:b/>
          <w:bCs/>
          <w:i/>
          <w:iCs/>
          <w:color w:val="E67208"/>
          <w:sz w:val="18"/>
        </w:rPr>
        <w:t>4</w:t>
      </w:r>
      <w:r w:rsidRPr="00DF6B33">
        <w:rPr>
          <w:b/>
          <w:bCs/>
          <w:i/>
          <w:iCs/>
          <w:color w:val="E67208"/>
          <w:sz w:val="18"/>
        </w:rPr>
        <w:t>.</w:t>
      </w:r>
      <w:r w:rsidRPr="00DF6B33">
        <w:rPr>
          <w:color w:val="E67208"/>
        </w:rPr>
        <w:t xml:space="preserve"> </w:t>
      </w:r>
      <w:r w:rsidRPr="000F72E6">
        <w:rPr>
          <w:b/>
          <w:bCs/>
          <w:i/>
          <w:iCs/>
          <w:color w:val="E67208"/>
          <w:sz w:val="18"/>
        </w:rPr>
        <w:t>Fosas comunes, según su tipo y estatus de operación, 2020</w:t>
      </w:r>
      <w:r>
        <w:rPr>
          <w:noProof/>
        </w:rPr>
        <w:drawing>
          <wp:inline distT="0" distB="0" distL="0" distR="0" wp14:anchorId="6D9DCA15" wp14:editId="10ADF150">
            <wp:extent cx="4476750" cy="3175937"/>
            <wp:effectExtent l="0" t="0" r="0" b="571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7289" cy="3204697"/>
                    </a:xfrm>
                    <a:prstGeom prst="rect">
                      <a:avLst/>
                    </a:prstGeom>
                    <a:noFill/>
                    <a:ln>
                      <a:noFill/>
                    </a:ln>
                  </pic:spPr>
                </pic:pic>
              </a:graphicData>
            </a:graphic>
          </wp:inline>
        </w:drawing>
      </w:r>
    </w:p>
    <w:p w14:paraId="13E4F610" w14:textId="50EE532F" w:rsidR="00F759B1" w:rsidRDefault="00F759B1" w:rsidP="000F72E6">
      <w:pPr>
        <w:pStyle w:val="Default"/>
        <w:ind w:left="284" w:right="1134"/>
        <w:jc w:val="center"/>
        <w:rPr>
          <w:b/>
          <w:bCs/>
          <w:i/>
          <w:iCs/>
          <w:color w:val="E67208"/>
          <w:sz w:val="18"/>
        </w:rPr>
      </w:pPr>
    </w:p>
    <w:p w14:paraId="411E3581" w14:textId="77777777" w:rsidR="00C90D69" w:rsidRDefault="00C90D69" w:rsidP="004A5F00">
      <w:pPr>
        <w:pStyle w:val="Default"/>
        <w:ind w:left="-567"/>
        <w:jc w:val="both"/>
      </w:pPr>
    </w:p>
    <w:p w14:paraId="57E250A6" w14:textId="3AB15BDE" w:rsidR="00314448" w:rsidRDefault="00745A6B" w:rsidP="004A5F00">
      <w:pPr>
        <w:pStyle w:val="Default"/>
        <w:ind w:left="-567"/>
        <w:jc w:val="both"/>
      </w:pPr>
      <w:r>
        <w:t>Geográficamente, destaca</w:t>
      </w:r>
      <w:r w:rsidR="00314448" w:rsidRPr="00977F47">
        <w:t xml:space="preserve"> Juárez, </w:t>
      </w:r>
      <w:r w:rsidR="00977F47" w:rsidRPr="00977F47">
        <w:t>al ser la zona metropolitana que reportó mayor cantidad de fosas comunes</w:t>
      </w:r>
      <w:r w:rsidR="008F7D7C">
        <w:t xml:space="preserve"> (en operación y fuera de operación)</w:t>
      </w:r>
      <w:r w:rsidR="00977F47" w:rsidRPr="00977F47">
        <w:t xml:space="preserve"> al registrar 5 950</w:t>
      </w:r>
      <w:r w:rsidR="00977F47">
        <w:t>.</w:t>
      </w:r>
    </w:p>
    <w:p w14:paraId="6D9206F6" w14:textId="1621ED9A" w:rsidR="00314448" w:rsidRDefault="00314448" w:rsidP="004A5F00">
      <w:pPr>
        <w:pStyle w:val="Default"/>
        <w:ind w:left="-567"/>
        <w:jc w:val="both"/>
      </w:pPr>
    </w:p>
    <w:p w14:paraId="6D77ED4A" w14:textId="77777777" w:rsidR="00EA263B" w:rsidRDefault="00EA263B" w:rsidP="00314448">
      <w:pPr>
        <w:pStyle w:val="Default"/>
        <w:ind w:left="-567"/>
        <w:jc w:val="center"/>
        <w:rPr>
          <w:b/>
          <w:bCs/>
          <w:i/>
          <w:iCs/>
          <w:color w:val="E67208"/>
          <w:sz w:val="18"/>
        </w:rPr>
      </w:pPr>
    </w:p>
    <w:p w14:paraId="55347AFC" w14:textId="77777777" w:rsidR="00EA263B" w:rsidRDefault="00EA263B" w:rsidP="00314448">
      <w:pPr>
        <w:pStyle w:val="Default"/>
        <w:ind w:left="-567"/>
        <w:jc w:val="center"/>
        <w:rPr>
          <w:b/>
          <w:bCs/>
          <w:i/>
          <w:iCs/>
          <w:color w:val="E67208"/>
          <w:sz w:val="18"/>
        </w:rPr>
      </w:pPr>
    </w:p>
    <w:p w14:paraId="18C8B6DE" w14:textId="2CD7285E" w:rsidR="00314448" w:rsidRDefault="00314448" w:rsidP="00314448">
      <w:pPr>
        <w:pStyle w:val="Default"/>
        <w:ind w:left="-567"/>
        <w:jc w:val="center"/>
        <w:rPr>
          <w:b/>
          <w:bCs/>
          <w:i/>
          <w:iCs/>
          <w:color w:val="E67208"/>
          <w:sz w:val="18"/>
        </w:rPr>
      </w:pPr>
      <w:r>
        <w:rPr>
          <w:b/>
          <w:bCs/>
          <w:i/>
          <w:iCs/>
          <w:color w:val="E67208"/>
          <w:sz w:val="18"/>
        </w:rPr>
        <w:t>Mapa 1</w:t>
      </w:r>
      <w:r w:rsidRPr="00DF6B33">
        <w:rPr>
          <w:b/>
          <w:bCs/>
          <w:i/>
          <w:iCs/>
          <w:color w:val="E67208"/>
          <w:sz w:val="18"/>
        </w:rPr>
        <w:t>.</w:t>
      </w:r>
      <w:r w:rsidRPr="00DF6B33">
        <w:rPr>
          <w:color w:val="E67208"/>
        </w:rPr>
        <w:t xml:space="preserve"> </w:t>
      </w:r>
      <w:r w:rsidRPr="00314448">
        <w:rPr>
          <w:b/>
          <w:bCs/>
          <w:i/>
          <w:iCs/>
          <w:color w:val="E67208"/>
          <w:sz w:val="18"/>
        </w:rPr>
        <w:t>Fosas comunes, según zona metropolitana de pertenencia, 2020</w:t>
      </w:r>
    </w:p>
    <w:p w14:paraId="67B1D539" w14:textId="549CCB6C" w:rsidR="008A390A" w:rsidRDefault="00FA09DE" w:rsidP="00314448">
      <w:pPr>
        <w:pStyle w:val="Default"/>
        <w:ind w:left="-567"/>
        <w:jc w:val="center"/>
        <w:rPr>
          <w:b/>
          <w:bCs/>
          <w:i/>
          <w:iCs/>
          <w:color w:val="E67208"/>
          <w:sz w:val="18"/>
        </w:rPr>
      </w:pPr>
      <w:r>
        <w:rPr>
          <w:b/>
          <w:bCs/>
          <w:i/>
          <w:iCs/>
          <w:noProof/>
          <w:color w:val="E67208"/>
          <w:sz w:val="18"/>
        </w:rPr>
        <w:drawing>
          <wp:inline distT="0" distB="0" distL="0" distR="0" wp14:anchorId="144453A0" wp14:editId="5418B8BA">
            <wp:extent cx="6500070" cy="35112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23162" cy="3523757"/>
                    </a:xfrm>
                    <a:prstGeom prst="rect">
                      <a:avLst/>
                    </a:prstGeom>
                    <a:noFill/>
                  </pic:spPr>
                </pic:pic>
              </a:graphicData>
            </a:graphic>
          </wp:inline>
        </w:drawing>
      </w:r>
    </w:p>
    <w:p w14:paraId="23B19564" w14:textId="76C72549" w:rsidR="008A390A" w:rsidRPr="008A390A" w:rsidRDefault="008A390A" w:rsidP="00314448">
      <w:pPr>
        <w:pStyle w:val="Default"/>
        <w:ind w:left="-567"/>
        <w:jc w:val="center"/>
        <w:rPr>
          <w:bCs/>
          <w:iCs/>
          <w:color w:val="000000" w:themeColor="text1"/>
          <w:sz w:val="18"/>
        </w:rPr>
      </w:pPr>
      <w:r>
        <w:rPr>
          <w:bCs/>
          <w:iCs/>
          <w:color w:val="000000" w:themeColor="text1"/>
          <w:sz w:val="18"/>
        </w:rPr>
        <w:t>Nota: c</w:t>
      </w:r>
      <w:r w:rsidRPr="008A390A">
        <w:rPr>
          <w:bCs/>
          <w:iCs/>
          <w:color w:val="000000" w:themeColor="text1"/>
          <w:sz w:val="18"/>
        </w:rPr>
        <w:t>ontempla fosas comunes que estuvieron en operación al cierre de 2020 y fosas comunes que dejaron de operar durante 2020.</w:t>
      </w:r>
    </w:p>
    <w:p w14:paraId="59C2C789" w14:textId="77777777" w:rsidR="00E34409" w:rsidRDefault="00E34409" w:rsidP="00F759B1">
      <w:pPr>
        <w:pStyle w:val="Default"/>
        <w:ind w:left="-567"/>
        <w:jc w:val="both"/>
      </w:pPr>
    </w:p>
    <w:p w14:paraId="2D5E813D" w14:textId="77777777" w:rsidR="008A390A" w:rsidRDefault="008A390A" w:rsidP="00F759B1">
      <w:pPr>
        <w:pStyle w:val="Default"/>
        <w:ind w:left="-567"/>
        <w:jc w:val="both"/>
      </w:pPr>
    </w:p>
    <w:p w14:paraId="5825EC92" w14:textId="77777777" w:rsidR="008A390A" w:rsidRDefault="008A390A" w:rsidP="00F759B1">
      <w:pPr>
        <w:pStyle w:val="Default"/>
        <w:ind w:left="-567"/>
        <w:jc w:val="both"/>
      </w:pPr>
    </w:p>
    <w:p w14:paraId="66ACAFF2" w14:textId="77777777" w:rsidR="008A390A" w:rsidRDefault="008A390A" w:rsidP="00F759B1">
      <w:pPr>
        <w:pStyle w:val="Default"/>
        <w:ind w:left="-567"/>
        <w:jc w:val="both"/>
      </w:pPr>
    </w:p>
    <w:p w14:paraId="728AA89C" w14:textId="77777777" w:rsidR="008A390A" w:rsidRDefault="008A390A" w:rsidP="00F759B1">
      <w:pPr>
        <w:pStyle w:val="Default"/>
        <w:ind w:left="-567"/>
        <w:jc w:val="both"/>
      </w:pPr>
    </w:p>
    <w:p w14:paraId="00C4FF8F" w14:textId="77777777" w:rsidR="008A390A" w:rsidRDefault="008A390A" w:rsidP="00F759B1">
      <w:pPr>
        <w:pStyle w:val="Default"/>
        <w:ind w:left="-567"/>
        <w:jc w:val="both"/>
      </w:pPr>
    </w:p>
    <w:p w14:paraId="542A31D4" w14:textId="77777777" w:rsidR="008A390A" w:rsidRDefault="008A390A" w:rsidP="00F759B1">
      <w:pPr>
        <w:pStyle w:val="Default"/>
        <w:ind w:left="-567"/>
        <w:jc w:val="both"/>
      </w:pPr>
    </w:p>
    <w:p w14:paraId="66B554A4" w14:textId="77777777" w:rsidR="008A390A" w:rsidRDefault="008A390A" w:rsidP="00F759B1">
      <w:pPr>
        <w:pStyle w:val="Default"/>
        <w:ind w:left="-567"/>
        <w:jc w:val="both"/>
      </w:pPr>
    </w:p>
    <w:p w14:paraId="374BD044" w14:textId="77777777" w:rsidR="008A390A" w:rsidRDefault="008A390A" w:rsidP="00F759B1">
      <w:pPr>
        <w:pStyle w:val="Default"/>
        <w:ind w:left="-567"/>
        <w:jc w:val="both"/>
      </w:pPr>
    </w:p>
    <w:p w14:paraId="6F12EF2F" w14:textId="77777777" w:rsidR="008A390A" w:rsidRDefault="008A390A" w:rsidP="00F759B1">
      <w:pPr>
        <w:pStyle w:val="Default"/>
        <w:ind w:left="-567"/>
        <w:jc w:val="both"/>
      </w:pPr>
    </w:p>
    <w:p w14:paraId="6CF3144C" w14:textId="77777777" w:rsidR="008A390A" w:rsidRDefault="008A390A" w:rsidP="00F759B1">
      <w:pPr>
        <w:pStyle w:val="Default"/>
        <w:ind w:left="-567"/>
        <w:jc w:val="both"/>
      </w:pPr>
    </w:p>
    <w:p w14:paraId="797C0061" w14:textId="77777777" w:rsidR="008A390A" w:rsidRDefault="008A390A" w:rsidP="00F759B1">
      <w:pPr>
        <w:pStyle w:val="Default"/>
        <w:ind w:left="-567"/>
        <w:jc w:val="both"/>
      </w:pPr>
    </w:p>
    <w:p w14:paraId="780A2ECB" w14:textId="77777777" w:rsidR="008A390A" w:rsidRDefault="008A390A" w:rsidP="00F759B1">
      <w:pPr>
        <w:pStyle w:val="Default"/>
        <w:ind w:left="-567"/>
        <w:jc w:val="both"/>
      </w:pPr>
    </w:p>
    <w:p w14:paraId="007168C0" w14:textId="77777777" w:rsidR="008A390A" w:rsidRDefault="008A390A" w:rsidP="00F759B1">
      <w:pPr>
        <w:pStyle w:val="Default"/>
        <w:ind w:left="-567"/>
        <w:jc w:val="both"/>
      </w:pPr>
    </w:p>
    <w:p w14:paraId="4DF1A898" w14:textId="77777777" w:rsidR="008A390A" w:rsidRDefault="008A390A" w:rsidP="00F759B1">
      <w:pPr>
        <w:pStyle w:val="Default"/>
        <w:ind w:left="-567"/>
        <w:jc w:val="both"/>
      </w:pPr>
    </w:p>
    <w:p w14:paraId="35032224" w14:textId="77777777" w:rsidR="008A390A" w:rsidRDefault="008A390A" w:rsidP="00F759B1">
      <w:pPr>
        <w:pStyle w:val="Default"/>
        <w:ind w:left="-567"/>
        <w:jc w:val="both"/>
      </w:pPr>
    </w:p>
    <w:p w14:paraId="71669A21" w14:textId="77777777" w:rsidR="008A390A" w:rsidRDefault="008A390A" w:rsidP="00F759B1">
      <w:pPr>
        <w:pStyle w:val="Default"/>
        <w:ind w:left="-567"/>
        <w:jc w:val="both"/>
      </w:pPr>
    </w:p>
    <w:p w14:paraId="48C908EE" w14:textId="77777777" w:rsidR="008A390A" w:rsidRDefault="008A390A" w:rsidP="00F759B1">
      <w:pPr>
        <w:pStyle w:val="Default"/>
        <w:ind w:left="-567"/>
        <w:jc w:val="both"/>
      </w:pPr>
    </w:p>
    <w:p w14:paraId="71C09A73" w14:textId="77777777" w:rsidR="00EA263B" w:rsidRDefault="00EA263B" w:rsidP="00F759B1">
      <w:pPr>
        <w:pStyle w:val="Default"/>
        <w:ind w:left="-567"/>
        <w:jc w:val="both"/>
      </w:pPr>
    </w:p>
    <w:p w14:paraId="7EC73A1F" w14:textId="0FA9A3B7" w:rsidR="009A4318" w:rsidRDefault="00745A6B" w:rsidP="00F759B1">
      <w:pPr>
        <w:pStyle w:val="Default"/>
        <w:ind w:left="-567"/>
        <w:jc w:val="both"/>
      </w:pPr>
      <w:r>
        <w:t>Asimismo, l</w:t>
      </w:r>
      <w:r w:rsidR="0024178B" w:rsidRPr="0024178B">
        <w:t xml:space="preserve">a cantidad de cadáveres inhumados </w:t>
      </w:r>
      <w:r w:rsidR="008F7D7C">
        <w:t xml:space="preserve">registrados </w:t>
      </w:r>
      <w:r w:rsidR="0024178B" w:rsidRPr="0024178B">
        <w:t xml:space="preserve">en dichas fosas fue de 25 343. </w:t>
      </w:r>
      <w:r w:rsidR="00EA263B">
        <w:t>El V</w:t>
      </w:r>
      <w:r>
        <w:t xml:space="preserve">alle de México </w:t>
      </w:r>
      <w:r w:rsidR="00EA263B">
        <w:t xml:space="preserve">fue </w:t>
      </w:r>
      <w:r>
        <w:t>la</w:t>
      </w:r>
      <w:r w:rsidR="0024178B" w:rsidRPr="0024178B">
        <w:t xml:space="preserve"> zona que registró mayor número de cadáveres inhumados en fosas comunes</w:t>
      </w:r>
      <w:r>
        <w:t xml:space="preserve"> </w:t>
      </w:r>
      <w:r w:rsidR="0024178B" w:rsidRPr="0024178B">
        <w:t>con 10 822.</w:t>
      </w:r>
    </w:p>
    <w:p w14:paraId="7654054E" w14:textId="77777777" w:rsidR="0024178B" w:rsidRDefault="0024178B" w:rsidP="00F759B1">
      <w:pPr>
        <w:pStyle w:val="Default"/>
        <w:ind w:left="-567"/>
        <w:jc w:val="both"/>
      </w:pPr>
    </w:p>
    <w:p w14:paraId="56E3C5BC" w14:textId="1B698C13" w:rsidR="009A4318" w:rsidRDefault="009A4318" w:rsidP="009A4318">
      <w:pPr>
        <w:pStyle w:val="Default"/>
        <w:ind w:left="-567"/>
        <w:jc w:val="center"/>
        <w:rPr>
          <w:b/>
          <w:bCs/>
          <w:i/>
          <w:iCs/>
          <w:color w:val="E67208"/>
          <w:sz w:val="18"/>
        </w:rPr>
      </w:pPr>
      <w:r>
        <w:rPr>
          <w:b/>
          <w:bCs/>
          <w:i/>
          <w:iCs/>
          <w:color w:val="E67208"/>
          <w:sz w:val="18"/>
        </w:rPr>
        <w:t>Mapa 2</w:t>
      </w:r>
      <w:r w:rsidRPr="00DF6B33">
        <w:rPr>
          <w:b/>
          <w:bCs/>
          <w:i/>
          <w:iCs/>
          <w:color w:val="E67208"/>
          <w:sz w:val="18"/>
        </w:rPr>
        <w:t>.</w:t>
      </w:r>
      <w:r w:rsidRPr="00DF6B33">
        <w:rPr>
          <w:color w:val="E67208"/>
        </w:rPr>
        <w:t xml:space="preserve"> </w:t>
      </w:r>
      <w:r w:rsidRPr="009A4318">
        <w:rPr>
          <w:b/>
          <w:bCs/>
          <w:i/>
          <w:iCs/>
          <w:color w:val="E67208"/>
          <w:sz w:val="18"/>
        </w:rPr>
        <w:t>Cadáveres inhumados en fosas comunes, según zona metropolitana, 2020</w:t>
      </w:r>
    </w:p>
    <w:p w14:paraId="3B2F6D06" w14:textId="5DB37585" w:rsidR="00977F47" w:rsidRDefault="00977F47" w:rsidP="009A4318">
      <w:pPr>
        <w:pStyle w:val="Default"/>
        <w:ind w:left="-567"/>
        <w:jc w:val="center"/>
      </w:pPr>
      <w:r>
        <w:rPr>
          <w:noProof/>
        </w:rPr>
        <w:drawing>
          <wp:inline distT="0" distB="0" distL="0" distR="0" wp14:anchorId="30AB4569" wp14:editId="3112D0C4">
            <wp:extent cx="6849110" cy="3750467"/>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64027" cy="3758635"/>
                    </a:xfrm>
                    <a:prstGeom prst="rect">
                      <a:avLst/>
                    </a:prstGeom>
                    <a:noFill/>
                  </pic:spPr>
                </pic:pic>
              </a:graphicData>
            </a:graphic>
          </wp:inline>
        </w:drawing>
      </w:r>
    </w:p>
    <w:p w14:paraId="57563201" w14:textId="1499D806" w:rsidR="008A390A" w:rsidRPr="00C90D69" w:rsidRDefault="00C90D69" w:rsidP="009A4318">
      <w:pPr>
        <w:pStyle w:val="Default"/>
        <w:ind w:left="-567"/>
        <w:jc w:val="center"/>
        <w:rPr>
          <w:sz w:val="18"/>
          <w:szCs w:val="18"/>
        </w:rPr>
      </w:pPr>
      <w:r>
        <w:rPr>
          <w:sz w:val="18"/>
          <w:szCs w:val="18"/>
        </w:rPr>
        <w:t>Nota: se incluyen</w:t>
      </w:r>
      <w:r w:rsidRPr="00C90D69">
        <w:rPr>
          <w:sz w:val="18"/>
          <w:szCs w:val="18"/>
        </w:rPr>
        <w:t xml:space="preserve"> los cadáveres inhumados al cierre de diciembre de 2020, independientemente del año de realización de la inhumación.</w:t>
      </w:r>
    </w:p>
    <w:p w14:paraId="647E0F5B" w14:textId="53200DCB" w:rsidR="008A390A" w:rsidRDefault="008A390A" w:rsidP="009A4318">
      <w:pPr>
        <w:pStyle w:val="Default"/>
        <w:ind w:left="-567"/>
        <w:jc w:val="center"/>
      </w:pPr>
    </w:p>
    <w:p w14:paraId="0FBE08A1" w14:textId="085DC0D7" w:rsidR="008A390A" w:rsidRDefault="008A390A" w:rsidP="009A4318">
      <w:pPr>
        <w:pStyle w:val="Default"/>
        <w:ind w:left="-567"/>
        <w:jc w:val="center"/>
      </w:pPr>
    </w:p>
    <w:p w14:paraId="0FBB9C00" w14:textId="2B5C5FB4" w:rsidR="008A390A" w:rsidRDefault="008A390A" w:rsidP="009A4318">
      <w:pPr>
        <w:pStyle w:val="Default"/>
        <w:ind w:left="-567"/>
        <w:jc w:val="center"/>
      </w:pPr>
    </w:p>
    <w:p w14:paraId="11D03C9B" w14:textId="7CB1D355" w:rsidR="008A390A" w:rsidRDefault="008A390A" w:rsidP="009A4318">
      <w:pPr>
        <w:pStyle w:val="Default"/>
        <w:ind w:left="-567"/>
        <w:jc w:val="center"/>
      </w:pPr>
    </w:p>
    <w:p w14:paraId="4D055997" w14:textId="614ADD7B" w:rsidR="008A390A" w:rsidRDefault="008A390A" w:rsidP="009A4318">
      <w:pPr>
        <w:pStyle w:val="Default"/>
        <w:ind w:left="-567"/>
        <w:jc w:val="center"/>
      </w:pPr>
    </w:p>
    <w:p w14:paraId="101F998B" w14:textId="27522584" w:rsidR="008A390A" w:rsidRDefault="008A390A" w:rsidP="009A4318">
      <w:pPr>
        <w:pStyle w:val="Default"/>
        <w:ind w:left="-567"/>
        <w:jc w:val="center"/>
      </w:pPr>
    </w:p>
    <w:p w14:paraId="1575FF63" w14:textId="6AD348E9" w:rsidR="008A390A" w:rsidRDefault="008A390A" w:rsidP="009A4318">
      <w:pPr>
        <w:pStyle w:val="Default"/>
        <w:ind w:left="-567"/>
        <w:jc w:val="center"/>
      </w:pPr>
    </w:p>
    <w:p w14:paraId="46A10B94" w14:textId="2B460D33" w:rsidR="008A390A" w:rsidRDefault="008A390A" w:rsidP="009A4318">
      <w:pPr>
        <w:pStyle w:val="Default"/>
        <w:ind w:left="-567"/>
        <w:jc w:val="center"/>
      </w:pPr>
    </w:p>
    <w:p w14:paraId="39752E9A" w14:textId="5F8991F3" w:rsidR="008A390A" w:rsidRDefault="008A390A" w:rsidP="009A4318">
      <w:pPr>
        <w:pStyle w:val="Default"/>
        <w:ind w:left="-567"/>
        <w:jc w:val="center"/>
      </w:pPr>
    </w:p>
    <w:p w14:paraId="3BB10679" w14:textId="115218B7" w:rsidR="008A390A" w:rsidRDefault="008A390A" w:rsidP="009A4318">
      <w:pPr>
        <w:pStyle w:val="Default"/>
        <w:ind w:left="-567"/>
        <w:jc w:val="center"/>
      </w:pPr>
    </w:p>
    <w:p w14:paraId="158AE645" w14:textId="0CB0AAFA" w:rsidR="008A390A" w:rsidRDefault="008A390A" w:rsidP="009A4318">
      <w:pPr>
        <w:pStyle w:val="Default"/>
        <w:ind w:left="-567"/>
        <w:jc w:val="center"/>
      </w:pPr>
    </w:p>
    <w:p w14:paraId="709BFE5A" w14:textId="2B79B21E" w:rsidR="008A390A" w:rsidRDefault="008A390A" w:rsidP="009A4318">
      <w:pPr>
        <w:pStyle w:val="Default"/>
        <w:ind w:left="-567"/>
        <w:jc w:val="center"/>
      </w:pPr>
    </w:p>
    <w:p w14:paraId="76B2E044" w14:textId="475299D2" w:rsidR="008A390A" w:rsidRDefault="008A390A" w:rsidP="009A4318">
      <w:pPr>
        <w:pStyle w:val="Default"/>
        <w:ind w:left="-567"/>
        <w:jc w:val="center"/>
      </w:pPr>
    </w:p>
    <w:p w14:paraId="46E3F6B7" w14:textId="327C93C3" w:rsidR="008A390A" w:rsidRDefault="008A390A" w:rsidP="009A4318">
      <w:pPr>
        <w:pStyle w:val="Default"/>
        <w:ind w:left="-567"/>
        <w:jc w:val="center"/>
      </w:pPr>
    </w:p>
    <w:p w14:paraId="703D6C0A" w14:textId="7F66B16B" w:rsidR="008A390A" w:rsidRDefault="008A390A" w:rsidP="009A4318">
      <w:pPr>
        <w:pStyle w:val="Default"/>
        <w:ind w:left="-567"/>
        <w:jc w:val="center"/>
      </w:pPr>
    </w:p>
    <w:p w14:paraId="21B14464" w14:textId="2899872C" w:rsidR="008A390A" w:rsidRDefault="008A390A" w:rsidP="009A4318">
      <w:pPr>
        <w:pStyle w:val="Default"/>
        <w:ind w:left="-567"/>
        <w:jc w:val="center"/>
      </w:pPr>
    </w:p>
    <w:p w14:paraId="24E36A78" w14:textId="77777777" w:rsidR="008A390A" w:rsidRDefault="008A390A" w:rsidP="009A4318">
      <w:pPr>
        <w:pStyle w:val="Default"/>
        <w:ind w:left="-567"/>
        <w:jc w:val="center"/>
      </w:pPr>
    </w:p>
    <w:p w14:paraId="2007F6AC" w14:textId="77777777" w:rsidR="00977F47" w:rsidRDefault="00977F47" w:rsidP="0095291E">
      <w:pPr>
        <w:pStyle w:val="Default"/>
        <w:ind w:left="-567"/>
        <w:jc w:val="both"/>
      </w:pPr>
    </w:p>
    <w:p w14:paraId="0AE383BD" w14:textId="69AFEF27" w:rsidR="0095291E" w:rsidRDefault="00C90D69" w:rsidP="00C90D69">
      <w:pPr>
        <w:pStyle w:val="Default"/>
        <w:ind w:left="-567"/>
        <w:jc w:val="both"/>
      </w:pPr>
      <w:r>
        <w:t>En relación con</w:t>
      </w:r>
      <w:r w:rsidR="009D1238" w:rsidRPr="009D1238">
        <w:t xml:space="preserve"> los cadáveres inhumados en las fosas comunes, </w:t>
      </w:r>
      <w:r>
        <w:t>durante 2020, se registraron 10 557. D</w:t>
      </w:r>
      <w:r w:rsidR="009D1238" w:rsidRPr="009D1238">
        <w:t xml:space="preserve">e acuerdo con el estatus de identificación, 2 700 </w:t>
      </w:r>
      <w:r w:rsidR="00745A6B">
        <w:t>fueron</w:t>
      </w:r>
      <w:r w:rsidR="009D1238" w:rsidRPr="009D1238">
        <w:t xml:space="preserve"> cadáveres identificados, 4 910 cadáveres no</w:t>
      </w:r>
      <w:r w:rsidR="0095291E">
        <w:t xml:space="preserve"> </w:t>
      </w:r>
      <w:r w:rsidR="009D1238" w:rsidRPr="009D1238">
        <w:t>identificados, y</w:t>
      </w:r>
      <w:r>
        <w:t xml:space="preserve"> </w:t>
      </w:r>
      <w:r w:rsidR="009D1238" w:rsidRPr="009D1238">
        <w:t>1</w:t>
      </w:r>
      <w:r w:rsidR="0095291E">
        <w:t xml:space="preserve"> </w:t>
      </w:r>
      <w:r w:rsidR="009D1238" w:rsidRPr="009D1238">
        <w:t>404 cadáveres identificados y no reclamados.</w:t>
      </w:r>
      <w:r w:rsidR="0095291E">
        <w:t xml:space="preserve"> </w:t>
      </w:r>
      <w:r w:rsidR="00EA263B">
        <w:t>El V</w:t>
      </w:r>
      <w:r w:rsidR="009D1238" w:rsidRPr="009D1238">
        <w:t xml:space="preserve">alle de México y Acapulco fueron las zonas metropolitanas con mayor cantidad de cadáveres no identificados. </w:t>
      </w:r>
    </w:p>
    <w:p w14:paraId="346EC048" w14:textId="35055659" w:rsidR="00977F47" w:rsidRDefault="00977F47" w:rsidP="0095291E">
      <w:pPr>
        <w:pStyle w:val="Default"/>
        <w:ind w:left="-567"/>
        <w:jc w:val="both"/>
      </w:pPr>
    </w:p>
    <w:p w14:paraId="59DE8C7E" w14:textId="053DD8FA" w:rsidR="0095291E" w:rsidRDefault="00977F47" w:rsidP="0095291E">
      <w:pPr>
        <w:pStyle w:val="Default"/>
        <w:ind w:left="-567"/>
        <w:jc w:val="center"/>
      </w:pPr>
      <w:r>
        <w:rPr>
          <w:b/>
          <w:bCs/>
          <w:i/>
          <w:iCs/>
          <w:color w:val="E67208"/>
          <w:sz w:val="18"/>
        </w:rPr>
        <w:t>T</w:t>
      </w:r>
      <w:r w:rsidR="0095291E">
        <w:rPr>
          <w:b/>
          <w:bCs/>
          <w:i/>
          <w:iCs/>
          <w:color w:val="E67208"/>
          <w:sz w:val="18"/>
        </w:rPr>
        <w:t>abla 1</w:t>
      </w:r>
      <w:r w:rsidR="0095291E" w:rsidRPr="00DF6B33">
        <w:rPr>
          <w:b/>
          <w:bCs/>
          <w:i/>
          <w:iCs/>
          <w:color w:val="E67208"/>
          <w:sz w:val="18"/>
        </w:rPr>
        <w:t>.</w:t>
      </w:r>
      <w:r w:rsidR="0095291E" w:rsidRPr="00DF6B33">
        <w:rPr>
          <w:color w:val="E67208"/>
        </w:rPr>
        <w:t xml:space="preserve"> </w:t>
      </w:r>
      <w:r w:rsidR="0095291E" w:rsidRPr="0095291E">
        <w:rPr>
          <w:b/>
          <w:bCs/>
          <w:i/>
          <w:iCs/>
          <w:color w:val="E67208"/>
          <w:sz w:val="18"/>
        </w:rPr>
        <w:t>Cadáveres inhumados en fosas comunes, según estatus de identificación</w:t>
      </w:r>
      <w:r w:rsidR="0095291E">
        <w:rPr>
          <w:b/>
          <w:bCs/>
          <w:i/>
          <w:iCs/>
          <w:color w:val="E67208"/>
          <w:sz w:val="18"/>
        </w:rPr>
        <w:t>, 2020</w:t>
      </w:r>
    </w:p>
    <w:p w14:paraId="3C3F75C4" w14:textId="77777777" w:rsidR="0095291E" w:rsidRDefault="0095291E" w:rsidP="0095291E">
      <w:pPr>
        <w:pStyle w:val="Default"/>
        <w:ind w:left="-567"/>
        <w:jc w:val="both"/>
      </w:pPr>
    </w:p>
    <w:p w14:paraId="20B39886" w14:textId="7329D024" w:rsidR="009D1238" w:rsidRDefault="0095291E" w:rsidP="0095291E">
      <w:pPr>
        <w:pStyle w:val="Default"/>
        <w:ind w:left="-567"/>
        <w:jc w:val="both"/>
      </w:pPr>
      <w:r>
        <w:rPr>
          <w:noProof/>
        </w:rPr>
        <w:drawing>
          <wp:inline distT="0" distB="0" distL="0" distR="0" wp14:anchorId="73C699F1" wp14:editId="234B8E5C">
            <wp:extent cx="6523823" cy="3609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0359" cy="3619125"/>
                    </a:xfrm>
                    <a:prstGeom prst="rect">
                      <a:avLst/>
                    </a:prstGeom>
                    <a:noFill/>
                  </pic:spPr>
                </pic:pic>
              </a:graphicData>
            </a:graphic>
          </wp:inline>
        </w:drawing>
      </w:r>
      <w:r w:rsidR="009D1238" w:rsidRPr="009D1238">
        <w:t xml:space="preserve"> </w:t>
      </w:r>
    </w:p>
    <w:p w14:paraId="50CBAC48" w14:textId="37D848B3" w:rsidR="0095291E" w:rsidRPr="0095291E" w:rsidRDefault="0095291E" w:rsidP="0095291E">
      <w:pPr>
        <w:pStyle w:val="Default"/>
        <w:ind w:left="-567"/>
        <w:jc w:val="center"/>
      </w:pPr>
      <w:r w:rsidRPr="0095291E">
        <w:rPr>
          <w:sz w:val="18"/>
        </w:rPr>
        <w:t xml:space="preserve">Nota: </w:t>
      </w:r>
      <w:r w:rsidR="00C90D69" w:rsidRPr="00C90D69">
        <w:rPr>
          <w:sz w:val="18"/>
        </w:rPr>
        <w:t>se refiere a los cadáveres inhumados durante 2020. Los estatus de identificación son independientes entre sí. Un cadáver puede presentar dos de los tres estatus de identificación. No en todos los casos se pudo determinar el estatus de identificación de los cadáveres.</w:t>
      </w:r>
    </w:p>
    <w:p w14:paraId="46FB6138" w14:textId="77777777" w:rsidR="00CA3300" w:rsidRDefault="00CA3300" w:rsidP="00F759B1">
      <w:pPr>
        <w:pStyle w:val="Default"/>
        <w:ind w:left="-567"/>
        <w:jc w:val="both"/>
      </w:pPr>
    </w:p>
    <w:p w14:paraId="4C7354AF" w14:textId="24A12C13" w:rsidR="0095291E" w:rsidRDefault="0095291E" w:rsidP="00F759B1">
      <w:pPr>
        <w:pStyle w:val="Default"/>
        <w:ind w:left="-567"/>
        <w:jc w:val="both"/>
      </w:pPr>
    </w:p>
    <w:p w14:paraId="5624A7C6" w14:textId="57452CB9" w:rsidR="008A390A" w:rsidRDefault="008A390A" w:rsidP="00F759B1">
      <w:pPr>
        <w:pStyle w:val="Default"/>
        <w:ind w:left="-567"/>
        <w:jc w:val="both"/>
      </w:pPr>
    </w:p>
    <w:p w14:paraId="13D18E3A" w14:textId="6949F274" w:rsidR="008A390A" w:rsidRDefault="008A390A" w:rsidP="00F759B1">
      <w:pPr>
        <w:pStyle w:val="Default"/>
        <w:ind w:left="-567"/>
        <w:jc w:val="both"/>
      </w:pPr>
    </w:p>
    <w:p w14:paraId="54E72C7F" w14:textId="43A2F49B" w:rsidR="008A390A" w:rsidRDefault="008A390A" w:rsidP="00F759B1">
      <w:pPr>
        <w:pStyle w:val="Default"/>
        <w:ind w:left="-567"/>
        <w:jc w:val="both"/>
      </w:pPr>
    </w:p>
    <w:p w14:paraId="5D8EAA6F" w14:textId="452D5325" w:rsidR="008A390A" w:rsidRDefault="008A390A" w:rsidP="00F759B1">
      <w:pPr>
        <w:pStyle w:val="Default"/>
        <w:ind w:left="-567"/>
        <w:jc w:val="both"/>
      </w:pPr>
    </w:p>
    <w:p w14:paraId="76DB7EB7" w14:textId="5D992F3C" w:rsidR="008A390A" w:rsidRDefault="008A390A" w:rsidP="00F759B1">
      <w:pPr>
        <w:pStyle w:val="Default"/>
        <w:ind w:left="-567"/>
        <w:jc w:val="both"/>
      </w:pPr>
    </w:p>
    <w:p w14:paraId="58B5FB45" w14:textId="5875642D" w:rsidR="008A390A" w:rsidRDefault="008A390A" w:rsidP="00F759B1">
      <w:pPr>
        <w:pStyle w:val="Default"/>
        <w:ind w:left="-567"/>
        <w:jc w:val="both"/>
      </w:pPr>
    </w:p>
    <w:p w14:paraId="2A90F195" w14:textId="1590B5CD" w:rsidR="008A390A" w:rsidRDefault="008A390A" w:rsidP="00F759B1">
      <w:pPr>
        <w:pStyle w:val="Default"/>
        <w:ind w:left="-567"/>
        <w:jc w:val="both"/>
      </w:pPr>
    </w:p>
    <w:p w14:paraId="6B9B36B0" w14:textId="3C8DE723" w:rsidR="008A390A" w:rsidRDefault="008A390A" w:rsidP="00F759B1">
      <w:pPr>
        <w:pStyle w:val="Default"/>
        <w:ind w:left="-567"/>
        <w:jc w:val="both"/>
      </w:pPr>
    </w:p>
    <w:p w14:paraId="2AE90474" w14:textId="485CAEB5" w:rsidR="008A390A" w:rsidRDefault="008A390A" w:rsidP="00F759B1">
      <w:pPr>
        <w:pStyle w:val="Default"/>
        <w:ind w:left="-567"/>
        <w:jc w:val="both"/>
      </w:pPr>
    </w:p>
    <w:p w14:paraId="26A7240E" w14:textId="751EFFCE" w:rsidR="008A390A" w:rsidRDefault="008A390A" w:rsidP="00F759B1">
      <w:pPr>
        <w:pStyle w:val="Default"/>
        <w:ind w:left="-567"/>
        <w:jc w:val="both"/>
      </w:pPr>
    </w:p>
    <w:p w14:paraId="4148700E" w14:textId="12FFAA6C" w:rsidR="008A390A" w:rsidRDefault="008A390A" w:rsidP="00F759B1">
      <w:pPr>
        <w:pStyle w:val="Default"/>
        <w:ind w:left="-567"/>
        <w:jc w:val="both"/>
      </w:pPr>
    </w:p>
    <w:p w14:paraId="7539A2D6" w14:textId="3F28CF06" w:rsidR="008A390A" w:rsidRDefault="008A390A" w:rsidP="00F759B1">
      <w:pPr>
        <w:pStyle w:val="Default"/>
        <w:ind w:left="-567"/>
        <w:jc w:val="both"/>
      </w:pPr>
    </w:p>
    <w:p w14:paraId="1B9AE695" w14:textId="77777777" w:rsidR="008A390A" w:rsidRDefault="008A390A" w:rsidP="00F759B1">
      <w:pPr>
        <w:pStyle w:val="Default"/>
        <w:ind w:left="-567"/>
        <w:jc w:val="both"/>
      </w:pPr>
    </w:p>
    <w:p w14:paraId="1C445419" w14:textId="77777777" w:rsidR="0095291E" w:rsidRDefault="0095291E" w:rsidP="00F759B1">
      <w:pPr>
        <w:pStyle w:val="Default"/>
        <w:ind w:left="-567"/>
        <w:jc w:val="both"/>
      </w:pPr>
    </w:p>
    <w:p w14:paraId="455A6FBA" w14:textId="5457F21B" w:rsidR="00977F47" w:rsidRDefault="00F759B1" w:rsidP="00F759B1">
      <w:pPr>
        <w:pStyle w:val="Default"/>
        <w:ind w:left="-567"/>
        <w:jc w:val="both"/>
        <w:rPr>
          <w:b/>
          <w:bCs/>
          <w:i/>
          <w:iCs/>
          <w:color w:val="E67208"/>
          <w:sz w:val="18"/>
        </w:rPr>
      </w:pPr>
      <w:r w:rsidRPr="00F759B1">
        <w:t>Respecto de los panteones que contaron con servicio de crematorio al cierre de</w:t>
      </w:r>
      <w:r w:rsidR="0095291E">
        <w:t xml:space="preserve"> diciembre de</w:t>
      </w:r>
      <w:r w:rsidRPr="00F759B1">
        <w:t xml:space="preserve"> 2020, se reportaron 30, en los cuales</w:t>
      </w:r>
      <w:r>
        <w:t xml:space="preserve"> </w:t>
      </w:r>
      <w:r w:rsidRPr="00F759B1">
        <w:t>se registraron 38 hornos para cremación o incineración en funcionamiento. Comparado con lo reportado al cierre de junio de 2020, la cantidad de hornos para cremación o incineración en funcionamiento</w:t>
      </w:r>
      <w:r w:rsidR="006D4675" w:rsidRPr="006D4675">
        <w:t xml:space="preserve"> </w:t>
      </w:r>
      <w:r w:rsidR="006D4675" w:rsidRPr="00F759B1">
        <w:t>al cierre de 2020</w:t>
      </w:r>
      <w:r w:rsidRPr="00F759B1">
        <w:t xml:space="preserve"> aumentó 2.7</w:t>
      </w:r>
      <w:r w:rsidR="00EA263B">
        <w:t xml:space="preserve"> por ciento</w:t>
      </w:r>
      <w:r w:rsidR="00BF6161">
        <w:t>.</w:t>
      </w:r>
    </w:p>
    <w:p w14:paraId="0E885BDA" w14:textId="20387C82" w:rsidR="00977F47" w:rsidRDefault="00977F47" w:rsidP="00F759B1">
      <w:pPr>
        <w:pStyle w:val="Default"/>
        <w:ind w:left="-567"/>
        <w:jc w:val="both"/>
        <w:rPr>
          <w:b/>
          <w:bCs/>
          <w:i/>
          <w:iCs/>
          <w:color w:val="E67208"/>
          <w:sz w:val="18"/>
        </w:rPr>
      </w:pPr>
    </w:p>
    <w:p w14:paraId="320D578D" w14:textId="77777777" w:rsidR="00977F47" w:rsidRDefault="00977F47" w:rsidP="00F759B1">
      <w:pPr>
        <w:pStyle w:val="Default"/>
        <w:ind w:left="-567"/>
        <w:jc w:val="both"/>
        <w:rPr>
          <w:b/>
          <w:bCs/>
          <w:i/>
          <w:iCs/>
          <w:color w:val="E67208"/>
          <w:sz w:val="18"/>
        </w:rPr>
      </w:pPr>
    </w:p>
    <w:p w14:paraId="30EEE4B8" w14:textId="77777777" w:rsidR="004E7AD6" w:rsidRDefault="004E7AD6" w:rsidP="00981483">
      <w:pPr>
        <w:pStyle w:val="Default"/>
        <w:ind w:left="-567"/>
        <w:jc w:val="center"/>
        <w:rPr>
          <w:b/>
          <w:bCs/>
          <w:i/>
          <w:iCs/>
          <w:color w:val="E67208"/>
          <w:sz w:val="18"/>
        </w:rPr>
      </w:pPr>
    </w:p>
    <w:p w14:paraId="08A22255" w14:textId="381DED72" w:rsidR="00981483" w:rsidRDefault="00981483" w:rsidP="00981483">
      <w:pPr>
        <w:pStyle w:val="Default"/>
        <w:ind w:left="-567"/>
        <w:jc w:val="center"/>
        <w:rPr>
          <w:b/>
          <w:bCs/>
          <w:i/>
          <w:iCs/>
          <w:color w:val="E67208"/>
          <w:sz w:val="18"/>
        </w:rPr>
      </w:pPr>
      <w:r>
        <w:rPr>
          <w:b/>
          <w:bCs/>
          <w:i/>
          <w:iCs/>
          <w:color w:val="E67208"/>
          <w:sz w:val="18"/>
        </w:rPr>
        <w:t xml:space="preserve">Mapa </w:t>
      </w:r>
      <w:r w:rsidR="0024027A">
        <w:rPr>
          <w:b/>
          <w:bCs/>
          <w:i/>
          <w:iCs/>
          <w:color w:val="E67208"/>
          <w:sz w:val="18"/>
        </w:rPr>
        <w:t>3</w:t>
      </w:r>
      <w:r w:rsidRPr="00DF6B33">
        <w:rPr>
          <w:b/>
          <w:bCs/>
          <w:i/>
          <w:iCs/>
          <w:color w:val="E67208"/>
          <w:sz w:val="18"/>
        </w:rPr>
        <w:t>.</w:t>
      </w:r>
      <w:r w:rsidRPr="00DF6B33">
        <w:rPr>
          <w:color w:val="E67208"/>
        </w:rPr>
        <w:t xml:space="preserve"> </w:t>
      </w:r>
      <w:r w:rsidRPr="00981483">
        <w:rPr>
          <w:b/>
          <w:bCs/>
          <w:i/>
          <w:iCs/>
          <w:color w:val="E67208"/>
          <w:sz w:val="18"/>
        </w:rPr>
        <w:t xml:space="preserve">Panteones en operación que contaron con crematorio, </w:t>
      </w:r>
    </w:p>
    <w:p w14:paraId="0991A69B" w14:textId="2E9B6AB9" w:rsidR="008D46A4" w:rsidRDefault="00981483" w:rsidP="00981483">
      <w:pPr>
        <w:pStyle w:val="Default"/>
        <w:ind w:left="-567"/>
        <w:jc w:val="center"/>
        <w:rPr>
          <w:b/>
          <w:bCs/>
          <w:i/>
          <w:iCs/>
          <w:color w:val="E67208"/>
          <w:sz w:val="18"/>
        </w:rPr>
      </w:pPr>
      <w:r w:rsidRPr="00981483">
        <w:rPr>
          <w:b/>
          <w:bCs/>
          <w:i/>
          <w:iCs/>
          <w:color w:val="E67208"/>
          <w:sz w:val="18"/>
        </w:rPr>
        <w:t>según zona metropolitana de pertenencia, 2020</w:t>
      </w:r>
      <w:r>
        <w:rPr>
          <w:noProof/>
        </w:rPr>
        <w:drawing>
          <wp:inline distT="0" distB="0" distL="0" distR="0" wp14:anchorId="0FAE6C50" wp14:editId="4B222AE7">
            <wp:extent cx="6088235" cy="4352925"/>
            <wp:effectExtent l="0" t="0" r="825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71625" cy="4484044"/>
                    </a:xfrm>
                    <a:prstGeom prst="rect">
                      <a:avLst/>
                    </a:prstGeom>
                    <a:noFill/>
                  </pic:spPr>
                </pic:pic>
              </a:graphicData>
            </a:graphic>
          </wp:inline>
        </w:drawing>
      </w:r>
    </w:p>
    <w:p w14:paraId="069CBFDE" w14:textId="77777777" w:rsidR="008A390A" w:rsidRDefault="008A390A" w:rsidP="00E34409">
      <w:pPr>
        <w:pStyle w:val="Default"/>
        <w:ind w:left="-567"/>
        <w:jc w:val="center"/>
        <w:rPr>
          <w:sz w:val="18"/>
          <w:szCs w:val="18"/>
        </w:rPr>
      </w:pPr>
    </w:p>
    <w:p w14:paraId="68B41CCD" w14:textId="0D86C769" w:rsidR="00E34409" w:rsidRPr="00981483" w:rsidRDefault="00E34409" w:rsidP="00E34409">
      <w:pPr>
        <w:pStyle w:val="Default"/>
        <w:ind w:left="-567"/>
        <w:jc w:val="center"/>
        <w:rPr>
          <w:sz w:val="18"/>
          <w:szCs w:val="18"/>
        </w:rPr>
      </w:pPr>
      <w:r w:rsidRPr="00981483">
        <w:rPr>
          <w:sz w:val="18"/>
          <w:szCs w:val="18"/>
        </w:rPr>
        <w:t xml:space="preserve">Nota: </w:t>
      </w:r>
      <w:r>
        <w:rPr>
          <w:sz w:val="18"/>
          <w:szCs w:val="18"/>
        </w:rPr>
        <w:t>a</w:t>
      </w:r>
      <w:r w:rsidRPr="00981483">
        <w:rPr>
          <w:sz w:val="18"/>
          <w:szCs w:val="18"/>
        </w:rPr>
        <w:t>l cierre de 2020</w:t>
      </w:r>
      <w:r w:rsidR="006D4675">
        <w:rPr>
          <w:sz w:val="18"/>
          <w:szCs w:val="18"/>
        </w:rPr>
        <w:t>,</w:t>
      </w:r>
      <w:r w:rsidRPr="00981483">
        <w:rPr>
          <w:sz w:val="18"/>
          <w:szCs w:val="18"/>
        </w:rPr>
        <w:t xml:space="preserve"> de las 17 zonas metropolitanas que contaron con crematorio, únicamente 14 zonas contaron con hornos para cremación o incineración en funcionamiento.</w:t>
      </w:r>
    </w:p>
    <w:p w14:paraId="6A516EE6" w14:textId="77777777" w:rsidR="00E34409" w:rsidRDefault="00E34409" w:rsidP="004A5F00">
      <w:pPr>
        <w:pStyle w:val="Default"/>
        <w:ind w:left="-567"/>
        <w:jc w:val="both"/>
      </w:pPr>
    </w:p>
    <w:p w14:paraId="6322E2A6" w14:textId="77777777" w:rsidR="0024027A" w:rsidRDefault="0024027A" w:rsidP="004A5F00">
      <w:pPr>
        <w:pStyle w:val="Default"/>
        <w:ind w:left="-567"/>
        <w:jc w:val="both"/>
      </w:pPr>
    </w:p>
    <w:p w14:paraId="11D630F3" w14:textId="77777777" w:rsidR="008A390A" w:rsidRDefault="008A390A" w:rsidP="004A5F00">
      <w:pPr>
        <w:pStyle w:val="Default"/>
        <w:ind w:left="-567"/>
        <w:jc w:val="both"/>
      </w:pPr>
    </w:p>
    <w:p w14:paraId="378686D3" w14:textId="77777777" w:rsidR="008A390A" w:rsidRDefault="008A390A" w:rsidP="004A5F00">
      <w:pPr>
        <w:pStyle w:val="Default"/>
        <w:ind w:left="-567"/>
        <w:jc w:val="both"/>
      </w:pPr>
    </w:p>
    <w:p w14:paraId="73AAEF39" w14:textId="77777777" w:rsidR="008A390A" w:rsidRDefault="008A390A" w:rsidP="004A5F00">
      <w:pPr>
        <w:pStyle w:val="Default"/>
        <w:ind w:left="-567"/>
        <w:jc w:val="both"/>
      </w:pPr>
    </w:p>
    <w:p w14:paraId="793E845B" w14:textId="77777777" w:rsidR="008A390A" w:rsidRDefault="008A390A" w:rsidP="004A5F00">
      <w:pPr>
        <w:pStyle w:val="Default"/>
        <w:ind w:left="-567"/>
        <w:jc w:val="both"/>
      </w:pPr>
    </w:p>
    <w:p w14:paraId="398BE49C" w14:textId="77777777" w:rsidR="008A390A" w:rsidRDefault="008A390A" w:rsidP="004A5F00">
      <w:pPr>
        <w:pStyle w:val="Default"/>
        <w:ind w:left="-567"/>
        <w:jc w:val="both"/>
      </w:pPr>
    </w:p>
    <w:p w14:paraId="69F88A4B" w14:textId="77777777" w:rsidR="008A390A" w:rsidRDefault="008A390A" w:rsidP="004A5F00">
      <w:pPr>
        <w:pStyle w:val="Default"/>
        <w:ind w:left="-567"/>
        <w:jc w:val="both"/>
      </w:pPr>
    </w:p>
    <w:p w14:paraId="0D9EF843" w14:textId="77777777" w:rsidR="00EA263B" w:rsidRDefault="00EA263B" w:rsidP="00C90D69">
      <w:pPr>
        <w:pStyle w:val="Default"/>
        <w:jc w:val="both"/>
      </w:pPr>
    </w:p>
    <w:p w14:paraId="689C4DA6" w14:textId="77777777" w:rsidR="00EA263B" w:rsidRDefault="00EA263B" w:rsidP="004A5F00">
      <w:pPr>
        <w:pStyle w:val="Default"/>
        <w:ind w:left="-567"/>
        <w:jc w:val="both"/>
      </w:pPr>
    </w:p>
    <w:p w14:paraId="7013CF36" w14:textId="7C87C354" w:rsidR="00717BB2" w:rsidRDefault="00981483" w:rsidP="004A5F00">
      <w:pPr>
        <w:pStyle w:val="Default"/>
        <w:ind w:left="-567"/>
        <w:jc w:val="both"/>
      </w:pPr>
      <w:r w:rsidRPr="00981483">
        <w:t>Sobre los sistemas de información con que contaron los panteones al cierre de</w:t>
      </w:r>
      <w:r w:rsidR="0095291E">
        <w:t xml:space="preserve"> diciembre de</w:t>
      </w:r>
      <w:r w:rsidRPr="00981483">
        <w:t xml:space="preserve"> 2020, 1 350 (93.0%) contó con información sobre inhumaciones, 885 (61.0%) sobre exhumaciones, 586 (40.4%) sobre </w:t>
      </w:r>
      <w:proofErr w:type="spellStart"/>
      <w:r w:rsidRPr="00981483">
        <w:t>reinhumaciones</w:t>
      </w:r>
      <w:proofErr w:type="spellEnd"/>
      <w:r w:rsidRPr="00981483">
        <w:t xml:space="preserve"> y 170 (11.7%) sobre cremaciones o incineraciones.</w:t>
      </w:r>
      <w:r>
        <w:t xml:space="preserve"> En comparación con lo r</w:t>
      </w:r>
      <w:r w:rsidR="004E7AD6">
        <w:t>eportado</w:t>
      </w:r>
      <w:r>
        <w:t xml:space="preserve"> al cierre de junio de 2020, el </w:t>
      </w:r>
      <w:r w:rsidR="004E7AD6">
        <w:t>aumento</w:t>
      </w:r>
      <w:r>
        <w:t xml:space="preserve"> de panteones que contaron con sistema de información sobre inhumaciones </w:t>
      </w:r>
      <w:r w:rsidR="004E7AD6">
        <w:t xml:space="preserve">fue de 1.7%, mientras que </w:t>
      </w:r>
      <w:r w:rsidR="006D4675">
        <w:t>los</w:t>
      </w:r>
      <w:r w:rsidR="0095291E">
        <w:t xml:space="preserve"> </w:t>
      </w:r>
      <w:r w:rsidR="004E7AD6">
        <w:t>panteones que contaron con sistema</w:t>
      </w:r>
      <w:r w:rsidR="006D4675">
        <w:t>s</w:t>
      </w:r>
      <w:r w:rsidR="004E7AD6">
        <w:t xml:space="preserve"> de información sobre exhumaciones</w:t>
      </w:r>
      <w:r w:rsidR="006D4675">
        <w:t xml:space="preserve"> y</w:t>
      </w:r>
      <w:r w:rsidR="004E7AD6">
        <w:t xml:space="preserve"> </w:t>
      </w:r>
      <w:proofErr w:type="spellStart"/>
      <w:r w:rsidR="004E7AD6">
        <w:t>reinhumaciones</w:t>
      </w:r>
      <w:proofErr w:type="spellEnd"/>
      <w:r w:rsidR="004E7AD6">
        <w:t xml:space="preserve"> </w:t>
      </w:r>
      <w:r w:rsidR="006D4675">
        <w:t xml:space="preserve">presentaron un aumento </w:t>
      </w:r>
      <w:r w:rsidR="004E7AD6">
        <w:t>de 7.0 y 2.4</w:t>
      </w:r>
      <w:r w:rsidR="00EA263B">
        <w:t xml:space="preserve"> por ciento</w:t>
      </w:r>
      <w:r w:rsidR="004E7AD6">
        <w:t xml:space="preserve">, respectivamente. El mayor incremento se presentó en los panteones que contaron con sistema de información sobre cremaciones o incineraciones con 15.6% al cierre de </w:t>
      </w:r>
      <w:r w:rsidR="0095291E">
        <w:t xml:space="preserve">diciembre de </w:t>
      </w:r>
      <w:r w:rsidR="004E7AD6">
        <w:t xml:space="preserve">2020. </w:t>
      </w:r>
    </w:p>
    <w:p w14:paraId="7229AB40" w14:textId="439B988E" w:rsidR="004E7AD6" w:rsidRDefault="004E7AD6" w:rsidP="004E7AD6">
      <w:pPr>
        <w:pStyle w:val="Default"/>
        <w:ind w:left="-567"/>
        <w:jc w:val="center"/>
      </w:pPr>
    </w:p>
    <w:p w14:paraId="01D6D1BC" w14:textId="77777777" w:rsidR="004E7AD6" w:rsidRDefault="004E7AD6" w:rsidP="004E7AD6">
      <w:pPr>
        <w:pStyle w:val="Default"/>
        <w:ind w:left="-567"/>
        <w:jc w:val="center"/>
        <w:rPr>
          <w:b/>
          <w:bCs/>
          <w:i/>
          <w:iCs/>
          <w:color w:val="E67208"/>
          <w:sz w:val="18"/>
        </w:rPr>
      </w:pPr>
      <w:r w:rsidRPr="00DF6B33">
        <w:rPr>
          <w:b/>
          <w:bCs/>
          <w:i/>
          <w:iCs/>
          <w:color w:val="E67208"/>
          <w:sz w:val="18"/>
        </w:rPr>
        <w:t xml:space="preserve">Gráfica </w:t>
      </w:r>
      <w:r>
        <w:rPr>
          <w:b/>
          <w:bCs/>
          <w:i/>
          <w:iCs/>
          <w:color w:val="E67208"/>
          <w:sz w:val="18"/>
        </w:rPr>
        <w:t>5</w:t>
      </w:r>
      <w:r w:rsidRPr="00DF6B33">
        <w:rPr>
          <w:b/>
          <w:bCs/>
          <w:i/>
          <w:iCs/>
          <w:color w:val="E67208"/>
          <w:sz w:val="18"/>
        </w:rPr>
        <w:t>.</w:t>
      </w:r>
      <w:r w:rsidRPr="00DF6B33">
        <w:rPr>
          <w:color w:val="E67208"/>
        </w:rPr>
        <w:t xml:space="preserve"> </w:t>
      </w:r>
      <w:r w:rsidRPr="004E7AD6">
        <w:rPr>
          <w:b/>
          <w:bCs/>
          <w:i/>
          <w:iCs/>
          <w:color w:val="E67208"/>
          <w:sz w:val="18"/>
        </w:rPr>
        <w:t xml:space="preserve">Porcentaje de panteones que contaron con sistemas de información, </w:t>
      </w:r>
    </w:p>
    <w:p w14:paraId="40C32A20" w14:textId="5AE2C6FE" w:rsidR="004E7AD6" w:rsidRDefault="004E7AD6" w:rsidP="004E7AD6">
      <w:pPr>
        <w:pStyle w:val="Default"/>
        <w:ind w:left="-567"/>
        <w:jc w:val="center"/>
      </w:pPr>
      <w:r w:rsidRPr="004E7AD6">
        <w:rPr>
          <w:b/>
          <w:bCs/>
          <w:i/>
          <w:iCs/>
          <w:color w:val="E67208"/>
          <w:sz w:val="18"/>
        </w:rPr>
        <w:t>según tipo de sistema y formato de registro, 2020</w:t>
      </w:r>
    </w:p>
    <w:p w14:paraId="206A4CF6" w14:textId="3D4A0FC1" w:rsidR="004A5F00" w:rsidRDefault="004E7AD6" w:rsidP="00F759B1">
      <w:pPr>
        <w:pStyle w:val="Default"/>
        <w:ind w:left="-567"/>
        <w:jc w:val="center"/>
        <w:rPr>
          <w:b/>
          <w:bCs/>
          <w:i/>
          <w:iCs/>
          <w:color w:val="4472C4" w:themeColor="accent1"/>
          <w:sz w:val="20"/>
        </w:rPr>
      </w:pPr>
      <w:r>
        <w:rPr>
          <w:noProof/>
        </w:rPr>
        <w:drawing>
          <wp:inline distT="0" distB="0" distL="0" distR="0" wp14:anchorId="2DBA82E0" wp14:editId="476AED26">
            <wp:extent cx="6554437" cy="32004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0618" cy="3262011"/>
                    </a:xfrm>
                    <a:prstGeom prst="rect">
                      <a:avLst/>
                    </a:prstGeom>
                    <a:noFill/>
                    <a:ln>
                      <a:noFill/>
                    </a:ln>
                  </pic:spPr>
                </pic:pic>
              </a:graphicData>
            </a:graphic>
          </wp:inline>
        </w:drawing>
      </w:r>
    </w:p>
    <w:p w14:paraId="422DD165" w14:textId="77777777" w:rsidR="00E34409" w:rsidRDefault="00E34409" w:rsidP="00F759B1">
      <w:pPr>
        <w:pStyle w:val="Default"/>
        <w:ind w:left="-567"/>
        <w:jc w:val="both"/>
        <w:rPr>
          <w:color w:val="auto"/>
        </w:rPr>
      </w:pPr>
    </w:p>
    <w:p w14:paraId="0999324C" w14:textId="77777777" w:rsidR="008A390A" w:rsidRDefault="008A390A" w:rsidP="00F759B1">
      <w:pPr>
        <w:pStyle w:val="Default"/>
        <w:ind w:left="-567"/>
        <w:jc w:val="both"/>
        <w:rPr>
          <w:color w:val="auto"/>
        </w:rPr>
      </w:pPr>
    </w:p>
    <w:p w14:paraId="76FF7F93" w14:textId="77777777" w:rsidR="008A390A" w:rsidRDefault="008A390A" w:rsidP="00F759B1">
      <w:pPr>
        <w:pStyle w:val="Default"/>
        <w:ind w:left="-567"/>
        <w:jc w:val="both"/>
        <w:rPr>
          <w:color w:val="auto"/>
        </w:rPr>
      </w:pPr>
    </w:p>
    <w:p w14:paraId="7AACC965" w14:textId="77777777" w:rsidR="008A390A" w:rsidRDefault="008A390A" w:rsidP="00F759B1">
      <w:pPr>
        <w:pStyle w:val="Default"/>
        <w:ind w:left="-567"/>
        <w:jc w:val="both"/>
        <w:rPr>
          <w:color w:val="auto"/>
        </w:rPr>
      </w:pPr>
    </w:p>
    <w:p w14:paraId="7C3FD9F7" w14:textId="77777777" w:rsidR="008A390A" w:rsidRDefault="008A390A" w:rsidP="00F759B1">
      <w:pPr>
        <w:pStyle w:val="Default"/>
        <w:ind w:left="-567"/>
        <w:jc w:val="both"/>
        <w:rPr>
          <w:color w:val="auto"/>
        </w:rPr>
      </w:pPr>
    </w:p>
    <w:p w14:paraId="7F6C4E6E" w14:textId="77777777" w:rsidR="008A390A" w:rsidRDefault="008A390A" w:rsidP="00F759B1">
      <w:pPr>
        <w:pStyle w:val="Default"/>
        <w:ind w:left="-567"/>
        <w:jc w:val="both"/>
        <w:rPr>
          <w:color w:val="auto"/>
        </w:rPr>
      </w:pPr>
    </w:p>
    <w:p w14:paraId="0797152E" w14:textId="77777777" w:rsidR="008A390A" w:rsidRDefault="008A390A" w:rsidP="00F759B1">
      <w:pPr>
        <w:pStyle w:val="Default"/>
        <w:ind w:left="-567"/>
        <w:jc w:val="both"/>
        <w:rPr>
          <w:color w:val="auto"/>
        </w:rPr>
      </w:pPr>
    </w:p>
    <w:p w14:paraId="053EB3FA" w14:textId="77777777" w:rsidR="008A390A" w:rsidRDefault="008A390A" w:rsidP="00F759B1">
      <w:pPr>
        <w:pStyle w:val="Default"/>
        <w:ind w:left="-567"/>
        <w:jc w:val="both"/>
        <w:rPr>
          <w:color w:val="auto"/>
        </w:rPr>
      </w:pPr>
    </w:p>
    <w:p w14:paraId="6159E006" w14:textId="77777777" w:rsidR="008A390A" w:rsidRDefault="008A390A" w:rsidP="00F759B1">
      <w:pPr>
        <w:pStyle w:val="Default"/>
        <w:ind w:left="-567"/>
        <w:jc w:val="both"/>
        <w:rPr>
          <w:color w:val="auto"/>
        </w:rPr>
      </w:pPr>
    </w:p>
    <w:p w14:paraId="677C8372" w14:textId="77777777" w:rsidR="008A390A" w:rsidRDefault="008A390A" w:rsidP="00F759B1">
      <w:pPr>
        <w:pStyle w:val="Default"/>
        <w:ind w:left="-567"/>
        <w:jc w:val="both"/>
        <w:rPr>
          <w:color w:val="auto"/>
        </w:rPr>
      </w:pPr>
    </w:p>
    <w:p w14:paraId="55344BE2" w14:textId="77777777" w:rsidR="008A390A" w:rsidRDefault="008A390A" w:rsidP="00F759B1">
      <w:pPr>
        <w:pStyle w:val="Default"/>
        <w:ind w:left="-567"/>
        <w:jc w:val="both"/>
        <w:rPr>
          <w:color w:val="auto"/>
        </w:rPr>
      </w:pPr>
    </w:p>
    <w:p w14:paraId="607C5053" w14:textId="77777777" w:rsidR="008A390A" w:rsidRDefault="008A390A" w:rsidP="00F759B1">
      <w:pPr>
        <w:pStyle w:val="Default"/>
        <w:ind w:left="-567"/>
        <w:jc w:val="both"/>
        <w:rPr>
          <w:color w:val="auto"/>
        </w:rPr>
      </w:pPr>
    </w:p>
    <w:p w14:paraId="7024D170" w14:textId="77777777" w:rsidR="008A390A" w:rsidRDefault="008A390A" w:rsidP="00F759B1">
      <w:pPr>
        <w:pStyle w:val="Default"/>
        <w:ind w:left="-567"/>
        <w:jc w:val="both"/>
        <w:rPr>
          <w:color w:val="auto"/>
        </w:rPr>
      </w:pPr>
    </w:p>
    <w:p w14:paraId="09F44871" w14:textId="77777777" w:rsidR="008A390A" w:rsidRDefault="008A390A" w:rsidP="00F759B1">
      <w:pPr>
        <w:pStyle w:val="Default"/>
        <w:ind w:left="-567"/>
        <w:jc w:val="both"/>
        <w:rPr>
          <w:color w:val="auto"/>
        </w:rPr>
      </w:pPr>
    </w:p>
    <w:p w14:paraId="19F53325" w14:textId="77777777" w:rsidR="00EA263B" w:rsidRDefault="00EA263B" w:rsidP="00C90D69">
      <w:pPr>
        <w:pStyle w:val="Default"/>
        <w:jc w:val="both"/>
        <w:rPr>
          <w:color w:val="auto"/>
        </w:rPr>
      </w:pPr>
    </w:p>
    <w:p w14:paraId="57848C72" w14:textId="1D82BE02" w:rsidR="006D43AD" w:rsidRDefault="00F759B1" w:rsidP="00F759B1">
      <w:pPr>
        <w:pStyle w:val="Default"/>
        <w:ind w:left="-567"/>
        <w:jc w:val="both"/>
        <w:rPr>
          <w:color w:val="auto"/>
        </w:rPr>
      </w:pPr>
      <w:r w:rsidRPr="00F759B1">
        <w:rPr>
          <w:color w:val="auto"/>
        </w:rPr>
        <w:t>Al cierre de 2019 se registró un total de 154 692 inhumaciones, mientras que para 2020 se reportó un total de 198 686</w:t>
      </w:r>
      <w:r w:rsidR="00EA263B">
        <w:rPr>
          <w:color w:val="auto"/>
        </w:rPr>
        <w:t>. E</w:t>
      </w:r>
      <w:r w:rsidRPr="00F759B1">
        <w:rPr>
          <w:color w:val="auto"/>
        </w:rPr>
        <w:t>sto representó un aumento de 28.4</w:t>
      </w:r>
      <w:r w:rsidR="00EA263B">
        <w:rPr>
          <w:color w:val="auto"/>
        </w:rPr>
        <w:t xml:space="preserve"> por ciento</w:t>
      </w:r>
      <w:r w:rsidRPr="00F759B1">
        <w:rPr>
          <w:color w:val="auto"/>
        </w:rPr>
        <w:t>. En tanto, para el primer trimestre de 2021 se reportó un total de 61</w:t>
      </w:r>
      <w:r w:rsidR="00745A6B">
        <w:rPr>
          <w:color w:val="auto"/>
        </w:rPr>
        <w:t xml:space="preserve"> </w:t>
      </w:r>
      <w:r w:rsidRPr="00F759B1">
        <w:rPr>
          <w:color w:val="auto"/>
        </w:rPr>
        <w:t>657 inhumaciones.</w:t>
      </w:r>
    </w:p>
    <w:p w14:paraId="35165A48" w14:textId="72C6E22F" w:rsidR="00F759B1" w:rsidRDefault="00F759B1" w:rsidP="00F759B1">
      <w:pPr>
        <w:pStyle w:val="Default"/>
        <w:ind w:left="-567"/>
        <w:jc w:val="both"/>
        <w:rPr>
          <w:b/>
          <w:bCs/>
          <w:i/>
          <w:iCs/>
          <w:color w:val="E67208"/>
          <w:sz w:val="18"/>
        </w:rPr>
      </w:pPr>
    </w:p>
    <w:p w14:paraId="52E024C0" w14:textId="77777777" w:rsidR="00E34409" w:rsidRDefault="00E34409" w:rsidP="00F759B1">
      <w:pPr>
        <w:pStyle w:val="Default"/>
        <w:ind w:left="-567"/>
        <w:jc w:val="both"/>
        <w:rPr>
          <w:b/>
          <w:bCs/>
          <w:i/>
          <w:iCs/>
          <w:color w:val="E67208"/>
          <w:sz w:val="18"/>
        </w:rPr>
      </w:pPr>
    </w:p>
    <w:p w14:paraId="1D221FBA" w14:textId="0D59F99E" w:rsidR="009A4318" w:rsidRDefault="006D43AD" w:rsidP="006D43AD">
      <w:pPr>
        <w:pStyle w:val="Default"/>
        <w:ind w:left="-567"/>
        <w:jc w:val="center"/>
        <w:rPr>
          <w:b/>
          <w:bCs/>
          <w:i/>
          <w:iCs/>
          <w:color w:val="E67208"/>
          <w:sz w:val="18"/>
        </w:rPr>
      </w:pPr>
      <w:r w:rsidRPr="00DF6B33">
        <w:rPr>
          <w:b/>
          <w:bCs/>
          <w:i/>
          <w:iCs/>
          <w:color w:val="E67208"/>
          <w:sz w:val="18"/>
        </w:rPr>
        <w:t xml:space="preserve">Gráfica </w:t>
      </w:r>
      <w:r>
        <w:rPr>
          <w:b/>
          <w:bCs/>
          <w:i/>
          <w:iCs/>
          <w:color w:val="E67208"/>
          <w:sz w:val="18"/>
        </w:rPr>
        <w:t>6</w:t>
      </w:r>
      <w:r w:rsidRPr="00DF6B33">
        <w:rPr>
          <w:b/>
          <w:bCs/>
          <w:i/>
          <w:iCs/>
          <w:color w:val="E67208"/>
          <w:sz w:val="18"/>
        </w:rPr>
        <w:t>.</w:t>
      </w:r>
      <w:r w:rsidRPr="00DF6B33">
        <w:rPr>
          <w:color w:val="E67208"/>
        </w:rPr>
        <w:t xml:space="preserve"> </w:t>
      </w:r>
      <w:r w:rsidR="009A4318" w:rsidRPr="009A4318">
        <w:rPr>
          <w:b/>
          <w:bCs/>
          <w:i/>
          <w:iCs/>
          <w:color w:val="E67208"/>
          <w:sz w:val="18"/>
        </w:rPr>
        <w:t>Cadáveres inhumados, según año y mes de realización, 2019 a 2021</w:t>
      </w:r>
    </w:p>
    <w:p w14:paraId="315F4F9E" w14:textId="3E16CF08" w:rsidR="009A4318" w:rsidRDefault="009A4318" w:rsidP="00E34409">
      <w:pPr>
        <w:pStyle w:val="Default"/>
        <w:ind w:left="-567"/>
        <w:jc w:val="center"/>
        <w:rPr>
          <w:b/>
          <w:bCs/>
          <w:i/>
          <w:iCs/>
          <w:color w:val="E67208"/>
          <w:sz w:val="18"/>
        </w:rPr>
      </w:pPr>
      <w:r>
        <w:rPr>
          <w:b/>
          <w:bCs/>
          <w:i/>
          <w:iCs/>
          <w:noProof/>
          <w:color w:val="E67208"/>
          <w:sz w:val="18"/>
        </w:rPr>
        <w:drawing>
          <wp:inline distT="0" distB="0" distL="0" distR="0" wp14:anchorId="4BC0F9FD" wp14:editId="3481AC3D">
            <wp:extent cx="6543335" cy="23116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04542" cy="2333226"/>
                    </a:xfrm>
                    <a:prstGeom prst="rect">
                      <a:avLst/>
                    </a:prstGeom>
                    <a:noFill/>
                  </pic:spPr>
                </pic:pic>
              </a:graphicData>
            </a:graphic>
          </wp:inline>
        </w:drawing>
      </w:r>
    </w:p>
    <w:p w14:paraId="1806497A" w14:textId="77777777" w:rsidR="009A4318" w:rsidRDefault="009A4318" w:rsidP="009A4318">
      <w:pPr>
        <w:pStyle w:val="Default"/>
        <w:ind w:left="-567"/>
        <w:jc w:val="center"/>
        <w:rPr>
          <w:bCs/>
          <w:iCs/>
          <w:color w:val="000000" w:themeColor="text1"/>
          <w:sz w:val="18"/>
        </w:rPr>
      </w:pPr>
    </w:p>
    <w:p w14:paraId="0CC45496" w14:textId="39414524" w:rsidR="009A4318" w:rsidRPr="009A4318" w:rsidRDefault="009A4318" w:rsidP="009A4318">
      <w:pPr>
        <w:pStyle w:val="Default"/>
        <w:ind w:left="-567"/>
        <w:jc w:val="center"/>
        <w:rPr>
          <w:bCs/>
          <w:iCs/>
          <w:color w:val="000000" w:themeColor="text1"/>
          <w:sz w:val="18"/>
        </w:rPr>
      </w:pPr>
      <w:r w:rsidRPr="009A4318">
        <w:rPr>
          <w:bCs/>
          <w:iCs/>
          <w:color w:val="000000" w:themeColor="text1"/>
          <w:sz w:val="18"/>
        </w:rPr>
        <w:t>*En 2019 no se especificó el mes de realización de la inhumación en 600 casos.</w:t>
      </w:r>
    </w:p>
    <w:p w14:paraId="62EDC599" w14:textId="77777777" w:rsidR="009A4318" w:rsidRPr="009A4318" w:rsidRDefault="009A4318" w:rsidP="009A4318">
      <w:pPr>
        <w:pStyle w:val="Default"/>
        <w:ind w:left="-567"/>
        <w:jc w:val="center"/>
        <w:rPr>
          <w:bCs/>
          <w:iCs/>
          <w:color w:val="000000" w:themeColor="text1"/>
          <w:sz w:val="18"/>
        </w:rPr>
      </w:pPr>
      <w:r w:rsidRPr="009A4318">
        <w:rPr>
          <w:bCs/>
          <w:iCs/>
          <w:color w:val="000000" w:themeColor="text1"/>
          <w:sz w:val="18"/>
        </w:rPr>
        <w:t>**En 2020 no se especificó el mes de realización de la inhumación en 829 casos.</w:t>
      </w:r>
    </w:p>
    <w:p w14:paraId="56C266E2" w14:textId="77777777" w:rsidR="009A4318" w:rsidRPr="009A4318" w:rsidRDefault="009A4318" w:rsidP="009A4318">
      <w:pPr>
        <w:pStyle w:val="Default"/>
        <w:ind w:left="-567"/>
        <w:jc w:val="center"/>
        <w:rPr>
          <w:bCs/>
          <w:iCs/>
          <w:color w:val="000000" w:themeColor="text1"/>
          <w:sz w:val="18"/>
        </w:rPr>
      </w:pPr>
      <w:r w:rsidRPr="009A4318">
        <w:rPr>
          <w:bCs/>
          <w:iCs/>
          <w:color w:val="000000" w:themeColor="text1"/>
          <w:sz w:val="18"/>
        </w:rPr>
        <w:t>***En 2021 no se especificó el mes de realización de la inhumación en 291 casos.</w:t>
      </w:r>
    </w:p>
    <w:p w14:paraId="30D073F4" w14:textId="77777777" w:rsidR="00E34409" w:rsidRDefault="00E34409" w:rsidP="006D43AD">
      <w:pPr>
        <w:pStyle w:val="Default"/>
        <w:spacing w:after="10"/>
        <w:ind w:left="-567"/>
        <w:jc w:val="both"/>
        <w:rPr>
          <w:color w:val="auto"/>
        </w:rPr>
      </w:pPr>
    </w:p>
    <w:p w14:paraId="53F354CD" w14:textId="77777777" w:rsidR="00E34409" w:rsidRDefault="00E34409" w:rsidP="006D43AD">
      <w:pPr>
        <w:pStyle w:val="Default"/>
        <w:spacing w:after="10"/>
        <w:ind w:left="-567"/>
        <w:jc w:val="both"/>
        <w:rPr>
          <w:color w:val="auto"/>
        </w:rPr>
      </w:pPr>
    </w:p>
    <w:p w14:paraId="20DD3427" w14:textId="3A6FFDF9" w:rsidR="00ED1F11" w:rsidRDefault="00AB6486" w:rsidP="006D43AD">
      <w:pPr>
        <w:pStyle w:val="Default"/>
        <w:spacing w:after="10"/>
        <w:ind w:left="-567"/>
        <w:jc w:val="both"/>
        <w:rPr>
          <w:color w:val="auto"/>
        </w:rPr>
      </w:pPr>
      <w:r>
        <w:rPr>
          <w:color w:val="auto"/>
        </w:rPr>
        <w:t>En</w:t>
      </w:r>
      <w:r w:rsidR="006D43AD">
        <w:rPr>
          <w:color w:val="auto"/>
        </w:rPr>
        <w:t xml:space="preserve"> relació</w:t>
      </w:r>
      <w:r>
        <w:rPr>
          <w:color w:val="auto"/>
        </w:rPr>
        <w:t>n con</w:t>
      </w:r>
      <w:r w:rsidR="006D43AD">
        <w:rPr>
          <w:color w:val="auto"/>
        </w:rPr>
        <w:t xml:space="preserve"> los cadáveres cremados o incinerados, </w:t>
      </w:r>
      <w:r w:rsidR="009A4318">
        <w:rPr>
          <w:color w:val="auto"/>
        </w:rPr>
        <w:t>a</w:t>
      </w:r>
      <w:r w:rsidR="009A4318" w:rsidRPr="009A4318">
        <w:rPr>
          <w:color w:val="auto"/>
        </w:rPr>
        <w:t>l cierre de 2019 se registró un total de 13 831 cremaciones o incineraciones, mientras que para 2020 se reportó un total de 29 187</w:t>
      </w:r>
      <w:r w:rsidR="00745A6B">
        <w:rPr>
          <w:color w:val="auto"/>
        </w:rPr>
        <w:t>,</w:t>
      </w:r>
      <w:r w:rsidR="009A4318" w:rsidRPr="009A4318">
        <w:rPr>
          <w:color w:val="auto"/>
        </w:rPr>
        <w:t xml:space="preserve"> </w:t>
      </w:r>
      <w:r w:rsidR="00745A6B">
        <w:rPr>
          <w:color w:val="auto"/>
        </w:rPr>
        <w:t>e</w:t>
      </w:r>
      <w:r w:rsidR="009A4318" w:rsidRPr="009A4318">
        <w:rPr>
          <w:color w:val="auto"/>
        </w:rPr>
        <w:t>sto representó un aumento de 111.0</w:t>
      </w:r>
      <w:r w:rsidR="00EA263B">
        <w:rPr>
          <w:color w:val="auto"/>
        </w:rPr>
        <w:t xml:space="preserve"> por ciento</w:t>
      </w:r>
      <w:r w:rsidR="009A4318" w:rsidRPr="009A4318">
        <w:rPr>
          <w:color w:val="auto"/>
        </w:rPr>
        <w:t xml:space="preserve">. </w:t>
      </w:r>
      <w:r w:rsidR="00745A6B">
        <w:rPr>
          <w:color w:val="auto"/>
        </w:rPr>
        <w:t>Mientras que</w:t>
      </w:r>
      <w:r w:rsidR="009A4318" w:rsidRPr="009A4318">
        <w:rPr>
          <w:color w:val="auto"/>
        </w:rPr>
        <w:t xml:space="preserve"> para el primer trimestre de 2021 se reportó un total de 9 702 cremaciones o incineraciones.</w:t>
      </w:r>
    </w:p>
    <w:p w14:paraId="18BB0089" w14:textId="59104C1A" w:rsidR="000B06FB" w:rsidRDefault="000B06FB" w:rsidP="006D43AD">
      <w:pPr>
        <w:pStyle w:val="Default"/>
        <w:spacing w:after="10"/>
        <w:ind w:left="-567"/>
        <w:jc w:val="both"/>
        <w:rPr>
          <w:color w:val="auto"/>
        </w:rPr>
      </w:pPr>
    </w:p>
    <w:p w14:paraId="0C7592E8" w14:textId="7CCA01E1" w:rsidR="009A4318" w:rsidRDefault="000B06FB" w:rsidP="000B06FB">
      <w:pPr>
        <w:pStyle w:val="Default"/>
        <w:ind w:left="-567"/>
        <w:jc w:val="center"/>
        <w:rPr>
          <w:b/>
          <w:bCs/>
          <w:i/>
          <w:iCs/>
          <w:color w:val="E67208"/>
          <w:sz w:val="18"/>
        </w:rPr>
      </w:pPr>
      <w:r w:rsidRPr="00DF6B33">
        <w:rPr>
          <w:b/>
          <w:bCs/>
          <w:i/>
          <w:iCs/>
          <w:color w:val="E67208"/>
          <w:sz w:val="18"/>
        </w:rPr>
        <w:t xml:space="preserve">Gráfica </w:t>
      </w:r>
      <w:r w:rsidR="0024027A">
        <w:rPr>
          <w:b/>
          <w:bCs/>
          <w:i/>
          <w:iCs/>
          <w:color w:val="E67208"/>
          <w:sz w:val="18"/>
        </w:rPr>
        <w:t>7</w:t>
      </w:r>
      <w:r w:rsidRPr="00DF6B33">
        <w:rPr>
          <w:b/>
          <w:bCs/>
          <w:i/>
          <w:iCs/>
          <w:color w:val="E67208"/>
          <w:sz w:val="18"/>
        </w:rPr>
        <w:t>.</w:t>
      </w:r>
      <w:r w:rsidRPr="00DF6B33">
        <w:rPr>
          <w:color w:val="E67208"/>
        </w:rPr>
        <w:t xml:space="preserve"> </w:t>
      </w:r>
      <w:r w:rsidR="009A4318" w:rsidRPr="009A4318">
        <w:rPr>
          <w:b/>
          <w:bCs/>
          <w:i/>
          <w:iCs/>
          <w:color w:val="E67208"/>
          <w:sz w:val="18"/>
        </w:rPr>
        <w:t>Cadáveres cremados o incinerados, según año y mes de realización, 2019 a 2021</w:t>
      </w:r>
    </w:p>
    <w:p w14:paraId="2F14BB73" w14:textId="77777777" w:rsidR="009A4318" w:rsidRDefault="009A4318" w:rsidP="000B06FB">
      <w:pPr>
        <w:pStyle w:val="Default"/>
        <w:ind w:left="-567"/>
        <w:jc w:val="center"/>
        <w:rPr>
          <w:b/>
          <w:bCs/>
          <w:i/>
          <w:iCs/>
          <w:color w:val="E67208"/>
          <w:sz w:val="18"/>
        </w:rPr>
      </w:pPr>
    </w:p>
    <w:p w14:paraId="69402479" w14:textId="1F4E7B9D" w:rsidR="000B06FB" w:rsidRDefault="009A4318" w:rsidP="009A4318">
      <w:pPr>
        <w:pStyle w:val="Default"/>
        <w:ind w:left="-567"/>
        <w:rPr>
          <w:color w:val="auto"/>
        </w:rPr>
      </w:pPr>
      <w:r>
        <w:rPr>
          <w:noProof/>
          <w:color w:val="auto"/>
        </w:rPr>
        <w:drawing>
          <wp:inline distT="0" distB="0" distL="0" distR="0" wp14:anchorId="1560CD62" wp14:editId="664A7CB6">
            <wp:extent cx="6750515" cy="21433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21759" cy="2165975"/>
                    </a:xfrm>
                    <a:prstGeom prst="rect">
                      <a:avLst/>
                    </a:prstGeom>
                    <a:noFill/>
                  </pic:spPr>
                </pic:pic>
              </a:graphicData>
            </a:graphic>
          </wp:inline>
        </w:drawing>
      </w:r>
    </w:p>
    <w:p w14:paraId="6837A794" w14:textId="77777777" w:rsidR="00BE3B36" w:rsidRDefault="00BE3B36" w:rsidP="006D43AD">
      <w:pPr>
        <w:pStyle w:val="Default"/>
        <w:spacing w:after="10"/>
        <w:ind w:left="-567"/>
        <w:jc w:val="both"/>
        <w:rPr>
          <w:color w:val="auto"/>
        </w:rPr>
      </w:pPr>
    </w:p>
    <w:p w14:paraId="1E34DB43" w14:textId="77777777" w:rsidR="00EA263B" w:rsidRDefault="00EA263B" w:rsidP="006D43AD">
      <w:pPr>
        <w:pStyle w:val="Default"/>
        <w:spacing w:after="10"/>
        <w:ind w:left="-567"/>
        <w:jc w:val="both"/>
        <w:rPr>
          <w:color w:val="auto"/>
        </w:rPr>
      </w:pPr>
    </w:p>
    <w:p w14:paraId="750D7B33" w14:textId="77777777" w:rsidR="00EA263B" w:rsidRDefault="00EA263B" w:rsidP="006D43AD">
      <w:pPr>
        <w:pStyle w:val="Default"/>
        <w:spacing w:after="10"/>
        <w:ind w:left="-567"/>
        <w:jc w:val="both"/>
        <w:rPr>
          <w:color w:val="auto"/>
        </w:rPr>
      </w:pPr>
    </w:p>
    <w:p w14:paraId="4B6A5300" w14:textId="6CCC4F5C" w:rsidR="00BE3B36" w:rsidRDefault="00BE3B36" w:rsidP="006D43AD">
      <w:pPr>
        <w:pStyle w:val="Default"/>
        <w:spacing w:after="10"/>
        <w:ind w:left="-567"/>
        <w:jc w:val="both"/>
        <w:rPr>
          <w:color w:val="auto"/>
        </w:rPr>
      </w:pPr>
      <w:r>
        <w:rPr>
          <w:color w:val="auto"/>
        </w:rPr>
        <w:t xml:space="preserve">Respecto de </w:t>
      </w:r>
      <w:r w:rsidRPr="00BE3B36">
        <w:rPr>
          <w:color w:val="auto"/>
        </w:rPr>
        <w:t xml:space="preserve">los cadáveres exhumados, durante 2019 se reportaron 37 821 exhumaciones, mientras que en 2020 la cantidad fue de 37 185, lo que representa una disminución de 1.7% de exhumaciones entre 2019 y 2020. </w:t>
      </w:r>
    </w:p>
    <w:p w14:paraId="66CD2BF2" w14:textId="77777777" w:rsidR="00E34409" w:rsidRDefault="00E34409" w:rsidP="006D43AD">
      <w:pPr>
        <w:pStyle w:val="Default"/>
        <w:spacing w:after="10"/>
        <w:ind w:left="-567"/>
        <w:jc w:val="both"/>
        <w:rPr>
          <w:color w:val="auto"/>
        </w:rPr>
      </w:pPr>
    </w:p>
    <w:p w14:paraId="7A8AE15E" w14:textId="77777777" w:rsidR="00BE3B36" w:rsidRDefault="00BE3B36" w:rsidP="006D43AD">
      <w:pPr>
        <w:pStyle w:val="Default"/>
        <w:spacing w:after="10"/>
        <w:ind w:left="-567"/>
        <w:jc w:val="both"/>
        <w:rPr>
          <w:color w:val="auto"/>
        </w:rPr>
      </w:pPr>
    </w:p>
    <w:p w14:paraId="47249AC5" w14:textId="63C75AA9" w:rsidR="009A4318" w:rsidRPr="009A4318" w:rsidRDefault="00BE3B36" w:rsidP="009A4318">
      <w:pPr>
        <w:pStyle w:val="Default"/>
        <w:spacing w:after="10"/>
        <w:ind w:left="-567"/>
        <w:jc w:val="center"/>
        <w:rPr>
          <w:b/>
          <w:bCs/>
          <w:i/>
          <w:iCs/>
          <w:color w:val="E67208"/>
          <w:sz w:val="18"/>
        </w:rPr>
      </w:pPr>
      <w:r w:rsidRPr="00DF6B33">
        <w:rPr>
          <w:b/>
          <w:bCs/>
          <w:i/>
          <w:iCs/>
          <w:color w:val="E67208"/>
          <w:sz w:val="18"/>
        </w:rPr>
        <w:t xml:space="preserve">Gráfica </w:t>
      </w:r>
      <w:r w:rsidR="0024027A">
        <w:rPr>
          <w:b/>
          <w:bCs/>
          <w:i/>
          <w:iCs/>
          <w:color w:val="E67208"/>
          <w:sz w:val="18"/>
        </w:rPr>
        <w:t>8</w:t>
      </w:r>
      <w:r w:rsidRPr="00DF6B33">
        <w:rPr>
          <w:b/>
          <w:bCs/>
          <w:i/>
          <w:iCs/>
          <w:color w:val="E67208"/>
          <w:sz w:val="18"/>
        </w:rPr>
        <w:t>.</w:t>
      </w:r>
      <w:r w:rsidRPr="00DF6B33">
        <w:rPr>
          <w:color w:val="E67208"/>
        </w:rPr>
        <w:t xml:space="preserve"> </w:t>
      </w:r>
      <w:r w:rsidR="009A4318" w:rsidRPr="009A4318">
        <w:rPr>
          <w:b/>
          <w:bCs/>
          <w:i/>
          <w:iCs/>
          <w:color w:val="E67208"/>
          <w:sz w:val="18"/>
        </w:rPr>
        <w:t xml:space="preserve">Cadáveres exhumados, según mes y año de realización, </w:t>
      </w:r>
    </w:p>
    <w:p w14:paraId="19552D64" w14:textId="1C27F5D9" w:rsidR="00BE3B36" w:rsidRDefault="009A4318" w:rsidP="009A4318">
      <w:pPr>
        <w:pStyle w:val="Default"/>
        <w:spacing w:after="10"/>
        <w:ind w:left="-567"/>
        <w:jc w:val="center"/>
        <w:rPr>
          <w:color w:val="auto"/>
        </w:rPr>
      </w:pPr>
      <w:r w:rsidRPr="009A4318">
        <w:rPr>
          <w:b/>
          <w:bCs/>
          <w:i/>
          <w:iCs/>
          <w:color w:val="E67208"/>
          <w:sz w:val="18"/>
        </w:rPr>
        <w:t>2019 a 2020</w:t>
      </w:r>
    </w:p>
    <w:p w14:paraId="007BAC4D" w14:textId="75361205" w:rsidR="00BE3B36" w:rsidRDefault="009A4318" w:rsidP="00BE3B36">
      <w:pPr>
        <w:pStyle w:val="Default"/>
        <w:spacing w:after="10"/>
        <w:ind w:left="-567"/>
        <w:jc w:val="center"/>
        <w:rPr>
          <w:color w:val="auto"/>
        </w:rPr>
      </w:pPr>
      <w:r>
        <w:rPr>
          <w:noProof/>
          <w:color w:val="auto"/>
        </w:rPr>
        <w:drawing>
          <wp:inline distT="0" distB="0" distL="0" distR="0" wp14:anchorId="7C2F954E" wp14:editId="464C3911">
            <wp:extent cx="5369357" cy="2639469"/>
            <wp:effectExtent l="0" t="0" r="317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5806" cy="2652471"/>
                    </a:xfrm>
                    <a:prstGeom prst="rect">
                      <a:avLst/>
                    </a:prstGeom>
                    <a:noFill/>
                  </pic:spPr>
                </pic:pic>
              </a:graphicData>
            </a:graphic>
          </wp:inline>
        </w:drawing>
      </w:r>
    </w:p>
    <w:p w14:paraId="365E49A5" w14:textId="334141CF" w:rsidR="009A4318" w:rsidRDefault="009A4318" w:rsidP="00BE3B36">
      <w:pPr>
        <w:pStyle w:val="Default"/>
        <w:spacing w:after="10"/>
        <w:ind w:left="-567"/>
        <w:jc w:val="center"/>
        <w:rPr>
          <w:color w:val="auto"/>
        </w:rPr>
      </w:pPr>
      <w:r w:rsidRPr="009A4318">
        <w:rPr>
          <w:color w:val="auto"/>
          <w:sz w:val="18"/>
        </w:rPr>
        <w:t>*Para 2020 no se especificó el mes de realización de la exhumación en 3 casos</w:t>
      </w:r>
      <w:r>
        <w:rPr>
          <w:color w:val="auto"/>
        </w:rPr>
        <w:t>.</w:t>
      </w:r>
    </w:p>
    <w:p w14:paraId="307EF7BE" w14:textId="77777777" w:rsidR="00BE3B36" w:rsidRDefault="00BE3B36" w:rsidP="006D43AD">
      <w:pPr>
        <w:pStyle w:val="Default"/>
        <w:spacing w:after="10"/>
        <w:ind w:left="-567"/>
        <w:jc w:val="both"/>
        <w:rPr>
          <w:color w:val="auto"/>
        </w:rPr>
      </w:pPr>
    </w:p>
    <w:p w14:paraId="3365E982" w14:textId="77777777" w:rsidR="007C7825" w:rsidRDefault="007C7825" w:rsidP="006D43AD">
      <w:pPr>
        <w:pStyle w:val="Default"/>
        <w:spacing w:after="10"/>
        <w:ind w:left="-567"/>
        <w:jc w:val="both"/>
        <w:rPr>
          <w:color w:val="auto"/>
        </w:rPr>
      </w:pPr>
    </w:p>
    <w:p w14:paraId="24856B23" w14:textId="220696BF" w:rsidR="000B06FB" w:rsidRDefault="009A4318" w:rsidP="006D43AD">
      <w:pPr>
        <w:pStyle w:val="Default"/>
        <w:spacing w:after="10"/>
        <w:ind w:left="-567"/>
        <w:jc w:val="both"/>
        <w:rPr>
          <w:color w:val="auto"/>
        </w:rPr>
      </w:pPr>
      <w:r>
        <w:rPr>
          <w:color w:val="auto"/>
        </w:rPr>
        <w:t xml:space="preserve">Finalmente, </w:t>
      </w:r>
      <w:r w:rsidR="00EA263B">
        <w:rPr>
          <w:color w:val="auto"/>
        </w:rPr>
        <w:t xml:space="preserve">el </w:t>
      </w:r>
      <w:r w:rsidR="00BE3B36" w:rsidRPr="00BE3B36">
        <w:rPr>
          <w:color w:val="auto"/>
        </w:rPr>
        <w:t>Valle de México, León y Hermosillo fueron las zonas metropolitanas que concentraron la mayor cantidad de exhumaciones en 2020.</w:t>
      </w:r>
    </w:p>
    <w:p w14:paraId="6F5426B9" w14:textId="77777777" w:rsidR="00717BB2" w:rsidRDefault="00717BB2" w:rsidP="006D43AD">
      <w:pPr>
        <w:pStyle w:val="Default"/>
        <w:spacing w:after="10"/>
        <w:ind w:left="-567"/>
        <w:jc w:val="both"/>
        <w:rPr>
          <w:color w:val="auto"/>
        </w:rPr>
      </w:pPr>
    </w:p>
    <w:p w14:paraId="6BD9405A" w14:textId="0886ADEA" w:rsidR="00BE3B36" w:rsidRDefault="00BE3B36" w:rsidP="006D43AD">
      <w:pPr>
        <w:pStyle w:val="Default"/>
        <w:spacing w:after="10"/>
        <w:ind w:left="-567"/>
        <w:jc w:val="both"/>
        <w:rPr>
          <w:color w:val="auto"/>
        </w:rPr>
      </w:pPr>
    </w:p>
    <w:p w14:paraId="1A9BB94A" w14:textId="41DE9B77" w:rsidR="00BE3B36" w:rsidRDefault="00BE3B36" w:rsidP="009A4318">
      <w:pPr>
        <w:pStyle w:val="Default"/>
        <w:spacing w:after="10"/>
        <w:ind w:left="-567"/>
        <w:jc w:val="center"/>
        <w:rPr>
          <w:b/>
          <w:bCs/>
          <w:i/>
          <w:iCs/>
          <w:color w:val="E67208"/>
          <w:sz w:val="18"/>
        </w:rPr>
      </w:pPr>
      <w:r w:rsidRPr="00DF6B33">
        <w:rPr>
          <w:b/>
          <w:bCs/>
          <w:i/>
          <w:iCs/>
          <w:color w:val="E67208"/>
          <w:sz w:val="18"/>
        </w:rPr>
        <w:t xml:space="preserve">Gráfica </w:t>
      </w:r>
      <w:r w:rsidR="0024027A">
        <w:rPr>
          <w:b/>
          <w:bCs/>
          <w:i/>
          <w:iCs/>
          <w:color w:val="E67208"/>
          <w:sz w:val="18"/>
        </w:rPr>
        <w:t>9</w:t>
      </w:r>
      <w:r w:rsidRPr="00DF6B33">
        <w:rPr>
          <w:b/>
          <w:bCs/>
          <w:i/>
          <w:iCs/>
          <w:color w:val="E67208"/>
          <w:sz w:val="18"/>
        </w:rPr>
        <w:t>.</w:t>
      </w:r>
      <w:r w:rsidRPr="00DF6B33">
        <w:rPr>
          <w:color w:val="E67208"/>
        </w:rPr>
        <w:t xml:space="preserve"> </w:t>
      </w:r>
      <w:r w:rsidR="009A4318" w:rsidRPr="009A4318">
        <w:rPr>
          <w:b/>
          <w:bCs/>
          <w:i/>
          <w:iCs/>
          <w:color w:val="E67208"/>
          <w:sz w:val="18"/>
        </w:rPr>
        <w:t>Cadáveres exhumados, según año y zona metropolitana de realización, 2019 a 2020</w:t>
      </w:r>
      <w:r>
        <w:rPr>
          <w:noProof/>
          <w:color w:val="auto"/>
        </w:rPr>
        <w:drawing>
          <wp:inline distT="0" distB="0" distL="0" distR="0" wp14:anchorId="79A68CAB" wp14:editId="08BECFC5">
            <wp:extent cx="6483757" cy="245158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3926" cy="2462987"/>
                    </a:xfrm>
                    <a:prstGeom prst="rect">
                      <a:avLst/>
                    </a:prstGeom>
                    <a:noFill/>
                  </pic:spPr>
                </pic:pic>
              </a:graphicData>
            </a:graphic>
          </wp:inline>
        </w:drawing>
      </w:r>
    </w:p>
    <w:p w14:paraId="124DD945" w14:textId="0D1D3D4E" w:rsidR="009A4318" w:rsidRDefault="009A4318" w:rsidP="009A4318">
      <w:pPr>
        <w:pStyle w:val="Default"/>
        <w:spacing w:after="10"/>
        <w:ind w:left="-567"/>
        <w:jc w:val="center"/>
        <w:rPr>
          <w:color w:val="auto"/>
        </w:rPr>
      </w:pPr>
      <w:r w:rsidRPr="009A4318">
        <w:rPr>
          <w:bCs/>
          <w:iCs/>
          <w:color w:val="000000" w:themeColor="text1"/>
          <w:sz w:val="18"/>
        </w:rPr>
        <w:t>Nota: Se muestra las principales zonas metropolitanas, de acuerdo con la cantidad de cadáveres exhumados registrados</w:t>
      </w:r>
      <w:r w:rsidRPr="009A4318">
        <w:rPr>
          <w:b/>
          <w:bCs/>
          <w:i/>
          <w:iCs/>
          <w:color w:val="E67208"/>
          <w:sz w:val="18"/>
        </w:rPr>
        <w:t>.</w:t>
      </w:r>
    </w:p>
    <w:p w14:paraId="26C333B1" w14:textId="77777777" w:rsidR="00E3692A" w:rsidRDefault="00E3692A" w:rsidP="00E3692A">
      <w:pPr>
        <w:pStyle w:val="Default"/>
        <w:ind w:left="-567"/>
        <w:jc w:val="center"/>
        <w:rPr>
          <w:b/>
          <w:bCs/>
          <w:i/>
          <w:iCs/>
          <w:color w:val="E67208"/>
          <w:sz w:val="18"/>
        </w:rPr>
      </w:pPr>
    </w:p>
    <w:p w14:paraId="6B68F561" w14:textId="77777777" w:rsidR="00E3692A" w:rsidRDefault="00E3692A" w:rsidP="00E3692A">
      <w:pPr>
        <w:pStyle w:val="Default"/>
        <w:ind w:left="-567"/>
        <w:jc w:val="center"/>
        <w:rPr>
          <w:b/>
          <w:bCs/>
          <w:i/>
          <w:iCs/>
          <w:color w:val="E67208"/>
          <w:sz w:val="18"/>
        </w:rPr>
      </w:pPr>
    </w:p>
    <w:p w14:paraId="66906405" w14:textId="73A96683" w:rsidR="00E3692A" w:rsidRDefault="00E3692A" w:rsidP="00E3692A">
      <w:pPr>
        <w:pStyle w:val="Default"/>
        <w:ind w:left="-567"/>
        <w:jc w:val="center"/>
        <w:rPr>
          <w:b/>
          <w:bCs/>
          <w:i/>
          <w:iCs/>
          <w:color w:val="E67208"/>
          <w:sz w:val="18"/>
        </w:rPr>
      </w:pPr>
    </w:p>
    <w:p w14:paraId="3F1C1BEF" w14:textId="3E0201E9" w:rsidR="00931451" w:rsidRDefault="00931451" w:rsidP="008A390A">
      <w:pPr>
        <w:pStyle w:val="Default"/>
        <w:spacing w:after="10"/>
        <w:ind w:left="-567"/>
        <w:jc w:val="center"/>
        <w:rPr>
          <w:b/>
          <w:bCs/>
          <w:iCs/>
          <w:noProof/>
          <w:color w:val="000000" w:themeColor="text1"/>
          <w:lang w:eastAsia="es-MX"/>
        </w:rPr>
      </w:pPr>
      <w:r w:rsidRPr="00931451">
        <w:rPr>
          <w:noProof/>
          <w:color w:val="auto"/>
        </w:rPr>
        <w:drawing>
          <wp:anchor distT="0" distB="0" distL="114300" distR="114300" simplePos="0" relativeHeight="251660288" behindDoc="0" locked="0" layoutInCell="1" allowOverlap="1" wp14:anchorId="3537B763" wp14:editId="3E5DDB9E">
            <wp:simplePos x="0" y="0"/>
            <wp:positionH relativeFrom="column">
              <wp:posOffset>11951335</wp:posOffset>
            </wp:positionH>
            <wp:positionV relativeFrom="paragraph">
              <wp:posOffset>0</wp:posOffset>
            </wp:positionV>
            <wp:extent cx="5941060" cy="6856730"/>
            <wp:effectExtent l="0" t="0" r="2540" b="1270"/>
            <wp:wrapNone/>
            <wp:docPr id="250" name="Imagen 7">
              <a:extLst xmlns:a="http://schemas.openxmlformats.org/drawingml/2006/main">
                <a:ext uri="{FF2B5EF4-FFF2-40B4-BE49-F238E27FC236}">
                  <a16:creationId xmlns:a16="http://schemas.microsoft.com/office/drawing/2014/main" id="{4B154CD3-7890-4221-A7F9-E19B689CB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4B154CD3-7890-4221-A7F9-E19B689CB24F}"/>
                        </a:ext>
                      </a:extLst>
                    </pic:cNvPr>
                    <pic:cNvPicPr>
                      <a:picLocks noChangeAspect="1"/>
                    </pic:cNvPicPr>
                  </pic:nvPicPr>
                  <pic:blipFill>
                    <a:blip r:embed="rId37"/>
                    <a:stretch>
                      <a:fillRect/>
                    </a:stretch>
                  </pic:blipFill>
                  <pic:spPr>
                    <a:xfrm>
                      <a:off x="0" y="0"/>
                      <a:ext cx="5941060" cy="6856730"/>
                    </a:xfrm>
                    <a:prstGeom prst="rect">
                      <a:avLst/>
                    </a:prstGeom>
                  </pic:spPr>
                </pic:pic>
              </a:graphicData>
            </a:graphic>
          </wp:anchor>
        </w:drawing>
      </w:r>
    </w:p>
    <w:p w14:paraId="4AF9EB8C" w14:textId="4D1F26B0" w:rsidR="00040DF6" w:rsidRPr="00E40387" w:rsidRDefault="00040DF6" w:rsidP="00040DF6">
      <w:pPr>
        <w:spacing w:after="0"/>
        <w:ind w:left="-567"/>
        <w:rPr>
          <w:rFonts w:ascii="Arial" w:hAnsi="Arial" w:cs="Arial"/>
          <w:b/>
          <w:bCs/>
          <w:iCs/>
          <w:noProof/>
          <w:color w:val="000000" w:themeColor="text1"/>
          <w:sz w:val="24"/>
          <w:szCs w:val="24"/>
          <w:lang w:eastAsia="es-MX"/>
        </w:rPr>
      </w:pPr>
      <w:r w:rsidRPr="00E40387">
        <w:rPr>
          <w:rFonts w:ascii="Arial" w:hAnsi="Arial" w:cs="Arial"/>
          <w:b/>
          <w:bCs/>
          <w:iCs/>
          <w:noProof/>
          <w:color w:val="000000" w:themeColor="text1"/>
          <w:sz w:val="24"/>
          <w:szCs w:val="24"/>
          <w:lang w:eastAsia="es-MX"/>
        </w:rPr>
        <w:t>Productos y documentos de</w:t>
      </w:r>
      <w:r w:rsidR="00813B61">
        <w:rPr>
          <w:rFonts w:ascii="Arial" w:hAnsi="Arial" w:cs="Arial"/>
          <w:b/>
          <w:bCs/>
          <w:iCs/>
          <w:noProof/>
          <w:color w:val="000000" w:themeColor="text1"/>
          <w:sz w:val="24"/>
          <w:szCs w:val="24"/>
          <w:lang w:eastAsia="es-MX"/>
        </w:rPr>
        <w:t xml:space="preserve"> </w:t>
      </w:r>
      <w:r w:rsidRPr="00E40387">
        <w:rPr>
          <w:rFonts w:ascii="Arial" w:hAnsi="Arial" w:cs="Arial"/>
          <w:b/>
          <w:bCs/>
          <w:iCs/>
          <w:noProof/>
          <w:color w:val="000000" w:themeColor="text1"/>
          <w:sz w:val="24"/>
          <w:szCs w:val="24"/>
          <w:lang w:eastAsia="es-MX"/>
        </w:rPr>
        <w:t>l</w:t>
      </w:r>
      <w:r w:rsidR="00813B61">
        <w:rPr>
          <w:rFonts w:ascii="Arial" w:hAnsi="Arial" w:cs="Arial"/>
          <w:b/>
          <w:bCs/>
          <w:iCs/>
          <w:noProof/>
          <w:color w:val="000000" w:themeColor="text1"/>
          <w:sz w:val="24"/>
          <w:szCs w:val="24"/>
          <w:lang w:eastAsia="es-MX"/>
        </w:rPr>
        <w:t>a</w:t>
      </w:r>
      <w:r w:rsidRPr="00E40387">
        <w:rPr>
          <w:rFonts w:ascii="Arial" w:hAnsi="Arial" w:cs="Arial"/>
          <w:b/>
          <w:bCs/>
          <w:iCs/>
          <w:noProof/>
          <w:color w:val="000000" w:themeColor="text1"/>
          <w:sz w:val="24"/>
          <w:szCs w:val="24"/>
          <w:lang w:eastAsia="es-MX"/>
        </w:rPr>
        <w:t xml:space="preserve"> </w:t>
      </w:r>
      <w:r w:rsidR="00813B61" w:rsidRPr="00813B61">
        <w:rPr>
          <w:rFonts w:ascii="Arial" w:hAnsi="Arial" w:cs="Arial"/>
          <w:b/>
          <w:bCs/>
          <w:iCs/>
          <w:noProof/>
          <w:color w:val="000000" w:themeColor="text1"/>
          <w:sz w:val="24"/>
          <w:szCs w:val="24"/>
          <w:lang w:eastAsia="es-MX"/>
        </w:rPr>
        <w:t>RICPZMP</w:t>
      </w:r>
      <w:r w:rsidR="00212FA3">
        <w:rPr>
          <w:rFonts w:ascii="Arial" w:hAnsi="Arial" w:cs="Arial"/>
          <w:b/>
          <w:bCs/>
          <w:iCs/>
          <w:noProof/>
          <w:color w:val="000000" w:themeColor="text1"/>
          <w:sz w:val="24"/>
          <w:szCs w:val="24"/>
          <w:lang w:eastAsia="es-MX"/>
        </w:rPr>
        <w:t xml:space="preserve"> </w:t>
      </w:r>
      <w:r w:rsidRPr="00E40387">
        <w:rPr>
          <w:rFonts w:ascii="Arial" w:hAnsi="Arial" w:cs="Arial"/>
          <w:b/>
          <w:bCs/>
          <w:iCs/>
          <w:noProof/>
          <w:color w:val="000000" w:themeColor="text1"/>
          <w:sz w:val="24"/>
          <w:szCs w:val="24"/>
          <w:lang w:eastAsia="es-MX"/>
        </w:rPr>
        <w:t>202</w:t>
      </w:r>
      <w:r w:rsidR="00212FA3">
        <w:rPr>
          <w:rFonts w:ascii="Arial" w:hAnsi="Arial" w:cs="Arial"/>
          <w:b/>
          <w:bCs/>
          <w:iCs/>
          <w:noProof/>
          <w:color w:val="000000" w:themeColor="text1"/>
          <w:sz w:val="24"/>
          <w:szCs w:val="24"/>
          <w:lang w:eastAsia="es-MX"/>
        </w:rPr>
        <w:t>1</w:t>
      </w:r>
    </w:p>
    <w:p w14:paraId="70CE478D" w14:textId="77777777" w:rsidR="00040DF6" w:rsidRPr="00E40387" w:rsidRDefault="00040DF6" w:rsidP="00040DF6">
      <w:pPr>
        <w:autoSpaceDE w:val="0"/>
        <w:autoSpaceDN w:val="0"/>
        <w:adjustRightInd w:val="0"/>
        <w:spacing w:after="0" w:line="240" w:lineRule="auto"/>
        <w:rPr>
          <w:rFonts w:ascii="Arial" w:hAnsi="Arial" w:cs="Arial"/>
          <w:color w:val="000000" w:themeColor="text1"/>
        </w:rPr>
      </w:pPr>
    </w:p>
    <w:p w14:paraId="349BE96E" w14:textId="4DC8819D" w:rsidR="00040DF6" w:rsidRPr="00E40387" w:rsidRDefault="00040DF6" w:rsidP="00040DF6">
      <w:pPr>
        <w:autoSpaceDE w:val="0"/>
        <w:autoSpaceDN w:val="0"/>
        <w:adjustRightInd w:val="0"/>
        <w:spacing w:after="0" w:line="240" w:lineRule="auto"/>
        <w:ind w:left="-567"/>
        <w:jc w:val="both"/>
        <w:rPr>
          <w:rFonts w:ascii="Arial" w:hAnsi="Arial" w:cs="Arial"/>
          <w:color w:val="000000" w:themeColor="text1"/>
          <w:sz w:val="24"/>
          <w:szCs w:val="24"/>
        </w:rPr>
      </w:pPr>
      <w:r w:rsidRPr="00E40387">
        <w:rPr>
          <w:rFonts w:ascii="Arial" w:hAnsi="Arial" w:cs="Arial"/>
          <w:color w:val="000000" w:themeColor="text1"/>
          <w:sz w:val="24"/>
          <w:szCs w:val="24"/>
        </w:rPr>
        <w:t>Los productos y documentos derivados de</w:t>
      </w:r>
      <w:r w:rsidR="00813B61">
        <w:rPr>
          <w:rFonts w:ascii="Arial" w:hAnsi="Arial" w:cs="Arial"/>
          <w:color w:val="000000" w:themeColor="text1"/>
          <w:sz w:val="24"/>
          <w:szCs w:val="24"/>
        </w:rPr>
        <w:t xml:space="preserve"> la</w:t>
      </w:r>
      <w:r w:rsidRPr="00E40387">
        <w:rPr>
          <w:rFonts w:ascii="Arial" w:hAnsi="Arial" w:cs="Arial"/>
          <w:color w:val="000000" w:themeColor="text1"/>
          <w:sz w:val="24"/>
          <w:szCs w:val="24"/>
        </w:rPr>
        <w:t xml:space="preserve"> </w:t>
      </w:r>
      <w:r w:rsidR="00813B61">
        <w:rPr>
          <w:rFonts w:ascii="Arial" w:hAnsi="Arial" w:cs="Arial"/>
          <w:color w:val="000000" w:themeColor="text1"/>
          <w:sz w:val="24"/>
          <w:szCs w:val="24"/>
        </w:rPr>
        <w:t>RICPZMP</w:t>
      </w:r>
      <w:r w:rsidRPr="00E40387">
        <w:rPr>
          <w:rFonts w:ascii="Arial" w:hAnsi="Arial" w:cs="Arial"/>
          <w:color w:val="000000" w:themeColor="text1"/>
          <w:sz w:val="24"/>
          <w:szCs w:val="24"/>
        </w:rPr>
        <w:t xml:space="preserve"> 202</w:t>
      </w:r>
      <w:r w:rsidR="00212FA3">
        <w:rPr>
          <w:rFonts w:ascii="Arial" w:hAnsi="Arial" w:cs="Arial"/>
          <w:color w:val="000000" w:themeColor="text1"/>
          <w:sz w:val="24"/>
          <w:szCs w:val="24"/>
        </w:rPr>
        <w:t>1</w:t>
      </w:r>
      <w:r w:rsidRPr="00E40387">
        <w:rPr>
          <w:rFonts w:ascii="Arial" w:hAnsi="Arial" w:cs="Arial"/>
          <w:color w:val="000000" w:themeColor="text1"/>
          <w:sz w:val="24"/>
          <w:szCs w:val="24"/>
        </w:rPr>
        <w:t xml:space="preserve"> que el INEGI pone a disposición de los usuarios son los siguientes: </w:t>
      </w:r>
    </w:p>
    <w:p w14:paraId="5C56E884" w14:textId="77777777" w:rsidR="00040DF6" w:rsidRPr="00E40387" w:rsidRDefault="00040DF6" w:rsidP="00040DF6">
      <w:pPr>
        <w:autoSpaceDE w:val="0"/>
        <w:autoSpaceDN w:val="0"/>
        <w:adjustRightInd w:val="0"/>
        <w:spacing w:after="0" w:line="240" w:lineRule="auto"/>
        <w:rPr>
          <w:rFonts w:ascii="Arial" w:hAnsi="Arial" w:cs="Arial"/>
          <w:color w:val="000000" w:themeColor="text1"/>
          <w:sz w:val="24"/>
          <w:szCs w:val="24"/>
        </w:rPr>
      </w:pPr>
      <w:r w:rsidRPr="00E40387">
        <w:rPr>
          <w:rFonts w:ascii="Arial" w:hAnsi="Arial" w:cs="Arial"/>
          <w:color w:val="000000" w:themeColor="text1"/>
          <w:sz w:val="24"/>
          <w:szCs w:val="24"/>
        </w:rPr>
        <w:t xml:space="preserve"> </w:t>
      </w:r>
    </w:p>
    <w:p w14:paraId="0D22FBB4" w14:textId="77777777" w:rsidR="00040DF6" w:rsidRPr="00E40387" w:rsidRDefault="00040DF6" w:rsidP="00040DF6">
      <w:pPr>
        <w:pStyle w:val="Prrafodelista"/>
        <w:numPr>
          <w:ilvl w:val="0"/>
          <w:numId w:val="13"/>
        </w:numPr>
        <w:autoSpaceDE w:val="0"/>
        <w:autoSpaceDN w:val="0"/>
        <w:adjustRightInd w:val="0"/>
        <w:spacing w:after="0" w:line="240" w:lineRule="auto"/>
        <w:rPr>
          <w:rFonts w:ascii="Arial" w:hAnsi="Arial" w:cs="Arial"/>
          <w:color w:val="000000" w:themeColor="text1"/>
          <w:sz w:val="24"/>
          <w:szCs w:val="24"/>
        </w:rPr>
      </w:pPr>
      <w:r w:rsidRPr="00E40387">
        <w:rPr>
          <w:rFonts w:ascii="Arial" w:hAnsi="Arial" w:cs="Arial"/>
          <w:color w:val="000000" w:themeColor="text1"/>
          <w:sz w:val="24"/>
          <w:szCs w:val="24"/>
        </w:rPr>
        <w:t>Presentación de resultados</w:t>
      </w:r>
    </w:p>
    <w:p w14:paraId="121EE383" w14:textId="77777777" w:rsidR="00040DF6" w:rsidRPr="00E40387" w:rsidRDefault="00040DF6" w:rsidP="00040DF6">
      <w:pPr>
        <w:pStyle w:val="Prrafodelista"/>
        <w:numPr>
          <w:ilvl w:val="0"/>
          <w:numId w:val="13"/>
        </w:numPr>
        <w:autoSpaceDE w:val="0"/>
        <w:autoSpaceDN w:val="0"/>
        <w:adjustRightInd w:val="0"/>
        <w:spacing w:after="0" w:line="240" w:lineRule="auto"/>
        <w:rPr>
          <w:rFonts w:ascii="Arial" w:hAnsi="Arial" w:cs="Arial"/>
          <w:color w:val="000000" w:themeColor="text1"/>
          <w:sz w:val="24"/>
          <w:szCs w:val="24"/>
        </w:rPr>
      </w:pPr>
      <w:r w:rsidRPr="00E40387">
        <w:rPr>
          <w:rFonts w:ascii="Arial" w:hAnsi="Arial" w:cs="Arial"/>
          <w:color w:val="000000" w:themeColor="text1"/>
          <w:sz w:val="24"/>
          <w:szCs w:val="24"/>
        </w:rPr>
        <w:t>Cuestionarios</w:t>
      </w:r>
    </w:p>
    <w:p w14:paraId="29124507" w14:textId="415F1116" w:rsidR="00040DF6" w:rsidRPr="00E40387" w:rsidRDefault="00813B61" w:rsidP="00040DF6">
      <w:pPr>
        <w:pStyle w:val="Prrafodelista"/>
        <w:numPr>
          <w:ilvl w:val="0"/>
          <w:numId w:val="13"/>
        </w:num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Documento de diseño</w:t>
      </w:r>
    </w:p>
    <w:p w14:paraId="3CEEEB9E" w14:textId="77777777" w:rsidR="00040DF6" w:rsidRPr="00E40387" w:rsidRDefault="00040DF6" w:rsidP="00040DF6">
      <w:pPr>
        <w:pStyle w:val="Prrafodelista"/>
        <w:numPr>
          <w:ilvl w:val="0"/>
          <w:numId w:val="13"/>
        </w:numPr>
        <w:autoSpaceDE w:val="0"/>
        <w:autoSpaceDN w:val="0"/>
        <w:adjustRightInd w:val="0"/>
        <w:spacing w:after="0" w:line="240" w:lineRule="auto"/>
        <w:rPr>
          <w:rFonts w:ascii="Arial" w:hAnsi="Arial" w:cs="Arial"/>
          <w:color w:val="000000" w:themeColor="text1"/>
          <w:sz w:val="24"/>
          <w:szCs w:val="24"/>
        </w:rPr>
      </w:pPr>
      <w:r w:rsidRPr="00E40387">
        <w:rPr>
          <w:rFonts w:ascii="Arial" w:hAnsi="Arial" w:cs="Arial"/>
          <w:color w:val="000000" w:themeColor="text1"/>
          <w:sz w:val="24"/>
          <w:szCs w:val="24"/>
        </w:rPr>
        <w:t>Tabulados predefinidos</w:t>
      </w:r>
    </w:p>
    <w:p w14:paraId="34D1F094" w14:textId="77777777" w:rsidR="00040DF6" w:rsidRPr="00E40387" w:rsidRDefault="00040DF6" w:rsidP="00040DF6">
      <w:pPr>
        <w:autoSpaceDE w:val="0"/>
        <w:autoSpaceDN w:val="0"/>
        <w:adjustRightInd w:val="0"/>
        <w:spacing w:after="0" w:line="240" w:lineRule="auto"/>
        <w:rPr>
          <w:rFonts w:ascii="Arial" w:hAnsi="Arial" w:cs="Arial"/>
          <w:color w:val="000000" w:themeColor="text1"/>
          <w:sz w:val="24"/>
          <w:szCs w:val="24"/>
        </w:rPr>
      </w:pPr>
    </w:p>
    <w:p w14:paraId="750731FB" w14:textId="2D467DD2" w:rsidR="00040DF6" w:rsidRDefault="00040DF6" w:rsidP="00040DF6">
      <w:pPr>
        <w:autoSpaceDE w:val="0"/>
        <w:autoSpaceDN w:val="0"/>
        <w:adjustRightInd w:val="0"/>
        <w:spacing w:after="0" w:line="240" w:lineRule="auto"/>
        <w:ind w:left="-567"/>
        <w:rPr>
          <w:rFonts w:ascii="Arial" w:hAnsi="Arial" w:cs="Arial"/>
          <w:color w:val="000000" w:themeColor="text1"/>
          <w:sz w:val="24"/>
          <w:szCs w:val="24"/>
        </w:rPr>
      </w:pPr>
      <w:r w:rsidRPr="00E40387">
        <w:rPr>
          <w:rFonts w:ascii="Arial" w:hAnsi="Arial" w:cs="Arial"/>
          <w:color w:val="000000" w:themeColor="text1"/>
          <w:sz w:val="24"/>
          <w:szCs w:val="24"/>
        </w:rPr>
        <w:t>Estos productos pueden ser consultados en el sitio de Internet del Instituto.</w:t>
      </w:r>
    </w:p>
    <w:p w14:paraId="0455BF67" w14:textId="77777777" w:rsidR="00813B61" w:rsidRPr="00E40387" w:rsidRDefault="00813B61" w:rsidP="00040DF6">
      <w:pPr>
        <w:autoSpaceDE w:val="0"/>
        <w:autoSpaceDN w:val="0"/>
        <w:adjustRightInd w:val="0"/>
        <w:spacing w:after="0" w:line="240" w:lineRule="auto"/>
        <w:ind w:left="-567"/>
        <w:rPr>
          <w:rFonts w:ascii="Arial" w:hAnsi="Arial" w:cs="Arial"/>
          <w:color w:val="000000" w:themeColor="text1"/>
          <w:sz w:val="24"/>
          <w:szCs w:val="24"/>
        </w:rPr>
      </w:pPr>
    </w:p>
    <w:p w14:paraId="589F6275" w14:textId="63E7B27D" w:rsidR="00040DF6" w:rsidRPr="00E40387" w:rsidRDefault="0095291E" w:rsidP="0095291E">
      <w:pPr>
        <w:autoSpaceDE w:val="0"/>
        <w:autoSpaceDN w:val="0"/>
        <w:adjustRightInd w:val="0"/>
        <w:spacing w:after="0" w:line="240" w:lineRule="auto"/>
        <w:rPr>
          <w:color w:val="000000" w:themeColor="text1"/>
        </w:rPr>
      </w:pPr>
      <w:r w:rsidRPr="0095291E">
        <w:rPr>
          <w:rFonts w:ascii="Arial" w:hAnsi="Arial" w:cs="Arial"/>
          <w:color w:val="0000FF"/>
          <w:sz w:val="24"/>
          <w:szCs w:val="24"/>
          <w:u w:val="single"/>
        </w:rPr>
        <w:t>https://www.inegi.org.mx/programas/ricpzmp/2020/</w:t>
      </w:r>
    </w:p>
    <w:sectPr w:rsidR="00040DF6" w:rsidRPr="00E40387" w:rsidSect="00F9304F">
      <w:headerReference w:type="default" r:id="rId38"/>
      <w:type w:val="continuous"/>
      <w:pgSz w:w="12240" w:h="15840"/>
      <w:pgMar w:top="1417" w:right="1183" w:bottom="1134"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2052A" w14:textId="77777777" w:rsidR="005E27C0" w:rsidRDefault="005E27C0" w:rsidP="00EC2F19">
      <w:pPr>
        <w:spacing w:after="0" w:line="240" w:lineRule="auto"/>
      </w:pPr>
      <w:r>
        <w:separator/>
      </w:r>
    </w:p>
  </w:endnote>
  <w:endnote w:type="continuationSeparator" w:id="0">
    <w:p w14:paraId="77A6E35F" w14:textId="77777777" w:rsidR="005E27C0" w:rsidRDefault="005E27C0" w:rsidP="00EC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Narrow Regular">
    <w:altName w:val="Arial Narrow"/>
    <w:panose1 w:val="00000000000000000000"/>
    <w:charset w:val="00"/>
    <w:family w:val="auto"/>
    <w:notTrueType/>
    <w:pitch w:val="default"/>
    <w:sig w:usb0="00000003" w:usb1="00000000" w:usb2="00000000" w:usb3="00000000" w:csb0="00000001" w:csb1="00000000"/>
  </w:font>
  <w:font w:name="Arial Narrow Bold Italic">
    <w:altName w:val="Arial Narrow"/>
    <w:panose1 w:val="00000000000000000000"/>
    <w:charset w:val="00"/>
    <w:family w:val="auto"/>
    <w:notTrueType/>
    <w:pitch w:val="default"/>
    <w:sig w:usb0="00000003" w:usb1="00000000" w:usb2="00000000" w:usb3="00000000" w:csb0="00000001" w:csb1="00000000"/>
  </w:font>
  <w:font w:name="Arial Narrow Bold">
    <w:altName w:val="Times New Roman"/>
    <w:charset w:val="00"/>
    <w:family w:val="roman"/>
    <w:pitch w:val="variable"/>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986FE" w14:textId="3E78DAAD" w:rsidR="00F9304F" w:rsidRPr="00F9304F" w:rsidRDefault="00F9304F" w:rsidP="00F9304F">
    <w:pPr>
      <w:pStyle w:val="Piedepgina"/>
      <w:jc w:val="center"/>
      <w:rPr>
        <w:rFonts w:ascii="Arial" w:hAnsi="Arial" w:cs="Arial"/>
        <w:b/>
        <w:color w:val="002060"/>
        <w:sz w:val="20"/>
        <w:szCs w:val="20"/>
      </w:rPr>
    </w:pPr>
    <w:r w:rsidRPr="00F9304F">
      <w:rPr>
        <w:rFonts w:ascii="Arial" w:hAnsi="Arial" w:cs="Arial"/>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E1524" w14:textId="77777777" w:rsidR="005E27C0" w:rsidRDefault="005E27C0" w:rsidP="00EC2F19">
      <w:pPr>
        <w:spacing w:after="0" w:line="240" w:lineRule="auto"/>
      </w:pPr>
      <w:r>
        <w:separator/>
      </w:r>
    </w:p>
  </w:footnote>
  <w:footnote w:type="continuationSeparator" w:id="0">
    <w:p w14:paraId="6D8DEAE0" w14:textId="77777777" w:rsidR="005E27C0" w:rsidRDefault="005E27C0" w:rsidP="00EC2F19">
      <w:pPr>
        <w:spacing w:after="0" w:line="240" w:lineRule="auto"/>
      </w:pPr>
      <w:r>
        <w:continuationSeparator/>
      </w:r>
    </w:p>
  </w:footnote>
  <w:footnote w:id="1">
    <w:p w14:paraId="61341D84" w14:textId="2EE6A108" w:rsidR="007429DB" w:rsidRPr="00F9304F" w:rsidRDefault="007429DB" w:rsidP="00F9304F">
      <w:pPr>
        <w:pStyle w:val="Textonotapie"/>
        <w:ind w:left="-426" w:hanging="141"/>
        <w:rPr>
          <w:sz w:val="16"/>
          <w:szCs w:val="16"/>
        </w:rPr>
      </w:pPr>
      <w:r w:rsidRPr="00F9304F">
        <w:rPr>
          <w:rStyle w:val="Refdenotaalpie"/>
          <w:rFonts w:ascii="Arial" w:hAnsi="Arial" w:cs="Arial"/>
          <w:sz w:val="16"/>
          <w:szCs w:val="16"/>
        </w:rPr>
        <w:footnoteRef/>
      </w:r>
      <w:r w:rsidRPr="00F9304F">
        <w:rPr>
          <w:rFonts w:ascii="Arial" w:hAnsi="Arial" w:cs="Arial"/>
          <w:sz w:val="16"/>
          <w:szCs w:val="16"/>
        </w:rPr>
        <w:t xml:space="preserve"> </w:t>
      </w:r>
      <w:r w:rsidR="00F9304F">
        <w:rPr>
          <w:rFonts w:ascii="Arial" w:hAnsi="Arial" w:cs="Arial"/>
          <w:sz w:val="16"/>
          <w:szCs w:val="16"/>
        </w:rPr>
        <w:t xml:space="preserve"> </w:t>
      </w:r>
      <w:r w:rsidRPr="00F9304F">
        <w:rPr>
          <w:rFonts w:ascii="Arial" w:hAnsi="Arial" w:cs="Arial"/>
          <w:sz w:val="16"/>
          <w:szCs w:val="16"/>
        </w:rPr>
        <w:t xml:space="preserve">El 0.4% restante corresponde a la categoría “No especificado”. </w:t>
      </w:r>
    </w:p>
  </w:footnote>
  <w:footnote w:id="2">
    <w:p w14:paraId="0BF819C6" w14:textId="1EA39EA6" w:rsidR="00596236" w:rsidRPr="00596236" w:rsidRDefault="00596236" w:rsidP="00F9304F">
      <w:pPr>
        <w:pStyle w:val="Textonotapie"/>
        <w:ind w:left="-426" w:hanging="141"/>
        <w:jc w:val="both"/>
        <w:rPr>
          <w:rFonts w:ascii="Arial" w:hAnsi="Arial" w:cs="Arial"/>
        </w:rPr>
      </w:pPr>
      <w:r w:rsidRPr="00F9304F">
        <w:rPr>
          <w:rStyle w:val="Refdenotaalpie"/>
          <w:rFonts w:ascii="Arial" w:hAnsi="Arial" w:cs="Arial"/>
          <w:sz w:val="16"/>
          <w:szCs w:val="16"/>
        </w:rPr>
        <w:footnoteRef/>
      </w:r>
      <w:r w:rsidRPr="00F9304F">
        <w:rPr>
          <w:rFonts w:ascii="Arial" w:hAnsi="Arial" w:cs="Arial"/>
          <w:sz w:val="16"/>
          <w:szCs w:val="16"/>
        </w:rPr>
        <w:t xml:space="preserve"> Conforme a la delimitación de las zonas metropolitanas de México 2015 desarrollada por el grupo interinstitucional integrado por la Secretaría de Desarrollo Agrario, Territorial y Urbano (SEDATU), el Consejo Nacional de Población (CONAPO) y el Instituto Nacional de Estadística y Geografía (INEGI).</w:t>
      </w:r>
    </w:p>
  </w:footnote>
  <w:footnote w:id="3">
    <w:p w14:paraId="0986AB0D" w14:textId="562C693E" w:rsidR="00596236" w:rsidRPr="00F3002A" w:rsidRDefault="00596236" w:rsidP="00F3002A">
      <w:pPr>
        <w:pStyle w:val="Textonotapie"/>
        <w:ind w:left="-426" w:hanging="141"/>
        <w:jc w:val="both"/>
        <w:rPr>
          <w:rStyle w:val="Refdenotaalpie"/>
          <w:rFonts w:ascii="Arial" w:hAnsi="Arial" w:cs="Arial"/>
          <w:sz w:val="16"/>
          <w:szCs w:val="16"/>
        </w:rPr>
      </w:pPr>
      <w:r w:rsidRPr="00F3002A">
        <w:rPr>
          <w:rStyle w:val="Refdenotaalpie"/>
          <w:rFonts w:ascii="Arial" w:hAnsi="Arial" w:cs="Arial"/>
          <w:sz w:val="16"/>
          <w:szCs w:val="16"/>
        </w:rPr>
        <w:footnoteRef/>
      </w:r>
      <w:r w:rsidRPr="00F3002A">
        <w:rPr>
          <w:rStyle w:val="Refdenotaalpie"/>
          <w:sz w:val="16"/>
          <w:szCs w:val="16"/>
        </w:rPr>
        <w:t xml:space="preserve"> </w:t>
      </w:r>
      <w:r w:rsidRPr="00F3002A">
        <w:rPr>
          <w:rStyle w:val="Refdenotaalpie"/>
          <w:rFonts w:ascii="Arial" w:hAnsi="Arial" w:cs="Arial"/>
          <w:sz w:val="16"/>
          <w:szCs w:val="16"/>
          <w:vertAlign w:val="baseline"/>
        </w:rPr>
        <w:t>El 0.4% restante corresponde a la categoría “No especificado”.</w:t>
      </w:r>
      <w:r w:rsidRPr="00F3002A">
        <w:rPr>
          <w:rStyle w:val="Refdenotaalpie"/>
          <w:sz w:val="16"/>
          <w:szCs w:val="16"/>
        </w:rPr>
        <w:t xml:space="preserve"> </w:t>
      </w:r>
    </w:p>
  </w:footnote>
  <w:footnote w:id="4">
    <w:p w14:paraId="72E13A24" w14:textId="49DEE0EF" w:rsidR="00596236" w:rsidRDefault="00596236" w:rsidP="00307948">
      <w:pPr>
        <w:pStyle w:val="Textonotapie"/>
        <w:jc w:val="both"/>
      </w:pPr>
      <w:r>
        <w:rPr>
          <w:rStyle w:val="Refdenotaalpie"/>
        </w:rPr>
        <w:footnoteRef/>
      </w:r>
      <w:r>
        <w:t xml:space="preserve"> </w:t>
      </w:r>
      <w:r w:rsidRPr="00596236">
        <w:rPr>
          <w:rFonts w:ascii="Arial" w:hAnsi="Arial" w:cs="Arial"/>
          <w:sz w:val="18"/>
        </w:rPr>
        <w:t>Conforme a la delimitación de las zonas metropolitanas de México 2015 desarrollada por el grupo interinstitucional integrado por la Secretaría de Desarrollo Agrario, Territorial y Urbano (SEDATU), el Consejo Nacional de Población (CONAPO) y el Instituto Nacional de Estadística y Geografía (INEGI).</w:t>
      </w:r>
    </w:p>
  </w:footnote>
  <w:footnote w:id="5">
    <w:p w14:paraId="16A25A55" w14:textId="5BAE0A07" w:rsidR="00596236" w:rsidRPr="000B7A03" w:rsidRDefault="00596236" w:rsidP="00EA263B">
      <w:pPr>
        <w:pStyle w:val="Textonotapie"/>
        <w:ind w:left="-567"/>
        <w:jc w:val="both"/>
        <w:rPr>
          <w:rFonts w:ascii="Arial" w:hAnsi="Arial" w:cs="Arial"/>
        </w:rPr>
      </w:pPr>
      <w:r w:rsidRPr="000B7A03">
        <w:rPr>
          <w:rStyle w:val="Refdenotaalpie"/>
          <w:rFonts w:ascii="Arial" w:hAnsi="Arial" w:cs="Arial"/>
        </w:rPr>
        <w:footnoteRef/>
      </w:r>
      <w:r w:rsidRPr="000B7A03">
        <w:rPr>
          <w:rFonts w:ascii="Arial" w:hAnsi="Arial" w:cs="Arial"/>
        </w:rPr>
        <w:t xml:space="preserve"> La cifra hace referencia a los panteones o cementerios ubicados en las zonas metropolitanas del país, cuya administración </w:t>
      </w:r>
      <w:r w:rsidR="00BF6161">
        <w:rPr>
          <w:rFonts w:ascii="Arial" w:hAnsi="Arial" w:cs="Arial"/>
        </w:rPr>
        <w:t>corresponde</w:t>
      </w:r>
      <w:r w:rsidRPr="000B7A03">
        <w:rPr>
          <w:rFonts w:ascii="Arial" w:hAnsi="Arial" w:cs="Arial"/>
        </w:rPr>
        <w:t xml:space="preserve"> al sector público municipal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57B0" w14:textId="4861C8D3" w:rsidR="00596236" w:rsidRDefault="00596236" w:rsidP="00F04D4E">
    <w:pPr>
      <w:spacing w:line="14" w:lineRule="auto"/>
      <w:jc w:val="center"/>
      <w:rPr>
        <w:sz w:val="20"/>
        <w:szCs w:val="20"/>
      </w:rPr>
    </w:pPr>
  </w:p>
  <w:p w14:paraId="07F0988D" w14:textId="57190848" w:rsidR="00F9304F" w:rsidRPr="00F9304F" w:rsidRDefault="00F9304F" w:rsidP="00F9304F">
    <w:pPr>
      <w:pStyle w:val="Encabezado"/>
      <w:framePr w:w="5233" w:hSpace="141" w:wrap="auto" w:vAnchor="text" w:hAnchor="page" w:x="5905" w:y="4"/>
      <w:ind w:left="567" w:hanging="141"/>
      <w:jc w:val="right"/>
      <w:rPr>
        <w:rFonts w:ascii="Arial" w:hAnsi="Arial" w:cs="Arial"/>
        <w:b/>
        <w:color w:val="002060"/>
        <w:sz w:val="24"/>
      </w:rPr>
    </w:pPr>
    <w:r w:rsidRPr="00F9304F">
      <w:rPr>
        <w:rFonts w:ascii="Arial" w:hAnsi="Arial" w:cs="Arial"/>
        <w:b/>
        <w:color w:val="002060"/>
        <w:sz w:val="24"/>
      </w:rPr>
      <w:t xml:space="preserve">COMUNICADO DE PRENSA NÚM. </w:t>
    </w:r>
    <w:r w:rsidR="00EA263B">
      <w:rPr>
        <w:rFonts w:ascii="Arial" w:hAnsi="Arial" w:cs="Arial"/>
        <w:b/>
        <w:color w:val="002060"/>
        <w:sz w:val="24"/>
      </w:rPr>
      <w:t>383</w:t>
    </w:r>
    <w:r w:rsidRPr="00F9304F">
      <w:rPr>
        <w:rFonts w:ascii="Arial" w:hAnsi="Arial" w:cs="Arial"/>
        <w:b/>
        <w:color w:val="002060"/>
        <w:sz w:val="24"/>
      </w:rPr>
      <w:t>/21</w:t>
    </w:r>
  </w:p>
  <w:p w14:paraId="34191517" w14:textId="67EC253D" w:rsidR="00F9304F" w:rsidRPr="00F9304F" w:rsidRDefault="00F9304F" w:rsidP="00F9304F">
    <w:pPr>
      <w:pStyle w:val="Encabezado"/>
      <w:framePr w:w="5233" w:hSpace="141" w:wrap="auto" w:vAnchor="text" w:hAnchor="page" w:x="5905" w:y="4"/>
      <w:ind w:left="567" w:hanging="11"/>
      <w:jc w:val="right"/>
      <w:rPr>
        <w:rFonts w:ascii="Arial" w:hAnsi="Arial" w:cs="Arial"/>
        <w:b/>
        <w:color w:val="002060"/>
        <w:sz w:val="24"/>
        <w:lang w:val="pt-BR"/>
      </w:rPr>
    </w:pPr>
    <w:r>
      <w:rPr>
        <w:rFonts w:ascii="Arial" w:hAnsi="Arial" w:cs="Arial"/>
        <w:b/>
        <w:color w:val="002060"/>
        <w:sz w:val="24"/>
        <w:lang w:val="pt-BR"/>
      </w:rPr>
      <w:t>14</w:t>
    </w:r>
    <w:r w:rsidRPr="00F9304F">
      <w:rPr>
        <w:rFonts w:ascii="Arial" w:hAnsi="Arial" w:cs="Arial"/>
        <w:b/>
        <w:color w:val="002060"/>
        <w:sz w:val="24"/>
        <w:lang w:val="pt-BR"/>
      </w:rPr>
      <w:t xml:space="preserve"> DE JULIO DE 2021</w:t>
    </w:r>
  </w:p>
  <w:p w14:paraId="414AF237" w14:textId="42DC6920" w:rsidR="00F9304F" w:rsidRPr="00F9304F" w:rsidRDefault="00F9304F" w:rsidP="00F9304F">
    <w:pPr>
      <w:pStyle w:val="Encabezado"/>
      <w:framePr w:w="5233" w:hSpace="141" w:wrap="auto" w:vAnchor="text" w:hAnchor="page" w:x="5905" w:y="4"/>
      <w:ind w:left="567" w:hanging="11"/>
      <w:jc w:val="right"/>
      <w:rPr>
        <w:rFonts w:ascii="Arial" w:hAnsi="Arial" w:cs="Arial"/>
        <w:b/>
        <w:color w:val="002060"/>
        <w:sz w:val="24"/>
        <w:lang w:val="pt-BR"/>
      </w:rPr>
    </w:pPr>
    <w:r w:rsidRPr="00F9304F">
      <w:rPr>
        <w:rFonts w:ascii="Arial" w:hAnsi="Arial" w:cs="Arial"/>
        <w:b/>
        <w:color w:val="002060"/>
        <w:sz w:val="24"/>
        <w:lang w:val="pt-BR"/>
      </w:rPr>
      <w:t xml:space="preserve">PÁGINA </w:t>
    </w:r>
    <w:r w:rsidRPr="00F9304F">
      <w:rPr>
        <w:rFonts w:ascii="Arial" w:hAnsi="Arial" w:cs="Arial"/>
        <w:b/>
        <w:color w:val="002060"/>
        <w:sz w:val="24"/>
      </w:rPr>
      <w:fldChar w:fldCharType="begin"/>
    </w:r>
    <w:r w:rsidRPr="00F9304F">
      <w:rPr>
        <w:rFonts w:ascii="Arial" w:hAnsi="Arial" w:cs="Arial"/>
        <w:b/>
        <w:color w:val="002060"/>
        <w:sz w:val="24"/>
        <w:lang w:val="pt-BR"/>
      </w:rPr>
      <w:instrText xml:space="preserve">\PAGE </w:instrText>
    </w:r>
    <w:r w:rsidRPr="00F9304F">
      <w:rPr>
        <w:rFonts w:ascii="Arial" w:hAnsi="Arial" w:cs="Arial"/>
        <w:color w:val="002060"/>
        <w:sz w:val="24"/>
      </w:rPr>
      <w:fldChar w:fldCharType="separate"/>
    </w:r>
    <w:r w:rsidRPr="00F9304F">
      <w:rPr>
        <w:rFonts w:ascii="Arial" w:hAnsi="Arial" w:cs="Arial"/>
        <w:color w:val="002060"/>
        <w:sz w:val="24"/>
      </w:rPr>
      <w:t>1</w:t>
    </w:r>
    <w:r w:rsidRPr="00F9304F">
      <w:rPr>
        <w:rFonts w:ascii="Arial" w:hAnsi="Arial" w:cs="Arial"/>
        <w:color w:val="002060"/>
        <w:sz w:val="24"/>
      </w:rPr>
      <w:fldChar w:fldCharType="end"/>
    </w:r>
    <w:r w:rsidRPr="00F9304F">
      <w:rPr>
        <w:rFonts w:ascii="Arial" w:hAnsi="Arial" w:cs="Arial"/>
        <w:b/>
        <w:color w:val="002060"/>
        <w:sz w:val="24"/>
        <w:lang w:val="pt-BR"/>
      </w:rPr>
      <w:t>/</w:t>
    </w:r>
    <w:r>
      <w:rPr>
        <w:rFonts w:ascii="Arial" w:hAnsi="Arial" w:cs="Arial"/>
        <w:b/>
        <w:color w:val="002060"/>
        <w:sz w:val="24"/>
        <w:lang w:val="pt-BR"/>
      </w:rPr>
      <w:t>2</w:t>
    </w:r>
  </w:p>
  <w:p w14:paraId="733B002B" w14:textId="77777777" w:rsidR="00F9304F" w:rsidRDefault="00F9304F" w:rsidP="00F9304F">
    <w:pPr>
      <w:pStyle w:val="Encabezado"/>
      <w:ind w:left="-567"/>
    </w:pPr>
    <w:r>
      <w:rPr>
        <w:noProof/>
      </w:rPr>
      <w:drawing>
        <wp:inline distT="0" distB="0" distL="0" distR="0" wp14:anchorId="398269CF" wp14:editId="5B21EB29">
          <wp:extent cx="809625" cy="8409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190" cy="86754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98B64" w14:textId="77777777" w:rsidR="00F9304F" w:rsidRDefault="00F9304F" w:rsidP="00F04D4E">
    <w:pPr>
      <w:spacing w:line="14" w:lineRule="auto"/>
      <w:jc w:val="center"/>
      <w:rPr>
        <w:sz w:val="20"/>
        <w:szCs w:val="20"/>
      </w:rPr>
    </w:pPr>
  </w:p>
  <w:p w14:paraId="0685B1FD" w14:textId="77777777" w:rsidR="00F9304F" w:rsidRDefault="00F9304F" w:rsidP="00F9304F">
    <w:pPr>
      <w:pStyle w:val="Encabezado"/>
      <w:ind w:left="-567"/>
      <w:jc w:val="center"/>
    </w:pPr>
    <w:r>
      <w:rPr>
        <w:noProof/>
      </w:rPr>
      <w:drawing>
        <wp:inline distT="0" distB="0" distL="0" distR="0" wp14:anchorId="5209F819" wp14:editId="637FB1F8">
          <wp:extent cx="809625" cy="8409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190" cy="8675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16A6"/>
    <w:multiLevelType w:val="hybridMultilevel"/>
    <w:tmpl w:val="2D14C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DD77F7"/>
    <w:multiLevelType w:val="hybridMultilevel"/>
    <w:tmpl w:val="B1FCB4E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B41199"/>
    <w:multiLevelType w:val="hybridMultilevel"/>
    <w:tmpl w:val="1D5231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91F20AC"/>
    <w:multiLevelType w:val="multilevel"/>
    <w:tmpl w:val="23BE8D1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B276589"/>
    <w:multiLevelType w:val="hybridMultilevel"/>
    <w:tmpl w:val="E9B2FCFE"/>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15:restartNumberingAfterBreak="0">
    <w:nsid w:val="1BC7633C"/>
    <w:multiLevelType w:val="hybridMultilevel"/>
    <w:tmpl w:val="2BC0C7F6"/>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6" w15:restartNumberingAfterBreak="0">
    <w:nsid w:val="1FFE0C36"/>
    <w:multiLevelType w:val="multilevel"/>
    <w:tmpl w:val="23BE8D1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22A54B8B"/>
    <w:multiLevelType w:val="hybridMultilevel"/>
    <w:tmpl w:val="D07CB886"/>
    <w:lvl w:ilvl="0" w:tplc="080A000D">
      <w:start w:val="1"/>
      <w:numFmt w:val="bullet"/>
      <w:lvlText w:val=""/>
      <w:lvlJc w:val="left"/>
      <w:pPr>
        <w:ind w:left="1776" w:hanging="360"/>
      </w:pPr>
      <w:rPr>
        <w:rFonts w:ascii="Wingdings" w:hAnsi="Wingdings"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 w15:restartNumberingAfterBreak="0">
    <w:nsid w:val="25BA030D"/>
    <w:multiLevelType w:val="hybridMultilevel"/>
    <w:tmpl w:val="6E24CC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0D69EC"/>
    <w:multiLevelType w:val="hybridMultilevel"/>
    <w:tmpl w:val="46DA711E"/>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A47891"/>
    <w:multiLevelType w:val="hybridMultilevel"/>
    <w:tmpl w:val="4CD4E8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AA7F96"/>
    <w:multiLevelType w:val="hybridMultilevel"/>
    <w:tmpl w:val="78B43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0B7FDA"/>
    <w:multiLevelType w:val="hybridMultilevel"/>
    <w:tmpl w:val="25FA3FF2"/>
    <w:lvl w:ilvl="0" w:tplc="1A964CE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1560FF"/>
    <w:multiLevelType w:val="hybridMultilevel"/>
    <w:tmpl w:val="C7EAD7F0"/>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CF2802"/>
    <w:multiLevelType w:val="hybridMultilevel"/>
    <w:tmpl w:val="0562DF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895A99"/>
    <w:multiLevelType w:val="hybridMultilevel"/>
    <w:tmpl w:val="81B46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8513BC"/>
    <w:multiLevelType w:val="multilevel"/>
    <w:tmpl w:val="502895BE"/>
    <w:lvl w:ilvl="0">
      <w:start w:val="1"/>
      <w:numFmt w:val="decimal"/>
      <w:lvlText w:val="%1."/>
      <w:lvlJc w:val="left"/>
      <w:pPr>
        <w:ind w:left="720"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432" w:hanging="1800"/>
      </w:pPr>
      <w:rPr>
        <w:rFonts w:hint="default"/>
      </w:rPr>
    </w:lvl>
  </w:abstractNum>
  <w:abstractNum w:abstractNumId="17" w15:restartNumberingAfterBreak="0">
    <w:nsid w:val="45627910"/>
    <w:multiLevelType w:val="hybridMultilevel"/>
    <w:tmpl w:val="ADFACA7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7524B22"/>
    <w:multiLevelType w:val="hybridMultilevel"/>
    <w:tmpl w:val="3C2843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8F4B3B"/>
    <w:multiLevelType w:val="hybridMultilevel"/>
    <w:tmpl w:val="4F609E86"/>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DC7CFA"/>
    <w:multiLevelType w:val="hybridMultilevel"/>
    <w:tmpl w:val="BDB08A04"/>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541103"/>
    <w:multiLevelType w:val="hybridMultilevel"/>
    <w:tmpl w:val="B8FAC8A8"/>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2" w15:restartNumberingAfterBreak="0">
    <w:nsid w:val="624F384F"/>
    <w:multiLevelType w:val="hybridMultilevel"/>
    <w:tmpl w:val="C3AC319C"/>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902D98"/>
    <w:multiLevelType w:val="hybridMultilevel"/>
    <w:tmpl w:val="926E08C8"/>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B3720D"/>
    <w:multiLevelType w:val="hybridMultilevel"/>
    <w:tmpl w:val="7EECAB76"/>
    <w:lvl w:ilvl="0" w:tplc="13BC915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F376D4"/>
    <w:multiLevelType w:val="hybridMultilevel"/>
    <w:tmpl w:val="DF10F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8C62B1"/>
    <w:multiLevelType w:val="hybridMultilevel"/>
    <w:tmpl w:val="F966845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AD2DF2"/>
    <w:multiLevelType w:val="hybridMultilevel"/>
    <w:tmpl w:val="CE007318"/>
    <w:lvl w:ilvl="0" w:tplc="1A964CEC">
      <w:numFmt w:val="bullet"/>
      <w:lvlText w:val="-"/>
      <w:lvlJc w:val="left"/>
      <w:pPr>
        <w:ind w:left="436" w:hanging="360"/>
      </w:pPr>
      <w:rPr>
        <w:rFonts w:ascii="Calibri" w:eastAsiaTheme="minorHAnsi" w:hAnsi="Calibri" w:cstheme="minorBidi"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8" w15:restartNumberingAfterBreak="0">
    <w:nsid w:val="7E72304F"/>
    <w:multiLevelType w:val="hybridMultilevel"/>
    <w:tmpl w:val="096CC7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2"/>
  </w:num>
  <w:num w:numId="4">
    <w:abstractNumId w:val="15"/>
  </w:num>
  <w:num w:numId="5">
    <w:abstractNumId w:val="9"/>
  </w:num>
  <w:num w:numId="6">
    <w:abstractNumId w:val="22"/>
  </w:num>
  <w:num w:numId="7">
    <w:abstractNumId w:val="20"/>
  </w:num>
  <w:num w:numId="8">
    <w:abstractNumId w:val="19"/>
  </w:num>
  <w:num w:numId="9">
    <w:abstractNumId w:val="4"/>
  </w:num>
  <w:num w:numId="10">
    <w:abstractNumId w:val="7"/>
  </w:num>
  <w:num w:numId="11">
    <w:abstractNumId w:val="23"/>
  </w:num>
  <w:num w:numId="12">
    <w:abstractNumId w:val="21"/>
  </w:num>
  <w:num w:numId="13">
    <w:abstractNumId w:val="13"/>
  </w:num>
  <w:num w:numId="14">
    <w:abstractNumId w:val="5"/>
  </w:num>
  <w:num w:numId="15">
    <w:abstractNumId w:val="27"/>
  </w:num>
  <w:num w:numId="16">
    <w:abstractNumId w:val="3"/>
  </w:num>
  <w:num w:numId="17">
    <w:abstractNumId w:val="24"/>
  </w:num>
  <w:num w:numId="18">
    <w:abstractNumId w:val="8"/>
  </w:num>
  <w:num w:numId="19">
    <w:abstractNumId w:val="18"/>
  </w:num>
  <w:num w:numId="20">
    <w:abstractNumId w:val="14"/>
  </w:num>
  <w:num w:numId="21">
    <w:abstractNumId w:val="28"/>
  </w:num>
  <w:num w:numId="22">
    <w:abstractNumId w:val="1"/>
  </w:num>
  <w:num w:numId="23">
    <w:abstractNumId w:val="16"/>
  </w:num>
  <w:num w:numId="24">
    <w:abstractNumId w:val="2"/>
  </w:num>
  <w:num w:numId="25">
    <w:abstractNumId w:val="11"/>
  </w:num>
  <w:num w:numId="26">
    <w:abstractNumId w:val="0"/>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5"/>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F19"/>
    <w:rsid w:val="00000CA5"/>
    <w:rsid w:val="00001B03"/>
    <w:rsid w:val="00001BAE"/>
    <w:rsid w:val="000027DD"/>
    <w:rsid w:val="0000298C"/>
    <w:rsid w:val="0000372B"/>
    <w:rsid w:val="00003AEF"/>
    <w:rsid w:val="00003CBB"/>
    <w:rsid w:val="00004195"/>
    <w:rsid w:val="000049DA"/>
    <w:rsid w:val="000050C4"/>
    <w:rsid w:val="00006386"/>
    <w:rsid w:val="00006F6A"/>
    <w:rsid w:val="00011423"/>
    <w:rsid w:val="000118D1"/>
    <w:rsid w:val="00015596"/>
    <w:rsid w:val="000159F4"/>
    <w:rsid w:val="00015B7D"/>
    <w:rsid w:val="00016916"/>
    <w:rsid w:val="0001702D"/>
    <w:rsid w:val="00017B66"/>
    <w:rsid w:val="00017D17"/>
    <w:rsid w:val="00020956"/>
    <w:rsid w:val="00020F52"/>
    <w:rsid w:val="00021026"/>
    <w:rsid w:val="00021BBB"/>
    <w:rsid w:val="00022E4A"/>
    <w:rsid w:val="00023505"/>
    <w:rsid w:val="0002359E"/>
    <w:rsid w:val="000249EE"/>
    <w:rsid w:val="00025E01"/>
    <w:rsid w:val="0002601D"/>
    <w:rsid w:val="00027B3C"/>
    <w:rsid w:val="00030103"/>
    <w:rsid w:val="0003292C"/>
    <w:rsid w:val="00032BD3"/>
    <w:rsid w:val="000334F3"/>
    <w:rsid w:val="00035670"/>
    <w:rsid w:val="00035EE8"/>
    <w:rsid w:val="00036715"/>
    <w:rsid w:val="00036CEB"/>
    <w:rsid w:val="00040DF6"/>
    <w:rsid w:val="00041B3E"/>
    <w:rsid w:val="000434DE"/>
    <w:rsid w:val="00044690"/>
    <w:rsid w:val="00045030"/>
    <w:rsid w:val="0004518F"/>
    <w:rsid w:val="00045255"/>
    <w:rsid w:val="00047503"/>
    <w:rsid w:val="00047730"/>
    <w:rsid w:val="00050AB4"/>
    <w:rsid w:val="000519C1"/>
    <w:rsid w:val="0005228F"/>
    <w:rsid w:val="000531CE"/>
    <w:rsid w:val="00054607"/>
    <w:rsid w:val="00056E64"/>
    <w:rsid w:val="000608EF"/>
    <w:rsid w:val="00060A7C"/>
    <w:rsid w:val="00062CB2"/>
    <w:rsid w:val="00064DFC"/>
    <w:rsid w:val="00064FEC"/>
    <w:rsid w:val="000701F8"/>
    <w:rsid w:val="00070B65"/>
    <w:rsid w:val="000713B9"/>
    <w:rsid w:val="000719CE"/>
    <w:rsid w:val="00072E02"/>
    <w:rsid w:val="00077B2B"/>
    <w:rsid w:val="00080602"/>
    <w:rsid w:val="00080881"/>
    <w:rsid w:val="00084F8C"/>
    <w:rsid w:val="000868BE"/>
    <w:rsid w:val="00086A40"/>
    <w:rsid w:val="00092342"/>
    <w:rsid w:val="000927C5"/>
    <w:rsid w:val="0009422B"/>
    <w:rsid w:val="00094416"/>
    <w:rsid w:val="0009473D"/>
    <w:rsid w:val="0009579F"/>
    <w:rsid w:val="00095A46"/>
    <w:rsid w:val="000A0954"/>
    <w:rsid w:val="000A13D8"/>
    <w:rsid w:val="000A30F8"/>
    <w:rsid w:val="000A445B"/>
    <w:rsid w:val="000A7701"/>
    <w:rsid w:val="000A7C7C"/>
    <w:rsid w:val="000B0175"/>
    <w:rsid w:val="000B06FB"/>
    <w:rsid w:val="000B18A9"/>
    <w:rsid w:val="000B2524"/>
    <w:rsid w:val="000B3AB5"/>
    <w:rsid w:val="000B400F"/>
    <w:rsid w:val="000B406C"/>
    <w:rsid w:val="000B6335"/>
    <w:rsid w:val="000B6497"/>
    <w:rsid w:val="000B7486"/>
    <w:rsid w:val="000B7A03"/>
    <w:rsid w:val="000C03E1"/>
    <w:rsid w:val="000C23DA"/>
    <w:rsid w:val="000C2803"/>
    <w:rsid w:val="000C2A4A"/>
    <w:rsid w:val="000C2C0B"/>
    <w:rsid w:val="000C310A"/>
    <w:rsid w:val="000C3369"/>
    <w:rsid w:val="000C3A9D"/>
    <w:rsid w:val="000C5133"/>
    <w:rsid w:val="000C63AF"/>
    <w:rsid w:val="000C6F33"/>
    <w:rsid w:val="000C71DC"/>
    <w:rsid w:val="000C7E0B"/>
    <w:rsid w:val="000D27E6"/>
    <w:rsid w:val="000D2C85"/>
    <w:rsid w:val="000D357B"/>
    <w:rsid w:val="000D4B66"/>
    <w:rsid w:val="000D55A2"/>
    <w:rsid w:val="000D57F4"/>
    <w:rsid w:val="000D6956"/>
    <w:rsid w:val="000D76F2"/>
    <w:rsid w:val="000E0427"/>
    <w:rsid w:val="000E1CAC"/>
    <w:rsid w:val="000E1F9C"/>
    <w:rsid w:val="000E22DA"/>
    <w:rsid w:val="000E239F"/>
    <w:rsid w:val="000E3C17"/>
    <w:rsid w:val="000E5E6F"/>
    <w:rsid w:val="000E6550"/>
    <w:rsid w:val="000E6697"/>
    <w:rsid w:val="000E69BF"/>
    <w:rsid w:val="000E70F7"/>
    <w:rsid w:val="000F0349"/>
    <w:rsid w:val="000F2244"/>
    <w:rsid w:val="000F236B"/>
    <w:rsid w:val="000F29FC"/>
    <w:rsid w:val="000F2D68"/>
    <w:rsid w:val="000F33C2"/>
    <w:rsid w:val="000F4149"/>
    <w:rsid w:val="000F4173"/>
    <w:rsid w:val="000F4488"/>
    <w:rsid w:val="000F44B6"/>
    <w:rsid w:val="000F501F"/>
    <w:rsid w:val="000F5091"/>
    <w:rsid w:val="000F5D4C"/>
    <w:rsid w:val="000F67E2"/>
    <w:rsid w:val="000F72E6"/>
    <w:rsid w:val="000F7363"/>
    <w:rsid w:val="001000CC"/>
    <w:rsid w:val="00101DC4"/>
    <w:rsid w:val="00103953"/>
    <w:rsid w:val="0010689E"/>
    <w:rsid w:val="00106D15"/>
    <w:rsid w:val="00107133"/>
    <w:rsid w:val="00107703"/>
    <w:rsid w:val="0010795C"/>
    <w:rsid w:val="00107DBD"/>
    <w:rsid w:val="00110708"/>
    <w:rsid w:val="001107DD"/>
    <w:rsid w:val="00110CFC"/>
    <w:rsid w:val="001110DA"/>
    <w:rsid w:val="00112F73"/>
    <w:rsid w:val="00114030"/>
    <w:rsid w:val="00114E87"/>
    <w:rsid w:val="00116055"/>
    <w:rsid w:val="00116BFF"/>
    <w:rsid w:val="00116E93"/>
    <w:rsid w:val="001178E5"/>
    <w:rsid w:val="00120BE7"/>
    <w:rsid w:val="00121033"/>
    <w:rsid w:val="00121528"/>
    <w:rsid w:val="00122375"/>
    <w:rsid w:val="0012241C"/>
    <w:rsid w:val="00123BAE"/>
    <w:rsid w:val="00124DB4"/>
    <w:rsid w:val="00130E80"/>
    <w:rsid w:val="00131EE1"/>
    <w:rsid w:val="0013239A"/>
    <w:rsid w:val="001337AA"/>
    <w:rsid w:val="00133C26"/>
    <w:rsid w:val="00136069"/>
    <w:rsid w:val="00136614"/>
    <w:rsid w:val="001405B9"/>
    <w:rsid w:val="00141905"/>
    <w:rsid w:val="00142B46"/>
    <w:rsid w:val="00143645"/>
    <w:rsid w:val="00144121"/>
    <w:rsid w:val="00144E4C"/>
    <w:rsid w:val="0014594E"/>
    <w:rsid w:val="00145EEE"/>
    <w:rsid w:val="00150B02"/>
    <w:rsid w:val="00151B69"/>
    <w:rsid w:val="00151E12"/>
    <w:rsid w:val="00153A02"/>
    <w:rsid w:val="001548D7"/>
    <w:rsid w:val="001550C2"/>
    <w:rsid w:val="00160AB5"/>
    <w:rsid w:val="001614E8"/>
    <w:rsid w:val="001619DE"/>
    <w:rsid w:val="00161B92"/>
    <w:rsid w:val="001669A8"/>
    <w:rsid w:val="00167567"/>
    <w:rsid w:val="00167AA6"/>
    <w:rsid w:val="001712D3"/>
    <w:rsid w:val="0017152B"/>
    <w:rsid w:val="00171DED"/>
    <w:rsid w:val="00172B92"/>
    <w:rsid w:val="00173D8F"/>
    <w:rsid w:val="00174D17"/>
    <w:rsid w:val="00174FA4"/>
    <w:rsid w:val="00175A6E"/>
    <w:rsid w:val="001761F2"/>
    <w:rsid w:val="001779AF"/>
    <w:rsid w:val="001815C1"/>
    <w:rsid w:val="00182354"/>
    <w:rsid w:val="0018312D"/>
    <w:rsid w:val="0018439E"/>
    <w:rsid w:val="00184494"/>
    <w:rsid w:val="00185228"/>
    <w:rsid w:val="00185787"/>
    <w:rsid w:val="001858E3"/>
    <w:rsid w:val="0018656A"/>
    <w:rsid w:val="00186C3B"/>
    <w:rsid w:val="00190FDA"/>
    <w:rsid w:val="00191270"/>
    <w:rsid w:val="0019203C"/>
    <w:rsid w:val="001929A9"/>
    <w:rsid w:val="001930D2"/>
    <w:rsid w:val="00194928"/>
    <w:rsid w:val="00194BD0"/>
    <w:rsid w:val="00196293"/>
    <w:rsid w:val="00196621"/>
    <w:rsid w:val="00196E5A"/>
    <w:rsid w:val="00197808"/>
    <w:rsid w:val="00197D34"/>
    <w:rsid w:val="001A0430"/>
    <w:rsid w:val="001A284A"/>
    <w:rsid w:val="001A30F1"/>
    <w:rsid w:val="001A392A"/>
    <w:rsid w:val="001A3AE5"/>
    <w:rsid w:val="001A3E5B"/>
    <w:rsid w:val="001A540E"/>
    <w:rsid w:val="001A7B3F"/>
    <w:rsid w:val="001B1F99"/>
    <w:rsid w:val="001B38F3"/>
    <w:rsid w:val="001B3DEF"/>
    <w:rsid w:val="001B4C3F"/>
    <w:rsid w:val="001B554B"/>
    <w:rsid w:val="001B5E22"/>
    <w:rsid w:val="001B6715"/>
    <w:rsid w:val="001B779A"/>
    <w:rsid w:val="001C08BC"/>
    <w:rsid w:val="001C1B3B"/>
    <w:rsid w:val="001C1EEC"/>
    <w:rsid w:val="001C28D0"/>
    <w:rsid w:val="001C31D4"/>
    <w:rsid w:val="001C3879"/>
    <w:rsid w:val="001C6A35"/>
    <w:rsid w:val="001C73D7"/>
    <w:rsid w:val="001D053F"/>
    <w:rsid w:val="001D061D"/>
    <w:rsid w:val="001D0B70"/>
    <w:rsid w:val="001D0DC8"/>
    <w:rsid w:val="001D10E5"/>
    <w:rsid w:val="001D20DC"/>
    <w:rsid w:val="001D385C"/>
    <w:rsid w:val="001D497A"/>
    <w:rsid w:val="001D4C70"/>
    <w:rsid w:val="001D56B6"/>
    <w:rsid w:val="001D5E68"/>
    <w:rsid w:val="001D6408"/>
    <w:rsid w:val="001D6EBA"/>
    <w:rsid w:val="001D7D51"/>
    <w:rsid w:val="001E0CC3"/>
    <w:rsid w:val="001E1355"/>
    <w:rsid w:val="001E1C02"/>
    <w:rsid w:val="001E2552"/>
    <w:rsid w:val="001E31A9"/>
    <w:rsid w:val="001E35AE"/>
    <w:rsid w:val="001E579F"/>
    <w:rsid w:val="001E7653"/>
    <w:rsid w:val="001F076A"/>
    <w:rsid w:val="001F0955"/>
    <w:rsid w:val="001F1B7E"/>
    <w:rsid w:val="001F1F0F"/>
    <w:rsid w:val="001F4D01"/>
    <w:rsid w:val="001F5BAC"/>
    <w:rsid w:val="001F6FA0"/>
    <w:rsid w:val="00200D7B"/>
    <w:rsid w:val="00202BB5"/>
    <w:rsid w:val="0020486E"/>
    <w:rsid w:val="00204FA8"/>
    <w:rsid w:val="00205EE6"/>
    <w:rsid w:val="00207309"/>
    <w:rsid w:val="00207A0E"/>
    <w:rsid w:val="00211BA2"/>
    <w:rsid w:val="00211FD9"/>
    <w:rsid w:val="00212FA3"/>
    <w:rsid w:val="00213D29"/>
    <w:rsid w:val="0021455A"/>
    <w:rsid w:val="00215623"/>
    <w:rsid w:val="00215834"/>
    <w:rsid w:val="00216E09"/>
    <w:rsid w:val="00217999"/>
    <w:rsid w:val="00220BDA"/>
    <w:rsid w:val="00221B05"/>
    <w:rsid w:val="0022228C"/>
    <w:rsid w:val="0022460C"/>
    <w:rsid w:val="00224AE8"/>
    <w:rsid w:val="00225E34"/>
    <w:rsid w:val="00226D8A"/>
    <w:rsid w:val="00226E57"/>
    <w:rsid w:val="00227748"/>
    <w:rsid w:val="00233615"/>
    <w:rsid w:val="00234C84"/>
    <w:rsid w:val="002356C7"/>
    <w:rsid w:val="0024027A"/>
    <w:rsid w:val="0024110D"/>
    <w:rsid w:val="002414C6"/>
    <w:rsid w:val="00241597"/>
    <w:rsid w:val="0024178B"/>
    <w:rsid w:val="00241871"/>
    <w:rsid w:val="00243171"/>
    <w:rsid w:val="00243855"/>
    <w:rsid w:val="00243A00"/>
    <w:rsid w:val="002464E2"/>
    <w:rsid w:val="002465DC"/>
    <w:rsid w:val="00247E13"/>
    <w:rsid w:val="002506B7"/>
    <w:rsid w:val="002509C3"/>
    <w:rsid w:val="002515DE"/>
    <w:rsid w:val="002524DD"/>
    <w:rsid w:val="00253FE7"/>
    <w:rsid w:val="00254381"/>
    <w:rsid w:val="002543E2"/>
    <w:rsid w:val="00257285"/>
    <w:rsid w:val="00257E98"/>
    <w:rsid w:val="002603A2"/>
    <w:rsid w:val="00260490"/>
    <w:rsid w:val="00260D14"/>
    <w:rsid w:val="002613E1"/>
    <w:rsid w:val="00261CE0"/>
    <w:rsid w:val="002632A5"/>
    <w:rsid w:val="00263712"/>
    <w:rsid w:val="00263756"/>
    <w:rsid w:val="00264CEE"/>
    <w:rsid w:val="00264EAB"/>
    <w:rsid w:val="002657B7"/>
    <w:rsid w:val="00266AD1"/>
    <w:rsid w:val="00266E1C"/>
    <w:rsid w:val="00266E54"/>
    <w:rsid w:val="0027224F"/>
    <w:rsid w:val="0027238B"/>
    <w:rsid w:val="002729E6"/>
    <w:rsid w:val="002743CA"/>
    <w:rsid w:val="00274D91"/>
    <w:rsid w:val="00274FA8"/>
    <w:rsid w:val="002752E5"/>
    <w:rsid w:val="00280654"/>
    <w:rsid w:val="00280B6C"/>
    <w:rsid w:val="002829DC"/>
    <w:rsid w:val="0028314C"/>
    <w:rsid w:val="002834CA"/>
    <w:rsid w:val="002838AF"/>
    <w:rsid w:val="00283D6B"/>
    <w:rsid w:val="00283DBB"/>
    <w:rsid w:val="00283F02"/>
    <w:rsid w:val="00286958"/>
    <w:rsid w:val="00287B4A"/>
    <w:rsid w:val="002902A6"/>
    <w:rsid w:val="002913CE"/>
    <w:rsid w:val="002923AD"/>
    <w:rsid w:val="00292A9C"/>
    <w:rsid w:val="002931B0"/>
    <w:rsid w:val="002948D3"/>
    <w:rsid w:val="00295059"/>
    <w:rsid w:val="002950E5"/>
    <w:rsid w:val="00295E6C"/>
    <w:rsid w:val="00296500"/>
    <w:rsid w:val="00296E26"/>
    <w:rsid w:val="002979A2"/>
    <w:rsid w:val="002A00C5"/>
    <w:rsid w:val="002A049C"/>
    <w:rsid w:val="002A157F"/>
    <w:rsid w:val="002A15C6"/>
    <w:rsid w:val="002A1F50"/>
    <w:rsid w:val="002A3F6B"/>
    <w:rsid w:val="002A45F0"/>
    <w:rsid w:val="002A4FF8"/>
    <w:rsid w:val="002A5C93"/>
    <w:rsid w:val="002A65DF"/>
    <w:rsid w:val="002A7E0C"/>
    <w:rsid w:val="002A7FD6"/>
    <w:rsid w:val="002B01A4"/>
    <w:rsid w:val="002B0A58"/>
    <w:rsid w:val="002B0E2F"/>
    <w:rsid w:val="002B1E01"/>
    <w:rsid w:val="002B2080"/>
    <w:rsid w:val="002B3FE8"/>
    <w:rsid w:val="002B5695"/>
    <w:rsid w:val="002B67ED"/>
    <w:rsid w:val="002B6CE5"/>
    <w:rsid w:val="002B6D54"/>
    <w:rsid w:val="002B7F8D"/>
    <w:rsid w:val="002C135C"/>
    <w:rsid w:val="002C1CC3"/>
    <w:rsid w:val="002C28DA"/>
    <w:rsid w:val="002C2E72"/>
    <w:rsid w:val="002C37DE"/>
    <w:rsid w:val="002C460B"/>
    <w:rsid w:val="002C4667"/>
    <w:rsid w:val="002C48F5"/>
    <w:rsid w:val="002C4F07"/>
    <w:rsid w:val="002C76F1"/>
    <w:rsid w:val="002C7CC8"/>
    <w:rsid w:val="002D2231"/>
    <w:rsid w:val="002D2897"/>
    <w:rsid w:val="002D3D61"/>
    <w:rsid w:val="002D4331"/>
    <w:rsid w:val="002D6FBB"/>
    <w:rsid w:val="002D7759"/>
    <w:rsid w:val="002E09AD"/>
    <w:rsid w:val="002E0DF1"/>
    <w:rsid w:val="002E2E0E"/>
    <w:rsid w:val="002E5DC0"/>
    <w:rsid w:val="002E731C"/>
    <w:rsid w:val="002F09E2"/>
    <w:rsid w:val="002F1352"/>
    <w:rsid w:val="002F1BAD"/>
    <w:rsid w:val="002F29D9"/>
    <w:rsid w:val="002F3EE4"/>
    <w:rsid w:val="002F40FA"/>
    <w:rsid w:val="002F4572"/>
    <w:rsid w:val="002F4739"/>
    <w:rsid w:val="002F5F01"/>
    <w:rsid w:val="002F6311"/>
    <w:rsid w:val="002F6CCA"/>
    <w:rsid w:val="003008A5"/>
    <w:rsid w:val="00300FD2"/>
    <w:rsid w:val="00301DF0"/>
    <w:rsid w:val="003020B5"/>
    <w:rsid w:val="003021EB"/>
    <w:rsid w:val="0030273F"/>
    <w:rsid w:val="00302B3C"/>
    <w:rsid w:val="003039F7"/>
    <w:rsid w:val="003052FE"/>
    <w:rsid w:val="003058AC"/>
    <w:rsid w:val="00306288"/>
    <w:rsid w:val="003072F4"/>
    <w:rsid w:val="00307948"/>
    <w:rsid w:val="00310273"/>
    <w:rsid w:val="0031040C"/>
    <w:rsid w:val="0031135E"/>
    <w:rsid w:val="00312884"/>
    <w:rsid w:val="0031381E"/>
    <w:rsid w:val="00313ABA"/>
    <w:rsid w:val="00313BF1"/>
    <w:rsid w:val="00314448"/>
    <w:rsid w:val="00314D09"/>
    <w:rsid w:val="0031509C"/>
    <w:rsid w:val="00315B3F"/>
    <w:rsid w:val="003179C4"/>
    <w:rsid w:val="00317C10"/>
    <w:rsid w:val="003222CD"/>
    <w:rsid w:val="0032230B"/>
    <w:rsid w:val="003223EF"/>
    <w:rsid w:val="003256A5"/>
    <w:rsid w:val="00325F50"/>
    <w:rsid w:val="00325FEE"/>
    <w:rsid w:val="00326A66"/>
    <w:rsid w:val="00327388"/>
    <w:rsid w:val="00327AF7"/>
    <w:rsid w:val="00330166"/>
    <w:rsid w:val="00331006"/>
    <w:rsid w:val="0033101B"/>
    <w:rsid w:val="0033393F"/>
    <w:rsid w:val="00334FAC"/>
    <w:rsid w:val="00335C57"/>
    <w:rsid w:val="00336BD4"/>
    <w:rsid w:val="003373A5"/>
    <w:rsid w:val="00337DC8"/>
    <w:rsid w:val="00341584"/>
    <w:rsid w:val="0034190C"/>
    <w:rsid w:val="00341E46"/>
    <w:rsid w:val="00341E9C"/>
    <w:rsid w:val="0034333A"/>
    <w:rsid w:val="00343630"/>
    <w:rsid w:val="00344585"/>
    <w:rsid w:val="0034521D"/>
    <w:rsid w:val="003476C0"/>
    <w:rsid w:val="00351E0D"/>
    <w:rsid w:val="00351E63"/>
    <w:rsid w:val="00354A95"/>
    <w:rsid w:val="003559A0"/>
    <w:rsid w:val="00355C9C"/>
    <w:rsid w:val="00356160"/>
    <w:rsid w:val="00356B54"/>
    <w:rsid w:val="00357A9C"/>
    <w:rsid w:val="00357DD7"/>
    <w:rsid w:val="003618DD"/>
    <w:rsid w:val="003622BF"/>
    <w:rsid w:val="0036483E"/>
    <w:rsid w:val="0036526E"/>
    <w:rsid w:val="00365999"/>
    <w:rsid w:val="00365A15"/>
    <w:rsid w:val="00371804"/>
    <w:rsid w:val="00372DD0"/>
    <w:rsid w:val="003733C2"/>
    <w:rsid w:val="00373B06"/>
    <w:rsid w:val="00373B32"/>
    <w:rsid w:val="00374A51"/>
    <w:rsid w:val="00375731"/>
    <w:rsid w:val="00376790"/>
    <w:rsid w:val="00376CAD"/>
    <w:rsid w:val="00380ED1"/>
    <w:rsid w:val="003810C8"/>
    <w:rsid w:val="003819A1"/>
    <w:rsid w:val="00382526"/>
    <w:rsid w:val="00384C0A"/>
    <w:rsid w:val="00384D4B"/>
    <w:rsid w:val="00384ED1"/>
    <w:rsid w:val="00384EFF"/>
    <w:rsid w:val="003852C8"/>
    <w:rsid w:val="00385966"/>
    <w:rsid w:val="003860D1"/>
    <w:rsid w:val="00386C5B"/>
    <w:rsid w:val="00386F1F"/>
    <w:rsid w:val="00391FB4"/>
    <w:rsid w:val="0039289E"/>
    <w:rsid w:val="00393798"/>
    <w:rsid w:val="003937FB"/>
    <w:rsid w:val="0039510E"/>
    <w:rsid w:val="00395DCF"/>
    <w:rsid w:val="003A0CB5"/>
    <w:rsid w:val="003A105E"/>
    <w:rsid w:val="003A44E3"/>
    <w:rsid w:val="003A44EA"/>
    <w:rsid w:val="003A4744"/>
    <w:rsid w:val="003A553A"/>
    <w:rsid w:val="003A57A6"/>
    <w:rsid w:val="003A5974"/>
    <w:rsid w:val="003B0118"/>
    <w:rsid w:val="003B1634"/>
    <w:rsid w:val="003B2A8C"/>
    <w:rsid w:val="003B2EA5"/>
    <w:rsid w:val="003B3367"/>
    <w:rsid w:val="003B352E"/>
    <w:rsid w:val="003B42B4"/>
    <w:rsid w:val="003B4B0F"/>
    <w:rsid w:val="003B4FFD"/>
    <w:rsid w:val="003B5328"/>
    <w:rsid w:val="003B5DC0"/>
    <w:rsid w:val="003B7494"/>
    <w:rsid w:val="003B7AB1"/>
    <w:rsid w:val="003C0405"/>
    <w:rsid w:val="003C2163"/>
    <w:rsid w:val="003C29EB"/>
    <w:rsid w:val="003C32DB"/>
    <w:rsid w:val="003C39A6"/>
    <w:rsid w:val="003C3C26"/>
    <w:rsid w:val="003C4A00"/>
    <w:rsid w:val="003C5AA2"/>
    <w:rsid w:val="003C5CD9"/>
    <w:rsid w:val="003C6F38"/>
    <w:rsid w:val="003C78D9"/>
    <w:rsid w:val="003C7B11"/>
    <w:rsid w:val="003D02ED"/>
    <w:rsid w:val="003D0CDF"/>
    <w:rsid w:val="003D19F2"/>
    <w:rsid w:val="003D25AF"/>
    <w:rsid w:val="003D2FB6"/>
    <w:rsid w:val="003D3377"/>
    <w:rsid w:val="003D3D3D"/>
    <w:rsid w:val="003D50F6"/>
    <w:rsid w:val="003D547A"/>
    <w:rsid w:val="003D5D4A"/>
    <w:rsid w:val="003D6672"/>
    <w:rsid w:val="003D7E8E"/>
    <w:rsid w:val="003E00F7"/>
    <w:rsid w:val="003E2A83"/>
    <w:rsid w:val="003E3C38"/>
    <w:rsid w:val="003E3EFC"/>
    <w:rsid w:val="003E472F"/>
    <w:rsid w:val="003E48A9"/>
    <w:rsid w:val="003E4A8B"/>
    <w:rsid w:val="003E4B09"/>
    <w:rsid w:val="003E4C85"/>
    <w:rsid w:val="003E50BD"/>
    <w:rsid w:val="003F208F"/>
    <w:rsid w:val="003F2B14"/>
    <w:rsid w:val="003F2E1A"/>
    <w:rsid w:val="003F2E35"/>
    <w:rsid w:val="003F30D0"/>
    <w:rsid w:val="003F3B64"/>
    <w:rsid w:val="003F520C"/>
    <w:rsid w:val="003F5271"/>
    <w:rsid w:val="003F58FA"/>
    <w:rsid w:val="003F7074"/>
    <w:rsid w:val="00400939"/>
    <w:rsid w:val="00401343"/>
    <w:rsid w:val="00401500"/>
    <w:rsid w:val="004021AA"/>
    <w:rsid w:val="004039D7"/>
    <w:rsid w:val="00404626"/>
    <w:rsid w:val="00404AE2"/>
    <w:rsid w:val="00405834"/>
    <w:rsid w:val="00407A3C"/>
    <w:rsid w:val="004105B9"/>
    <w:rsid w:val="004107EE"/>
    <w:rsid w:val="00414D33"/>
    <w:rsid w:val="0041529D"/>
    <w:rsid w:val="00416125"/>
    <w:rsid w:val="00417D10"/>
    <w:rsid w:val="00417E51"/>
    <w:rsid w:val="00421BE3"/>
    <w:rsid w:val="004224AA"/>
    <w:rsid w:val="00422FC5"/>
    <w:rsid w:val="00423D61"/>
    <w:rsid w:val="00424847"/>
    <w:rsid w:val="004266D0"/>
    <w:rsid w:val="00426CD3"/>
    <w:rsid w:val="00427401"/>
    <w:rsid w:val="0042745D"/>
    <w:rsid w:val="0043071C"/>
    <w:rsid w:val="0043129A"/>
    <w:rsid w:val="00431B6F"/>
    <w:rsid w:val="00431E2A"/>
    <w:rsid w:val="004322D7"/>
    <w:rsid w:val="00432866"/>
    <w:rsid w:val="004329B9"/>
    <w:rsid w:val="00433BAF"/>
    <w:rsid w:val="00433F3B"/>
    <w:rsid w:val="00434E8A"/>
    <w:rsid w:val="00435294"/>
    <w:rsid w:val="004400E2"/>
    <w:rsid w:val="0044035E"/>
    <w:rsid w:val="0044064F"/>
    <w:rsid w:val="00440C6F"/>
    <w:rsid w:val="00441D36"/>
    <w:rsid w:val="00442555"/>
    <w:rsid w:val="0044256B"/>
    <w:rsid w:val="00442842"/>
    <w:rsid w:val="00442B29"/>
    <w:rsid w:val="00442F19"/>
    <w:rsid w:val="0044309F"/>
    <w:rsid w:val="00443703"/>
    <w:rsid w:val="00445B3D"/>
    <w:rsid w:val="004463E6"/>
    <w:rsid w:val="00446712"/>
    <w:rsid w:val="00451181"/>
    <w:rsid w:val="004523C3"/>
    <w:rsid w:val="00452A39"/>
    <w:rsid w:val="00453A3A"/>
    <w:rsid w:val="0045467D"/>
    <w:rsid w:val="00454A26"/>
    <w:rsid w:val="00454BD7"/>
    <w:rsid w:val="00454F2F"/>
    <w:rsid w:val="00455F2C"/>
    <w:rsid w:val="004560B8"/>
    <w:rsid w:val="0045647B"/>
    <w:rsid w:val="0045698A"/>
    <w:rsid w:val="00456AF1"/>
    <w:rsid w:val="00460200"/>
    <w:rsid w:val="00460C70"/>
    <w:rsid w:val="00460DBA"/>
    <w:rsid w:val="00462075"/>
    <w:rsid w:val="004621F0"/>
    <w:rsid w:val="00463121"/>
    <w:rsid w:val="00465533"/>
    <w:rsid w:val="00466EC2"/>
    <w:rsid w:val="00467724"/>
    <w:rsid w:val="00470179"/>
    <w:rsid w:val="00471369"/>
    <w:rsid w:val="00471823"/>
    <w:rsid w:val="00472DDE"/>
    <w:rsid w:val="00473064"/>
    <w:rsid w:val="004742D2"/>
    <w:rsid w:val="00474333"/>
    <w:rsid w:val="004754B8"/>
    <w:rsid w:val="00475EB5"/>
    <w:rsid w:val="00476EC4"/>
    <w:rsid w:val="00480ED8"/>
    <w:rsid w:val="00481AC5"/>
    <w:rsid w:val="00481CA1"/>
    <w:rsid w:val="004848C8"/>
    <w:rsid w:val="004857C1"/>
    <w:rsid w:val="00485ED3"/>
    <w:rsid w:val="00485F1E"/>
    <w:rsid w:val="00485F1F"/>
    <w:rsid w:val="004869A4"/>
    <w:rsid w:val="00486C45"/>
    <w:rsid w:val="00495278"/>
    <w:rsid w:val="00495EFD"/>
    <w:rsid w:val="004961C5"/>
    <w:rsid w:val="00497F00"/>
    <w:rsid w:val="004A18A8"/>
    <w:rsid w:val="004A1B37"/>
    <w:rsid w:val="004A1DF7"/>
    <w:rsid w:val="004A2F43"/>
    <w:rsid w:val="004A40E4"/>
    <w:rsid w:val="004A53AE"/>
    <w:rsid w:val="004A5EF4"/>
    <w:rsid w:val="004A5F00"/>
    <w:rsid w:val="004A68B2"/>
    <w:rsid w:val="004A6EDE"/>
    <w:rsid w:val="004A742D"/>
    <w:rsid w:val="004A7B2B"/>
    <w:rsid w:val="004B0E9C"/>
    <w:rsid w:val="004B165D"/>
    <w:rsid w:val="004B1C28"/>
    <w:rsid w:val="004B254F"/>
    <w:rsid w:val="004B2D83"/>
    <w:rsid w:val="004B414C"/>
    <w:rsid w:val="004B4336"/>
    <w:rsid w:val="004B62C6"/>
    <w:rsid w:val="004B6C8D"/>
    <w:rsid w:val="004B77AF"/>
    <w:rsid w:val="004B7B53"/>
    <w:rsid w:val="004C1397"/>
    <w:rsid w:val="004C318C"/>
    <w:rsid w:val="004C4203"/>
    <w:rsid w:val="004C517F"/>
    <w:rsid w:val="004C5568"/>
    <w:rsid w:val="004C5D34"/>
    <w:rsid w:val="004C6752"/>
    <w:rsid w:val="004C79F7"/>
    <w:rsid w:val="004D00EA"/>
    <w:rsid w:val="004D02DC"/>
    <w:rsid w:val="004D0B46"/>
    <w:rsid w:val="004D16E3"/>
    <w:rsid w:val="004D2B82"/>
    <w:rsid w:val="004D338D"/>
    <w:rsid w:val="004D33D6"/>
    <w:rsid w:val="004D4B8B"/>
    <w:rsid w:val="004D51AD"/>
    <w:rsid w:val="004D557B"/>
    <w:rsid w:val="004D5E6F"/>
    <w:rsid w:val="004E0115"/>
    <w:rsid w:val="004E2589"/>
    <w:rsid w:val="004E2CAD"/>
    <w:rsid w:val="004E315D"/>
    <w:rsid w:val="004E59D8"/>
    <w:rsid w:val="004E5DB1"/>
    <w:rsid w:val="004E65B5"/>
    <w:rsid w:val="004E7708"/>
    <w:rsid w:val="004E7AD6"/>
    <w:rsid w:val="004F0020"/>
    <w:rsid w:val="004F16F4"/>
    <w:rsid w:val="004F1A01"/>
    <w:rsid w:val="004F25FD"/>
    <w:rsid w:val="004F2A41"/>
    <w:rsid w:val="004F415F"/>
    <w:rsid w:val="004F478A"/>
    <w:rsid w:val="004F5125"/>
    <w:rsid w:val="004F5FF4"/>
    <w:rsid w:val="004F75A7"/>
    <w:rsid w:val="004F7C08"/>
    <w:rsid w:val="00501318"/>
    <w:rsid w:val="005015E2"/>
    <w:rsid w:val="00502021"/>
    <w:rsid w:val="00502E0F"/>
    <w:rsid w:val="00503769"/>
    <w:rsid w:val="005038F1"/>
    <w:rsid w:val="00503C48"/>
    <w:rsid w:val="00504D57"/>
    <w:rsid w:val="00504FDD"/>
    <w:rsid w:val="0050681B"/>
    <w:rsid w:val="00506A94"/>
    <w:rsid w:val="00506CD7"/>
    <w:rsid w:val="00506E90"/>
    <w:rsid w:val="00513194"/>
    <w:rsid w:val="00513880"/>
    <w:rsid w:val="005138BB"/>
    <w:rsid w:val="00514274"/>
    <w:rsid w:val="005142C5"/>
    <w:rsid w:val="00514AEC"/>
    <w:rsid w:val="00515503"/>
    <w:rsid w:val="0051797D"/>
    <w:rsid w:val="00517A80"/>
    <w:rsid w:val="005204AC"/>
    <w:rsid w:val="00521E03"/>
    <w:rsid w:val="005229E2"/>
    <w:rsid w:val="00523160"/>
    <w:rsid w:val="00523383"/>
    <w:rsid w:val="00523BDF"/>
    <w:rsid w:val="00523E1B"/>
    <w:rsid w:val="00525747"/>
    <w:rsid w:val="00525CDE"/>
    <w:rsid w:val="00526046"/>
    <w:rsid w:val="00526AA6"/>
    <w:rsid w:val="005275E7"/>
    <w:rsid w:val="00530704"/>
    <w:rsid w:val="005330E3"/>
    <w:rsid w:val="00533F8E"/>
    <w:rsid w:val="00534968"/>
    <w:rsid w:val="00534C44"/>
    <w:rsid w:val="0053667D"/>
    <w:rsid w:val="00537817"/>
    <w:rsid w:val="00541505"/>
    <w:rsid w:val="00542D60"/>
    <w:rsid w:val="00542F64"/>
    <w:rsid w:val="00544787"/>
    <w:rsid w:val="0054498E"/>
    <w:rsid w:val="00544E8C"/>
    <w:rsid w:val="005451E8"/>
    <w:rsid w:val="00546C4C"/>
    <w:rsid w:val="00546DEE"/>
    <w:rsid w:val="0054711B"/>
    <w:rsid w:val="00550558"/>
    <w:rsid w:val="00550A19"/>
    <w:rsid w:val="0055107D"/>
    <w:rsid w:val="005521DF"/>
    <w:rsid w:val="00553EB7"/>
    <w:rsid w:val="00554E78"/>
    <w:rsid w:val="005550F4"/>
    <w:rsid w:val="00557932"/>
    <w:rsid w:val="00557B83"/>
    <w:rsid w:val="005603C2"/>
    <w:rsid w:val="005604BD"/>
    <w:rsid w:val="005625E3"/>
    <w:rsid w:val="005636F3"/>
    <w:rsid w:val="00563B9B"/>
    <w:rsid w:val="00563CD2"/>
    <w:rsid w:val="00564948"/>
    <w:rsid w:val="00565FBD"/>
    <w:rsid w:val="00566C6E"/>
    <w:rsid w:val="00567044"/>
    <w:rsid w:val="00567F7A"/>
    <w:rsid w:val="005707D0"/>
    <w:rsid w:val="0057095B"/>
    <w:rsid w:val="005709DF"/>
    <w:rsid w:val="005711DC"/>
    <w:rsid w:val="005712D2"/>
    <w:rsid w:val="00571A08"/>
    <w:rsid w:val="00572F44"/>
    <w:rsid w:val="00573963"/>
    <w:rsid w:val="00574284"/>
    <w:rsid w:val="00574729"/>
    <w:rsid w:val="00574C94"/>
    <w:rsid w:val="00575468"/>
    <w:rsid w:val="00575B29"/>
    <w:rsid w:val="005774E6"/>
    <w:rsid w:val="00577CFD"/>
    <w:rsid w:val="0058063B"/>
    <w:rsid w:val="0058074B"/>
    <w:rsid w:val="0058246F"/>
    <w:rsid w:val="00583F84"/>
    <w:rsid w:val="00584789"/>
    <w:rsid w:val="00585A07"/>
    <w:rsid w:val="00585F3E"/>
    <w:rsid w:val="00586EE9"/>
    <w:rsid w:val="00587EA9"/>
    <w:rsid w:val="00590A12"/>
    <w:rsid w:val="005916A9"/>
    <w:rsid w:val="005916B7"/>
    <w:rsid w:val="00591C28"/>
    <w:rsid w:val="00591D33"/>
    <w:rsid w:val="00592263"/>
    <w:rsid w:val="00592BD7"/>
    <w:rsid w:val="005930FF"/>
    <w:rsid w:val="005947E9"/>
    <w:rsid w:val="00595344"/>
    <w:rsid w:val="00595489"/>
    <w:rsid w:val="00596236"/>
    <w:rsid w:val="005A028D"/>
    <w:rsid w:val="005A05B8"/>
    <w:rsid w:val="005A070C"/>
    <w:rsid w:val="005A2CA5"/>
    <w:rsid w:val="005A2FD5"/>
    <w:rsid w:val="005A40A9"/>
    <w:rsid w:val="005A6AE4"/>
    <w:rsid w:val="005A6CCF"/>
    <w:rsid w:val="005B03CE"/>
    <w:rsid w:val="005B0A9E"/>
    <w:rsid w:val="005B10FE"/>
    <w:rsid w:val="005B169B"/>
    <w:rsid w:val="005B1F84"/>
    <w:rsid w:val="005B2940"/>
    <w:rsid w:val="005B38F2"/>
    <w:rsid w:val="005B48F5"/>
    <w:rsid w:val="005B5AC0"/>
    <w:rsid w:val="005B5B4A"/>
    <w:rsid w:val="005B627F"/>
    <w:rsid w:val="005B669A"/>
    <w:rsid w:val="005C002C"/>
    <w:rsid w:val="005C00E7"/>
    <w:rsid w:val="005C02F1"/>
    <w:rsid w:val="005C20A6"/>
    <w:rsid w:val="005C20F4"/>
    <w:rsid w:val="005C2142"/>
    <w:rsid w:val="005C27ED"/>
    <w:rsid w:val="005C363C"/>
    <w:rsid w:val="005C3D89"/>
    <w:rsid w:val="005C3E14"/>
    <w:rsid w:val="005C574D"/>
    <w:rsid w:val="005C6BD5"/>
    <w:rsid w:val="005C7478"/>
    <w:rsid w:val="005D083B"/>
    <w:rsid w:val="005D1AF5"/>
    <w:rsid w:val="005D1B0D"/>
    <w:rsid w:val="005D1B25"/>
    <w:rsid w:val="005D1E5A"/>
    <w:rsid w:val="005D2637"/>
    <w:rsid w:val="005D4505"/>
    <w:rsid w:val="005D5F1C"/>
    <w:rsid w:val="005E1901"/>
    <w:rsid w:val="005E252A"/>
    <w:rsid w:val="005E27C0"/>
    <w:rsid w:val="005E2A17"/>
    <w:rsid w:val="005E32A4"/>
    <w:rsid w:val="005E35E0"/>
    <w:rsid w:val="005E3A87"/>
    <w:rsid w:val="005E515E"/>
    <w:rsid w:val="005E53D9"/>
    <w:rsid w:val="005E5890"/>
    <w:rsid w:val="005E60F6"/>
    <w:rsid w:val="005E72D9"/>
    <w:rsid w:val="005E7BD2"/>
    <w:rsid w:val="005F166D"/>
    <w:rsid w:val="005F3E31"/>
    <w:rsid w:val="005F430F"/>
    <w:rsid w:val="005F5048"/>
    <w:rsid w:val="005F608E"/>
    <w:rsid w:val="005F707B"/>
    <w:rsid w:val="005F73EF"/>
    <w:rsid w:val="00600A77"/>
    <w:rsid w:val="00601039"/>
    <w:rsid w:val="006010D9"/>
    <w:rsid w:val="0060173A"/>
    <w:rsid w:val="00601C94"/>
    <w:rsid w:val="00602142"/>
    <w:rsid w:val="00602565"/>
    <w:rsid w:val="00603454"/>
    <w:rsid w:val="00603940"/>
    <w:rsid w:val="00604710"/>
    <w:rsid w:val="00604774"/>
    <w:rsid w:val="006061D4"/>
    <w:rsid w:val="00607529"/>
    <w:rsid w:val="006103AC"/>
    <w:rsid w:val="0061056F"/>
    <w:rsid w:val="00611940"/>
    <w:rsid w:val="00611A34"/>
    <w:rsid w:val="00613F00"/>
    <w:rsid w:val="00614DF6"/>
    <w:rsid w:val="00615C14"/>
    <w:rsid w:val="0061612E"/>
    <w:rsid w:val="006162CA"/>
    <w:rsid w:val="00616565"/>
    <w:rsid w:val="00616B28"/>
    <w:rsid w:val="00617FF9"/>
    <w:rsid w:val="00620222"/>
    <w:rsid w:val="006211BE"/>
    <w:rsid w:val="0062348A"/>
    <w:rsid w:val="00623F76"/>
    <w:rsid w:val="0062430B"/>
    <w:rsid w:val="006250F8"/>
    <w:rsid w:val="00626077"/>
    <w:rsid w:val="0062632C"/>
    <w:rsid w:val="00627D29"/>
    <w:rsid w:val="0063034C"/>
    <w:rsid w:val="00630F4F"/>
    <w:rsid w:val="0063182E"/>
    <w:rsid w:val="006319EF"/>
    <w:rsid w:val="00632078"/>
    <w:rsid w:val="00634799"/>
    <w:rsid w:val="00635016"/>
    <w:rsid w:val="00635D68"/>
    <w:rsid w:val="006364D1"/>
    <w:rsid w:val="006366B1"/>
    <w:rsid w:val="006405B3"/>
    <w:rsid w:val="006405ED"/>
    <w:rsid w:val="006409FA"/>
    <w:rsid w:val="00640A1F"/>
    <w:rsid w:val="00640F02"/>
    <w:rsid w:val="006411B0"/>
    <w:rsid w:val="00641486"/>
    <w:rsid w:val="0064149C"/>
    <w:rsid w:val="006415D6"/>
    <w:rsid w:val="00641983"/>
    <w:rsid w:val="00641EB9"/>
    <w:rsid w:val="00642FCC"/>
    <w:rsid w:val="006457A7"/>
    <w:rsid w:val="006459A2"/>
    <w:rsid w:val="00646461"/>
    <w:rsid w:val="0064712D"/>
    <w:rsid w:val="00647BE9"/>
    <w:rsid w:val="006502A5"/>
    <w:rsid w:val="00650890"/>
    <w:rsid w:val="00651008"/>
    <w:rsid w:val="006515D7"/>
    <w:rsid w:val="006518C2"/>
    <w:rsid w:val="006519A8"/>
    <w:rsid w:val="0065222B"/>
    <w:rsid w:val="0065563A"/>
    <w:rsid w:val="00656258"/>
    <w:rsid w:val="006610EA"/>
    <w:rsid w:val="00661982"/>
    <w:rsid w:val="00661B45"/>
    <w:rsid w:val="006627FE"/>
    <w:rsid w:val="00662C3F"/>
    <w:rsid w:val="00665792"/>
    <w:rsid w:val="00666E87"/>
    <w:rsid w:val="00667512"/>
    <w:rsid w:val="00667B72"/>
    <w:rsid w:val="00670A65"/>
    <w:rsid w:val="006739BA"/>
    <w:rsid w:val="00673B98"/>
    <w:rsid w:val="006740BA"/>
    <w:rsid w:val="00674F02"/>
    <w:rsid w:val="006761F6"/>
    <w:rsid w:val="00676324"/>
    <w:rsid w:val="0067708E"/>
    <w:rsid w:val="00680808"/>
    <w:rsid w:val="00680ABB"/>
    <w:rsid w:val="006829E9"/>
    <w:rsid w:val="00682FA2"/>
    <w:rsid w:val="00684295"/>
    <w:rsid w:val="0068548A"/>
    <w:rsid w:val="00690913"/>
    <w:rsid w:val="00692E93"/>
    <w:rsid w:val="00693CAA"/>
    <w:rsid w:val="0069421B"/>
    <w:rsid w:val="006950EC"/>
    <w:rsid w:val="00696064"/>
    <w:rsid w:val="006A04E4"/>
    <w:rsid w:val="006A12CD"/>
    <w:rsid w:val="006A3261"/>
    <w:rsid w:val="006A3E2F"/>
    <w:rsid w:val="006A6480"/>
    <w:rsid w:val="006A683F"/>
    <w:rsid w:val="006A6CE0"/>
    <w:rsid w:val="006A7B6D"/>
    <w:rsid w:val="006A7F0B"/>
    <w:rsid w:val="006B0345"/>
    <w:rsid w:val="006B0553"/>
    <w:rsid w:val="006B087A"/>
    <w:rsid w:val="006B2FA8"/>
    <w:rsid w:val="006B3444"/>
    <w:rsid w:val="006B39DF"/>
    <w:rsid w:val="006B3A5F"/>
    <w:rsid w:val="006B55AB"/>
    <w:rsid w:val="006B5F18"/>
    <w:rsid w:val="006B6C26"/>
    <w:rsid w:val="006B7E14"/>
    <w:rsid w:val="006C0CD3"/>
    <w:rsid w:val="006C1201"/>
    <w:rsid w:val="006C1609"/>
    <w:rsid w:val="006C187B"/>
    <w:rsid w:val="006C2F68"/>
    <w:rsid w:val="006C35A5"/>
    <w:rsid w:val="006C37B4"/>
    <w:rsid w:val="006C5371"/>
    <w:rsid w:val="006C58FB"/>
    <w:rsid w:val="006C59E9"/>
    <w:rsid w:val="006C7940"/>
    <w:rsid w:val="006D13F5"/>
    <w:rsid w:val="006D1652"/>
    <w:rsid w:val="006D3422"/>
    <w:rsid w:val="006D39F9"/>
    <w:rsid w:val="006D3D32"/>
    <w:rsid w:val="006D43AD"/>
    <w:rsid w:val="006D4675"/>
    <w:rsid w:val="006D5064"/>
    <w:rsid w:val="006D56E5"/>
    <w:rsid w:val="006D7A76"/>
    <w:rsid w:val="006E0CF6"/>
    <w:rsid w:val="006E1799"/>
    <w:rsid w:val="006E272E"/>
    <w:rsid w:val="006E3BCD"/>
    <w:rsid w:val="006E3E64"/>
    <w:rsid w:val="006E4A31"/>
    <w:rsid w:val="006E4A48"/>
    <w:rsid w:val="006E59DB"/>
    <w:rsid w:val="006F176E"/>
    <w:rsid w:val="006F25E6"/>
    <w:rsid w:val="006F3EFE"/>
    <w:rsid w:val="006F4072"/>
    <w:rsid w:val="006F4487"/>
    <w:rsid w:val="006F545E"/>
    <w:rsid w:val="006F54D3"/>
    <w:rsid w:val="006F7DFE"/>
    <w:rsid w:val="00701DEE"/>
    <w:rsid w:val="00702448"/>
    <w:rsid w:val="00702E85"/>
    <w:rsid w:val="007036C4"/>
    <w:rsid w:val="00703A5C"/>
    <w:rsid w:val="00704CD3"/>
    <w:rsid w:val="00705A43"/>
    <w:rsid w:val="007062AF"/>
    <w:rsid w:val="007067A6"/>
    <w:rsid w:val="00706BB9"/>
    <w:rsid w:val="00707B4E"/>
    <w:rsid w:val="00707F74"/>
    <w:rsid w:val="007101A2"/>
    <w:rsid w:val="00712FA5"/>
    <w:rsid w:val="00713775"/>
    <w:rsid w:val="0071588D"/>
    <w:rsid w:val="0071589C"/>
    <w:rsid w:val="007165BD"/>
    <w:rsid w:val="00716A6B"/>
    <w:rsid w:val="007171D1"/>
    <w:rsid w:val="00717BB2"/>
    <w:rsid w:val="007203D6"/>
    <w:rsid w:val="0072057D"/>
    <w:rsid w:val="00720955"/>
    <w:rsid w:val="00720C88"/>
    <w:rsid w:val="007223B8"/>
    <w:rsid w:val="00723DC0"/>
    <w:rsid w:val="00724E3E"/>
    <w:rsid w:val="00725153"/>
    <w:rsid w:val="007253E0"/>
    <w:rsid w:val="00726776"/>
    <w:rsid w:val="00726907"/>
    <w:rsid w:val="00730344"/>
    <w:rsid w:val="007309A4"/>
    <w:rsid w:val="007309E9"/>
    <w:rsid w:val="007317EB"/>
    <w:rsid w:val="00733005"/>
    <w:rsid w:val="007341F9"/>
    <w:rsid w:val="0073459C"/>
    <w:rsid w:val="00734B72"/>
    <w:rsid w:val="00734D62"/>
    <w:rsid w:val="00735734"/>
    <w:rsid w:val="007364A4"/>
    <w:rsid w:val="0073680B"/>
    <w:rsid w:val="007409C8"/>
    <w:rsid w:val="00740A69"/>
    <w:rsid w:val="00741ECE"/>
    <w:rsid w:val="007429DB"/>
    <w:rsid w:val="00742E76"/>
    <w:rsid w:val="00742EC4"/>
    <w:rsid w:val="007449B0"/>
    <w:rsid w:val="00745250"/>
    <w:rsid w:val="00745292"/>
    <w:rsid w:val="00745A6B"/>
    <w:rsid w:val="007461C8"/>
    <w:rsid w:val="00746D71"/>
    <w:rsid w:val="007524EA"/>
    <w:rsid w:val="00753225"/>
    <w:rsid w:val="0075336D"/>
    <w:rsid w:val="00754217"/>
    <w:rsid w:val="00755E89"/>
    <w:rsid w:val="00755EB2"/>
    <w:rsid w:val="00756167"/>
    <w:rsid w:val="00757A85"/>
    <w:rsid w:val="0076145A"/>
    <w:rsid w:val="007621F7"/>
    <w:rsid w:val="007624CB"/>
    <w:rsid w:val="007625BA"/>
    <w:rsid w:val="00762BF2"/>
    <w:rsid w:val="007637FC"/>
    <w:rsid w:val="00763DAE"/>
    <w:rsid w:val="007653F4"/>
    <w:rsid w:val="00765909"/>
    <w:rsid w:val="007703A9"/>
    <w:rsid w:val="00770E76"/>
    <w:rsid w:val="00771814"/>
    <w:rsid w:val="00771D10"/>
    <w:rsid w:val="00771EA0"/>
    <w:rsid w:val="00771FA2"/>
    <w:rsid w:val="0077201A"/>
    <w:rsid w:val="00772065"/>
    <w:rsid w:val="00772938"/>
    <w:rsid w:val="00773565"/>
    <w:rsid w:val="00773A66"/>
    <w:rsid w:val="0077488D"/>
    <w:rsid w:val="007764D9"/>
    <w:rsid w:val="00777936"/>
    <w:rsid w:val="00780744"/>
    <w:rsid w:val="00780A98"/>
    <w:rsid w:val="00780F10"/>
    <w:rsid w:val="007816A8"/>
    <w:rsid w:val="007834A2"/>
    <w:rsid w:val="0078397D"/>
    <w:rsid w:val="00783E44"/>
    <w:rsid w:val="00784168"/>
    <w:rsid w:val="00784C92"/>
    <w:rsid w:val="0078528F"/>
    <w:rsid w:val="00786808"/>
    <w:rsid w:val="00790994"/>
    <w:rsid w:val="0079209E"/>
    <w:rsid w:val="007923F3"/>
    <w:rsid w:val="007929CC"/>
    <w:rsid w:val="0079304F"/>
    <w:rsid w:val="007940B7"/>
    <w:rsid w:val="00794DD2"/>
    <w:rsid w:val="007952BB"/>
    <w:rsid w:val="00795C80"/>
    <w:rsid w:val="007973A1"/>
    <w:rsid w:val="007A057A"/>
    <w:rsid w:val="007A06B1"/>
    <w:rsid w:val="007A2DD4"/>
    <w:rsid w:val="007A2F90"/>
    <w:rsid w:val="007A3139"/>
    <w:rsid w:val="007A52F4"/>
    <w:rsid w:val="007A5AB6"/>
    <w:rsid w:val="007A74B8"/>
    <w:rsid w:val="007A7540"/>
    <w:rsid w:val="007A7DFB"/>
    <w:rsid w:val="007A7FF6"/>
    <w:rsid w:val="007B4242"/>
    <w:rsid w:val="007B6092"/>
    <w:rsid w:val="007B75D3"/>
    <w:rsid w:val="007C0175"/>
    <w:rsid w:val="007C0350"/>
    <w:rsid w:val="007C0B16"/>
    <w:rsid w:val="007C0D90"/>
    <w:rsid w:val="007C4314"/>
    <w:rsid w:val="007C48F9"/>
    <w:rsid w:val="007C49CC"/>
    <w:rsid w:val="007C547E"/>
    <w:rsid w:val="007C6D89"/>
    <w:rsid w:val="007C7066"/>
    <w:rsid w:val="007C7825"/>
    <w:rsid w:val="007D0953"/>
    <w:rsid w:val="007D3C65"/>
    <w:rsid w:val="007D3CBD"/>
    <w:rsid w:val="007D49A0"/>
    <w:rsid w:val="007D4EB1"/>
    <w:rsid w:val="007D5E40"/>
    <w:rsid w:val="007D70CD"/>
    <w:rsid w:val="007D75FB"/>
    <w:rsid w:val="007D7782"/>
    <w:rsid w:val="007D7FCA"/>
    <w:rsid w:val="007E0500"/>
    <w:rsid w:val="007E2C2A"/>
    <w:rsid w:val="007E41AF"/>
    <w:rsid w:val="007E435D"/>
    <w:rsid w:val="007E5577"/>
    <w:rsid w:val="007E7DC3"/>
    <w:rsid w:val="007F13AE"/>
    <w:rsid w:val="007F1B50"/>
    <w:rsid w:val="007F2636"/>
    <w:rsid w:val="007F4121"/>
    <w:rsid w:val="007F4BE6"/>
    <w:rsid w:val="007F57C6"/>
    <w:rsid w:val="007F5A34"/>
    <w:rsid w:val="007F6302"/>
    <w:rsid w:val="007F6619"/>
    <w:rsid w:val="007F6BF1"/>
    <w:rsid w:val="007F6D32"/>
    <w:rsid w:val="007F75D4"/>
    <w:rsid w:val="007F7FCA"/>
    <w:rsid w:val="008007A9"/>
    <w:rsid w:val="008014EC"/>
    <w:rsid w:val="00801525"/>
    <w:rsid w:val="00801C04"/>
    <w:rsid w:val="00802164"/>
    <w:rsid w:val="008024D3"/>
    <w:rsid w:val="008024E3"/>
    <w:rsid w:val="00803CE2"/>
    <w:rsid w:val="00806029"/>
    <w:rsid w:val="0081005E"/>
    <w:rsid w:val="008100E8"/>
    <w:rsid w:val="00811AB3"/>
    <w:rsid w:val="00811EC5"/>
    <w:rsid w:val="00812246"/>
    <w:rsid w:val="008132D0"/>
    <w:rsid w:val="0081378B"/>
    <w:rsid w:val="00813B61"/>
    <w:rsid w:val="00813B90"/>
    <w:rsid w:val="00813FC1"/>
    <w:rsid w:val="00815E66"/>
    <w:rsid w:val="00816D0B"/>
    <w:rsid w:val="0082139C"/>
    <w:rsid w:val="00821973"/>
    <w:rsid w:val="00821AF2"/>
    <w:rsid w:val="00821EFC"/>
    <w:rsid w:val="00822AAE"/>
    <w:rsid w:val="00823AF0"/>
    <w:rsid w:val="00824035"/>
    <w:rsid w:val="00824D76"/>
    <w:rsid w:val="008257E2"/>
    <w:rsid w:val="00826CF7"/>
    <w:rsid w:val="008274C6"/>
    <w:rsid w:val="008277FB"/>
    <w:rsid w:val="0083043B"/>
    <w:rsid w:val="008322E3"/>
    <w:rsid w:val="00833E2E"/>
    <w:rsid w:val="00834FBE"/>
    <w:rsid w:val="00835482"/>
    <w:rsid w:val="008369C3"/>
    <w:rsid w:val="0083715B"/>
    <w:rsid w:val="00837BC7"/>
    <w:rsid w:val="00840BC3"/>
    <w:rsid w:val="00842933"/>
    <w:rsid w:val="00842E1B"/>
    <w:rsid w:val="00843A93"/>
    <w:rsid w:val="008449E4"/>
    <w:rsid w:val="00844B31"/>
    <w:rsid w:val="00844D4B"/>
    <w:rsid w:val="00844F86"/>
    <w:rsid w:val="00844FF5"/>
    <w:rsid w:val="00845B1A"/>
    <w:rsid w:val="00846009"/>
    <w:rsid w:val="00846705"/>
    <w:rsid w:val="00847F9A"/>
    <w:rsid w:val="008509DD"/>
    <w:rsid w:val="00850B35"/>
    <w:rsid w:val="00850E55"/>
    <w:rsid w:val="008535A2"/>
    <w:rsid w:val="008537CB"/>
    <w:rsid w:val="0085388D"/>
    <w:rsid w:val="00853D46"/>
    <w:rsid w:val="00854193"/>
    <w:rsid w:val="008543C9"/>
    <w:rsid w:val="00854C0E"/>
    <w:rsid w:val="00855047"/>
    <w:rsid w:val="0085509C"/>
    <w:rsid w:val="008555C8"/>
    <w:rsid w:val="00857790"/>
    <w:rsid w:val="00857BD6"/>
    <w:rsid w:val="0086261A"/>
    <w:rsid w:val="008635C1"/>
    <w:rsid w:val="00864DA4"/>
    <w:rsid w:val="00866A36"/>
    <w:rsid w:val="0087035A"/>
    <w:rsid w:val="00873C71"/>
    <w:rsid w:val="00873CCC"/>
    <w:rsid w:val="008742FB"/>
    <w:rsid w:val="0087566F"/>
    <w:rsid w:val="008778E5"/>
    <w:rsid w:val="00880D9C"/>
    <w:rsid w:val="00881B6C"/>
    <w:rsid w:val="008820D7"/>
    <w:rsid w:val="00883736"/>
    <w:rsid w:val="00883EFE"/>
    <w:rsid w:val="00883FAB"/>
    <w:rsid w:val="00884E0A"/>
    <w:rsid w:val="00885D3F"/>
    <w:rsid w:val="00885F7C"/>
    <w:rsid w:val="00886521"/>
    <w:rsid w:val="00886979"/>
    <w:rsid w:val="00887ACC"/>
    <w:rsid w:val="0089057F"/>
    <w:rsid w:val="00892086"/>
    <w:rsid w:val="00892167"/>
    <w:rsid w:val="008929CE"/>
    <w:rsid w:val="00892D10"/>
    <w:rsid w:val="00894011"/>
    <w:rsid w:val="008943E4"/>
    <w:rsid w:val="00895064"/>
    <w:rsid w:val="008958C0"/>
    <w:rsid w:val="00895FB9"/>
    <w:rsid w:val="008A0EC2"/>
    <w:rsid w:val="008A3846"/>
    <w:rsid w:val="008A390A"/>
    <w:rsid w:val="008A39B4"/>
    <w:rsid w:val="008A3C00"/>
    <w:rsid w:val="008A422C"/>
    <w:rsid w:val="008A49E8"/>
    <w:rsid w:val="008A5449"/>
    <w:rsid w:val="008A5AC0"/>
    <w:rsid w:val="008B0BA9"/>
    <w:rsid w:val="008B13B4"/>
    <w:rsid w:val="008B149B"/>
    <w:rsid w:val="008B1AAE"/>
    <w:rsid w:val="008B1D16"/>
    <w:rsid w:val="008B2089"/>
    <w:rsid w:val="008B3106"/>
    <w:rsid w:val="008B36B0"/>
    <w:rsid w:val="008B3827"/>
    <w:rsid w:val="008B3CC2"/>
    <w:rsid w:val="008B468B"/>
    <w:rsid w:val="008B4B45"/>
    <w:rsid w:val="008B60E3"/>
    <w:rsid w:val="008B7FA4"/>
    <w:rsid w:val="008C22E4"/>
    <w:rsid w:val="008C320B"/>
    <w:rsid w:val="008C3795"/>
    <w:rsid w:val="008C3E30"/>
    <w:rsid w:val="008C4C54"/>
    <w:rsid w:val="008C5454"/>
    <w:rsid w:val="008C5541"/>
    <w:rsid w:val="008C58D7"/>
    <w:rsid w:val="008C606F"/>
    <w:rsid w:val="008C61AC"/>
    <w:rsid w:val="008C65E8"/>
    <w:rsid w:val="008C6CFB"/>
    <w:rsid w:val="008C7FC7"/>
    <w:rsid w:val="008D11D0"/>
    <w:rsid w:val="008D24AC"/>
    <w:rsid w:val="008D46A4"/>
    <w:rsid w:val="008D4BAE"/>
    <w:rsid w:val="008D4DAF"/>
    <w:rsid w:val="008D5795"/>
    <w:rsid w:val="008D6154"/>
    <w:rsid w:val="008D6EEB"/>
    <w:rsid w:val="008D749B"/>
    <w:rsid w:val="008D7947"/>
    <w:rsid w:val="008E1365"/>
    <w:rsid w:val="008E37B8"/>
    <w:rsid w:val="008E4683"/>
    <w:rsid w:val="008E4B7F"/>
    <w:rsid w:val="008E4F4B"/>
    <w:rsid w:val="008E5023"/>
    <w:rsid w:val="008E5737"/>
    <w:rsid w:val="008F174C"/>
    <w:rsid w:val="008F223C"/>
    <w:rsid w:val="008F3059"/>
    <w:rsid w:val="008F4E53"/>
    <w:rsid w:val="008F5ECE"/>
    <w:rsid w:val="008F7D7C"/>
    <w:rsid w:val="009014D5"/>
    <w:rsid w:val="009028AD"/>
    <w:rsid w:val="00903450"/>
    <w:rsid w:val="00904954"/>
    <w:rsid w:val="0090555B"/>
    <w:rsid w:val="00906C8B"/>
    <w:rsid w:val="00906EBF"/>
    <w:rsid w:val="00906FE9"/>
    <w:rsid w:val="0091128F"/>
    <w:rsid w:val="00912128"/>
    <w:rsid w:val="00912946"/>
    <w:rsid w:val="00913626"/>
    <w:rsid w:val="0091432A"/>
    <w:rsid w:val="0091513A"/>
    <w:rsid w:val="00915AD5"/>
    <w:rsid w:val="00916874"/>
    <w:rsid w:val="00917B85"/>
    <w:rsid w:val="009216A6"/>
    <w:rsid w:val="00922917"/>
    <w:rsid w:val="00923EC5"/>
    <w:rsid w:val="009247B3"/>
    <w:rsid w:val="00925836"/>
    <w:rsid w:val="00925EAC"/>
    <w:rsid w:val="00927864"/>
    <w:rsid w:val="00930E90"/>
    <w:rsid w:val="00931451"/>
    <w:rsid w:val="00931670"/>
    <w:rsid w:val="009321D8"/>
    <w:rsid w:val="00932669"/>
    <w:rsid w:val="00934942"/>
    <w:rsid w:val="00936B90"/>
    <w:rsid w:val="00936FF8"/>
    <w:rsid w:val="009371EF"/>
    <w:rsid w:val="0094015E"/>
    <w:rsid w:val="0094027B"/>
    <w:rsid w:val="00940C30"/>
    <w:rsid w:val="00941278"/>
    <w:rsid w:val="00941F1A"/>
    <w:rsid w:val="009429C6"/>
    <w:rsid w:val="00943894"/>
    <w:rsid w:val="0094404D"/>
    <w:rsid w:val="0094459B"/>
    <w:rsid w:val="0094492D"/>
    <w:rsid w:val="009454A4"/>
    <w:rsid w:val="00945A6A"/>
    <w:rsid w:val="009468C2"/>
    <w:rsid w:val="0094749D"/>
    <w:rsid w:val="00947F28"/>
    <w:rsid w:val="009503D1"/>
    <w:rsid w:val="009515FE"/>
    <w:rsid w:val="00951BBA"/>
    <w:rsid w:val="00952271"/>
    <w:rsid w:val="0095239B"/>
    <w:rsid w:val="0095291E"/>
    <w:rsid w:val="00953DCF"/>
    <w:rsid w:val="00957301"/>
    <w:rsid w:val="00960EEB"/>
    <w:rsid w:val="00961865"/>
    <w:rsid w:val="00962BAF"/>
    <w:rsid w:val="00962F7E"/>
    <w:rsid w:val="009635D3"/>
    <w:rsid w:val="009641B5"/>
    <w:rsid w:val="00964471"/>
    <w:rsid w:val="00964883"/>
    <w:rsid w:val="009652CA"/>
    <w:rsid w:val="00965EFB"/>
    <w:rsid w:val="00967EEA"/>
    <w:rsid w:val="009717C8"/>
    <w:rsid w:val="009718ED"/>
    <w:rsid w:val="00972CA9"/>
    <w:rsid w:val="0097347B"/>
    <w:rsid w:val="00973A4B"/>
    <w:rsid w:val="0097404B"/>
    <w:rsid w:val="009740A5"/>
    <w:rsid w:val="00974C7A"/>
    <w:rsid w:val="00974CD2"/>
    <w:rsid w:val="00975EF4"/>
    <w:rsid w:val="009764E4"/>
    <w:rsid w:val="00977530"/>
    <w:rsid w:val="00977F47"/>
    <w:rsid w:val="009804E7"/>
    <w:rsid w:val="00980B3D"/>
    <w:rsid w:val="00981483"/>
    <w:rsid w:val="0098248E"/>
    <w:rsid w:val="00983ADA"/>
    <w:rsid w:val="00983BC4"/>
    <w:rsid w:val="00984CA5"/>
    <w:rsid w:val="00984E7D"/>
    <w:rsid w:val="00984EE4"/>
    <w:rsid w:val="009856DB"/>
    <w:rsid w:val="009866C7"/>
    <w:rsid w:val="00987D84"/>
    <w:rsid w:val="00990C9E"/>
    <w:rsid w:val="009913D2"/>
    <w:rsid w:val="009917F4"/>
    <w:rsid w:val="00991C5D"/>
    <w:rsid w:val="009920DF"/>
    <w:rsid w:val="00992A86"/>
    <w:rsid w:val="00992E74"/>
    <w:rsid w:val="009931B5"/>
    <w:rsid w:val="00994F82"/>
    <w:rsid w:val="00996802"/>
    <w:rsid w:val="0099782E"/>
    <w:rsid w:val="00997A58"/>
    <w:rsid w:val="009A004E"/>
    <w:rsid w:val="009A03EA"/>
    <w:rsid w:val="009A0D97"/>
    <w:rsid w:val="009A4318"/>
    <w:rsid w:val="009A467A"/>
    <w:rsid w:val="009A6081"/>
    <w:rsid w:val="009A6604"/>
    <w:rsid w:val="009A693D"/>
    <w:rsid w:val="009B0B73"/>
    <w:rsid w:val="009B1084"/>
    <w:rsid w:val="009B210B"/>
    <w:rsid w:val="009B26BF"/>
    <w:rsid w:val="009B2AC1"/>
    <w:rsid w:val="009B444E"/>
    <w:rsid w:val="009B4DA2"/>
    <w:rsid w:val="009B5C2D"/>
    <w:rsid w:val="009B5EE8"/>
    <w:rsid w:val="009B6AD7"/>
    <w:rsid w:val="009C06D2"/>
    <w:rsid w:val="009C1291"/>
    <w:rsid w:val="009C263B"/>
    <w:rsid w:val="009C271C"/>
    <w:rsid w:val="009C712A"/>
    <w:rsid w:val="009C73BF"/>
    <w:rsid w:val="009C7C36"/>
    <w:rsid w:val="009D015C"/>
    <w:rsid w:val="009D0174"/>
    <w:rsid w:val="009D02F0"/>
    <w:rsid w:val="009D0C89"/>
    <w:rsid w:val="009D0DB8"/>
    <w:rsid w:val="009D1238"/>
    <w:rsid w:val="009D2FAF"/>
    <w:rsid w:val="009D38FD"/>
    <w:rsid w:val="009D4206"/>
    <w:rsid w:val="009D461D"/>
    <w:rsid w:val="009D4B34"/>
    <w:rsid w:val="009D699C"/>
    <w:rsid w:val="009D6F4C"/>
    <w:rsid w:val="009D74D2"/>
    <w:rsid w:val="009D7CF2"/>
    <w:rsid w:val="009D7F66"/>
    <w:rsid w:val="009E0374"/>
    <w:rsid w:val="009E3C57"/>
    <w:rsid w:val="009E5142"/>
    <w:rsid w:val="009E5586"/>
    <w:rsid w:val="009E7610"/>
    <w:rsid w:val="009F1EBB"/>
    <w:rsid w:val="009F67F0"/>
    <w:rsid w:val="00A001BF"/>
    <w:rsid w:val="00A00478"/>
    <w:rsid w:val="00A008EE"/>
    <w:rsid w:val="00A02234"/>
    <w:rsid w:val="00A02617"/>
    <w:rsid w:val="00A02E3D"/>
    <w:rsid w:val="00A02EB3"/>
    <w:rsid w:val="00A04612"/>
    <w:rsid w:val="00A056AA"/>
    <w:rsid w:val="00A05EF3"/>
    <w:rsid w:val="00A1135E"/>
    <w:rsid w:val="00A11433"/>
    <w:rsid w:val="00A11752"/>
    <w:rsid w:val="00A123ED"/>
    <w:rsid w:val="00A13273"/>
    <w:rsid w:val="00A151A3"/>
    <w:rsid w:val="00A15FEB"/>
    <w:rsid w:val="00A165F0"/>
    <w:rsid w:val="00A20F1A"/>
    <w:rsid w:val="00A214C6"/>
    <w:rsid w:val="00A223FE"/>
    <w:rsid w:val="00A23D31"/>
    <w:rsid w:val="00A23F22"/>
    <w:rsid w:val="00A23FEB"/>
    <w:rsid w:val="00A25361"/>
    <w:rsid w:val="00A25E2B"/>
    <w:rsid w:val="00A27505"/>
    <w:rsid w:val="00A33775"/>
    <w:rsid w:val="00A357FC"/>
    <w:rsid w:val="00A35B35"/>
    <w:rsid w:val="00A40045"/>
    <w:rsid w:val="00A43ECA"/>
    <w:rsid w:val="00A43FFF"/>
    <w:rsid w:val="00A441B2"/>
    <w:rsid w:val="00A4556C"/>
    <w:rsid w:val="00A46BBC"/>
    <w:rsid w:val="00A479E1"/>
    <w:rsid w:val="00A47FDD"/>
    <w:rsid w:val="00A50B7B"/>
    <w:rsid w:val="00A51503"/>
    <w:rsid w:val="00A51C4E"/>
    <w:rsid w:val="00A51EEC"/>
    <w:rsid w:val="00A525B0"/>
    <w:rsid w:val="00A528B6"/>
    <w:rsid w:val="00A53CCB"/>
    <w:rsid w:val="00A53FB7"/>
    <w:rsid w:val="00A56120"/>
    <w:rsid w:val="00A56559"/>
    <w:rsid w:val="00A61E38"/>
    <w:rsid w:val="00A642BA"/>
    <w:rsid w:val="00A64B89"/>
    <w:rsid w:val="00A700A8"/>
    <w:rsid w:val="00A717B4"/>
    <w:rsid w:val="00A71A00"/>
    <w:rsid w:val="00A723A7"/>
    <w:rsid w:val="00A72E24"/>
    <w:rsid w:val="00A72F1B"/>
    <w:rsid w:val="00A7485B"/>
    <w:rsid w:val="00A76682"/>
    <w:rsid w:val="00A77184"/>
    <w:rsid w:val="00A77328"/>
    <w:rsid w:val="00A77784"/>
    <w:rsid w:val="00A80731"/>
    <w:rsid w:val="00A80FBE"/>
    <w:rsid w:val="00A8105B"/>
    <w:rsid w:val="00A8334A"/>
    <w:rsid w:val="00A83B63"/>
    <w:rsid w:val="00A8630D"/>
    <w:rsid w:val="00A866D1"/>
    <w:rsid w:val="00A87076"/>
    <w:rsid w:val="00A91343"/>
    <w:rsid w:val="00A92CD6"/>
    <w:rsid w:val="00A95EAB"/>
    <w:rsid w:val="00A96CD1"/>
    <w:rsid w:val="00A973EC"/>
    <w:rsid w:val="00A97B79"/>
    <w:rsid w:val="00AA233D"/>
    <w:rsid w:val="00AA238E"/>
    <w:rsid w:val="00AA3433"/>
    <w:rsid w:val="00AA3CD4"/>
    <w:rsid w:val="00AA6829"/>
    <w:rsid w:val="00AA68D9"/>
    <w:rsid w:val="00AA7C18"/>
    <w:rsid w:val="00AB0FE5"/>
    <w:rsid w:val="00AB2278"/>
    <w:rsid w:val="00AB27CF"/>
    <w:rsid w:val="00AB46F4"/>
    <w:rsid w:val="00AB59D9"/>
    <w:rsid w:val="00AB6486"/>
    <w:rsid w:val="00AB7E29"/>
    <w:rsid w:val="00AC075E"/>
    <w:rsid w:val="00AC1F3C"/>
    <w:rsid w:val="00AC334F"/>
    <w:rsid w:val="00AC51D6"/>
    <w:rsid w:val="00AC55C0"/>
    <w:rsid w:val="00AC5A9F"/>
    <w:rsid w:val="00AC6511"/>
    <w:rsid w:val="00AC6E09"/>
    <w:rsid w:val="00AD015A"/>
    <w:rsid w:val="00AD09AD"/>
    <w:rsid w:val="00AD0A74"/>
    <w:rsid w:val="00AD0A76"/>
    <w:rsid w:val="00AD1025"/>
    <w:rsid w:val="00AD153E"/>
    <w:rsid w:val="00AD297A"/>
    <w:rsid w:val="00AD417E"/>
    <w:rsid w:val="00AD6426"/>
    <w:rsid w:val="00AD6787"/>
    <w:rsid w:val="00AD678C"/>
    <w:rsid w:val="00AD77AE"/>
    <w:rsid w:val="00AD79BB"/>
    <w:rsid w:val="00AE1A75"/>
    <w:rsid w:val="00AE1D23"/>
    <w:rsid w:val="00AE204D"/>
    <w:rsid w:val="00AE298B"/>
    <w:rsid w:val="00AE2F98"/>
    <w:rsid w:val="00AE42A5"/>
    <w:rsid w:val="00AE4799"/>
    <w:rsid w:val="00AE556B"/>
    <w:rsid w:val="00AE7BBA"/>
    <w:rsid w:val="00AF07B4"/>
    <w:rsid w:val="00AF09FE"/>
    <w:rsid w:val="00AF0FB5"/>
    <w:rsid w:val="00AF13F2"/>
    <w:rsid w:val="00AF1727"/>
    <w:rsid w:val="00AF1785"/>
    <w:rsid w:val="00AF2E58"/>
    <w:rsid w:val="00AF32D1"/>
    <w:rsid w:val="00AF3EDE"/>
    <w:rsid w:val="00AF42A1"/>
    <w:rsid w:val="00AF46AD"/>
    <w:rsid w:val="00AF49FE"/>
    <w:rsid w:val="00AF53C5"/>
    <w:rsid w:val="00AF5799"/>
    <w:rsid w:val="00AF701D"/>
    <w:rsid w:val="00AF7153"/>
    <w:rsid w:val="00AF74B5"/>
    <w:rsid w:val="00AF7787"/>
    <w:rsid w:val="00AF7B97"/>
    <w:rsid w:val="00AF7F73"/>
    <w:rsid w:val="00B003EF"/>
    <w:rsid w:val="00B00723"/>
    <w:rsid w:val="00B00F10"/>
    <w:rsid w:val="00B00F42"/>
    <w:rsid w:val="00B00FD7"/>
    <w:rsid w:val="00B02614"/>
    <w:rsid w:val="00B02656"/>
    <w:rsid w:val="00B028D4"/>
    <w:rsid w:val="00B02C2F"/>
    <w:rsid w:val="00B04D93"/>
    <w:rsid w:val="00B04FEB"/>
    <w:rsid w:val="00B05EE8"/>
    <w:rsid w:val="00B06101"/>
    <w:rsid w:val="00B06B2A"/>
    <w:rsid w:val="00B072A6"/>
    <w:rsid w:val="00B1358E"/>
    <w:rsid w:val="00B13DFD"/>
    <w:rsid w:val="00B140FB"/>
    <w:rsid w:val="00B167CC"/>
    <w:rsid w:val="00B214FF"/>
    <w:rsid w:val="00B2244B"/>
    <w:rsid w:val="00B236A4"/>
    <w:rsid w:val="00B242C5"/>
    <w:rsid w:val="00B24BA8"/>
    <w:rsid w:val="00B259C1"/>
    <w:rsid w:val="00B25B19"/>
    <w:rsid w:val="00B25E95"/>
    <w:rsid w:val="00B26378"/>
    <w:rsid w:val="00B3214B"/>
    <w:rsid w:val="00B32717"/>
    <w:rsid w:val="00B32936"/>
    <w:rsid w:val="00B33EB0"/>
    <w:rsid w:val="00B340E0"/>
    <w:rsid w:val="00B3479A"/>
    <w:rsid w:val="00B3555E"/>
    <w:rsid w:val="00B3576F"/>
    <w:rsid w:val="00B37E0A"/>
    <w:rsid w:val="00B40288"/>
    <w:rsid w:val="00B41F9E"/>
    <w:rsid w:val="00B42BBE"/>
    <w:rsid w:val="00B43500"/>
    <w:rsid w:val="00B448CB"/>
    <w:rsid w:val="00B45606"/>
    <w:rsid w:val="00B45AF7"/>
    <w:rsid w:val="00B4613B"/>
    <w:rsid w:val="00B476FA"/>
    <w:rsid w:val="00B50325"/>
    <w:rsid w:val="00B50CD8"/>
    <w:rsid w:val="00B51039"/>
    <w:rsid w:val="00B51B83"/>
    <w:rsid w:val="00B52AC1"/>
    <w:rsid w:val="00B53ECA"/>
    <w:rsid w:val="00B53F21"/>
    <w:rsid w:val="00B5572B"/>
    <w:rsid w:val="00B56B3D"/>
    <w:rsid w:val="00B57260"/>
    <w:rsid w:val="00B57A41"/>
    <w:rsid w:val="00B57F64"/>
    <w:rsid w:val="00B6200F"/>
    <w:rsid w:val="00B637E3"/>
    <w:rsid w:val="00B64CC5"/>
    <w:rsid w:val="00B651F3"/>
    <w:rsid w:val="00B6580A"/>
    <w:rsid w:val="00B674DD"/>
    <w:rsid w:val="00B6765F"/>
    <w:rsid w:val="00B7027D"/>
    <w:rsid w:val="00B7085C"/>
    <w:rsid w:val="00B71D86"/>
    <w:rsid w:val="00B73BA5"/>
    <w:rsid w:val="00B73E78"/>
    <w:rsid w:val="00B7509F"/>
    <w:rsid w:val="00B76153"/>
    <w:rsid w:val="00B802F0"/>
    <w:rsid w:val="00B81AD9"/>
    <w:rsid w:val="00B8230D"/>
    <w:rsid w:val="00B82B8A"/>
    <w:rsid w:val="00B83151"/>
    <w:rsid w:val="00B84564"/>
    <w:rsid w:val="00B85445"/>
    <w:rsid w:val="00B85E0D"/>
    <w:rsid w:val="00B86C1B"/>
    <w:rsid w:val="00B87179"/>
    <w:rsid w:val="00B87197"/>
    <w:rsid w:val="00B875B2"/>
    <w:rsid w:val="00B90AE8"/>
    <w:rsid w:val="00B90F52"/>
    <w:rsid w:val="00B91282"/>
    <w:rsid w:val="00B91C73"/>
    <w:rsid w:val="00B959E9"/>
    <w:rsid w:val="00B96374"/>
    <w:rsid w:val="00B97A5F"/>
    <w:rsid w:val="00B97B57"/>
    <w:rsid w:val="00B97CA5"/>
    <w:rsid w:val="00BA127A"/>
    <w:rsid w:val="00BA2D2B"/>
    <w:rsid w:val="00BA30C5"/>
    <w:rsid w:val="00BA313E"/>
    <w:rsid w:val="00BA32CA"/>
    <w:rsid w:val="00BA4A9E"/>
    <w:rsid w:val="00BA4C0A"/>
    <w:rsid w:val="00BA5685"/>
    <w:rsid w:val="00BA7605"/>
    <w:rsid w:val="00BB2340"/>
    <w:rsid w:val="00BB28D8"/>
    <w:rsid w:val="00BB4A28"/>
    <w:rsid w:val="00BB54F9"/>
    <w:rsid w:val="00BC000D"/>
    <w:rsid w:val="00BC0231"/>
    <w:rsid w:val="00BC043D"/>
    <w:rsid w:val="00BC0D28"/>
    <w:rsid w:val="00BC1424"/>
    <w:rsid w:val="00BC1616"/>
    <w:rsid w:val="00BC2028"/>
    <w:rsid w:val="00BC2156"/>
    <w:rsid w:val="00BC25FE"/>
    <w:rsid w:val="00BC275F"/>
    <w:rsid w:val="00BC3317"/>
    <w:rsid w:val="00BC3A4D"/>
    <w:rsid w:val="00BC514C"/>
    <w:rsid w:val="00BD11CE"/>
    <w:rsid w:val="00BD162B"/>
    <w:rsid w:val="00BD27AD"/>
    <w:rsid w:val="00BD2F8A"/>
    <w:rsid w:val="00BD4217"/>
    <w:rsid w:val="00BD4B95"/>
    <w:rsid w:val="00BD5D26"/>
    <w:rsid w:val="00BD67CC"/>
    <w:rsid w:val="00BE0047"/>
    <w:rsid w:val="00BE08DA"/>
    <w:rsid w:val="00BE0CAB"/>
    <w:rsid w:val="00BE13B5"/>
    <w:rsid w:val="00BE1798"/>
    <w:rsid w:val="00BE2921"/>
    <w:rsid w:val="00BE2BCB"/>
    <w:rsid w:val="00BE2F5A"/>
    <w:rsid w:val="00BE3247"/>
    <w:rsid w:val="00BE3470"/>
    <w:rsid w:val="00BE39C0"/>
    <w:rsid w:val="00BE3B36"/>
    <w:rsid w:val="00BE69D5"/>
    <w:rsid w:val="00BE6A82"/>
    <w:rsid w:val="00BE6DEF"/>
    <w:rsid w:val="00BF055E"/>
    <w:rsid w:val="00BF1FAA"/>
    <w:rsid w:val="00BF3457"/>
    <w:rsid w:val="00BF34D3"/>
    <w:rsid w:val="00BF35B8"/>
    <w:rsid w:val="00BF4157"/>
    <w:rsid w:val="00BF4648"/>
    <w:rsid w:val="00BF614C"/>
    <w:rsid w:val="00BF6161"/>
    <w:rsid w:val="00BF6A0B"/>
    <w:rsid w:val="00BF6B43"/>
    <w:rsid w:val="00BF6E0D"/>
    <w:rsid w:val="00C00822"/>
    <w:rsid w:val="00C00977"/>
    <w:rsid w:val="00C0173A"/>
    <w:rsid w:val="00C01E4F"/>
    <w:rsid w:val="00C03A4C"/>
    <w:rsid w:val="00C044A8"/>
    <w:rsid w:val="00C04DFA"/>
    <w:rsid w:val="00C051D8"/>
    <w:rsid w:val="00C0544B"/>
    <w:rsid w:val="00C054DC"/>
    <w:rsid w:val="00C0590A"/>
    <w:rsid w:val="00C068BE"/>
    <w:rsid w:val="00C07A0E"/>
    <w:rsid w:val="00C1045F"/>
    <w:rsid w:val="00C113F4"/>
    <w:rsid w:val="00C11A1D"/>
    <w:rsid w:val="00C14679"/>
    <w:rsid w:val="00C14AD6"/>
    <w:rsid w:val="00C15E92"/>
    <w:rsid w:val="00C164A1"/>
    <w:rsid w:val="00C167F3"/>
    <w:rsid w:val="00C178A7"/>
    <w:rsid w:val="00C179BA"/>
    <w:rsid w:val="00C230ED"/>
    <w:rsid w:val="00C233E0"/>
    <w:rsid w:val="00C23A6E"/>
    <w:rsid w:val="00C24292"/>
    <w:rsid w:val="00C24743"/>
    <w:rsid w:val="00C262EF"/>
    <w:rsid w:val="00C27653"/>
    <w:rsid w:val="00C27720"/>
    <w:rsid w:val="00C3123D"/>
    <w:rsid w:val="00C31ACC"/>
    <w:rsid w:val="00C31D75"/>
    <w:rsid w:val="00C324D0"/>
    <w:rsid w:val="00C33528"/>
    <w:rsid w:val="00C33869"/>
    <w:rsid w:val="00C33BB4"/>
    <w:rsid w:val="00C35AAF"/>
    <w:rsid w:val="00C368BC"/>
    <w:rsid w:val="00C37895"/>
    <w:rsid w:val="00C4042C"/>
    <w:rsid w:val="00C4077D"/>
    <w:rsid w:val="00C4137B"/>
    <w:rsid w:val="00C41AA0"/>
    <w:rsid w:val="00C41AED"/>
    <w:rsid w:val="00C4227C"/>
    <w:rsid w:val="00C43519"/>
    <w:rsid w:val="00C43A07"/>
    <w:rsid w:val="00C445E0"/>
    <w:rsid w:val="00C457A4"/>
    <w:rsid w:val="00C46648"/>
    <w:rsid w:val="00C4675E"/>
    <w:rsid w:val="00C46762"/>
    <w:rsid w:val="00C47660"/>
    <w:rsid w:val="00C4766A"/>
    <w:rsid w:val="00C47C21"/>
    <w:rsid w:val="00C505DA"/>
    <w:rsid w:val="00C50936"/>
    <w:rsid w:val="00C526D8"/>
    <w:rsid w:val="00C536C0"/>
    <w:rsid w:val="00C54E4E"/>
    <w:rsid w:val="00C552F8"/>
    <w:rsid w:val="00C55885"/>
    <w:rsid w:val="00C5592F"/>
    <w:rsid w:val="00C55DE4"/>
    <w:rsid w:val="00C56AC1"/>
    <w:rsid w:val="00C56E34"/>
    <w:rsid w:val="00C577B8"/>
    <w:rsid w:val="00C60B51"/>
    <w:rsid w:val="00C60F4B"/>
    <w:rsid w:val="00C61AB0"/>
    <w:rsid w:val="00C61BC3"/>
    <w:rsid w:val="00C61BDB"/>
    <w:rsid w:val="00C61BF2"/>
    <w:rsid w:val="00C61F14"/>
    <w:rsid w:val="00C62982"/>
    <w:rsid w:val="00C62A7A"/>
    <w:rsid w:val="00C6422F"/>
    <w:rsid w:val="00C646F6"/>
    <w:rsid w:val="00C654EC"/>
    <w:rsid w:val="00C6620B"/>
    <w:rsid w:val="00C666BE"/>
    <w:rsid w:val="00C66753"/>
    <w:rsid w:val="00C677A2"/>
    <w:rsid w:val="00C67C5B"/>
    <w:rsid w:val="00C7033F"/>
    <w:rsid w:val="00C7034B"/>
    <w:rsid w:val="00C70962"/>
    <w:rsid w:val="00C72059"/>
    <w:rsid w:val="00C73B81"/>
    <w:rsid w:val="00C74434"/>
    <w:rsid w:val="00C74A52"/>
    <w:rsid w:val="00C750FD"/>
    <w:rsid w:val="00C75AD0"/>
    <w:rsid w:val="00C76D05"/>
    <w:rsid w:val="00C80116"/>
    <w:rsid w:val="00C80426"/>
    <w:rsid w:val="00C813B1"/>
    <w:rsid w:val="00C8155E"/>
    <w:rsid w:val="00C82479"/>
    <w:rsid w:val="00C82FB4"/>
    <w:rsid w:val="00C851CE"/>
    <w:rsid w:val="00C852A9"/>
    <w:rsid w:val="00C86626"/>
    <w:rsid w:val="00C86D97"/>
    <w:rsid w:val="00C874CB"/>
    <w:rsid w:val="00C906C9"/>
    <w:rsid w:val="00C90C7C"/>
    <w:rsid w:val="00C90D69"/>
    <w:rsid w:val="00C928D6"/>
    <w:rsid w:val="00C96CD5"/>
    <w:rsid w:val="00C971A7"/>
    <w:rsid w:val="00C97250"/>
    <w:rsid w:val="00CA0477"/>
    <w:rsid w:val="00CA0B18"/>
    <w:rsid w:val="00CA1F82"/>
    <w:rsid w:val="00CA3300"/>
    <w:rsid w:val="00CA398C"/>
    <w:rsid w:val="00CA3B5E"/>
    <w:rsid w:val="00CA48D9"/>
    <w:rsid w:val="00CB1370"/>
    <w:rsid w:val="00CB1CA9"/>
    <w:rsid w:val="00CB33E2"/>
    <w:rsid w:val="00CB45FE"/>
    <w:rsid w:val="00CB4873"/>
    <w:rsid w:val="00CB4DE7"/>
    <w:rsid w:val="00CB5DAE"/>
    <w:rsid w:val="00CB6059"/>
    <w:rsid w:val="00CC2DF4"/>
    <w:rsid w:val="00CC3B98"/>
    <w:rsid w:val="00CC59DF"/>
    <w:rsid w:val="00CC6B09"/>
    <w:rsid w:val="00CC72E6"/>
    <w:rsid w:val="00CD08FC"/>
    <w:rsid w:val="00CD0996"/>
    <w:rsid w:val="00CD0BAD"/>
    <w:rsid w:val="00CD0C90"/>
    <w:rsid w:val="00CD1433"/>
    <w:rsid w:val="00CD2708"/>
    <w:rsid w:val="00CD29A0"/>
    <w:rsid w:val="00CD3315"/>
    <w:rsid w:val="00CD3CA7"/>
    <w:rsid w:val="00CD3F04"/>
    <w:rsid w:val="00CD40D5"/>
    <w:rsid w:val="00CD4ED4"/>
    <w:rsid w:val="00CD5391"/>
    <w:rsid w:val="00CD5ABD"/>
    <w:rsid w:val="00CD6458"/>
    <w:rsid w:val="00CE0057"/>
    <w:rsid w:val="00CE02A9"/>
    <w:rsid w:val="00CE07A6"/>
    <w:rsid w:val="00CE1921"/>
    <w:rsid w:val="00CE19DD"/>
    <w:rsid w:val="00CE3D4C"/>
    <w:rsid w:val="00CE49C5"/>
    <w:rsid w:val="00CE4C19"/>
    <w:rsid w:val="00CE6755"/>
    <w:rsid w:val="00CE7908"/>
    <w:rsid w:val="00CE796B"/>
    <w:rsid w:val="00CF1B7A"/>
    <w:rsid w:val="00CF2511"/>
    <w:rsid w:val="00CF50F7"/>
    <w:rsid w:val="00CF54D8"/>
    <w:rsid w:val="00CF598B"/>
    <w:rsid w:val="00CF5CCF"/>
    <w:rsid w:val="00CF7F73"/>
    <w:rsid w:val="00D00C6E"/>
    <w:rsid w:val="00D01234"/>
    <w:rsid w:val="00D04BEA"/>
    <w:rsid w:val="00D04C6B"/>
    <w:rsid w:val="00D06041"/>
    <w:rsid w:val="00D07D80"/>
    <w:rsid w:val="00D10BFC"/>
    <w:rsid w:val="00D10F76"/>
    <w:rsid w:val="00D118B8"/>
    <w:rsid w:val="00D11B27"/>
    <w:rsid w:val="00D1327C"/>
    <w:rsid w:val="00D14527"/>
    <w:rsid w:val="00D16361"/>
    <w:rsid w:val="00D17604"/>
    <w:rsid w:val="00D1771B"/>
    <w:rsid w:val="00D17D5A"/>
    <w:rsid w:val="00D20515"/>
    <w:rsid w:val="00D205AE"/>
    <w:rsid w:val="00D2117F"/>
    <w:rsid w:val="00D2127E"/>
    <w:rsid w:val="00D212F2"/>
    <w:rsid w:val="00D21B05"/>
    <w:rsid w:val="00D2491D"/>
    <w:rsid w:val="00D25EE7"/>
    <w:rsid w:val="00D269F1"/>
    <w:rsid w:val="00D31708"/>
    <w:rsid w:val="00D336E9"/>
    <w:rsid w:val="00D33A9B"/>
    <w:rsid w:val="00D34745"/>
    <w:rsid w:val="00D34CBB"/>
    <w:rsid w:val="00D34F97"/>
    <w:rsid w:val="00D401F1"/>
    <w:rsid w:val="00D40C2A"/>
    <w:rsid w:val="00D43C67"/>
    <w:rsid w:val="00D43E87"/>
    <w:rsid w:val="00D45BAA"/>
    <w:rsid w:val="00D4614D"/>
    <w:rsid w:val="00D47DC0"/>
    <w:rsid w:val="00D50709"/>
    <w:rsid w:val="00D50949"/>
    <w:rsid w:val="00D50F79"/>
    <w:rsid w:val="00D516B3"/>
    <w:rsid w:val="00D53994"/>
    <w:rsid w:val="00D539BB"/>
    <w:rsid w:val="00D53E14"/>
    <w:rsid w:val="00D554EB"/>
    <w:rsid w:val="00D55B6D"/>
    <w:rsid w:val="00D5650B"/>
    <w:rsid w:val="00D56A03"/>
    <w:rsid w:val="00D60829"/>
    <w:rsid w:val="00D61087"/>
    <w:rsid w:val="00D61D23"/>
    <w:rsid w:val="00D623C8"/>
    <w:rsid w:val="00D628AE"/>
    <w:rsid w:val="00D62C0D"/>
    <w:rsid w:val="00D6522E"/>
    <w:rsid w:val="00D66422"/>
    <w:rsid w:val="00D667AB"/>
    <w:rsid w:val="00D71EA2"/>
    <w:rsid w:val="00D71EF4"/>
    <w:rsid w:val="00D721D1"/>
    <w:rsid w:val="00D72D78"/>
    <w:rsid w:val="00D74C02"/>
    <w:rsid w:val="00D7556D"/>
    <w:rsid w:val="00D75AF0"/>
    <w:rsid w:val="00D769E5"/>
    <w:rsid w:val="00D76E65"/>
    <w:rsid w:val="00D77579"/>
    <w:rsid w:val="00D842FA"/>
    <w:rsid w:val="00D856A4"/>
    <w:rsid w:val="00D879A3"/>
    <w:rsid w:val="00D87FC0"/>
    <w:rsid w:val="00D90549"/>
    <w:rsid w:val="00D912BA"/>
    <w:rsid w:val="00D924BF"/>
    <w:rsid w:val="00D93891"/>
    <w:rsid w:val="00D93ECE"/>
    <w:rsid w:val="00D943BD"/>
    <w:rsid w:val="00D947ED"/>
    <w:rsid w:val="00D970DE"/>
    <w:rsid w:val="00D975FF"/>
    <w:rsid w:val="00DA09A3"/>
    <w:rsid w:val="00DA0DDC"/>
    <w:rsid w:val="00DA25F9"/>
    <w:rsid w:val="00DA2BEE"/>
    <w:rsid w:val="00DA3584"/>
    <w:rsid w:val="00DA41C8"/>
    <w:rsid w:val="00DA4B5D"/>
    <w:rsid w:val="00DA5FC9"/>
    <w:rsid w:val="00DA703E"/>
    <w:rsid w:val="00DB0DAA"/>
    <w:rsid w:val="00DB11F6"/>
    <w:rsid w:val="00DB1D43"/>
    <w:rsid w:val="00DB2AD4"/>
    <w:rsid w:val="00DB3B24"/>
    <w:rsid w:val="00DB4FA3"/>
    <w:rsid w:val="00DB638A"/>
    <w:rsid w:val="00DB68C2"/>
    <w:rsid w:val="00DB748B"/>
    <w:rsid w:val="00DC0F44"/>
    <w:rsid w:val="00DC2415"/>
    <w:rsid w:val="00DC27C6"/>
    <w:rsid w:val="00DC3359"/>
    <w:rsid w:val="00DC3C34"/>
    <w:rsid w:val="00DC6353"/>
    <w:rsid w:val="00DC6438"/>
    <w:rsid w:val="00DD216E"/>
    <w:rsid w:val="00DD3431"/>
    <w:rsid w:val="00DD3679"/>
    <w:rsid w:val="00DD3D6A"/>
    <w:rsid w:val="00DD4878"/>
    <w:rsid w:val="00DD4D70"/>
    <w:rsid w:val="00DD4FF5"/>
    <w:rsid w:val="00DD554B"/>
    <w:rsid w:val="00DD7B55"/>
    <w:rsid w:val="00DE04E8"/>
    <w:rsid w:val="00DE0B1B"/>
    <w:rsid w:val="00DE1290"/>
    <w:rsid w:val="00DE1481"/>
    <w:rsid w:val="00DE2BE1"/>
    <w:rsid w:val="00DE31EF"/>
    <w:rsid w:val="00DE37B9"/>
    <w:rsid w:val="00DE4F0E"/>
    <w:rsid w:val="00DE5CE1"/>
    <w:rsid w:val="00DE7762"/>
    <w:rsid w:val="00DE7DBE"/>
    <w:rsid w:val="00DF0B73"/>
    <w:rsid w:val="00DF111E"/>
    <w:rsid w:val="00DF36B0"/>
    <w:rsid w:val="00DF5103"/>
    <w:rsid w:val="00DF5624"/>
    <w:rsid w:val="00DF5EE2"/>
    <w:rsid w:val="00DF6B33"/>
    <w:rsid w:val="00DF7FD4"/>
    <w:rsid w:val="00E00E4B"/>
    <w:rsid w:val="00E01120"/>
    <w:rsid w:val="00E01C04"/>
    <w:rsid w:val="00E04BE7"/>
    <w:rsid w:val="00E04D37"/>
    <w:rsid w:val="00E04E62"/>
    <w:rsid w:val="00E052D0"/>
    <w:rsid w:val="00E05B46"/>
    <w:rsid w:val="00E07015"/>
    <w:rsid w:val="00E0792B"/>
    <w:rsid w:val="00E112A6"/>
    <w:rsid w:val="00E1280B"/>
    <w:rsid w:val="00E13175"/>
    <w:rsid w:val="00E1491B"/>
    <w:rsid w:val="00E158D2"/>
    <w:rsid w:val="00E163DA"/>
    <w:rsid w:val="00E179CA"/>
    <w:rsid w:val="00E2114E"/>
    <w:rsid w:val="00E21192"/>
    <w:rsid w:val="00E21614"/>
    <w:rsid w:val="00E22062"/>
    <w:rsid w:val="00E223B0"/>
    <w:rsid w:val="00E2391F"/>
    <w:rsid w:val="00E23D46"/>
    <w:rsid w:val="00E23D94"/>
    <w:rsid w:val="00E30A7B"/>
    <w:rsid w:val="00E31FE1"/>
    <w:rsid w:val="00E33993"/>
    <w:rsid w:val="00E33AA1"/>
    <w:rsid w:val="00E33BA9"/>
    <w:rsid w:val="00E34409"/>
    <w:rsid w:val="00E34630"/>
    <w:rsid w:val="00E354A0"/>
    <w:rsid w:val="00E354A6"/>
    <w:rsid w:val="00E3692A"/>
    <w:rsid w:val="00E36C69"/>
    <w:rsid w:val="00E37766"/>
    <w:rsid w:val="00E37FC9"/>
    <w:rsid w:val="00E401FB"/>
    <w:rsid w:val="00E40906"/>
    <w:rsid w:val="00E41896"/>
    <w:rsid w:val="00E4475C"/>
    <w:rsid w:val="00E44DCC"/>
    <w:rsid w:val="00E45284"/>
    <w:rsid w:val="00E45F2C"/>
    <w:rsid w:val="00E45F31"/>
    <w:rsid w:val="00E4692B"/>
    <w:rsid w:val="00E46E6F"/>
    <w:rsid w:val="00E47048"/>
    <w:rsid w:val="00E51B70"/>
    <w:rsid w:val="00E52283"/>
    <w:rsid w:val="00E55168"/>
    <w:rsid w:val="00E55EF0"/>
    <w:rsid w:val="00E57E17"/>
    <w:rsid w:val="00E6072F"/>
    <w:rsid w:val="00E607C0"/>
    <w:rsid w:val="00E60B6C"/>
    <w:rsid w:val="00E62723"/>
    <w:rsid w:val="00E64DDF"/>
    <w:rsid w:val="00E64F47"/>
    <w:rsid w:val="00E671F4"/>
    <w:rsid w:val="00E677E3"/>
    <w:rsid w:val="00E70526"/>
    <w:rsid w:val="00E71C27"/>
    <w:rsid w:val="00E71E24"/>
    <w:rsid w:val="00E723A2"/>
    <w:rsid w:val="00E728D6"/>
    <w:rsid w:val="00E72953"/>
    <w:rsid w:val="00E72E2B"/>
    <w:rsid w:val="00E73E64"/>
    <w:rsid w:val="00E74AD6"/>
    <w:rsid w:val="00E7517C"/>
    <w:rsid w:val="00E7609C"/>
    <w:rsid w:val="00E77072"/>
    <w:rsid w:val="00E774B3"/>
    <w:rsid w:val="00E82E2F"/>
    <w:rsid w:val="00E845B7"/>
    <w:rsid w:val="00E8474E"/>
    <w:rsid w:val="00E84AEA"/>
    <w:rsid w:val="00E84C00"/>
    <w:rsid w:val="00E8577C"/>
    <w:rsid w:val="00E857DB"/>
    <w:rsid w:val="00E8632D"/>
    <w:rsid w:val="00E86BB1"/>
    <w:rsid w:val="00E8723F"/>
    <w:rsid w:val="00E913CA"/>
    <w:rsid w:val="00E9236F"/>
    <w:rsid w:val="00E94578"/>
    <w:rsid w:val="00E94993"/>
    <w:rsid w:val="00E94BAB"/>
    <w:rsid w:val="00E94DBE"/>
    <w:rsid w:val="00E953E3"/>
    <w:rsid w:val="00E9679D"/>
    <w:rsid w:val="00E976F2"/>
    <w:rsid w:val="00EA0C36"/>
    <w:rsid w:val="00EA1020"/>
    <w:rsid w:val="00EA263B"/>
    <w:rsid w:val="00EA536E"/>
    <w:rsid w:val="00EA6965"/>
    <w:rsid w:val="00EA773D"/>
    <w:rsid w:val="00EB1126"/>
    <w:rsid w:val="00EB1299"/>
    <w:rsid w:val="00EB1321"/>
    <w:rsid w:val="00EB1C7B"/>
    <w:rsid w:val="00EB2775"/>
    <w:rsid w:val="00EB300C"/>
    <w:rsid w:val="00EB3055"/>
    <w:rsid w:val="00EB3702"/>
    <w:rsid w:val="00EB679B"/>
    <w:rsid w:val="00EB6B78"/>
    <w:rsid w:val="00EB73CB"/>
    <w:rsid w:val="00EB763B"/>
    <w:rsid w:val="00EC123A"/>
    <w:rsid w:val="00EC1256"/>
    <w:rsid w:val="00EC2239"/>
    <w:rsid w:val="00EC2F19"/>
    <w:rsid w:val="00EC43E3"/>
    <w:rsid w:val="00EC52DD"/>
    <w:rsid w:val="00EC76A9"/>
    <w:rsid w:val="00EC78FE"/>
    <w:rsid w:val="00ED0322"/>
    <w:rsid w:val="00ED0582"/>
    <w:rsid w:val="00ED08EC"/>
    <w:rsid w:val="00ED0A72"/>
    <w:rsid w:val="00ED157B"/>
    <w:rsid w:val="00ED1F11"/>
    <w:rsid w:val="00ED24CB"/>
    <w:rsid w:val="00ED33A7"/>
    <w:rsid w:val="00ED3999"/>
    <w:rsid w:val="00ED3E21"/>
    <w:rsid w:val="00ED4142"/>
    <w:rsid w:val="00ED5850"/>
    <w:rsid w:val="00ED5B1E"/>
    <w:rsid w:val="00ED6302"/>
    <w:rsid w:val="00ED7AEF"/>
    <w:rsid w:val="00EE02D8"/>
    <w:rsid w:val="00EE0686"/>
    <w:rsid w:val="00EE0DD5"/>
    <w:rsid w:val="00EE1A07"/>
    <w:rsid w:val="00EE35CB"/>
    <w:rsid w:val="00EE382C"/>
    <w:rsid w:val="00EE47F7"/>
    <w:rsid w:val="00EE62DF"/>
    <w:rsid w:val="00EE7395"/>
    <w:rsid w:val="00EE75D0"/>
    <w:rsid w:val="00EF0DC3"/>
    <w:rsid w:val="00EF1499"/>
    <w:rsid w:val="00EF18DF"/>
    <w:rsid w:val="00EF192B"/>
    <w:rsid w:val="00EF1A25"/>
    <w:rsid w:val="00EF1D04"/>
    <w:rsid w:val="00EF2A5E"/>
    <w:rsid w:val="00EF3EF3"/>
    <w:rsid w:val="00EF5A5C"/>
    <w:rsid w:val="00EF5B63"/>
    <w:rsid w:val="00EF7577"/>
    <w:rsid w:val="00F02A9F"/>
    <w:rsid w:val="00F03237"/>
    <w:rsid w:val="00F04D4E"/>
    <w:rsid w:val="00F05680"/>
    <w:rsid w:val="00F05F99"/>
    <w:rsid w:val="00F06AC0"/>
    <w:rsid w:val="00F11172"/>
    <w:rsid w:val="00F11487"/>
    <w:rsid w:val="00F136B6"/>
    <w:rsid w:val="00F13917"/>
    <w:rsid w:val="00F15217"/>
    <w:rsid w:val="00F16187"/>
    <w:rsid w:val="00F16FD3"/>
    <w:rsid w:val="00F17515"/>
    <w:rsid w:val="00F226E2"/>
    <w:rsid w:val="00F228A9"/>
    <w:rsid w:val="00F23C20"/>
    <w:rsid w:val="00F24495"/>
    <w:rsid w:val="00F24DA0"/>
    <w:rsid w:val="00F25246"/>
    <w:rsid w:val="00F263B7"/>
    <w:rsid w:val="00F26486"/>
    <w:rsid w:val="00F273B5"/>
    <w:rsid w:val="00F27E93"/>
    <w:rsid w:val="00F3002A"/>
    <w:rsid w:val="00F3266D"/>
    <w:rsid w:val="00F3318B"/>
    <w:rsid w:val="00F337ED"/>
    <w:rsid w:val="00F34E1F"/>
    <w:rsid w:val="00F351CD"/>
    <w:rsid w:val="00F353DB"/>
    <w:rsid w:val="00F35CCB"/>
    <w:rsid w:val="00F36237"/>
    <w:rsid w:val="00F36B29"/>
    <w:rsid w:val="00F37881"/>
    <w:rsid w:val="00F40ADC"/>
    <w:rsid w:val="00F41EB0"/>
    <w:rsid w:val="00F42B68"/>
    <w:rsid w:val="00F434C8"/>
    <w:rsid w:val="00F4422A"/>
    <w:rsid w:val="00F44593"/>
    <w:rsid w:val="00F44E04"/>
    <w:rsid w:val="00F4502F"/>
    <w:rsid w:val="00F452E2"/>
    <w:rsid w:val="00F453C6"/>
    <w:rsid w:val="00F45A15"/>
    <w:rsid w:val="00F45C9C"/>
    <w:rsid w:val="00F46E8B"/>
    <w:rsid w:val="00F47193"/>
    <w:rsid w:val="00F51627"/>
    <w:rsid w:val="00F518CD"/>
    <w:rsid w:val="00F51CCD"/>
    <w:rsid w:val="00F51D3A"/>
    <w:rsid w:val="00F55918"/>
    <w:rsid w:val="00F55A55"/>
    <w:rsid w:val="00F55C63"/>
    <w:rsid w:val="00F57512"/>
    <w:rsid w:val="00F60AFF"/>
    <w:rsid w:val="00F612BC"/>
    <w:rsid w:val="00F61D6A"/>
    <w:rsid w:val="00F61D95"/>
    <w:rsid w:val="00F61E10"/>
    <w:rsid w:val="00F63397"/>
    <w:rsid w:val="00F63DA6"/>
    <w:rsid w:val="00F63FEA"/>
    <w:rsid w:val="00F64EC6"/>
    <w:rsid w:val="00F656CE"/>
    <w:rsid w:val="00F67932"/>
    <w:rsid w:val="00F7150D"/>
    <w:rsid w:val="00F72633"/>
    <w:rsid w:val="00F727A5"/>
    <w:rsid w:val="00F72AF4"/>
    <w:rsid w:val="00F72CD8"/>
    <w:rsid w:val="00F72DF3"/>
    <w:rsid w:val="00F73694"/>
    <w:rsid w:val="00F7500E"/>
    <w:rsid w:val="00F75668"/>
    <w:rsid w:val="00F759B1"/>
    <w:rsid w:val="00F75B75"/>
    <w:rsid w:val="00F76141"/>
    <w:rsid w:val="00F7616A"/>
    <w:rsid w:val="00F77781"/>
    <w:rsid w:val="00F779BF"/>
    <w:rsid w:val="00F81BA0"/>
    <w:rsid w:val="00F81D79"/>
    <w:rsid w:val="00F83CA6"/>
    <w:rsid w:val="00F84BC6"/>
    <w:rsid w:val="00F84EA1"/>
    <w:rsid w:val="00F87671"/>
    <w:rsid w:val="00F903EF"/>
    <w:rsid w:val="00F914A9"/>
    <w:rsid w:val="00F92222"/>
    <w:rsid w:val="00F924D9"/>
    <w:rsid w:val="00F9304F"/>
    <w:rsid w:val="00F95A56"/>
    <w:rsid w:val="00F9624E"/>
    <w:rsid w:val="00F97B28"/>
    <w:rsid w:val="00FA09DE"/>
    <w:rsid w:val="00FA1021"/>
    <w:rsid w:val="00FA1BCD"/>
    <w:rsid w:val="00FA4BDE"/>
    <w:rsid w:val="00FA59EC"/>
    <w:rsid w:val="00FA5F97"/>
    <w:rsid w:val="00FA6205"/>
    <w:rsid w:val="00FA719E"/>
    <w:rsid w:val="00FB28AE"/>
    <w:rsid w:val="00FB3D25"/>
    <w:rsid w:val="00FB6506"/>
    <w:rsid w:val="00FB73D0"/>
    <w:rsid w:val="00FC04A1"/>
    <w:rsid w:val="00FC1442"/>
    <w:rsid w:val="00FC2897"/>
    <w:rsid w:val="00FC3593"/>
    <w:rsid w:val="00FC3762"/>
    <w:rsid w:val="00FC42A2"/>
    <w:rsid w:val="00FC517E"/>
    <w:rsid w:val="00FC5398"/>
    <w:rsid w:val="00FC6760"/>
    <w:rsid w:val="00FC6C9A"/>
    <w:rsid w:val="00FC7251"/>
    <w:rsid w:val="00FC7825"/>
    <w:rsid w:val="00FC7F48"/>
    <w:rsid w:val="00FD1199"/>
    <w:rsid w:val="00FD1D15"/>
    <w:rsid w:val="00FD2E2A"/>
    <w:rsid w:val="00FD3347"/>
    <w:rsid w:val="00FD4A9E"/>
    <w:rsid w:val="00FD612A"/>
    <w:rsid w:val="00FD64C1"/>
    <w:rsid w:val="00FE04D0"/>
    <w:rsid w:val="00FE0833"/>
    <w:rsid w:val="00FE0CC6"/>
    <w:rsid w:val="00FE2441"/>
    <w:rsid w:val="00FE2F42"/>
    <w:rsid w:val="00FE4768"/>
    <w:rsid w:val="00FE49FB"/>
    <w:rsid w:val="00FE4D75"/>
    <w:rsid w:val="00FE50A1"/>
    <w:rsid w:val="00FE5384"/>
    <w:rsid w:val="00FE6B74"/>
    <w:rsid w:val="00FE711E"/>
    <w:rsid w:val="00FF30EC"/>
    <w:rsid w:val="00FF4FA3"/>
    <w:rsid w:val="00FF51C8"/>
    <w:rsid w:val="00FF634C"/>
    <w:rsid w:val="00FF63F6"/>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563F7"/>
  <w15:chartTrackingRefBased/>
  <w15:docId w15:val="{7961DE4D-131A-4187-B8E1-C0F0130D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6386"/>
  </w:style>
  <w:style w:type="paragraph" w:styleId="Ttulo3">
    <w:name w:val="heading 3"/>
    <w:basedOn w:val="Normal"/>
    <w:next w:val="Normal"/>
    <w:link w:val="Ttulo3Car"/>
    <w:uiPriority w:val="9"/>
    <w:unhideWhenUsed/>
    <w:qFormat/>
    <w:rsid w:val="009314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C2F1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TITUTOS"/>
    <w:basedOn w:val="Normal"/>
    <w:link w:val="PrrafodelistaCar"/>
    <w:uiPriority w:val="34"/>
    <w:qFormat/>
    <w:rsid w:val="00EC2F19"/>
    <w:pPr>
      <w:ind w:left="720"/>
      <w:contextualSpacing/>
    </w:pPr>
  </w:style>
  <w:style w:type="paragraph" w:styleId="Textonotapie">
    <w:name w:val="footnote text"/>
    <w:basedOn w:val="Normal"/>
    <w:link w:val="TextonotapieCar"/>
    <w:uiPriority w:val="99"/>
    <w:unhideWhenUsed/>
    <w:rsid w:val="00EC2F19"/>
    <w:pPr>
      <w:spacing w:after="0" w:line="240" w:lineRule="auto"/>
    </w:pPr>
    <w:rPr>
      <w:sz w:val="20"/>
      <w:szCs w:val="20"/>
    </w:rPr>
  </w:style>
  <w:style w:type="character" w:customStyle="1" w:styleId="TextonotapieCar">
    <w:name w:val="Texto nota pie Car"/>
    <w:basedOn w:val="Fuentedeprrafopredeter"/>
    <w:link w:val="Textonotapie"/>
    <w:uiPriority w:val="99"/>
    <w:rsid w:val="00EC2F19"/>
    <w:rPr>
      <w:sz w:val="20"/>
      <w:szCs w:val="20"/>
    </w:rPr>
  </w:style>
  <w:style w:type="character" w:styleId="Refdenotaalpie">
    <w:name w:val="footnote reference"/>
    <w:basedOn w:val="Fuentedeprrafopredeter"/>
    <w:uiPriority w:val="99"/>
    <w:unhideWhenUsed/>
    <w:rsid w:val="00EC2F19"/>
    <w:rPr>
      <w:vertAlign w:val="superscript"/>
    </w:rPr>
  </w:style>
  <w:style w:type="paragraph" w:styleId="NormalWeb">
    <w:name w:val="Normal (Web)"/>
    <w:basedOn w:val="Normal"/>
    <w:unhideWhenUsed/>
    <w:rsid w:val="00EC2F1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rsid w:val="00EC2F19"/>
    <w:rPr>
      <w:color w:val="0000FF"/>
      <w:u w:val="single"/>
    </w:rPr>
  </w:style>
  <w:style w:type="paragraph" w:styleId="Encabezado">
    <w:name w:val="header"/>
    <w:basedOn w:val="Normal"/>
    <w:link w:val="EncabezadoCar"/>
    <w:unhideWhenUsed/>
    <w:rsid w:val="00EC2F19"/>
    <w:pPr>
      <w:tabs>
        <w:tab w:val="center" w:pos="4419"/>
        <w:tab w:val="right" w:pos="8838"/>
      </w:tabs>
      <w:spacing w:after="0" w:line="240" w:lineRule="auto"/>
    </w:pPr>
  </w:style>
  <w:style w:type="character" w:customStyle="1" w:styleId="EncabezadoCar">
    <w:name w:val="Encabezado Car"/>
    <w:basedOn w:val="Fuentedeprrafopredeter"/>
    <w:link w:val="Encabezado"/>
    <w:rsid w:val="00EC2F19"/>
  </w:style>
  <w:style w:type="paragraph" w:styleId="Piedepgina">
    <w:name w:val="footer"/>
    <w:basedOn w:val="Normal"/>
    <w:link w:val="PiedepginaCar"/>
    <w:uiPriority w:val="99"/>
    <w:unhideWhenUsed/>
    <w:rsid w:val="00EC2F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2F19"/>
  </w:style>
  <w:style w:type="character" w:styleId="Refdecomentario">
    <w:name w:val="annotation reference"/>
    <w:basedOn w:val="Fuentedeprrafopredeter"/>
    <w:uiPriority w:val="99"/>
    <w:semiHidden/>
    <w:unhideWhenUsed/>
    <w:rsid w:val="009454A4"/>
    <w:rPr>
      <w:sz w:val="16"/>
      <w:szCs w:val="16"/>
    </w:rPr>
  </w:style>
  <w:style w:type="paragraph" w:styleId="Textocomentario">
    <w:name w:val="annotation text"/>
    <w:basedOn w:val="Normal"/>
    <w:link w:val="TextocomentarioCar"/>
    <w:uiPriority w:val="99"/>
    <w:unhideWhenUsed/>
    <w:rsid w:val="009454A4"/>
    <w:pPr>
      <w:spacing w:line="240" w:lineRule="auto"/>
    </w:pPr>
    <w:rPr>
      <w:sz w:val="20"/>
      <w:szCs w:val="20"/>
    </w:rPr>
  </w:style>
  <w:style w:type="character" w:customStyle="1" w:styleId="TextocomentarioCar">
    <w:name w:val="Texto comentario Car"/>
    <w:basedOn w:val="Fuentedeprrafopredeter"/>
    <w:link w:val="Textocomentario"/>
    <w:uiPriority w:val="99"/>
    <w:rsid w:val="009454A4"/>
    <w:rPr>
      <w:sz w:val="20"/>
      <w:szCs w:val="20"/>
    </w:rPr>
  </w:style>
  <w:style w:type="paragraph" w:styleId="Asuntodelcomentario">
    <w:name w:val="annotation subject"/>
    <w:basedOn w:val="Textocomentario"/>
    <w:next w:val="Textocomentario"/>
    <w:link w:val="AsuntodelcomentarioCar"/>
    <w:uiPriority w:val="99"/>
    <w:semiHidden/>
    <w:unhideWhenUsed/>
    <w:rsid w:val="009454A4"/>
    <w:rPr>
      <w:b/>
      <w:bCs/>
    </w:rPr>
  </w:style>
  <w:style w:type="character" w:customStyle="1" w:styleId="AsuntodelcomentarioCar">
    <w:name w:val="Asunto del comentario Car"/>
    <w:basedOn w:val="TextocomentarioCar"/>
    <w:link w:val="Asuntodelcomentario"/>
    <w:uiPriority w:val="99"/>
    <w:semiHidden/>
    <w:rsid w:val="009454A4"/>
    <w:rPr>
      <w:b/>
      <w:bCs/>
      <w:sz w:val="20"/>
      <w:szCs w:val="20"/>
    </w:rPr>
  </w:style>
  <w:style w:type="paragraph" w:styleId="Textodeglobo">
    <w:name w:val="Balloon Text"/>
    <w:basedOn w:val="Normal"/>
    <w:link w:val="TextodegloboCar"/>
    <w:uiPriority w:val="99"/>
    <w:semiHidden/>
    <w:unhideWhenUsed/>
    <w:rsid w:val="00945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54A4"/>
    <w:rPr>
      <w:rFonts w:ascii="Segoe UI" w:hAnsi="Segoe UI" w:cs="Segoe UI"/>
      <w:sz w:val="18"/>
      <w:szCs w:val="18"/>
    </w:rPr>
  </w:style>
  <w:style w:type="paragraph" w:styleId="Revisin">
    <w:name w:val="Revision"/>
    <w:hidden/>
    <w:uiPriority w:val="99"/>
    <w:semiHidden/>
    <w:rsid w:val="009321D8"/>
    <w:pPr>
      <w:spacing w:after="0" w:line="240" w:lineRule="auto"/>
    </w:pPr>
  </w:style>
  <w:style w:type="character" w:customStyle="1" w:styleId="Mencinsinresolver1">
    <w:name w:val="Mención sin resolver1"/>
    <w:basedOn w:val="Fuentedeprrafopredeter"/>
    <w:uiPriority w:val="99"/>
    <w:rsid w:val="00266E1C"/>
    <w:rPr>
      <w:color w:val="605E5C"/>
      <w:shd w:val="clear" w:color="auto" w:fill="E1DFDD"/>
    </w:rPr>
  </w:style>
  <w:style w:type="character" w:customStyle="1" w:styleId="Mencinsinresolver2">
    <w:name w:val="Mención sin resolver2"/>
    <w:basedOn w:val="Fuentedeprrafopredeter"/>
    <w:uiPriority w:val="99"/>
    <w:semiHidden/>
    <w:unhideWhenUsed/>
    <w:rsid w:val="00A001BF"/>
    <w:rPr>
      <w:color w:val="605E5C"/>
      <w:shd w:val="clear" w:color="auto" w:fill="E1DFDD"/>
    </w:rPr>
  </w:style>
  <w:style w:type="character" w:customStyle="1" w:styleId="Mencinsinresolver3">
    <w:name w:val="Mención sin resolver3"/>
    <w:basedOn w:val="Fuentedeprrafopredeter"/>
    <w:uiPriority w:val="99"/>
    <w:semiHidden/>
    <w:unhideWhenUsed/>
    <w:rsid w:val="00771814"/>
    <w:rPr>
      <w:color w:val="605E5C"/>
      <w:shd w:val="clear" w:color="auto" w:fill="E1DFDD"/>
    </w:rPr>
  </w:style>
  <w:style w:type="character" w:styleId="Mencinsinresolver">
    <w:name w:val="Unresolved Mention"/>
    <w:basedOn w:val="Fuentedeprrafopredeter"/>
    <w:uiPriority w:val="99"/>
    <w:rsid w:val="00DB11F6"/>
    <w:rPr>
      <w:color w:val="605E5C"/>
      <w:shd w:val="clear" w:color="auto" w:fill="E1DFDD"/>
    </w:rPr>
  </w:style>
  <w:style w:type="paragraph" w:styleId="Textoindependiente">
    <w:name w:val="Body Text"/>
    <w:basedOn w:val="Normal"/>
    <w:link w:val="TextoindependienteCar"/>
    <w:uiPriority w:val="1"/>
    <w:qFormat/>
    <w:rsid w:val="00F04D4E"/>
    <w:pPr>
      <w:widowControl w:val="0"/>
      <w:spacing w:after="0" w:line="240" w:lineRule="auto"/>
      <w:ind w:left="118"/>
    </w:pPr>
    <w:rPr>
      <w:rFonts w:ascii="Arial" w:eastAsia="Arial" w:hAnsi="Arial"/>
      <w:sz w:val="24"/>
      <w:szCs w:val="24"/>
    </w:rPr>
  </w:style>
  <w:style w:type="character" w:customStyle="1" w:styleId="TextoindependienteCar">
    <w:name w:val="Texto independiente Car"/>
    <w:basedOn w:val="Fuentedeprrafopredeter"/>
    <w:link w:val="Textoindependiente"/>
    <w:uiPriority w:val="1"/>
    <w:rsid w:val="00F04D4E"/>
    <w:rPr>
      <w:rFonts w:ascii="Arial" w:eastAsia="Arial" w:hAnsi="Arial"/>
      <w:sz w:val="24"/>
      <w:szCs w:val="24"/>
    </w:rPr>
  </w:style>
  <w:style w:type="character" w:customStyle="1" w:styleId="Ttulo3Car">
    <w:name w:val="Título 3 Car"/>
    <w:basedOn w:val="Fuentedeprrafopredeter"/>
    <w:link w:val="Ttulo3"/>
    <w:uiPriority w:val="9"/>
    <w:rsid w:val="00931451"/>
    <w:rPr>
      <w:rFonts w:asciiTheme="majorHAnsi" w:eastAsiaTheme="majorEastAsia" w:hAnsiTheme="majorHAnsi" w:cstheme="majorBidi"/>
      <w:color w:val="1F3763" w:themeColor="accent1" w:themeShade="7F"/>
      <w:sz w:val="24"/>
      <w:szCs w:val="24"/>
    </w:rPr>
  </w:style>
  <w:style w:type="paragraph" w:customStyle="1" w:styleId="Sinespaciado1">
    <w:name w:val="Sin espaciado1"/>
    <w:next w:val="Sinespaciado"/>
    <w:link w:val="SinespaciadoCar"/>
    <w:uiPriority w:val="1"/>
    <w:qFormat/>
    <w:rsid w:val="00931451"/>
    <w:pPr>
      <w:spacing w:after="0" w:line="240" w:lineRule="auto"/>
    </w:pPr>
    <w:rPr>
      <w:rFonts w:eastAsia="Times New Roman"/>
      <w:lang w:eastAsia="es-MX"/>
    </w:rPr>
  </w:style>
  <w:style w:type="character" w:customStyle="1" w:styleId="SinespaciadoCar">
    <w:name w:val="Sin espaciado Car"/>
    <w:basedOn w:val="Fuentedeprrafopredeter"/>
    <w:link w:val="Sinespaciado1"/>
    <w:uiPriority w:val="1"/>
    <w:rsid w:val="00931451"/>
    <w:rPr>
      <w:rFonts w:eastAsia="Times New Roman"/>
      <w:lang w:eastAsia="es-MX"/>
    </w:rPr>
  </w:style>
  <w:style w:type="paragraph" w:styleId="Sinespaciado">
    <w:name w:val="No Spacing"/>
    <w:uiPriority w:val="1"/>
    <w:qFormat/>
    <w:rsid w:val="00931451"/>
    <w:pPr>
      <w:spacing w:after="0" w:line="240" w:lineRule="auto"/>
    </w:pPr>
  </w:style>
  <w:style w:type="character" w:customStyle="1" w:styleId="PrrafodelistaCar">
    <w:name w:val="Párrafo de lista Car"/>
    <w:aliases w:val="TITUTOS Car"/>
    <w:link w:val="Prrafodelista"/>
    <w:uiPriority w:val="34"/>
    <w:rsid w:val="00931451"/>
  </w:style>
  <w:style w:type="paragraph" w:styleId="TDC1">
    <w:name w:val="toc 1"/>
    <w:basedOn w:val="Normal"/>
    <w:next w:val="Normal"/>
    <w:autoRedefine/>
    <w:uiPriority w:val="39"/>
    <w:unhideWhenUsed/>
    <w:rsid w:val="00931451"/>
    <w:pPr>
      <w:spacing w:after="100"/>
    </w:pPr>
  </w:style>
  <w:style w:type="paragraph" w:styleId="TDC2">
    <w:name w:val="toc 2"/>
    <w:basedOn w:val="Normal"/>
    <w:next w:val="Normal"/>
    <w:autoRedefine/>
    <w:uiPriority w:val="39"/>
    <w:unhideWhenUsed/>
    <w:rsid w:val="00931451"/>
    <w:pPr>
      <w:tabs>
        <w:tab w:val="left" w:pos="851"/>
        <w:tab w:val="right" w:leader="dot" w:pos="8921"/>
      </w:tabs>
      <w:spacing w:after="100"/>
      <w:ind w:left="220"/>
    </w:pPr>
  </w:style>
  <w:style w:type="character" w:styleId="Hipervnculovisitado">
    <w:name w:val="FollowedHyperlink"/>
    <w:basedOn w:val="Fuentedeprrafopredeter"/>
    <w:uiPriority w:val="99"/>
    <w:semiHidden/>
    <w:unhideWhenUsed/>
    <w:rsid w:val="00931451"/>
    <w:rPr>
      <w:color w:val="954F72" w:themeColor="followedHyperlink"/>
      <w:u w:val="single"/>
    </w:rPr>
  </w:style>
  <w:style w:type="paragraph" w:customStyle="1" w:styleId="msonormal0">
    <w:name w:val="msonormal"/>
    <w:basedOn w:val="Normal"/>
    <w:rsid w:val="009314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unhideWhenUsed/>
    <w:rsid w:val="00931451"/>
    <w:pPr>
      <w:spacing w:after="0" w:line="240" w:lineRule="auto"/>
    </w:pPr>
    <w:rPr>
      <w:rFonts w:ascii="Calibri" w:hAnsi="Calibri" w:cs="Times New Roman"/>
    </w:rPr>
  </w:style>
  <w:style w:type="character" w:customStyle="1" w:styleId="TextosinformatoCar">
    <w:name w:val="Texto sin formato Car"/>
    <w:basedOn w:val="Fuentedeprrafopredeter"/>
    <w:link w:val="Textosinformato"/>
    <w:uiPriority w:val="99"/>
    <w:rsid w:val="00931451"/>
    <w:rPr>
      <w:rFonts w:ascii="Calibri" w:hAnsi="Calibri" w:cs="Times New Roman"/>
    </w:rPr>
  </w:style>
  <w:style w:type="paragraph" w:customStyle="1" w:styleId="Oficioregistro">
    <w:name w:val="Oficio_registro"/>
    <w:basedOn w:val="Normal"/>
    <w:qFormat/>
    <w:rsid w:val="00931451"/>
    <w:pPr>
      <w:autoSpaceDE w:val="0"/>
      <w:autoSpaceDN w:val="0"/>
      <w:adjustRightInd w:val="0"/>
      <w:spacing w:after="0" w:line="288" w:lineRule="auto"/>
      <w:ind w:left="5236"/>
    </w:pPr>
    <w:rPr>
      <w:rFonts w:ascii="Arial Narrow Regular" w:eastAsia="Times New Roman" w:hAnsi="Arial Narrow Regular" w:cs="Arial Narrow Regular"/>
      <w:color w:val="000000"/>
      <w:sz w:val="20"/>
      <w:szCs w:val="20"/>
      <w:lang w:val="es-ES_tradnl" w:eastAsia="es-ES"/>
    </w:rPr>
  </w:style>
  <w:style w:type="paragraph" w:customStyle="1" w:styleId="firmasaludo">
    <w:name w:val="firma_saludo"/>
    <w:basedOn w:val="Normal"/>
    <w:uiPriority w:val="99"/>
    <w:qFormat/>
    <w:rsid w:val="00931451"/>
    <w:pPr>
      <w:autoSpaceDE w:val="0"/>
      <w:autoSpaceDN w:val="0"/>
      <w:adjustRightInd w:val="0"/>
      <w:spacing w:after="0" w:line="288" w:lineRule="auto"/>
      <w:jc w:val="both"/>
    </w:pPr>
    <w:rPr>
      <w:rFonts w:ascii="Arial Narrow Bold Italic" w:eastAsia="Times New Roman" w:hAnsi="Arial Narrow Bold Italic" w:cs="Arial Narrow Bold Italic"/>
      <w:b/>
      <w:bCs/>
      <w:i/>
      <w:iCs/>
      <w:color w:val="000000"/>
      <w:sz w:val="20"/>
      <w:szCs w:val="20"/>
      <w:lang w:val="es-ES_tradnl"/>
    </w:rPr>
  </w:style>
  <w:style w:type="paragraph" w:customStyle="1" w:styleId="xmsonormal">
    <w:name w:val="x_msonormal"/>
    <w:basedOn w:val="Normal"/>
    <w:rsid w:val="00931451"/>
    <w:pPr>
      <w:spacing w:after="0" w:line="240" w:lineRule="auto"/>
    </w:pPr>
    <w:rPr>
      <w:rFonts w:ascii="Calibri" w:eastAsia="Calibri" w:hAnsi="Calibri" w:cs="Calibri"/>
      <w:lang w:eastAsia="es-MX"/>
    </w:rPr>
  </w:style>
  <w:style w:type="paragraph" w:customStyle="1" w:styleId="Ningnestilodeprrafo">
    <w:name w:val="[Ningún estilo de párrafo]"/>
    <w:basedOn w:val="Normal"/>
    <w:rsid w:val="00931451"/>
    <w:pPr>
      <w:autoSpaceDE w:val="0"/>
      <w:autoSpaceDN w:val="0"/>
      <w:spacing w:after="0" w:line="288" w:lineRule="auto"/>
    </w:pPr>
    <w:rPr>
      <w:rFonts w:ascii="Times New Roman" w:hAnsi="Times New Roman" w:cs="Times New Roman"/>
      <w:color w:val="000000"/>
      <w:sz w:val="24"/>
      <w:szCs w:val="24"/>
      <w:lang w:eastAsia="es-MX"/>
    </w:rPr>
  </w:style>
  <w:style w:type="paragraph" w:customStyle="1" w:styleId="Nombrecargo">
    <w:name w:val="Nombre_cargo"/>
    <w:basedOn w:val="Ningnestilodeprrafo"/>
    <w:qFormat/>
    <w:rsid w:val="00931451"/>
    <w:pPr>
      <w:adjustRightInd w:val="0"/>
    </w:pPr>
    <w:rPr>
      <w:rFonts w:ascii="Arial Narrow Bold" w:eastAsia="Times New Roman" w:hAnsi="Arial Narrow Bold" w:cs="Arial Narrow Bold"/>
      <w:b/>
      <w:bCs/>
      <w:sz w:val="20"/>
      <w:szCs w:val="20"/>
      <w:lang w:val="es-ES_tradnl" w:eastAsia="en-US"/>
    </w:rPr>
  </w:style>
  <w:style w:type="paragraph" w:customStyle="1" w:styleId="fecha">
    <w:name w:val="fecha"/>
    <w:basedOn w:val="Normal"/>
    <w:qFormat/>
    <w:rsid w:val="00931451"/>
    <w:pPr>
      <w:autoSpaceDE w:val="0"/>
      <w:autoSpaceDN w:val="0"/>
      <w:adjustRightInd w:val="0"/>
      <w:spacing w:after="0" w:line="288" w:lineRule="auto"/>
      <w:ind w:left="5236"/>
    </w:pPr>
    <w:rPr>
      <w:rFonts w:ascii="Arial Narrow Regular" w:eastAsia="Times New Roman" w:hAnsi="Arial Narrow Regular" w:cs="Arial Narrow Regular"/>
      <w:color w:val="000000"/>
      <w:sz w:val="20"/>
      <w:szCs w:val="20"/>
      <w:lang w:val="es-ES_tradnl"/>
    </w:rPr>
  </w:style>
  <w:style w:type="character" w:customStyle="1" w:styleId="texto">
    <w:name w:val="texto"/>
    <w:basedOn w:val="Fuentedeprrafopredeter"/>
    <w:uiPriority w:val="99"/>
    <w:rsid w:val="00931451"/>
    <w:rPr>
      <w:rFonts w:ascii="Gill Sans MT" w:hAnsi="Gill Sans MT" w:hint="default"/>
      <w:strike w:val="0"/>
      <w:dstrike w:val="0"/>
      <w:color w:val="000000"/>
      <w:spacing w:val="6"/>
      <w:u w:val="none"/>
      <w:effect w:val="none"/>
      <w:vertAlign w:val="baseline"/>
    </w:rPr>
  </w:style>
  <w:style w:type="table" w:styleId="Tablaconcuadrcula">
    <w:name w:val="Table Grid"/>
    <w:basedOn w:val="Tablanormal"/>
    <w:rsid w:val="009314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93145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rkedcontent">
    <w:name w:val="markedcontent"/>
    <w:basedOn w:val="Fuentedeprrafopredeter"/>
    <w:rsid w:val="00931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779">
      <w:bodyDiv w:val="1"/>
      <w:marLeft w:val="0"/>
      <w:marRight w:val="0"/>
      <w:marTop w:val="0"/>
      <w:marBottom w:val="0"/>
      <w:divBdr>
        <w:top w:val="none" w:sz="0" w:space="0" w:color="auto"/>
        <w:left w:val="none" w:sz="0" w:space="0" w:color="auto"/>
        <w:bottom w:val="none" w:sz="0" w:space="0" w:color="auto"/>
        <w:right w:val="none" w:sz="0" w:space="0" w:color="auto"/>
      </w:divBdr>
    </w:div>
    <w:div w:id="58939043">
      <w:bodyDiv w:val="1"/>
      <w:marLeft w:val="0"/>
      <w:marRight w:val="0"/>
      <w:marTop w:val="0"/>
      <w:marBottom w:val="0"/>
      <w:divBdr>
        <w:top w:val="none" w:sz="0" w:space="0" w:color="auto"/>
        <w:left w:val="none" w:sz="0" w:space="0" w:color="auto"/>
        <w:bottom w:val="none" w:sz="0" w:space="0" w:color="auto"/>
        <w:right w:val="none" w:sz="0" w:space="0" w:color="auto"/>
      </w:divBdr>
    </w:div>
    <w:div w:id="65762412">
      <w:bodyDiv w:val="1"/>
      <w:marLeft w:val="0"/>
      <w:marRight w:val="0"/>
      <w:marTop w:val="0"/>
      <w:marBottom w:val="0"/>
      <w:divBdr>
        <w:top w:val="none" w:sz="0" w:space="0" w:color="auto"/>
        <w:left w:val="none" w:sz="0" w:space="0" w:color="auto"/>
        <w:bottom w:val="none" w:sz="0" w:space="0" w:color="auto"/>
        <w:right w:val="none" w:sz="0" w:space="0" w:color="auto"/>
      </w:divBdr>
    </w:div>
    <w:div w:id="106120958">
      <w:bodyDiv w:val="1"/>
      <w:marLeft w:val="0"/>
      <w:marRight w:val="0"/>
      <w:marTop w:val="0"/>
      <w:marBottom w:val="0"/>
      <w:divBdr>
        <w:top w:val="none" w:sz="0" w:space="0" w:color="auto"/>
        <w:left w:val="none" w:sz="0" w:space="0" w:color="auto"/>
        <w:bottom w:val="none" w:sz="0" w:space="0" w:color="auto"/>
        <w:right w:val="none" w:sz="0" w:space="0" w:color="auto"/>
      </w:divBdr>
    </w:div>
    <w:div w:id="113183882">
      <w:bodyDiv w:val="1"/>
      <w:marLeft w:val="0"/>
      <w:marRight w:val="0"/>
      <w:marTop w:val="0"/>
      <w:marBottom w:val="0"/>
      <w:divBdr>
        <w:top w:val="none" w:sz="0" w:space="0" w:color="auto"/>
        <w:left w:val="none" w:sz="0" w:space="0" w:color="auto"/>
        <w:bottom w:val="none" w:sz="0" w:space="0" w:color="auto"/>
        <w:right w:val="none" w:sz="0" w:space="0" w:color="auto"/>
      </w:divBdr>
      <w:divsChild>
        <w:div w:id="114174572">
          <w:marLeft w:val="0"/>
          <w:marRight w:val="0"/>
          <w:marTop w:val="0"/>
          <w:marBottom w:val="0"/>
          <w:divBdr>
            <w:top w:val="none" w:sz="0" w:space="0" w:color="auto"/>
            <w:left w:val="none" w:sz="0" w:space="0" w:color="auto"/>
            <w:bottom w:val="none" w:sz="0" w:space="0" w:color="auto"/>
            <w:right w:val="none" w:sz="0" w:space="0" w:color="auto"/>
          </w:divBdr>
          <w:divsChild>
            <w:div w:id="371852919">
              <w:marLeft w:val="0"/>
              <w:marRight w:val="0"/>
              <w:marTop w:val="0"/>
              <w:marBottom w:val="0"/>
              <w:divBdr>
                <w:top w:val="none" w:sz="0" w:space="0" w:color="auto"/>
                <w:left w:val="none" w:sz="0" w:space="0" w:color="auto"/>
                <w:bottom w:val="none" w:sz="0" w:space="0" w:color="auto"/>
                <w:right w:val="none" w:sz="0" w:space="0" w:color="auto"/>
              </w:divBdr>
              <w:divsChild>
                <w:div w:id="1243446855">
                  <w:marLeft w:val="0"/>
                  <w:marRight w:val="0"/>
                  <w:marTop w:val="0"/>
                  <w:marBottom w:val="0"/>
                  <w:divBdr>
                    <w:top w:val="none" w:sz="0" w:space="0" w:color="auto"/>
                    <w:left w:val="none" w:sz="0" w:space="0" w:color="auto"/>
                    <w:bottom w:val="none" w:sz="0" w:space="0" w:color="auto"/>
                    <w:right w:val="none" w:sz="0" w:space="0" w:color="auto"/>
                  </w:divBdr>
                  <w:divsChild>
                    <w:div w:id="1289044168">
                      <w:marLeft w:val="0"/>
                      <w:marRight w:val="0"/>
                      <w:marTop w:val="0"/>
                      <w:marBottom w:val="0"/>
                      <w:divBdr>
                        <w:top w:val="none" w:sz="0" w:space="0" w:color="auto"/>
                        <w:left w:val="none" w:sz="0" w:space="0" w:color="auto"/>
                        <w:bottom w:val="none" w:sz="0" w:space="0" w:color="auto"/>
                        <w:right w:val="none" w:sz="0" w:space="0" w:color="auto"/>
                      </w:divBdr>
                      <w:divsChild>
                        <w:div w:id="942882952">
                          <w:marLeft w:val="0"/>
                          <w:marRight w:val="0"/>
                          <w:marTop w:val="0"/>
                          <w:marBottom w:val="0"/>
                          <w:divBdr>
                            <w:top w:val="none" w:sz="0" w:space="0" w:color="auto"/>
                            <w:left w:val="none" w:sz="0" w:space="0" w:color="auto"/>
                            <w:bottom w:val="none" w:sz="0" w:space="0" w:color="auto"/>
                            <w:right w:val="none" w:sz="0" w:space="0" w:color="auto"/>
                          </w:divBdr>
                          <w:divsChild>
                            <w:div w:id="1463689043">
                              <w:marLeft w:val="0"/>
                              <w:marRight w:val="0"/>
                              <w:marTop w:val="0"/>
                              <w:marBottom w:val="0"/>
                              <w:divBdr>
                                <w:top w:val="none" w:sz="0" w:space="0" w:color="auto"/>
                                <w:left w:val="none" w:sz="0" w:space="0" w:color="auto"/>
                                <w:bottom w:val="none" w:sz="0" w:space="0" w:color="auto"/>
                                <w:right w:val="none" w:sz="0" w:space="0" w:color="auto"/>
                              </w:divBdr>
                              <w:divsChild>
                                <w:div w:id="11263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18757">
      <w:bodyDiv w:val="1"/>
      <w:marLeft w:val="0"/>
      <w:marRight w:val="0"/>
      <w:marTop w:val="0"/>
      <w:marBottom w:val="0"/>
      <w:divBdr>
        <w:top w:val="none" w:sz="0" w:space="0" w:color="auto"/>
        <w:left w:val="none" w:sz="0" w:space="0" w:color="auto"/>
        <w:bottom w:val="none" w:sz="0" w:space="0" w:color="auto"/>
        <w:right w:val="none" w:sz="0" w:space="0" w:color="auto"/>
      </w:divBdr>
    </w:div>
    <w:div w:id="137040666">
      <w:bodyDiv w:val="1"/>
      <w:marLeft w:val="0"/>
      <w:marRight w:val="0"/>
      <w:marTop w:val="0"/>
      <w:marBottom w:val="0"/>
      <w:divBdr>
        <w:top w:val="none" w:sz="0" w:space="0" w:color="auto"/>
        <w:left w:val="none" w:sz="0" w:space="0" w:color="auto"/>
        <w:bottom w:val="none" w:sz="0" w:space="0" w:color="auto"/>
        <w:right w:val="none" w:sz="0" w:space="0" w:color="auto"/>
      </w:divBdr>
    </w:div>
    <w:div w:id="140998181">
      <w:bodyDiv w:val="1"/>
      <w:marLeft w:val="0"/>
      <w:marRight w:val="0"/>
      <w:marTop w:val="0"/>
      <w:marBottom w:val="0"/>
      <w:divBdr>
        <w:top w:val="none" w:sz="0" w:space="0" w:color="auto"/>
        <w:left w:val="none" w:sz="0" w:space="0" w:color="auto"/>
        <w:bottom w:val="none" w:sz="0" w:space="0" w:color="auto"/>
        <w:right w:val="none" w:sz="0" w:space="0" w:color="auto"/>
      </w:divBdr>
    </w:div>
    <w:div w:id="143472091">
      <w:bodyDiv w:val="1"/>
      <w:marLeft w:val="0"/>
      <w:marRight w:val="0"/>
      <w:marTop w:val="0"/>
      <w:marBottom w:val="0"/>
      <w:divBdr>
        <w:top w:val="none" w:sz="0" w:space="0" w:color="auto"/>
        <w:left w:val="none" w:sz="0" w:space="0" w:color="auto"/>
        <w:bottom w:val="none" w:sz="0" w:space="0" w:color="auto"/>
        <w:right w:val="none" w:sz="0" w:space="0" w:color="auto"/>
      </w:divBdr>
    </w:div>
    <w:div w:id="189610500">
      <w:bodyDiv w:val="1"/>
      <w:marLeft w:val="0"/>
      <w:marRight w:val="0"/>
      <w:marTop w:val="0"/>
      <w:marBottom w:val="0"/>
      <w:divBdr>
        <w:top w:val="none" w:sz="0" w:space="0" w:color="auto"/>
        <w:left w:val="none" w:sz="0" w:space="0" w:color="auto"/>
        <w:bottom w:val="none" w:sz="0" w:space="0" w:color="auto"/>
        <w:right w:val="none" w:sz="0" w:space="0" w:color="auto"/>
      </w:divBdr>
    </w:div>
    <w:div w:id="214388525">
      <w:bodyDiv w:val="1"/>
      <w:marLeft w:val="0"/>
      <w:marRight w:val="0"/>
      <w:marTop w:val="0"/>
      <w:marBottom w:val="0"/>
      <w:divBdr>
        <w:top w:val="none" w:sz="0" w:space="0" w:color="auto"/>
        <w:left w:val="none" w:sz="0" w:space="0" w:color="auto"/>
        <w:bottom w:val="none" w:sz="0" w:space="0" w:color="auto"/>
        <w:right w:val="none" w:sz="0" w:space="0" w:color="auto"/>
      </w:divBdr>
    </w:div>
    <w:div w:id="223368641">
      <w:bodyDiv w:val="1"/>
      <w:marLeft w:val="0"/>
      <w:marRight w:val="0"/>
      <w:marTop w:val="0"/>
      <w:marBottom w:val="0"/>
      <w:divBdr>
        <w:top w:val="none" w:sz="0" w:space="0" w:color="auto"/>
        <w:left w:val="none" w:sz="0" w:space="0" w:color="auto"/>
        <w:bottom w:val="none" w:sz="0" w:space="0" w:color="auto"/>
        <w:right w:val="none" w:sz="0" w:space="0" w:color="auto"/>
      </w:divBdr>
    </w:div>
    <w:div w:id="289437199">
      <w:bodyDiv w:val="1"/>
      <w:marLeft w:val="0"/>
      <w:marRight w:val="0"/>
      <w:marTop w:val="0"/>
      <w:marBottom w:val="0"/>
      <w:divBdr>
        <w:top w:val="none" w:sz="0" w:space="0" w:color="auto"/>
        <w:left w:val="none" w:sz="0" w:space="0" w:color="auto"/>
        <w:bottom w:val="none" w:sz="0" w:space="0" w:color="auto"/>
        <w:right w:val="none" w:sz="0" w:space="0" w:color="auto"/>
      </w:divBdr>
    </w:div>
    <w:div w:id="302662559">
      <w:bodyDiv w:val="1"/>
      <w:marLeft w:val="0"/>
      <w:marRight w:val="0"/>
      <w:marTop w:val="0"/>
      <w:marBottom w:val="0"/>
      <w:divBdr>
        <w:top w:val="none" w:sz="0" w:space="0" w:color="auto"/>
        <w:left w:val="none" w:sz="0" w:space="0" w:color="auto"/>
        <w:bottom w:val="none" w:sz="0" w:space="0" w:color="auto"/>
        <w:right w:val="none" w:sz="0" w:space="0" w:color="auto"/>
      </w:divBdr>
    </w:div>
    <w:div w:id="310061677">
      <w:bodyDiv w:val="1"/>
      <w:marLeft w:val="0"/>
      <w:marRight w:val="0"/>
      <w:marTop w:val="0"/>
      <w:marBottom w:val="0"/>
      <w:divBdr>
        <w:top w:val="none" w:sz="0" w:space="0" w:color="auto"/>
        <w:left w:val="none" w:sz="0" w:space="0" w:color="auto"/>
        <w:bottom w:val="none" w:sz="0" w:space="0" w:color="auto"/>
        <w:right w:val="none" w:sz="0" w:space="0" w:color="auto"/>
      </w:divBdr>
    </w:div>
    <w:div w:id="369839041">
      <w:bodyDiv w:val="1"/>
      <w:marLeft w:val="0"/>
      <w:marRight w:val="0"/>
      <w:marTop w:val="0"/>
      <w:marBottom w:val="0"/>
      <w:divBdr>
        <w:top w:val="none" w:sz="0" w:space="0" w:color="auto"/>
        <w:left w:val="none" w:sz="0" w:space="0" w:color="auto"/>
        <w:bottom w:val="none" w:sz="0" w:space="0" w:color="auto"/>
        <w:right w:val="none" w:sz="0" w:space="0" w:color="auto"/>
      </w:divBdr>
      <w:divsChild>
        <w:div w:id="1419525946">
          <w:marLeft w:val="720"/>
          <w:marRight w:val="0"/>
          <w:marTop w:val="0"/>
          <w:marBottom w:val="0"/>
          <w:divBdr>
            <w:top w:val="none" w:sz="0" w:space="0" w:color="auto"/>
            <w:left w:val="none" w:sz="0" w:space="0" w:color="auto"/>
            <w:bottom w:val="none" w:sz="0" w:space="0" w:color="auto"/>
            <w:right w:val="none" w:sz="0" w:space="0" w:color="auto"/>
          </w:divBdr>
        </w:div>
        <w:div w:id="1489053719">
          <w:marLeft w:val="720"/>
          <w:marRight w:val="0"/>
          <w:marTop w:val="0"/>
          <w:marBottom w:val="0"/>
          <w:divBdr>
            <w:top w:val="none" w:sz="0" w:space="0" w:color="auto"/>
            <w:left w:val="none" w:sz="0" w:space="0" w:color="auto"/>
            <w:bottom w:val="none" w:sz="0" w:space="0" w:color="auto"/>
            <w:right w:val="none" w:sz="0" w:space="0" w:color="auto"/>
          </w:divBdr>
        </w:div>
      </w:divsChild>
    </w:div>
    <w:div w:id="435248521">
      <w:bodyDiv w:val="1"/>
      <w:marLeft w:val="0"/>
      <w:marRight w:val="0"/>
      <w:marTop w:val="0"/>
      <w:marBottom w:val="0"/>
      <w:divBdr>
        <w:top w:val="none" w:sz="0" w:space="0" w:color="auto"/>
        <w:left w:val="none" w:sz="0" w:space="0" w:color="auto"/>
        <w:bottom w:val="none" w:sz="0" w:space="0" w:color="auto"/>
        <w:right w:val="none" w:sz="0" w:space="0" w:color="auto"/>
      </w:divBdr>
    </w:div>
    <w:div w:id="442699342">
      <w:bodyDiv w:val="1"/>
      <w:marLeft w:val="0"/>
      <w:marRight w:val="0"/>
      <w:marTop w:val="0"/>
      <w:marBottom w:val="0"/>
      <w:divBdr>
        <w:top w:val="none" w:sz="0" w:space="0" w:color="auto"/>
        <w:left w:val="none" w:sz="0" w:space="0" w:color="auto"/>
        <w:bottom w:val="none" w:sz="0" w:space="0" w:color="auto"/>
        <w:right w:val="none" w:sz="0" w:space="0" w:color="auto"/>
      </w:divBdr>
    </w:div>
    <w:div w:id="464812118">
      <w:bodyDiv w:val="1"/>
      <w:marLeft w:val="0"/>
      <w:marRight w:val="0"/>
      <w:marTop w:val="0"/>
      <w:marBottom w:val="0"/>
      <w:divBdr>
        <w:top w:val="none" w:sz="0" w:space="0" w:color="auto"/>
        <w:left w:val="none" w:sz="0" w:space="0" w:color="auto"/>
        <w:bottom w:val="none" w:sz="0" w:space="0" w:color="auto"/>
        <w:right w:val="none" w:sz="0" w:space="0" w:color="auto"/>
      </w:divBdr>
    </w:div>
    <w:div w:id="484931293">
      <w:bodyDiv w:val="1"/>
      <w:marLeft w:val="0"/>
      <w:marRight w:val="0"/>
      <w:marTop w:val="0"/>
      <w:marBottom w:val="0"/>
      <w:divBdr>
        <w:top w:val="none" w:sz="0" w:space="0" w:color="auto"/>
        <w:left w:val="none" w:sz="0" w:space="0" w:color="auto"/>
        <w:bottom w:val="none" w:sz="0" w:space="0" w:color="auto"/>
        <w:right w:val="none" w:sz="0" w:space="0" w:color="auto"/>
      </w:divBdr>
    </w:div>
    <w:div w:id="528496073">
      <w:bodyDiv w:val="1"/>
      <w:marLeft w:val="0"/>
      <w:marRight w:val="0"/>
      <w:marTop w:val="0"/>
      <w:marBottom w:val="0"/>
      <w:divBdr>
        <w:top w:val="none" w:sz="0" w:space="0" w:color="auto"/>
        <w:left w:val="none" w:sz="0" w:space="0" w:color="auto"/>
        <w:bottom w:val="none" w:sz="0" w:space="0" w:color="auto"/>
        <w:right w:val="none" w:sz="0" w:space="0" w:color="auto"/>
      </w:divBdr>
    </w:div>
    <w:div w:id="544218686">
      <w:bodyDiv w:val="1"/>
      <w:marLeft w:val="0"/>
      <w:marRight w:val="0"/>
      <w:marTop w:val="0"/>
      <w:marBottom w:val="0"/>
      <w:divBdr>
        <w:top w:val="none" w:sz="0" w:space="0" w:color="auto"/>
        <w:left w:val="none" w:sz="0" w:space="0" w:color="auto"/>
        <w:bottom w:val="none" w:sz="0" w:space="0" w:color="auto"/>
        <w:right w:val="none" w:sz="0" w:space="0" w:color="auto"/>
      </w:divBdr>
    </w:div>
    <w:div w:id="559486216">
      <w:bodyDiv w:val="1"/>
      <w:marLeft w:val="0"/>
      <w:marRight w:val="0"/>
      <w:marTop w:val="0"/>
      <w:marBottom w:val="0"/>
      <w:divBdr>
        <w:top w:val="none" w:sz="0" w:space="0" w:color="auto"/>
        <w:left w:val="none" w:sz="0" w:space="0" w:color="auto"/>
        <w:bottom w:val="none" w:sz="0" w:space="0" w:color="auto"/>
        <w:right w:val="none" w:sz="0" w:space="0" w:color="auto"/>
      </w:divBdr>
    </w:div>
    <w:div w:id="584534364">
      <w:bodyDiv w:val="1"/>
      <w:marLeft w:val="0"/>
      <w:marRight w:val="0"/>
      <w:marTop w:val="0"/>
      <w:marBottom w:val="0"/>
      <w:divBdr>
        <w:top w:val="none" w:sz="0" w:space="0" w:color="auto"/>
        <w:left w:val="none" w:sz="0" w:space="0" w:color="auto"/>
        <w:bottom w:val="none" w:sz="0" w:space="0" w:color="auto"/>
        <w:right w:val="none" w:sz="0" w:space="0" w:color="auto"/>
      </w:divBdr>
    </w:div>
    <w:div w:id="586037536">
      <w:bodyDiv w:val="1"/>
      <w:marLeft w:val="0"/>
      <w:marRight w:val="0"/>
      <w:marTop w:val="0"/>
      <w:marBottom w:val="0"/>
      <w:divBdr>
        <w:top w:val="none" w:sz="0" w:space="0" w:color="auto"/>
        <w:left w:val="none" w:sz="0" w:space="0" w:color="auto"/>
        <w:bottom w:val="none" w:sz="0" w:space="0" w:color="auto"/>
        <w:right w:val="none" w:sz="0" w:space="0" w:color="auto"/>
      </w:divBdr>
    </w:div>
    <w:div w:id="586429067">
      <w:bodyDiv w:val="1"/>
      <w:marLeft w:val="0"/>
      <w:marRight w:val="0"/>
      <w:marTop w:val="0"/>
      <w:marBottom w:val="0"/>
      <w:divBdr>
        <w:top w:val="none" w:sz="0" w:space="0" w:color="auto"/>
        <w:left w:val="none" w:sz="0" w:space="0" w:color="auto"/>
        <w:bottom w:val="none" w:sz="0" w:space="0" w:color="auto"/>
        <w:right w:val="none" w:sz="0" w:space="0" w:color="auto"/>
      </w:divBdr>
    </w:div>
    <w:div w:id="590092712">
      <w:bodyDiv w:val="1"/>
      <w:marLeft w:val="0"/>
      <w:marRight w:val="0"/>
      <w:marTop w:val="0"/>
      <w:marBottom w:val="0"/>
      <w:divBdr>
        <w:top w:val="none" w:sz="0" w:space="0" w:color="auto"/>
        <w:left w:val="none" w:sz="0" w:space="0" w:color="auto"/>
        <w:bottom w:val="none" w:sz="0" w:space="0" w:color="auto"/>
        <w:right w:val="none" w:sz="0" w:space="0" w:color="auto"/>
      </w:divBdr>
    </w:div>
    <w:div w:id="644627573">
      <w:bodyDiv w:val="1"/>
      <w:marLeft w:val="0"/>
      <w:marRight w:val="0"/>
      <w:marTop w:val="0"/>
      <w:marBottom w:val="0"/>
      <w:divBdr>
        <w:top w:val="none" w:sz="0" w:space="0" w:color="auto"/>
        <w:left w:val="none" w:sz="0" w:space="0" w:color="auto"/>
        <w:bottom w:val="none" w:sz="0" w:space="0" w:color="auto"/>
        <w:right w:val="none" w:sz="0" w:space="0" w:color="auto"/>
      </w:divBdr>
    </w:div>
    <w:div w:id="679234212">
      <w:bodyDiv w:val="1"/>
      <w:marLeft w:val="0"/>
      <w:marRight w:val="0"/>
      <w:marTop w:val="0"/>
      <w:marBottom w:val="0"/>
      <w:divBdr>
        <w:top w:val="none" w:sz="0" w:space="0" w:color="auto"/>
        <w:left w:val="none" w:sz="0" w:space="0" w:color="auto"/>
        <w:bottom w:val="none" w:sz="0" w:space="0" w:color="auto"/>
        <w:right w:val="none" w:sz="0" w:space="0" w:color="auto"/>
      </w:divBdr>
    </w:div>
    <w:div w:id="696586064">
      <w:bodyDiv w:val="1"/>
      <w:marLeft w:val="0"/>
      <w:marRight w:val="0"/>
      <w:marTop w:val="0"/>
      <w:marBottom w:val="0"/>
      <w:divBdr>
        <w:top w:val="none" w:sz="0" w:space="0" w:color="auto"/>
        <w:left w:val="none" w:sz="0" w:space="0" w:color="auto"/>
        <w:bottom w:val="none" w:sz="0" w:space="0" w:color="auto"/>
        <w:right w:val="none" w:sz="0" w:space="0" w:color="auto"/>
      </w:divBdr>
    </w:div>
    <w:div w:id="714500087">
      <w:bodyDiv w:val="1"/>
      <w:marLeft w:val="0"/>
      <w:marRight w:val="0"/>
      <w:marTop w:val="0"/>
      <w:marBottom w:val="0"/>
      <w:divBdr>
        <w:top w:val="none" w:sz="0" w:space="0" w:color="auto"/>
        <w:left w:val="none" w:sz="0" w:space="0" w:color="auto"/>
        <w:bottom w:val="none" w:sz="0" w:space="0" w:color="auto"/>
        <w:right w:val="none" w:sz="0" w:space="0" w:color="auto"/>
      </w:divBdr>
    </w:div>
    <w:div w:id="734159003">
      <w:bodyDiv w:val="1"/>
      <w:marLeft w:val="0"/>
      <w:marRight w:val="0"/>
      <w:marTop w:val="0"/>
      <w:marBottom w:val="0"/>
      <w:divBdr>
        <w:top w:val="none" w:sz="0" w:space="0" w:color="auto"/>
        <w:left w:val="none" w:sz="0" w:space="0" w:color="auto"/>
        <w:bottom w:val="none" w:sz="0" w:space="0" w:color="auto"/>
        <w:right w:val="none" w:sz="0" w:space="0" w:color="auto"/>
      </w:divBdr>
    </w:div>
    <w:div w:id="792551666">
      <w:bodyDiv w:val="1"/>
      <w:marLeft w:val="0"/>
      <w:marRight w:val="0"/>
      <w:marTop w:val="0"/>
      <w:marBottom w:val="0"/>
      <w:divBdr>
        <w:top w:val="none" w:sz="0" w:space="0" w:color="auto"/>
        <w:left w:val="none" w:sz="0" w:space="0" w:color="auto"/>
        <w:bottom w:val="none" w:sz="0" w:space="0" w:color="auto"/>
        <w:right w:val="none" w:sz="0" w:space="0" w:color="auto"/>
      </w:divBdr>
    </w:div>
    <w:div w:id="808328215">
      <w:bodyDiv w:val="1"/>
      <w:marLeft w:val="0"/>
      <w:marRight w:val="0"/>
      <w:marTop w:val="0"/>
      <w:marBottom w:val="0"/>
      <w:divBdr>
        <w:top w:val="none" w:sz="0" w:space="0" w:color="auto"/>
        <w:left w:val="none" w:sz="0" w:space="0" w:color="auto"/>
        <w:bottom w:val="none" w:sz="0" w:space="0" w:color="auto"/>
        <w:right w:val="none" w:sz="0" w:space="0" w:color="auto"/>
      </w:divBdr>
    </w:div>
    <w:div w:id="808742959">
      <w:bodyDiv w:val="1"/>
      <w:marLeft w:val="0"/>
      <w:marRight w:val="0"/>
      <w:marTop w:val="0"/>
      <w:marBottom w:val="0"/>
      <w:divBdr>
        <w:top w:val="none" w:sz="0" w:space="0" w:color="auto"/>
        <w:left w:val="none" w:sz="0" w:space="0" w:color="auto"/>
        <w:bottom w:val="none" w:sz="0" w:space="0" w:color="auto"/>
        <w:right w:val="none" w:sz="0" w:space="0" w:color="auto"/>
      </w:divBdr>
    </w:div>
    <w:div w:id="864101891">
      <w:bodyDiv w:val="1"/>
      <w:marLeft w:val="0"/>
      <w:marRight w:val="0"/>
      <w:marTop w:val="0"/>
      <w:marBottom w:val="0"/>
      <w:divBdr>
        <w:top w:val="none" w:sz="0" w:space="0" w:color="auto"/>
        <w:left w:val="none" w:sz="0" w:space="0" w:color="auto"/>
        <w:bottom w:val="none" w:sz="0" w:space="0" w:color="auto"/>
        <w:right w:val="none" w:sz="0" w:space="0" w:color="auto"/>
      </w:divBdr>
    </w:div>
    <w:div w:id="895362396">
      <w:bodyDiv w:val="1"/>
      <w:marLeft w:val="0"/>
      <w:marRight w:val="0"/>
      <w:marTop w:val="0"/>
      <w:marBottom w:val="0"/>
      <w:divBdr>
        <w:top w:val="none" w:sz="0" w:space="0" w:color="auto"/>
        <w:left w:val="none" w:sz="0" w:space="0" w:color="auto"/>
        <w:bottom w:val="none" w:sz="0" w:space="0" w:color="auto"/>
        <w:right w:val="none" w:sz="0" w:space="0" w:color="auto"/>
      </w:divBdr>
    </w:div>
    <w:div w:id="932668478">
      <w:bodyDiv w:val="1"/>
      <w:marLeft w:val="0"/>
      <w:marRight w:val="0"/>
      <w:marTop w:val="0"/>
      <w:marBottom w:val="0"/>
      <w:divBdr>
        <w:top w:val="none" w:sz="0" w:space="0" w:color="auto"/>
        <w:left w:val="none" w:sz="0" w:space="0" w:color="auto"/>
        <w:bottom w:val="none" w:sz="0" w:space="0" w:color="auto"/>
        <w:right w:val="none" w:sz="0" w:space="0" w:color="auto"/>
      </w:divBdr>
    </w:div>
    <w:div w:id="940994366">
      <w:bodyDiv w:val="1"/>
      <w:marLeft w:val="0"/>
      <w:marRight w:val="0"/>
      <w:marTop w:val="0"/>
      <w:marBottom w:val="0"/>
      <w:divBdr>
        <w:top w:val="none" w:sz="0" w:space="0" w:color="auto"/>
        <w:left w:val="none" w:sz="0" w:space="0" w:color="auto"/>
        <w:bottom w:val="none" w:sz="0" w:space="0" w:color="auto"/>
        <w:right w:val="none" w:sz="0" w:space="0" w:color="auto"/>
      </w:divBdr>
    </w:div>
    <w:div w:id="953705138">
      <w:bodyDiv w:val="1"/>
      <w:marLeft w:val="0"/>
      <w:marRight w:val="0"/>
      <w:marTop w:val="0"/>
      <w:marBottom w:val="0"/>
      <w:divBdr>
        <w:top w:val="none" w:sz="0" w:space="0" w:color="auto"/>
        <w:left w:val="none" w:sz="0" w:space="0" w:color="auto"/>
        <w:bottom w:val="none" w:sz="0" w:space="0" w:color="auto"/>
        <w:right w:val="none" w:sz="0" w:space="0" w:color="auto"/>
      </w:divBdr>
    </w:div>
    <w:div w:id="1017926505">
      <w:bodyDiv w:val="1"/>
      <w:marLeft w:val="0"/>
      <w:marRight w:val="0"/>
      <w:marTop w:val="0"/>
      <w:marBottom w:val="0"/>
      <w:divBdr>
        <w:top w:val="none" w:sz="0" w:space="0" w:color="auto"/>
        <w:left w:val="none" w:sz="0" w:space="0" w:color="auto"/>
        <w:bottom w:val="none" w:sz="0" w:space="0" w:color="auto"/>
        <w:right w:val="none" w:sz="0" w:space="0" w:color="auto"/>
      </w:divBdr>
    </w:div>
    <w:div w:id="1054041585">
      <w:bodyDiv w:val="1"/>
      <w:marLeft w:val="0"/>
      <w:marRight w:val="0"/>
      <w:marTop w:val="0"/>
      <w:marBottom w:val="0"/>
      <w:divBdr>
        <w:top w:val="none" w:sz="0" w:space="0" w:color="auto"/>
        <w:left w:val="none" w:sz="0" w:space="0" w:color="auto"/>
        <w:bottom w:val="none" w:sz="0" w:space="0" w:color="auto"/>
        <w:right w:val="none" w:sz="0" w:space="0" w:color="auto"/>
      </w:divBdr>
    </w:div>
    <w:div w:id="1057361077">
      <w:bodyDiv w:val="1"/>
      <w:marLeft w:val="0"/>
      <w:marRight w:val="0"/>
      <w:marTop w:val="0"/>
      <w:marBottom w:val="0"/>
      <w:divBdr>
        <w:top w:val="none" w:sz="0" w:space="0" w:color="auto"/>
        <w:left w:val="none" w:sz="0" w:space="0" w:color="auto"/>
        <w:bottom w:val="none" w:sz="0" w:space="0" w:color="auto"/>
        <w:right w:val="none" w:sz="0" w:space="0" w:color="auto"/>
      </w:divBdr>
    </w:div>
    <w:div w:id="1088621842">
      <w:bodyDiv w:val="1"/>
      <w:marLeft w:val="0"/>
      <w:marRight w:val="0"/>
      <w:marTop w:val="0"/>
      <w:marBottom w:val="0"/>
      <w:divBdr>
        <w:top w:val="none" w:sz="0" w:space="0" w:color="auto"/>
        <w:left w:val="none" w:sz="0" w:space="0" w:color="auto"/>
        <w:bottom w:val="none" w:sz="0" w:space="0" w:color="auto"/>
        <w:right w:val="none" w:sz="0" w:space="0" w:color="auto"/>
      </w:divBdr>
    </w:div>
    <w:div w:id="1104612040">
      <w:bodyDiv w:val="1"/>
      <w:marLeft w:val="0"/>
      <w:marRight w:val="0"/>
      <w:marTop w:val="0"/>
      <w:marBottom w:val="0"/>
      <w:divBdr>
        <w:top w:val="none" w:sz="0" w:space="0" w:color="auto"/>
        <w:left w:val="none" w:sz="0" w:space="0" w:color="auto"/>
        <w:bottom w:val="none" w:sz="0" w:space="0" w:color="auto"/>
        <w:right w:val="none" w:sz="0" w:space="0" w:color="auto"/>
      </w:divBdr>
    </w:div>
    <w:div w:id="1114908788">
      <w:bodyDiv w:val="1"/>
      <w:marLeft w:val="0"/>
      <w:marRight w:val="0"/>
      <w:marTop w:val="0"/>
      <w:marBottom w:val="0"/>
      <w:divBdr>
        <w:top w:val="none" w:sz="0" w:space="0" w:color="auto"/>
        <w:left w:val="none" w:sz="0" w:space="0" w:color="auto"/>
        <w:bottom w:val="none" w:sz="0" w:space="0" w:color="auto"/>
        <w:right w:val="none" w:sz="0" w:space="0" w:color="auto"/>
      </w:divBdr>
    </w:div>
    <w:div w:id="1131248442">
      <w:bodyDiv w:val="1"/>
      <w:marLeft w:val="0"/>
      <w:marRight w:val="0"/>
      <w:marTop w:val="0"/>
      <w:marBottom w:val="0"/>
      <w:divBdr>
        <w:top w:val="none" w:sz="0" w:space="0" w:color="auto"/>
        <w:left w:val="none" w:sz="0" w:space="0" w:color="auto"/>
        <w:bottom w:val="none" w:sz="0" w:space="0" w:color="auto"/>
        <w:right w:val="none" w:sz="0" w:space="0" w:color="auto"/>
      </w:divBdr>
    </w:div>
    <w:div w:id="1131248998">
      <w:bodyDiv w:val="1"/>
      <w:marLeft w:val="0"/>
      <w:marRight w:val="0"/>
      <w:marTop w:val="0"/>
      <w:marBottom w:val="0"/>
      <w:divBdr>
        <w:top w:val="none" w:sz="0" w:space="0" w:color="auto"/>
        <w:left w:val="none" w:sz="0" w:space="0" w:color="auto"/>
        <w:bottom w:val="none" w:sz="0" w:space="0" w:color="auto"/>
        <w:right w:val="none" w:sz="0" w:space="0" w:color="auto"/>
      </w:divBdr>
    </w:div>
    <w:div w:id="1166752259">
      <w:bodyDiv w:val="1"/>
      <w:marLeft w:val="0"/>
      <w:marRight w:val="0"/>
      <w:marTop w:val="0"/>
      <w:marBottom w:val="0"/>
      <w:divBdr>
        <w:top w:val="none" w:sz="0" w:space="0" w:color="auto"/>
        <w:left w:val="none" w:sz="0" w:space="0" w:color="auto"/>
        <w:bottom w:val="none" w:sz="0" w:space="0" w:color="auto"/>
        <w:right w:val="none" w:sz="0" w:space="0" w:color="auto"/>
      </w:divBdr>
    </w:div>
    <w:div w:id="1198618546">
      <w:bodyDiv w:val="1"/>
      <w:marLeft w:val="0"/>
      <w:marRight w:val="0"/>
      <w:marTop w:val="0"/>
      <w:marBottom w:val="0"/>
      <w:divBdr>
        <w:top w:val="none" w:sz="0" w:space="0" w:color="auto"/>
        <w:left w:val="none" w:sz="0" w:space="0" w:color="auto"/>
        <w:bottom w:val="none" w:sz="0" w:space="0" w:color="auto"/>
        <w:right w:val="none" w:sz="0" w:space="0" w:color="auto"/>
      </w:divBdr>
    </w:div>
    <w:div w:id="1213424781">
      <w:bodyDiv w:val="1"/>
      <w:marLeft w:val="0"/>
      <w:marRight w:val="0"/>
      <w:marTop w:val="0"/>
      <w:marBottom w:val="0"/>
      <w:divBdr>
        <w:top w:val="none" w:sz="0" w:space="0" w:color="auto"/>
        <w:left w:val="none" w:sz="0" w:space="0" w:color="auto"/>
        <w:bottom w:val="none" w:sz="0" w:space="0" w:color="auto"/>
        <w:right w:val="none" w:sz="0" w:space="0" w:color="auto"/>
      </w:divBdr>
    </w:div>
    <w:div w:id="1235121846">
      <w:bodyDiv w:val="1"/>
      <w:marLeft w:val="0"/>
      <w:marRight w:val="0"/>
      <w:marTop w:val="0"/>
      <w:marBottom w:val="0"/>
      <w:divBdr>
        <w:top w:val="none" w:sz="0" w:space="0" w:color="auto"/>
        <w:left w:val="none" w:sz="0" w:space="0" w:color="auto"/>
        <w:bottom w:val="none" w:sz="0" w:space="0" w:color="auto"/>
        <w:right w:val="none" w:sz="0" w:space="0" w:color="auto"/>
      </w:divBdr>
    </w:div>
    <w:div w:id="1247611937">
      <w:bodyDiv w:val="1"/>
      <w:marLeft w:val="0"/>
      <w:marRight w:val="0"/>
      <w:marTop w:val="0"/>
      <w:marBottom w:val="0"/>
      <w:divBdr>
        <w:top w:val="none" w:sz="0" w:space="0" w:color="auto"/>
        <w:left w:val="none" w:sz="0" w:space="0" w:color="auto"/>
        <w:bottom w:val="none" w:sz="0" w:space="0" w:color="auto"/>
        <w:right w:val="none" w:sz="0" w:space="0" w:color="auto"/>
      </w:divBdr>
    </w:div>
    <w:div w:id="1293514679">
      <w:bodyDiv w:val="1"/>
      <w:marLeft w:val="0"/>
      <w:marRight w:val="0"/>
      <w:marTop w:val="0"/>
      <w:marBottom w:val="0"/>
      <w:divBdr>
        <w:top w:val="none" w:sz="0" w:space="0" w:color="auto"/>
        <w:left w:val="none" w:sz="0" w:space="0" w:color="auto"/>
        <w:bottom w:val="none" w:sz="0" w:space="0" w:color="auto"/>
        <w:right w:val="none" w:sz="0" w:space="0" w:color="auto"/>
      </w:divBdr>
    </w:div>
    <w:div w:id="1319261154">
      <w:bodyDiv w:val="1"/>
      <w:marLeft w:val="0"/>
      <w:marRight w:val="0"/>
      <w:marTop w:val="0"/>
      <w:marBottom w:val="0"/>
      <w:divBdr>
        <w:top w:val="none" w:sz="0" w:space="0" w:color="auto"/>
        <w:left w:val="none" w:sz="0" w:space="0" w:color="auto"/>
        <w:bottom w:val="none" w:sz="0" w:space="0" w:color="auto"/>
        <w:right w:val="none" w:sz="0" w:space="0" w:color="auto"/>
      </w:divBdr>
    </w:div>
    <w:div w:id="1319308992">
      <w:bodyDiv w:val="1"/>
      <w:marLeft w:val="0"/>
      <w:marRight w:val="0"/>
      <w:marTop w:val="0"/>
      <w:marBottom w:val="0"/>
      <w:divBdr>
        <w:top w:val="none" w:sz="0" w:space="0" w:color="auto"/>
        <w:left w:val="none" w:sz="0" w:space="0" w:color="auto"/>
        <w:bottom w:val="none" w:sz="0" w:space="0" w:color="auto"/>
        <w:right w:val="none" w:sz="0" w:space="0" w:color="auto"/>
      </w:divBdr>
    </w:div>
    <w:div w:id="1360665141">
      <w:bodyDiv w:val="1"/>
      <w:marLeft w:val="0"/>
      <w:marRight w:val="0"/>
      <w:marTop w:val="0"/>
      <w:marBottom w:val="0"/>
      <w:divBdr>
        <w:top w:val="none" w:sz="0" w:space="0" w:color="auto"/>
        <w:left w:val="none" w:sz="0" w:space="0" w:color="auto"/>
        <w:bottom w:val="none" w:sz="0" w:space="0" w:color="auto"/>
        <w:right w:val="none" w:sz="0" w:space="0" w:color="auto"/>
      </w:divBdr>
    </w:div>
    <w:div w:id="1367831211">
      <w:bodyDiv w:val="1"/>
      <w:marLeft w:val="0"/>
      <w:marRight w:val="0"/>
      <w:marTop w:val="0"/>
      <w:marBottom w:val="0"/>
      <w:divBdr>
        <w:top w:val="none" w:sz="0" w:space="0" w:color="auto"/>
        <w:left w:val="none" w:sz="0" w:space="0" w:color="auto"/>
        <w:bottom w:val="none" w:sz="0" w:space="0" w:color="auto"/>
        <w:right w:val="none" w:sz="0" w:space="0" w:color="auto"/>
      </w:divBdr>
    </w:div>
    <w:div w:id="1372920316">
      <w:bodyDiv w:val="1"/>
      <w:marLeft w:val="0"/>
      <w:marRight w:val="0"/>
      <w:marTop w:val="0"/>
      <w:marBottom w:val="0"/>
      <w:divBdr>
        <w:top w:val="none" w:sz="0" w:space="0" w:color="auto"/>
        <w:left w:val="none" w:sz="0" w:space="0" w:color="auto"/>
        <w:bottom w:val="none" w:sz="0" w:space="0" w:color="auto"/>
        <w:right w:val="none" w:sz="0" w:space="0" w:color="auto"/>
      </w:divBdr>
    </w:div>
    <w:div w:id="1405058969">
      <w:bodyDiv w:val="1"/>
      <w:marLeft w:val="0"/>
      <w:marRight w:val="0"/>
      <w:marTop w:val="0"/>
      <w:marBottom w:val="0"/>
      <w:divBdr>
        <w:top w:val="none" w:sz="0" w:space="0" w:color="auto"/>
        <w:left w:val="none" w:sz="0" w:space="0" w:color="auto"/>
        <w:bottom w:val="none" w:sz="0" w:space="0" w:color="auto"/>
        <w:right w:val="none" w:sz="0" w:space="0" w:color="auto"/>
      </w:divBdr>
    </w:div>
    <w:div w:id="1440644804">
      <w:bodyDiv w:val="1"/>
      <w:marLeft w:val="0"/>
      <w:marRight w:val="0"/>
      <w:marTop w:val="0"/>
      <w:marBottom w:val="0"/>
      <w:divBdr>
        <w:top w:val="none" w:sz="0" w:space="0" w:color="auto"/>
        <w:left w:val="none" w:sz="0" w:space="0" w:color="auto"/>
        <w:bottom w:val="none" w:sz="0" w:space="0" w:color="auto"/>
        <w:right w:val="none" w:sz="0" w:space="0" w:color="auto"/>
      </w:divBdr>
      <w:divsChild>
        <w:div w:id="1276522602">
          <w:marLeft w:val="0"/>
          <w:marRight w:val="0"/>
          <w:marTop w:val="0"/>
          <w:marBottom w:val="0"/>
          <w:divBdr>
            <w:top w:val="none" w:sz="0" w:space="0" w:color="auto"/>
            <w:left w:val="none" w:sz="0" w:space="0" w:color="auto"/>
            <w:bottom w:val="none" w:sz="0" w:space="0" w:color="auto"/>
            <w:right w:val="none" w:sz="0" w:space="0" w:color="auto"/>
          </w:divBdr>
        </w:div>
      </w:divsChild>
    </w:div>
    <w:div w:id="1450778737">
      <w:bodyDiv w:val="1"/>
      <w:marLeft w:val="0"/>
      <w:marRight w:val="0"/>
      <w:marTop w:val="0"/>
      <w:marBottom w:val="0"/>
      <w:divBdr>
        <w:top w:val="none" w:sz="0" w:space="0" w:color="auto"/>
        <w:left w:val="none" w:sz="0" w:space="0" w:color="auto"/>
        <w:bottom w:val="none" w:sz="0" w:space="0" w:color="auto"/>
        <w:right w:val="none" w:sz="0" w:space="0" w:color="auto"/>
      </w:divBdr>
    </w:div>
    <w:div w:id="1453744047">
      <w:bodyDiv w:val="1"/>
      <w:marLeft w:val="0"/>
      <w:marRight w:val="0"/>
      <w:marTop w:val="0"/>
      <w:marBottom w:val="0"/>
      <w:divBdr>
        <w:top w:val="none" w:sz="0" w:space="0" w:color="auto"/>
        <w:left w:val="none" w:sz="0" w:space="0" w:color="auto"/>
        <w:bottom w:val="none" w:sz="0" w:space="0" w:color="auto"/>
        <w:right w:val="none" w:sz="0" w:space="0" w:color="auto"/>
      </w:divBdr>
    </w:div>
    <w:div w:id="1476948054">
      <w:bodyDiv w:val="1"/>
      <w:marLeft w:val="0"/>
      <w:marRight w:val="0"/>
      <w:marTop w:val="0"/>
      <w:marBottom w:val="0"/>
      <w:divBdr>
        <w:top w:val="none" w:sz="0" w:space="0" w:color="auto"/>
        <w:left w:val="none" w:sz="0" w:space="0" w:color="auto"/>
        <w:bottom w:val="none" w:sz="0" w:space="0" w:color="auto"/>
        <w:right w:val="none" w:sz="0" w:space="0" w:color="auto"/>
      </w:divBdr>
    </w:div>
    <w:div w:id="1479567123">
      <w:bodyDiv w:val="1"/>
      <w:marLeft w:val="0"/>
      <w:marRight w:val="0"/>
      <w:marTop w:val="0"/>
      <w:marBottom w:val="0"/>
      <w:divBdr>
        <w:top w:val="none" w:sz="0" w:space="0" w:color="auto"/>
        <w:left w:val="none" w:sz="0" w:space="0" w:color="auto"/>
        <w:bottom w:val="none" w:sz="0" w:space="0" w:color="auto"/>
        <w:right w:val="none" w:sz="0" w:space="0" w:color="auto"/>
      </w:divBdr>
    </w:div>
    <w:div w:id="1485396267">
      <w:bodyDiv w:val="1"/>
      <w:marLeft w:val="0"/>
      <w:marRight w:val="0"/>
      <w:marTop w:val="0"/>
      <w:marBottom w:val="0"/>
      <w:divBdr>
        <w:top w:val="none" w:sz="0" w:space="0" w:color="auto"/>
        <w:left w:val="none" w:sz="0" w:space="0" w:color="auto"/>
        <w:bottom w:val="none" w:sz="0" w:space="0" w:color="auto"/>
        <w:right w:val="none" w:sz="0" w:space="0" w:color="auto"/>
      </w:divBdr>
    </w:div>
    <w:div w:id="1507018442">
      <w:bodyDiv w:val="1"/>
      <w:marLeft w:val="0"/>
      <w:marRight w:val="0"/>
      <w:marTop w:val="0"/>
      <w:marBottom w:val="0"/>
      <w:divBdr>
        <w:top w:val="none" w:sz="0" w:space="0" w:color="auto"/>
        <w:left w:val="none" w:sz="0" w:space="0" w:color="auto"/>
        <w:bottom w:val="none" w:sz="0" w:space="0" w:color="auto"/>
        <w:right w:val="none" w:sz="0" w:space="0" w:color="auto"/>
      </w:divBdr>
    </w:div>
    <w:div w:id="1512723863">
      <w:bodyDiv w:val="1"/>
      <w:marLeft w:val="0"/>
      <w:marRight w:val="0"/>
      <w:marTop w:val="0"/>
      <w:marBottom w:val="0"/>
      <w:divBdr>
        <w:top w:val="none" w:sz="0" w:space="0" w:color="auto"/>
        <w:left w:val="none" w:sz="0" w:space="0" w:color="auto"/>
        <w:bottom w:val="none" w:sz="0" w:space="0" w:color="auto"/>
        <w:right w:val="none" w:sz="0" w:space="0" w:color="auto"/>
      </w:divBdr>
    </w:div>
    <w:div w:id="1515806314">
      <w:bodyDiv w:val="1"/>
      <w:marLeft w:val="0"/>
      <w:marRight w:val="0"/>
      <w:marTop w:val="0"/>
      <w:marBottom w:val="0"/>
      <w:divBdr>
        <w:top w:val="none" w:sz="0" w:space="0" w:color="auto"/>
        <w:left w:val="none" w:sz="0" w:space="0" w:color="auto"/>
        <w:bottom w:val="none" w:sz="0" w:space="0" w:color="auto"/>
        <w:right w:val="none" w:sz="0" w:space="0" w:color="auto"/>
      </w:divBdr>
    </w:div>
    <w:div w:id="1524434984">
      <w:bodyDiv w:val="1"/>
      <w:marLeft w:val="0"/>
      <w:marRight w:val="0"/>
      <w:marTop w:val="0"/>
      <w:marBottom w:val="0"/>
      <w:divBdr>
        <w:top w:val="none" w:sz="0" w:space="0" w:color="auto"/>
        <w:left w:val="none" w:sz="0" w:space="0" w:color="auto"/>
        <w:bottom w:val="none" w:sz="0" w:space="0" w:color="auto"/>
        <w:right w:val="none" w:sz="0" w:space="0" w:color="auto"/>
      </w:divBdr>
    </w:div>
    <w:div w:id="1527909134">
      <w:bodyDiv w:val="1"/>
      <w:marLeft w:val="0"/>
      <w:marRight w:val="0"/>
      <w:marTop w:val="0"/>
      <w:marBottom w:val="0"/>
      <w:divBdr>
        <w:top w:val="none" w:sz="0" w:space="0" w:color="auto"/>
        <w:left w:val="none" w:sz="0" w:space="0" w:color="auto"/>
        <w:bottom w:val="none" w:sz="0" w:space="0" w:color="auto"/>
        <w:right w:val="none" w:sz="0" w:space="0" w:color="auto"/>
      </w:divBdr>
    </w:div>
    <w:div w:id="1542160098">
      <w:bodyDiv w:val="1"/>
      <w:marLeft w:val="0"/>
      <w:marRight w:val="0"/>
      <w:marTop w:val="0"/>
      <w:marBottom w:val="0"/>
      <w:divBdr>
        <w:top w:val="none" w:sz="0" w:space="0" w:color="auto"/>
        <w:left w:val="none" w:sz="0" w:space="0" w:color="auto"/>
        <w:bottom w:val="none" w:sz="0" w:space="0" w:color="auto"/>
        <w:right w:val="none" w:sz="0" w:space="0" w:color="auto"/>
      </w:divBdr>
    </w:div>
    <w:div w:id="1547638717">
      <w:bodyDiv w:val="1"/>
      <w:marLeft w:val="0"/>
      <w:marRight w:val="0"/>
      <w:marTop w:val="0"/>
      <w:marBottom w:val="0"/>
      <w:divBdr>
        <w:top w:val="none" w:sz="0" w:space="0" w:color="auto"/>
        <w:left w:val="none" w:sz="0" w:space="0" w:color="auto"/>
        <w:bottom w:val="none" w:sz="0" w:space="0" w:color="auto"/>
        <w:right w:val="none" w:sz="0" w:space="0" w:color="auto"/>
      </w:divBdr>
    </w:div>
    <w:div w:id="1554466730">
      <w:bodyDiv w:val="1"/>
      <w:marLeft w:val="0"/>
      <w:marRight w:val="0"/>
      <w:marTop w:val="0"/>
      <w:marBottom w:val="0"/>
      <w:divBdr>
        <w:top w:val="none" w:sz="0" w:space="0" w:color="auto"/>
        <w:left w:val="none" w:sz="0" w:space="0" w:color="auto"/>
        <w:bottom w:val="none" w:sz="0" w:space="0" w:color="auto"/>
        <w:right w:val="none" w:sz="0" w:space="0" w:color="auto"/>
      </w:divBdr>
    </w:div>
    <w:div w:id="1582057604">
      <w:bodyDiv w:val="1"/>
      <w:marLeft w:val="0"/>
      <w:marRight w:val="0"/>
      <w:marTop w:val="0"/>
      <w:marBottom w:val="0"/>
      <w:divBdr>
        <w:top w:val="none" w:sz="0" w:space="0" w:color="auto"/>
        <w:left w:val="none" w:sz="0" w:space="0" w:color="auto"/>
        <w:bottom w:val="none" w:sz="0" w:space="0" w:color="auto"/>
        <w:right w:val="none" w:sz="0" w:space="0" w:color="auto"/>
      </w:divBdr>
    </w:div>
    <w:div w:id="1588072745">
      <w:bodyDiv w:val="1"/>
      <w:marLeft w:val="0"/>
      <w:marRight w:val="0"/>
      <w:marTop w:val="0"/>
      <w:marBottom w:val="0"/>
      <w:divBdr>
        <w:top w:val="none" w:sz="0" w:space="0" w:color="auto"/>
        <w:left w:val="none" w:sz="0" w:space="0" w:color="auto"/>
        <w:bottom w:val="none" w:sz="0" w:space="0" w:color="auto"/>
        <w:right w:val="none" w:sz="0" w:space="0" w:color="auto"/>
      </w:divBdr>
    </w:div>
    <w:div w:id="1605383720">
      <w:bodyDiv w:val="1"/>
      <w:marLeft w:val="0"/>
      <w:marRight w:val="0"/>
      <w:marTop w:val="0"/>
      <w:marBottom w:val="0"/>
      <w:divBdr>
        <w:top w:val="none" w:sz="0" w:space="0" w:color="auto"/>
        <w:left w:val="none" w:sz="0" w:space="0" w:color="auto"/>
        <w:bottom w:val="none" w:sz="0" w:space="0" w:color="auto"/>
        <w:right w:val="none" w:sz="0" w:space="0" w:color="auto"/>
      </w:divBdr>
    </w:div>
    <w:div w:id="1606039238">
      <w:bodyDiv w:val="1"/>
      <w:marLeft w:val="0"/>
      <w:marRight w:val="0"/>
      <w:marTop w:val="0"/>
      <w:marBottom w:val="0"/>
      <w:divBdr>
        <w:top w:val="none" w:sz="0" w:space="0" w:color="auto"/>
        <w:left w:val="none" w:sz="0" w:space="0" w:color="auto"/>
        <w:bottom w:val="none" w:sz="0" w:space="0" w:color="auto"/>
        <w:right w:val="none" w:sz="0" w:space="0" w:color="auto"/>
      </w:divBdr>
    </w:div>
    <w:div w:id="1616404669">
      <w:bodyDiv w:val="1"/>
      <w:marLeft w:val="0"/>
      <w:marRight w:val="0"/>
      <w:marTop w:val="0"/>
      <w:marBottom w:val="0"/>
      <w:divBdr>
        <w:top w:val="none" w:sz="0" w:space="0" w:color="auto"/>
        <w:left w:val="none" w:sz="0" w:space="0" w:color="auto"/>
        <w:bottom w:val="none" w:sz="0" w:space="0" w:color="auto"/>
        <w:right w:val="none" w:sz="0" w:space="0" w:color="auto"/>
      </w:divBdr>
    </w:div>
    <w:div w:id="1649556086">
      <w:bodyDiv w:val="1"/>
      <w:marLeft w:val="0"/>
      <w:marRight w:val="0"/>
      <w:marTop w:val="0"/>
      <w:marBottom w:val="0"/>
      <w:divBdr>
        <w:top w:val="none" w:sz="0" w:space="0" w:color="auto"/>
        <w:left w:val="none" w:sz="0" w:space="0" w:color="auto"/>
        <w:bottom w:val="none" w:sz="0" w:space="0" w:color="auto"/>
        <w:right w:val="none" w:sz="0" w:space="0" w:color="auto"/>
      </w:divBdr>
    </w:div>
    <w:div w:id="1654486861">
      <w:bodyDiv w:val="1"/>
      <w:marLeft w:val="0"/>
      <w:marRight w:val="0"/>
      <w:marTop w:val="0"/>
      <w:marBottom w:val="0"/>
      <w:divBdr>
        <w:top w:val="none" w:sz="0" w:space="0" w:color="auto"/>
        <w:left w:val="none" w:sz="0" w:space="0" w:color="auto"/>
        <w:bottom w:val="none" w:sz="0" w:space="0" w:color="auto"/>
        <w:right w:val="none" w:sz="0" w:space="0" w:color="auto"/>
      </w:divBdr>
    </w:div>
    <w:div w:id="1655717277">
      <w:bodyDiv w:val="1"/>
      <w:marLeft w:val="0"/>
      <w:marRight w:val="0"/>
      <w:marTop w:val="0"/>
      <w:marBottom w:val="0"/>
      <w:divBdr>
        <w:top w:val="none" w:sz="0" w:space="0" w:color="auto"/>
        <w:left w:val="none" w:sz="0" w:space="0" w:color="auto"/>
        <w:bottom w:val="none" w:sz="0" w:space="0" w:color="auto"/>
        <w:right w:val="none" w:sz="0" w:space="0" w:color="auto"/>
      </w:divBdr>
    </w:div>
    <w:div w:id="1686859132">
      <w:bodyDiv w:val="1"/>
      <w:marLeft w:val="0"/>
      <w:marRight w:val="0"/>
      <w:marTop w:val="0"/>
      <w:marBottom w:val="0"/>
      <w:divBdr>
        <w:top w:val="none" w:sz="0" w:space="0" w:color="auto"/>
        <w:left w:val="none" w:sz="0" w:space="0" w:color="auto"/>
        <w:bottom w:val="none" w:sz="0" w:space="0" w:color="auto"/>
        <w:right w:val="none" w:sz="0" w:space="0" w:color="auto"/>
      </w:divBdr>
    </w:div>
    <w:div w:id="1706562754">
      <w:bodyDiv w:val="1"/>
      <w:marLeft w:val="0"/>
      <w:marRight w:val="0"/>
      <w:marTop w:val="0"/>
      <w:marBottom w:val="0"/>
      <w:divBdr>
        <w:top w:val="none" w:sz="0" w:space="0" w:color="auto"/>
        <w:left w:val="none" w:sz="0" w:space="0" w:color="auto"/>
        <w:bottom w:val="none" w:sz="0" w:space="0" w:color="auto"/>
        <w:right w:val="none" w:sz="0" w:space="0" w:color="auto"/>
      </w:divBdr>
    </w:div>
    <w:div w:id="1748111909">
      <w:bodyDiv w:val="1"/>
      <w:marLeft w:val="0"/>
      <w:marRight w:val="0"/>
      <w:marTop w:val="0"/>
      <w:marBottom w:val="0"/>
      <w:divBdr>
        <w:top w:val="none" w:sz="0" w:space="0" w:color="auto"/>
        <w:left w:val="none" w:sz="0" w:space="0" w:color="auto"/>
        <w:bottom w:val="none" w:sz="0" w:space="0" w:color="auto"/>
        <w:right w:val="none" w:sz="0" w:space="0" w:color="auto"/>
      </w:divBdr>
    </w:div>
    <w:div w:id="1749226879">
      <w:bodyDiv w:val="1"/>
      <w:marLeft w:val="0"/>
      <w:marRight w:val="0"/>
      <w:marTop w:val="0"/>
      <w:marBottom w:val="0"/>
      <w:divBdr>
        <w:top w:val="none" w:sz="0" w:space="0" w:color="auto"/>
        <w:left w:val="none" w:sz="0" w:space="0" w:color="auto"/>
        <w:bottom w:val="none" w:sz="0" w:space="0" w:color="auto"/>
        <w:right w:val="none" w:sz="0" w:space="0" w:color="auto"/>
      </w:divBdr>
    </w:div>
    <w:div w:id="1749496769">
      <w:bodyDiv w:val="1"/>
      <w:marLeft w:val="0"/>
      <w:marRight w:val="0"/>
      <w:marTop w:val="0"/>
      <w:marBottom w:val="0"/>
      <w:divBdr>
        <w:top w:val="none" w:sz="0" w:space="0" w:color="auto"/>
        <w:left w:val="none" w:sz="0" w:space="0" w:color="auto"/>
        <w:bottom w:val="none" w:sz="0" w:space="0" w:color="auto"/>
        <w:right w:val="none" w:sz="0" w:space="0" w:color="auto"/>
      </w:divBdr>
    </w:div>
    <w:div w:id="1769503943">
      <w:bodyDiv w:val="1"/>
      <w:marLeft w:val="0"/>
      <w:marRight w:val="0"/>
      <w:marTop w:val="0"/>
      <w:marBottom w:val="0"/>
      <w:divBdr>
        <w:top w:val="none" w:sz="0" w:space="0" w:color="auto"/>
        <w:left w:val="none" w:sz="0" w:space="0" w:color="auto"/>
        <w:bottom w:val="none" w:sz="0" w:space="0" w:color="auto"/>
        <w:right w:val="none" w:sz="0" w:space="0" w:color="auto"/>
      </w:divBdr>
    </w:div>
    <w:div w:id="1785494730">
      <w:bodyDiv w:val="1"/>
      <w:marLeft w:val="0"/>
      <w:marRight w:val="0"/>
      <w:marTop w:val="0"/>
      <w:marBottom w:val="0"/>
      <w:divBdr>
        <w:top w:val="none" w:sz="0" w:space="0" w:color="auto"/>
        <w:left w:val="none" w:sz="0" w:space="0" w:color="auto"/>
        <w:bottom w:val="none" w:sz="0" w:space="0" w:color="auto"/>
        <w:right w:val="none" w:sz="0" w:space="0" w:color="auto"/>
      </w:divBdr>
    </w:div>
    <w:div w:id="1818375180">
      <w:bodyDiv w:val="1"/>
      <w:marLeft w:val="0"/>
      <w:marRight w:val="0"/>
      <w:marTop w:val="0"/>
      <w:marBottom w:val="0"/>
      <w:divBdr>
        <w:top w:val="none" w:sz="0" w:space="0" w:color="auto"/>
        <w:left w:val="none" w:sz="0" w:space="0" w:color="auto"/>
        <w:bottom w:val="none" w:sz="0" w:space="0" w:color="auto"/>
        <w:right w:val="none" w:sz="0" w:space="0" w:color="auto"/>
      </w:divBdr>
    </w:div>
    <w:div w:id="1824352827">
      <w:bodyDiv w:val="1"/>
      <w:marLeft w:val="0"/>
      <w:marRight w:val="0"/>
      <w:marTop w:val="0"/>
      <w:marBottom w:val="0"/>
      <w:divBdr>
        <w:top w:val="none" w:sz="0" w:space="0" w:color="auto"/>
        <w:left w:val="none" w:sz="0" w:space="0" w:color="auto"/>
        <w:bottom w:val="none" w:sz="0" w:space="0" w:color="auto"/>
        <w:right w:val="none" w:sz="0" w:space="0" w:color="auto"/>
      </w:divBdr>
    </w:div>
    <w:div w:id="1840197969">
      <w:bodyDiv w:val="1"/>
      <w:marLeft w:val="0"/>
      <w:marRight w:val="0"/>
      <w:marTop w:val="0"/>
      <w:marBottom w:val="0"/>
      <w:divBdr>
        <w:top w:val="none" w:sz="0" w:space="0" w:color="auto"/>
        <w:left w:val="none" w:sz="0" w:space="0" w:color="auto"/>
        <w:bottom w:val="none" w:sz="0" w:space="0" w:color="auto"/>
        <w:right w:val="none" w:sz="0" w:space="0" w:color="auto"/>
      </w:divBdr>
    </w:div>
    <w:div w:id="1856914871">
      <w:bodyDiv w:val="1"/>
      <w:marLeft w:val="0"/>
      <w:marRight w:val="0"/>
      <w:marTop w:val="0"/>
      <w:marBottom w:val="0"/>
      <w:divBdr>
        <w:top w:val="none" w:sz="0" w:space="0" w:color="auto"/>
        <w:left w:val="none" w:sz="0" w:space="0" w:color="auto"/>
        <w:bottom w:val="none" w:sz="0" w:space="0" w:color="auto"/>
        <w:right w:val="none" w:sz="0" w:space="0" w:color="auto"/>
      </w:divBdr>
    </w:div>
    <w:div w:id="1891839378">
      <w:bodyDiv w:val="1"/>
      <w:marLeft w:val="0"/>
      <w:marRight w:val="0"/>
      <w:marTop w:val="0"/>
      <w:marBottom w:val="0"/>
      <w:divBdr>
        <w:top w:val="none" w:sz="0" w:space="0" w:color="auto"/>
        <w:left w:val="none" w:sz="0" w:space="0" w:color="auto"/>
        <w:bottom w:val="none" w:sz="0" w:space="0" w:color="auto"/>
        <w:right w:val="none" w:sz="0" w:space="0" w:color="auto"/>
      </w:divBdr>
    </w:div>
    <w:div w:id="1892112145">
      <w:bodyDiv w:val="1"/>
      <w:marLeft w:val="0"/>
      <w:marRight w:val="0"/>
      <w:marTop w:val="0"/>
      <w:marBottom w:val="0"/>
      <w:divBdr>
        <w:top w:val="none" w:sz="0" w:space="0" w:color="auto"/>
        <w:left w:val="none" w:sz="0" w:space="0" w:color="auto"/>
        <w:bottom w:val="none" w:sz="0" w:space="0" w:color="auto"/>
        <w:right w:val="none" w:sz="0" w:space="0" w:color="auto"/>
      </w:divBdr>
    </w:div>
    <w:div w:id="1898081973">
      <w:bodyDiv w:val="1"/>
      <w:marLeft w:val="0"/>
      <w:marRight w:val="0"/>
      <w:marTop w:val="0"/>
      <w:marBottom w:val="0"/>
      <w:divBdr>
        <w:top w:val="none" w:sz="0" w:space="0" w:color="auto"/>
        <w:left w:val="none" w:sz="0" w:space="0" w:color="auto"/>
        <w:bottom w:val="none" w:sz="0" w:space="0" w:color="auto"/>
        <w:right w:val="none" w:sz="0" w:space="0" w:color="auto"/>
      </w:divBdr>
    </w:div>
    <w:div w:id="1924948265">
      <w:bodyDiv w:val="1"/>
      <w:marLeft w:val="0"/>
      <w:marRight w:val="0"/>
      <w:marTop w:val="0"/>
      <w:marBottom w:val="0"/>
      <w:divBdr>
        <w:top w:val="none" w:sz="0" w:space="0" w:color="auto"/>
        <w:left w:val="none" w:sz="0" w:space="0" w:color="auto"/>
        <w:bottom w:val="none" w:sz="0" w:space="0" w:color="auto"/>
        <w:right w:val="none" w:sz="0" w:space="0" w:color="auto"/>
      </w:divBdr>
    </w:div>
    <w:div w:id="1930653154">
      <w:bodyDiv w:val="1"/>
      <w:marLeft w:val="0"/>
      <w:marRight w:val="0"/>
      <w:marTop w:val="0"/>
      <w:marBottom w:val="0"/>
      <w:divBdr>
        <w:top w:val="none" w:sz="0" w:space="0" w:color="auto"/>
        <w:left w:val="none" w:sz="0" w:space="0" w:color="auto"/>
        <w:bottom w:val="none" w:sz="0" w:space="0" w:color="auto"/>
        <w:right w:val="none" w:sz="0" w:space="0" w:color="auto"/>
      </w:divBdr>
    </w:div>
    <w:div w:id="1934589195">
      <w:bodyDiv w:val="1"/>
      <w:marLeft w:val="0"/>
      <w:marRight w:val="0"/>
      <w:marTop w:val="0"/>
      <w:marBottom w:val="0"/>
      <w:divBdr>
        <w:top w:val="none" w:sz="0" w:space="0" w:color="auto"/>
        <w:left w:val="none" w:sz="0" w:space="0" w:color="auto"/>
        <w:bottom w:val="none" w:sz="0" w:space="0" w:color="auto"/>
        <w:right w:val="none" w:sz="0" w:space="0" w:color="auto"/>
      </w:divBdr>
    </w:div>
    <w:div w:id="1958179419">
      <w:bodyDiv w:val="1"/>
      <w:marLeft w:val="0"/>
      <w:marRight w:val="0"/>
      <w:marTop w:val="0"/>
      <w:marBottom w:val="0"/>
      <w:divBdr>
        <w:top w:val="none" w:sz="0" w:space="0" w:color="auto"/>
        <w:left w:val="none" w:sz="0" w:space="0" w:color="auto"/>
        <w:bottom w:val="none" w:sz="0" w:space="0" w:color="auto"/>
        <w:right w:val="none" w:sz="0" w:space="0" w:color="auto"/>
      </w:divBdr>
    </w:div>
    <w:div w:id="1985088457">
      <w:bodyDiv w:val="1"/>
      <w:marLeft w:val="0"/>
      <w:marRight w:val="0"/>
      <w:marTop w:val="0"/>
      <w:marBottom w:val="0"/>
      <w:divBdr>
        <w:top w:val="none" w:sz="0" w:space="0" w:color="auto"/>
        <w:left w:val="none" w:sz="0" w:space="0" w:color="auto"/>
        <w:bottom w:val="none" w:sz="0" w:space="0" w:color="auto"/>
        <w:right w:val="none" w:sz="0" w:space="0" w:color="auto"/>
      </w:divBdr>
    </w:div>
    <w:div w:id="1998922778">
      <w:bodyDiv w:val="1"/>
      <w:marLeft w:val="0"/>
      <w:marRight w:val="0"/>
      <w:marTop w:val="0"/>
      <w:marBottom w:val="0"/>
      <w:divBdr>
        <w:top w:val="none" w:sz="0" w:space="0" w:color="auto"/>
        <w:left w:val="none" w:sz="0" w:space="0" w:color="auto"/>
        <w:bottom w:val="none" w:sz="0" w:space="0" w:color="auto"/>
        <w:right w:val="none" w:sz="0" w:space="0" w:color="auto"/>
      </w:divBdr>
    </w:div>
    <w:div w:id="2000772152">
      <w:bodyDiv w:val="1"/>
      <w:marLeft w:val="0"/>
      <w:marRight w:val="0"/>
      <w:marTop w:val="0"/>
      <w:marBottom w:val="0"/>
      <w:divBdr>
        <w:top w:val="none" w:sz="0" w:space="0" w:color="auto"/>
        <w:left w:val="none" w:sz="0" w:space="0" w:color="auto"/>
        <w:bottom w:val="none" w:sz="0" w:space="0" w:color="auto"/>
        <w:right w:val="none" w:sz="0" w:space="0" w:color="auto"/>
      </w:divBdr>
    </w:div>
    <w:div w:id="2006086134">
      <w:bodyDiv w:val="1"/>
      <w:marLeft w:val="0"/>
      <w:marRight w:val="0"/>
      <w:marTop w:val="0"/>
      <w:marBottom w:val="0"/>
      <w:divBdr>
        <w:top w:val="none" w:sz="0" w:space="0" w:color="auto"/>
        <w:left w:val="none" w:sz="0" w:space="0" w:color="auto"/>
        <w:bottom w:val="none" w:sz="0" w:space="0" w:color="auto"/>
        <w:right w:val="none" w:sz="0" w:space="0" w:color="auto"/>
      </w:divBdr>
    </w:div>
    <w:div w:id="2035223878">
      <w:bodyDiv w:val="1"/>
      <w:marLeft w:val="0"/>
      <w:marRight w:val="0"/>
      <w:marTop w:val="0"/>
      <w:marBottom w:val="0"/>
      <w:divBdr>
        <w:top w:val="none" w:sz="0" w:space="0" w:color="auto"/>
        <w:left w:val="none" w:sz="0" w:space="0" w:color="auto"/>
        <w:bottom w:val="none" w:sz="0" w:space="0" w:color="auto"/>
        <w:right w:val="none" w:sz="0" w:space="0" w:color="auto"/>
      </w:divBdr>
    </w:div>
    <w:div w:id="2059284267">
      <w:bodyDiv w:val="1"/>
      <w:marLeft w:val="0"/>
      <w:marRight w:val="0"/>
      <w:marTop w:val="0"/>
      <w:marBottom w:val="0"/>
      <w:divBdr>
        <w:top w:val="none" w:sz="0" w:space="0" w:color="auto"/>
        <w:left w:val="none" w:sz="0" w:space="0" w:color="auto"/>
        <w:bottom w:val="none" w:sz="0" w:space="0" w:color="auto"/>
        <w:right w:val="none" w:sz="0" w:space="0" w:color="auto"/>
      </w:divBdr>
    </w:div>
    <w:div w:id="2092002413">
      <w:bodyDiv w:val="1"/>
      <w:marLeft w:val="0"/>
      <w:marRight w:val="0"/>
      <w:marTop w:val="0"/>
      <w:marBottom w:val="0"/>
      <w:divBdr>
        <w:top w:val="none" w:sz="0" w:space="0" w:color="auto"/>
        <w:left w:val="none" w:sz="0" w:space="0" w:color="auto"/>
        <w:bottom w:val="none" w:sz="0" w:space="0" w:color="auto"/>
        <w:right w:val="none" w:sz="0" w:space="0" w:color="auto"/>
      </w:divBdr>
    </w:div>
    <w:div w:id="210202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witter.com/INEGI_INFORMA"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nstagram.com/inegi_informa/" TargetMode="External"/><Relationship Id="rId20" Type="http://schemas.openxmlformats.org/officeDocument/2006/relationships/hyperlink" Target="https://www.youtube.com/user/INEGIInform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unicacionsocial@inegi.org.mx"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INEGIInforma/" TargetMode="External"/><Relationship Id="rId22" Type="http://schemas.openxmlformats.org/officeDocument/2006/relationships/hyperlink" Target="http://www.inegi.org.mx/"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360ADD2F1DFF4A9942B708C9B52C3A" ma:contentTypeVersion="12" ma:contentTypeDescription="Create a new document." ma:contentTypeScope="" ma:versionID="df36a9489d2a9a6a719aace5570be654">
  <xsd:schema xmlns:xsd="http://www.w3.org/2001/XMLSchema" xmlns:xs="http://www.w3.org/2001/XMLSchema" xmlns:p="http://schemas.microsoft.com/office/2006/metadata/properties" xmlns:ns3="abd82f08-da84-4abc-b6c0-90d2c08ae21d" xmlns:ns4="3863571c-1a6a-4417-8f19-59236f1e02e9" targetNamespace="http://schemas.microsoft.com/office/2006/metadata/properties" ma:root="true" ma:fieldsID="fe64d11ed34c1133c8bb373ec3dae916" ns3:_="" ns4:_="">
    <xsd:import namespace="abd82f08-da84-4abc-b6c0-90d2c08ae21d"/>
    <xsd:import namespace="3863571c-1a6a-4417-8f19-59236f1e02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82f08-da84-4abc-b6c0-90d2c08ae2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3571c-1a6a-4417-8f19-59236f1e02e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237ED92E-D35E-44E7-9EF6-2CD72CFE0826}">
  <ds:schemaRefs>
    <ds:schemaRef ds:uri="http://schemas.microsoft.com/sharepoint/v3/contenttype/forms"/>
  </ds:schemaRefs>
</ds:datastoreItem>
</file>

<file path=customXml/itemProps2.xml><?xml version="1.0" encoding="utf-8"?>
<ds:datastoreItem xmlns:ds="http://schemas.openxmlformats.org/officeDocument/2006/customXml" ds:itemID="{C9C6EAB6-5F46-4EFC-97EA-638F660BE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82f08-da84-4abc-b6c0-90d2c08ae21d"/>
    <ds:schemaRef ds:uri="3863571c-1a6a-4417-8f19-59236f1e0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7AFDA2-EE86-45D5-8639-43B0E023A8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972DD0-6971-4399-B4AA-A8514E8A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1994</Words>
  <Characters>10968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Comunicado. Resultados del Censo Nacional de Impartición de Justicia Federal (CNIJF) 2021</vt:lpstr>
    </vt:vector>
  </TitlesOfParts>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Resultados del Censo Nacional de Impartición de Justicia Federal (CNIJF) 2021</dc:title>
  <dc:subject/>
  <dc:creator>INEGI</dc:creator>
  <cp:keywords/>
  <dc:description/>
  <cp:lastModifiedBy>MORONES RUIZ FABIOLA CRISTINA</cp:lastModifiedBy>
  <cp:revision>2</cp:revision>
  <cp:lastPrinted>2021-06-28T06:32:00Z</cp:lastPrinted>
  <dcterms:created xsi:type="dcterms:W3CDTF">2021-07-14T13:56:00Z</dcterms:created>
  <dcterms:modified xsi:type="dcterms:W3CDTF">2021-07-14T13:56:00Z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0x0101002C360ADD2F1DFF4A9942B708C9B52C3A</vt:lpwstr>
  </property>
</Properties>
</file>