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96F46" w14:textId="77777777" w:rsidR="001F5EF4" w:rsidRDefault="001F5EF4" w:rsidP="001F5EF4">
      <w:pPr>
        <w:pStyle w:val="Ttulo"/>
        <w:ind w:left="709"/>
        <w:jc w:val="right"/>
        <w:rPr>
          <w:rFonts w:cs="Arial"/>
          <w:szCs w:val="24"/>
        </w:rPr>
      </w:pPr>
      <w:r>
        <w:rPr>
          <w:noProof/>
          <w:lang w:eastAsia="es-MX"/>
        </w:rPr>
        <mc:AlternateContent>
          <mc:Choice Requires="wps">
            <w:drawing>
              <wp:anchor distT="45720" distB="45720" distL="114300" distR="114300" simplePos="0" relativeHeight="251659264" behindDoc="0" locked="0" layoutInCell="1" allowOverlap="1" wp14:anchorId="41A218F4" wp14:editId="02A4148C">
                <wp:simplePos x="0" y="0"/>
                <wp:positionH relativeFrom="column">
                  <wp:posOffset>2661006</wp:posOffset>
                </wp:positionH>
                <wp:positionV relativeFrom="paragraph">
                  <wp:posOffset>4588</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485BB298" w14:textId="77777777" w:rsidR="001F5EF4" w:rsidRPr="003D4E37" w:rsidRDefault="001F5EF4" w:rsidP="001F5EF4">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19 </w:t>
                            </w:r>
                            <w:r w:rsidRPr="003D4E37">
                              <w:rPr>
                                <w:b/>
                                <w:color w:val="FFFFFF" w:themeColor="background1"/>
                                <w:shd w:val="clear" w:color="auto" w:fill="365F91" w:themeFill="accent1" w:themeFillShade="BF"/>
                                <w:lang w:val="pt-BR"/>
                              </w:rPr>
                              <w:t xml:space="preserve">de </w:t>
                            </w:r>
                            <w:r>
                              <w:rPr>
                                <w:b/>
                                <w:color w:val="FFFFFF" w:themeColor="background1"/>
                                <w:shd w:val="clear" w:color="auto" w:fill="365F91" w:themeFill="accent1" w:themeFillShade="BF"/>
                                <w:lang w:val="pt-BR"/>
                              </w:rPr>
                              <w:t>agosto</w:t>
                            </w:r>
                            <w:r w:rsidRPr="003D4E37">
                              <w:rPr>
                                <w:b/>
                                <w:color w:val="FFFFFF" w:themeColor="background1"/>
                                <w:shd w:val="clear" w:color="auto" w:fill="365F91" w:themeFill="accent1" w:themeFillShade="BF"/>
                                <w:lang w:val="pt-BR"/>
                              </w:rPr>
                              <w:t xml:space="preserve"> </w:t>
                            </w:r>
                          </w:p>
                          <w:p w14:paraId="00DF5E18" w14:textId="77777777" w:rsidR="001F5EF4" w:rsidRPr="003D4E37" w:rsidRDefault="001F5EF4" w:rsidP="001F5EF4">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A218F4" id="_x0000_t202" coordsize="21600,21600" o:spt="202" path="m,l,21600r21600,l21600,xe">
                <v:stroke joinstyle="miter"/>
                <v:path gradientshapeok="t" o:connecttype="rect"/>
              </v:shapetype>
              <v:shape id="Cuadro de texto 217" o:spid="_x0000_s1026" type="#_x0000_t202" style="position:absolute;left:0;text-align:left;margin-left:209.55pt;margin-top:.35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" stroked="f">
                <v:textbox>
                  <w:txbxContent>
                    <w:p w14:paraId="485BB298" w14:textId="77777777" w:rsidR="001F5EF4" w:rsidRPr="003D4E37" w:rsidRDefault="001F5EF4" w:rsidP="001F5EF4">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19 </w:t>
                      </w:r>
                      <w:r w:rsidRPr="003D4E37">
                        <w:rPr>
                          <w:b/>
                          <w:color w:val="FFFFFF" w:themeColor="background1"/>
                          <w:shd w:val="clear" w:color="auto" w:fill="365F91" w:themeFill="accent1" w:themeFillShade="BF"/>
                          <w:lang w:val="pt-BR"/>
                        </w:rPr>
                        <w:t xml:space="preserve">de </w:t>
                      </w:r>
                      <w:r>
                        <w:rPr>
                          <w:b/>
                          <w:color w:val="FFFFFF" w:themeColor="background1"/>
                          <w:shd w:val="clear" w:color="auto" w:fill="365F91" w:themeFill="accent1" w:themeFillShade="BF"/>
                          <w:lang w:val="pt-BR"/>
                        </w:rPr>
                        <w:t>agosto</w:t>
                      </w:r>
                      <w:r w:rsidRPr="003D4E37">
                        <w:rPr>
                          <w:b/>
                          <w:color w:val="FFFFFF" w:themeColor="background1"/>
                          <w:shd w:val="clear" w:color="auto" w:fill="365F91" w:themeFill="accent1" w:themeFillShade="BF"/>
                          <w:lang w:val="pt-BR"/>
                        </w:rPr>
                        <w:t xml:space="preserve"> </w:t>
                      </w:r>
                    </w:p>
                    <w:p w14:paraId="00DF5E18" w14:textId="77777777" w:rsidR="001F5EF4" w:rsidRPr="003D4E37" w:rsidRDefault="001F5EF4" w:rsidP="001F5EF4">
                      <w:pPr>
                        <w:jc w:val="right"/>
                      </w:pPr>
                    </w:p>
                  </w:txbxContent>
                </v:textbox>
                <w10:wrap type="square"/>
              </v:shape>
            </w:pict>
          </mc:Fallback>
        </mc:AlternateContent>
      </w:r>
    </w:p>
    <w:p w14:paraId="149E9EE2" w14:textId="77777777" w:rsidR="001F5EF4" w:rsidRDefault="001F5EF4" w:rsidP="001F5EF4">
      <w:pPr>
        <w:jc w:val="center"/>
        <w:rPr>
          <w:b/>
          <w:bCs/>
          <w:caps/>
          <w:sz w:val="28"/>
          <w:szCs w:val="28"/>
          <w:lang w:val="es-MX"/>
        </w:rPr>
      </w:pPr>
      <w:bookmarkStart w:id="0" w:name="_Hlk61875621"/>
    </w:p>
    <w:p w14:paraId="244209E6" w14:textId="77777777" w:rsidR="001F5EF4" w:rsidRPr="000E49D3" w:rsidRDefault="001F5EF4" w:rsidP="001F5EF4">
      <w:pPr>
        <w:jc w:val="center"/>
        <w:rPr>
          <w:b/>
          <w:bCs/>
          <w:caps/>
          <w:lang w:val="es-MX"/>
        </w:rPr>
      </w:pPr>
      <w:r w:rsidRPr="000E49D3">
        <w:rPr>
          <w:b/>
          <w:bCs/>
          <w:caps/>
          <w:lang w:val="es-MX"/>
        </w:rPr>
        <w:t xml:space="preserve">INDICADOR OPORTUNO DE LA ACTIVIDAD ECONÓMICA </w:t>
      </w:r>
    </w:p>
    <w:p w14:paraId="14828AD2" w14:textId="77777777" w:rsidR="001F5EF4" w:rsidRPr="000E49D3" w:rsidRDefault="001F5EF4" w:rsidP="001F5EF4">
      <w:pPr>
        <w:jc w:val="center"/>
        <w:rPr>
          <w:b/>
          <w:spacing w:val="25"/>
          <w:lang w:val="es-MX"/>
        </w:rPr>
      </w:pPr>
      <w:r w:rsidRPr="000E49D3">
        <w:rPr>
          <w:b/>
          <w:spacing w:val="25"/>
          <w:lang w:val="es-MX"/>
        </w:rPr>
        <w:t>AL MES DE JUNIO DE 2021</w:t>
      </w:r>
    </w:p>
    <w:p w14:paraId="6F145657" w14:textId="77777777" w:rsidR="001F5EF4" w:rsidRDefault="001F5EF4" w:rsidP="001F5EF4">
      <w:pPr>
        <w:pStyle w:val="bullet"/>
        <w:keepLines w:val="0"/>
        <w:numPr>
          <w:ilvl w:val="0"/>
          <w:numId w:val="1"/>
        </w:numPr>
        <w:spacing w:after="0"/>
        <w:ind w:left="993" w:hanging="426"/>
        <w:rPr>
          <w:color w:val="auto"/>
          <w:sz w:val="22"/>
          <w:szCs w:val="22"/>
        </w:rPr>
      </w:pPr>
      <w:r w:rsidRPr="00884EB1">
        <w:rPr>
          <w:color w:val="auto"/>
          <w:sz w:val="22"/>
          <w:szCs w:val="22"/>
        </w:rPr>
        <w:t xml:space="preserve">El INEGI informa que el Indicador Oportuno de la Actividad Económica (IOAE) estima </w:t>
      </w:r>
      <w:r w:rsidRPr="00911985">
        <w:rPr>
          <w:color w:val="auto"/>
          <w:sz w:val="22"/>
          <w:szCs w:val="22"/>
        </w:rPr>
        <w:t xml:space="preserve">anticipadamente </w:t>
      </w:r>
      <w:r>
        <w:rPr>
          <w:color w:val="auto"/>
          <w:sz w:val="22"/>
          <w:szCs w:val="22"/>
        </w:rPr>
        <w:t xml:space="preserve">una </w:t>
      </w:r>
      <w:r w:rsidRPr="00911985">
        <w:rPr>
          <w:color w:val="auto"/>
          <w:sz w:val="22"/>
          <w:szCs w:val="22"/>
        </w:rPr>
        <w:t>variaci</w:t>
      </w:r>
      <w:r>
        <w:rPr>
          <w:color w:val="auto"/>
          <w:sz w:val="22"/>
          <w:szCs w:val="22"/>
        </w:rPr>
        <w:t>ó</w:t>
      </w:r>
      <w:r w:rsidRPr="00911985">
        <w:rPr>
          <w:color w:val="auto"/>
          <w:sz w:val="22"/>
          <w:szCs w:val="22"/>
        </w:rPr>
        <w:t xml:space="preserve">n del </w:t>
      </w:r>
      <w:r w:rsidRPr="00F66191">
        <w:rPr>
          <w:color w:val="000000" w:themeColor="text1"/>
          <w:sz w:val="22"/>
          <w:szCs w:val="22"/>
        </w:rPr>
        <w:t>Indicador Global de la Actividad Económica (</w:t>
      </w:r>
      <w:r w:rsidRPr="00911985">
        <w:rPr>
          <w:color w:val="auto"/>
          <w:sz w:val="22"/>
          <w:szCs w:val="22"/>
        </w:rPr>
        <w:t>IGAE</w:t>
      </w:r>
      <w:r>
        <w:rPr>
          <w:color w:val="auto"/>
          <w:sz w:val="22"/>
          <w:szCs w:val="22"/>
        </w:rPr>
        <w:t>)</w:t>
      </w:r>
      <w:r w:rsidRPr="00911985">
        <w:rPr>
          <w:color w:val="auto"/>
          <w:sz w:val="22"/>
          <w:szCs w:val="22"/>
        </w:rPr>
        <w:t xml:space="preserve"> para </w:t>
      </w:r>
      <w:r w:rsidRPr="00F66191">
        <w:rPr>
          <w:color w:val="auto"/>
          <w:sz w:val="22"/>
          <w:szCs w:val="22"/>
        </w:rPr>
        <w:t>junio</w:t>
      </w:r>
      <w:r w:rsidRPr="00911985">
        <w:rPr>
          <w:color w:val="auto"/>
          <w:sz w:val="22"/>
          <w:szCs w:val="22"/>
        </w:rPr>
        <w:t xml:space="preserve"> </w:t>
      </w:r>
      <w:bookmarkStart w:id="1" w:name="_GoBack"/>
      <w:bookmarkEnd w:id="1"/>
      <w:r w:rsidRPr="00911985">
        <w:rPr>
          <w:color w:val="auto"/>
          <w:sz w:val="22"/>
          <w:szCs w:val="22"/>
        </w:rPr>
        <w:t>de 202</w:t>
      </w:r>
      <w:r>
        <w:rPr>
          <w:color w:val="auto"/>
          <w:sz w:val="22"/>
          <w:szCs w:val="22"/>
        </w:rPr>
        <w:t>1</w:t>
      </w:r>
      <w:r w:rsidRPr="00911985">
        <w:rPr>
          <w:color w:val="auto"/>
          <w:sz w:val="22"/>
          <w:szCs w:val="22"/>
        </w:rPr>
        <w:t xml:space="preserve"> contra</w:t>
      </w:r>
      <w:r>
        <w:rPr>
          <w:color w:val="auto"/>
          <w:sz w:val="22"/>
          <w:szCs w:val="22"/>
        </w:rPr>
        <w:t xml:space="preserve"> igual mes </w:t>
      </w:r>
      <w:r w:rsidRPr="00911985">
        <w:rPr>
          <w:color w:val="auto"/>
          <w:sz w:val="22"/>
          <w:szCs w:val="22"/>
        </w:rPr>
        <w:t>de 20</w:t>
      </w:r>
      <w:r>
        <w:rPr>
          <w:color w:val="auto"/>
          <w:sz w:val="22"/>
          <w:szCs w:val="22"/>
        </w:rPr>
        <w:t>20</w:t>
      </w:r>
      <w:r w:rsidRPr="00911985">
        <w:rPr>
          <w:color w:val="auto"/>
          <w:sz w:val="22"/>
          <w:szCs w:val="22"/>
        </w:rPr>
        <w:t xml:space="preserve"> de</w:t>
      </w:r>
      <w:r>
        <w:rPr>
          <w:color w:val="auto"/>
          <w:sz w:val="22"/>
          <w:szCs w:val="22"/>
        </w:rPr>
        <w:t xml:space="preserve"> </w:t>
      </w:r>
      <w:r w:rsidRPr="00F66191">
        <w:rPr>
          <w:color w:val="auto"/>
          <w:sz w:val="22"/>
          <w:szCs w:val="22"/>
        </w:rPr>
        <w:t>14.7</w:t>
      </w:r>
      <w:r>
        <w:rPr>
          <w:color w:val="auto"/>
          <w:sz w:val="22"/>
          <w:szCs w:val="22"/>
        </w:rPr>
        <w:t xml:space="preserve"> </w:t>
      </w:r>
      <w:r w:rsidRPr="00911985">
        <w:rPr>
          <w:color w:val="auto"/>
          <w:sz w:val="22"/>
          <w:szCs w:val="22"/>
        </w:rPr>
        <w:t>por ciento</w:t>
      </w:r>
      <w:r>
        <w:rPr>
          <w:color w:val="auto"/>
          <w:sz w:val="22"/>
          <w:szCs w:val="22"/>
        </w:rPr>
        <w:t>.</w:t>
      </w:r>
    </w:p>
    <w:p w14:paraId="7A414B10" w14:textId="77777777" w:rsidR="001F5EF4" w:rsidRDefault="001F5EF4" w:rsidP="001F5EF4">
      <w:pPr>
        <w:pStyle w:val="bullet"/>
        <w:keepLines w:val="0"/>
        <w:numPr>
          <w:ilvl w:val="0"/>
          <w:numId w:val="1"/>
        </w:numPr>
        <w:spacing w:before="360" w:after="0"/>
        <w:ind w:left="993" w:hanging="426"/>
        <w:rPr>
          <w:color w:val="auto"/>
          <w:sz w:val="22"/>
          <w:szCs w:val="22"/>
        </w:rPr>
      </w:pPr>
      <w:r w:rsidRPr="00911985">
        <w:rPr>
          <w:color w:val="auto"/>
          <w:sz w:val="22"/>
          <w:szCs w:val="22"/>
        </w:rPr>
        <w:t xml:space="preserve">La variación anual esperada de las actividades secundarias </w:t>
      </w:r>
      <w:r>
        <w:rPr>
          <w:color w:val="auto"/>
          <w:sz w:val="22"/>
          <w:szCs w:val="22"/>
        </w:rPr>
        <w:t xml:space="preserve">al sexto mes de 2021 fue de </w:t>
      </w:r>
      <w:r w:rsidRPr="00F66191">
        <w:rPr>
          <w:color w:val="auto"/>
          <w:sz w:val="22"/>
          <w:szCs w:val="22"/>
        </w:rPr>
        <w:t>14.4%</w:t>
      </w:r>
      <w:r>
        <w:rPr>
          <w:color w:val="auto"/>
          <w:sz w:val="22"/>
          <w:szCs w:val="22"/>
        </w:rPr>
        <w:t xml:space="preserve"> y para las terciarias de </w:t>
      </w:r>
      <w:r w:rsidRPr="00F66191">
        <w:rPr>
          <w:color w:val="auto"/>
          <w:sz w:val="22"/>
          <w:szCs w:val="22"/>
        </w:rPr>
        <w:t>14</w:t>
      </w:r>
      <w:r w:rsidRPr="00911985">
        <w:rPr>
          <w:color w:val="auto"/>
          <w:sz w:val="22"/>
          <w:szCs w:val="22"/>
        </w:rPr>
        <w:t xml:space="preserve"> por ciento</w:t>
      </w:r>
      <w:r>
        <w:rPr>
          <w:color w:val="auto"/>
          <w:sz w:val="22"/>
          <w:szCs w:val="22"/>
        </w:rPr>
        <w:t>.</w:t>
      </w:r>
    </w:p>
    <w:p w14:paraId="35E9AC5C" w14:textId="77777777" w:rsidR="001F5EF4" w:rsidRDefault="001F5EF4" w:rsidP="00C7587A">
      <w:pPr>
        <w:spacing w:before="240"/>
        <w:ind w:left="-284" w:right="-518"/>
        <w:rPr>
          <w:lang w:val="es-MX"/>
        </w:rPr>
      </w:pPr>
      <w:r w:rsidRPr="00900B43">
        <w:rPr>
          <w:lang w:val="es-MX"/>
        </w:rPr>
        <w:t xml:space="preserve">El Instituto Nacional de Estadística y Geografía (INEGI) informa </w:t>
      </w:r>
      <w:r>
        <w:rPr>
          <w:lang w:val="es-MX"/>
        </w:rPr>
        <w:t>que</w:t>
      </w:r>
      <w:r w:rsidRPr="006E200B">
        <w:rPr>
          <w:lang w:val="es-MX"/>
        </w:rPr>
        <w:t xml:space="preserve"> </w:t>
      </w:r>
      <w:r>
        <w:rPr>
          <w:lang w:val="es-MX"/>
        </w:rPr>
        <w:t>el Indicador Oportuno de la Actividad Económica (IOAE) estima</w:t>
      </w:r>
      <w:r w:rsidRPr="00900B43">
        <w:rPr>
          <w:lang w:val="es-MX"/>
        </w:rPr>
        <w:t xml:space="preserve"> una variación </w:t>
      </w:r>
      <w:r>
        <w:rPr>
          <w:lang w:val="es-MX"/>
        </w:rPr>
        <w:t xml:space="preserve">positiva </w:t>
      </w:r>
      <w:r w:rsidRPr="00900B43">
        <w:rPr>
          <w:lang w:val="es-MX"/>
        </w:rPr>
        <w:t xml:space="preserve">del </w:t>
      </w:r>
      <w:r>
        <w:rPr>
          <w:lang w:val="es-MX"/>
        </w:rPr>
        <w:t>Indicador Global de la Actividad Económica</w:t>
      </w:r>
      <w:r w:rsidRPr="00900B43">
        <w:rPr>
          <w:lang w:val="es-MX"/>
        </w:rPr>
        <w:t xml:space="preserve"> </w:t>
      </w:r>
      <w:r>
        <w:rPr>
          <w:lang w:val="es-MX"/>
        </w:rPr>
        <w:t>(</w:t>
      </w:r>
      <w:r w:rsidRPr="00900B43">
        <w:rPr>
          <w:lang w:val="es-MX"/>
        </w:rPr>
        <w:t>IGAE</w:t>
      </w:r>
      <w:r>
        <w:rPr>
          <w:lang w:val="es-MX"/>
        </w:rPr>
        <w:t>)</w:t>
      </w:r>
      <w:r w:rsidRPr="00900B43">
        <w:rPr>
          <w:lang w:val="es-MX"/>
        </w:rPr>
        <w:t xml:space="preserve"> de </w:t>
      </w:r>
      <w:r w:rsidRPr="00CB2958">
        <w:rPr>
          <w:lang w:val="es-MX"/>
        </w:rPr>
        <w:t xml:space="preserve">14.7% </w:t>
      </w:r>
      <w:r>
        <w:rPr>
          <w:lang w:val="es-MX"/>
        </w:rPr>
        <w:t xml:space="preserve">en </w:t>
      </w:r>
      <w:r w:rsidRPr="00CB2958">
        <w:rPr>
          <w:lang w:val="es-MX"/>
        </w:rPr>
        <w:t>junio</w:t>
      </w:r>
      <w:r>
        <w:rPr>
          <w:lang w:val="es-MX"/>
        </w:rPr>
        <w:t xml:space="preserve"> de 2021</w:t>
      </w:r>
      <w:r w:rsidRPr="00900B43">
        <w:rPr>
          <w:lang w:val="es-MX"/>
        </w:rPr>
        <w:t xml:space="preserve"> respecto al mismo mes del año anterior. </w:t>
      </w:r>
      <w:r>
        <w:rPr>
          <w:lang w:val="es-MX"/>
        </w:rPr>
        <w:t>L</w:t>
      </w:r>
      <w:r w:rsidRPr="00900B43">
        <w:rPr>
          <w:lang w:val="es-MX"/>
        </w:rPr>
        <w:t xml:space="preserve">as series consideradas </w:t>
      </w:r>
      <w:r>
        <w:rPr>
          <w:lang w:val="es-MX"/>
        </w:rPr>
        <w:t>presentan</w:t>
      </w:r>
      <w:r w:rsidRPr="00900B43">
        <w:rPr>
          <w:lang w:val="es-MX"/>
        </w:rPr>
        <w:t xml:space="preserve"> sus respectivos intervalos de confianza al 95</w:t>
      </w:r>
      <w:r>
        <w:rPr>
          <w:lang w:val="es-MX"/>
        </w:rPr>
        <w:t xml:space="preserve"> por ciento</w:t>
      </w:r>
      <w:r w:rsidRPr="00900B43">
        <w:rPr>
          <w:lang w:val="es-MX"/>
        </w:rPr>
        <w:t>.</w:t>
      </w:r>
      <w:r>
        <w:rPr>
          <w:lang w:val="es-MX"/>
        </w:rPr>
        <w:t xml:space="preserve"> En</w:t>
      </w:r>
      <w:r w:rsidRPr="00900B43">
        <w:rPr>
          <w:lang w:val="es-MX"/>
        </w:rPr>
        <w:t xml:space="preserve"> los principales Grandes Sectores de Actividad del IGAE, se tiene que para las actividades secundarias se c</w:t>
      </w:r>
      <w:r>
        <w:rPr>
          <w:lang w:val="es-MX"/>
        </w:rPr>
        <w:t xml:space="preserve">alcula un incremento anual </w:t>
      </w:r>
      <w:r w:rsidRPr="00CB2958">
        <w:rPr>
          <w:lang w:val="es-MX"/>
        </w:rPr>
        <w:t>de 14.4%</w:t>
      </w:r>
      <w:r w:rsidRPr="00900B43">
        <w:rPr>
          <w:lang w:val="es-MX"/>
        </w:rPr>
        <w:t xml:space="preserve"> en </w:t>
      </w:r>
      <w:r w:rsidRPr="00CB2958">
        <w:rPr>
          <w:lang w:val="es-MX"/>
        </w:rPr>
        <w:t>junio</w:t>
      </w:r>
      <w:r>
        <w:rPr>
          <w:lang w:val="es-MX"/>
        </w:rPr>
        <w:t xml:space="preserve"> pasado y </w:t>
      </w:r>
      <w:r w:rsidRPr="00900B43">
        <w:rPr>
          <w:lang w:val="es-MX"/>
        </w:rPr>
        <w:t xml:space="preserve">para el sector terciario </w:t>
      </w:r>
      <w:r>
        <w:rPr>
          <w:lang w:val="es-MX"/>
        </w:rPr>
        <w:t xml:space="preserve">el avance anual fue de </w:t>
      </w:r>
      <w:r w:rsidRPr="00CB2958">
        <w:rPr>
          <w:lang w:val="es-MX"/>
        </w:rPr>
        <w:t>14</w:t>
      </w:r>
      <w:r w:rsidRPr="00900B43">
        <w:rPr>
          <w:lang w:val="es-MX"/>
        </w:rPr>
        <w:t xml:space="preserve"> por ciento.</w:t>
      </w:r>
      <w:r w:rsidRPr="00D730C7">
        <w:rPr>
          <w:lang w:val="es-MX"/>
        </w:rPr>
        <w:t xml:space="preserve"> </w:t>
      </w:r>
    </w:p>
    <w:p w14:paraId="60860F86" w14:textId="77777777" w:rsidR="001F5EF4" w:rsidRPr="00900B43" w:rsidRDefault="001F5EF4" w:rsidP="001F5EF4">
      <w:pPr>
        <w:rPr>
          <w:lang w:val="es-MX"/>
        </w:rPr>
      </w:pPr>
    </w:p>
    <w:p w14:paraId="120E7A2C" w14:textId="77777777" w:rsidR="001F5EF4" w:rsidRPr="00E15E72" w:rsidRDefault="001F5EF4" w:rsidP="001F5EF4">
      <w:pPr>
        <w:pStyle w:val="Titcuadrograf"/>
        <w:spacing w:before="120"/>
        <w:ind w:left="0"/>
        <w:rPr>
          <w:sz w:val="22"/>
          <w:szCs w:val="22"/>
        </w:rPr>
      </w:pPr>
      <w:r w:rsidRPr="00E15E72">
        <w:rPr>
          <w:sz w:val="22"/>
          <w:szCs w:val="22"/>
        </w:rPr>
        <w:t>IOAE para el IGAE, las actividades secundarias y terciarias</w:t>
      </w:r>
    </w:p>
    <w:p w14:paraId="5071B270" w14:textId="77777777" w:rsidR="001F5EF4" w:rsidRPr="0020223F" w:rsidRDefault="001F5EF4" w:rsidP="001F5EF4">
      <w:pPr>
        <w:pStyle w:val="Titcuadrograf"/>
        <w:ind w:left="0"/>
        <w:rPr>
          <w:b w:val="0"/>
          <w:smallCaps w:val="0"/>
        </w:rPr>
      </w:pPr>
      <w:r w:rsidRPr="00EA3186">
        <w:rPr>
          <w:b w:val="0"/>
          <w:smallCaps w:val="0"/>
        </w:rPr>
        <w:t>(</w:t>
      </w:r>
      <w:r w:rsidRPr="00EA3186">
        <w:rPr>
          <w:b w:val="0"/>
          <w:smallCaps w:val="0"/>
          <w:sz w:val="20"/>
          <w:szCs w:val="20"/>
        </w:rPr>
        <w:t>Variación % real respecto al mismo mes del año anterior</w:t>
      </w:r>
      <w:r w:rsidRPr="00EA3186">
        <w:rPr>
          <w:b w:val="0"/>
          <w:smallCaps w:val="0"/>
        </w:rPr>
        <w:t>)</w:t>
      </w:r>
    </w:p>
    <w:tbl>
      <w:tblPr>
        <w:tblW w:w="9331" w:type="dxa"/>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21"/>
        <w:gridCol w:w="932"/>
        <w:gridCol w:w="933"/>
        <w:gridCol w:w="935"/>
        <w:gridCol w:w="933"/>
        <w:gridCol w:w="934"/>
        <w:gridCol w:w="936"/>
        <w:gridCol w:w="933"/>
        <w:gridCol w:w="934"/>
        <w:gridCol w:w="934"/>
        <w:gridCol w:w="6"/>
      </w:tblGrid>
      <w:tr w:rsidR="001F5EF4" w:rsidRPr="0020223F" w14:paraId="723A910C" w14:textId="77777777" w:rsidTr="00FF440E">
        <w:trPr>
          <w:trHeight w:val="393"/>
          <w:jc w:val="center"/>
        </w:trPr>
        <w:tc>
          <w:tcPr>
            <w:tcW w:w="921" w:type="dxa"/>
            <w:vMerge w:val="restart"/>
            <w:tcBorders>
              <w:right w:val="single" w:sz="4" w:space="0" w:color="auto"/>
            </w:tcBorders>
            <w:shd w:val="clear" w:color="auto" w:fill="D7E3BC"/>
            <w:noWrap/>
            <w:vAlign w:val="center"/>
            <w:hideMark/>
          </w:tcPr>
          <w:p w14:paraId="34D76554" w14:textId="77777777" w:rsidR="001F5EF4" w:rsidRPr="0020223F" w:rsidRDefault="001F5EF4" w:rsidP="00FF440E">
            <w:pPr>
              <w:jc w:val="center"/>
              <w:rPr>
                <w:b/>
                <w:bCs/>
                <w:color w:val="000000"/>
                <w:sz w:val="16"/>
                <w:szCs w:val="16"/>
                <w:lang w:val="es-MX" w:eastAsia="es-MX"/>
              </w:rPr>
            </w:pPr>
            <w:r>
              <w:rPr>
                <w:b/>
                <w:bCs/>
                <w:color w:val="000000"/>
                <w:sz w:val="16"/>
                <w:szCs w:val="16"/>
                <w:lang w:eastAsia="es-MX"/>
              </w:rPr>
              <w:t>Mes de referencia</w:t>
            </w:r>
          </w:p>
        </w:tc>
        <w:tc>
          <w:tcPr>
            <w:tcW w:w="2800" w:type="dxa"/>
            <w:gridSpan w:val="3"/>
            <w:tcBorders>
              <w:left w:val="single" w:sz="4" w:space="0" w:color="auto"/>
              <w:bottom w:val="single" w:sz="4" w:space="0" w:color="auto"/>
              <w:right w:val="single" w:sz="4" w:space="0" w:color="auto"/>
            </w:tcBorders>
            <w:shd w:val="clear" w:color="auto" w:fill="D7E3BC"/>
            <w:noWrap/>
            <w:vAlign w:val="center"/>
            <w:hideMark/>
          </w:tcPr>
          <w:p w14:paraId="46571DE8" w14:textId="77777777" w:rsidR="001F5EF4" w:rsidRPr="0020223F" w:rsidRDefault="001F5EF4" w:rsidP="00FF440E">
            <w:pPr>
              <w:jc w:val="center"/>
              <w:rPr>
                <w:b/>
                <w:bCs/>
                <w:color w:val="000000"/>
                <w:sz w:val="16"/>
                <w:szCs w:val="16"/>
                <w:lang w:eastAsia="es-MX"/>
              </w:rPr>
            </w:pPr>
            <w:r w:rsidRPr="0020223F">
              <w:rPr>
                <w:b/>
                <w:bCs/>
                <w:color w:val="000000"/>
                <w:sz w:val="16"/>
                <w:szCs w:val="16"/>
                <w:lang w:eastAsia="es-MX"/>
              </w:rPr>
              <w:t>IGAE</w:t>
            </w:r>
          </w:p>
        </w:tc>
        <w:tc>
          <w:tcPr>
            <w:tcW w:w="2803" w:type="dxa"/>
            <w:gridSpan w:val="3"/>
            <w:tcBorders>
              <w:left w:val="single" w:sz="4" w:space="0" w:color="auto"/>
              <w:bottom w:val="single" w:sz="4" w:space="0" w:color="auto"/>
              <w:right w:val="single" w:sz="4" w:space="0" w:color="auto"/>
            </w:tcBorders>
            <w:shd w:val="clear" w:color="auto" w:fill="D7E3BC"/>
            <w:noWrap/>
            <w:vAlign w:val="center"/>
            <w:hideMark/>
          </w:tcPr>
          <w:p w14:paraId="172337AF" w14:textId="77777777" w:rsidR="001F5EF4" w:rsidRPr="0020223F" w:rsidRDefault="001F5EF4" w:rsidP="00FF440E">
            <w:pPr>
              <w:jc w:val="center"/>
              <w:rPr>
                <w:b/>
                <w:bCs/>
                <w:color w:val="000000"/>
                <w:sz w:val="16"/>
                <w:szCs w:val="16"/>
                <w:lang w:eastAsia="es-MX"/>
              </w:rPr>
            </w:pPr>
            <w:r w:rsidRPr="0020223F">
              <w:rPr>
                <w:b/>
                <w:bCs/>
                <w:color w:val="000000"/>
                <w:sz w:val="16"/>
                <w:szCs w:val="16"/>
                <w:lang w:eastAsia="es-MX"/>
              </w:rPr>
              <w:t>Actividades secundarias</w:t>
            </w:r>
          </w:p>
        </w:tc>
        <w:tc>
          <w:tcPr>
            <w:tcW w:w="2807" w:type="dxa"/>
            <w:gridSpan w:val="4"/>
            <w:tcBorders>
              <w:left w:val="single" w:sz="4" w:space="0" w:color="auto"/>
              <w:bottom w:val="single" w:sz="4" w:space="0" w:color="auto"/>
            </w:tcBorders>
            <w:shd w:val="clear" w:color="auto" w:fill="D7E3BC"/>
            <w:noWrap/>
            <w:vAlign w:val="center"/>
            <w:hideMark/>
          </w:tcPr>
          <w:p w14:paraId="3D1BE55A" w14:textId="77777777" w:rsidR="001F5EF4" w:rsidRPr="0020223F" w:rsidRDefault="001F5EF4" w:rsidP="00FF440E">
            <w:pPr>
              <w:jc w:val="center"/>
              <w:rPr>
                <w:b/>
                <w:bCs/>
                <w:color w:val="000000"/>
                <w:sz w:val="16"/>
                <w:szCs w:val="16"/>
                <w:lang w:eastAsia="es-MX"/>
              </w:rPr>
            </w:pPr>
            <w:r w:rsidRPr="0020223F">
              <w:rPr>
                <w:b/>
                <w:bCs/>
                <w:color w:val="000000"/>
                <w:sz w:val="16"/>
                <w:szCs w:val="16"/>
                <w:lang w:eastAsia="es-MX"/>
              </w:rPr>
              <w:t>Actividades terciarias</w:t>
            </w:r>
          </w:p>
        </w:tc>
      </w:tr>
      <w:tr w:rsidR="001F5EF4" w:rsidRPr="0020223F" w14:paraId="44A33896" w14:textId="77777777" w:rsidTr="00FF440E">
        <w:trPr>
          <w:gridAfter w:val="1"/>
          <w:wAfter w:w="6" w:type="dxa"/>
          <w:trHeight w:val="411"/>
          <w:jc w:val="center"/>
        </w:trPr>
        <w:tc>
          <w:tcPr>
            <w:tcW w:w="921" w:type="dxa"/>
            <w:vMerge/>
            <w:tcBorders>
              <w:bottom w:val="single" w:sz="4" w:space="0" w:color="auto"/>
              <w:right w:val="single" w:sz="4" w:space="0" w:color="auto"/>
            </w:tcBorders>
            <w:shd w:val="clear" w:color="auto" w:fill="D7E3BC"/>
            <w:vAlign w:val="center"/>
            <w:hideMark/>
          </w:tcPr>
          <w:p w14:paraId="4BDB7404" w14:textId="77777777" w:rsidR="001F5EF4" w:rsidRPr="0020223F" w:rsidRDefault="001F5EF4" w:rsidP="00FF440E">
            <w:pPr>
              <w:jc w:val="center"/>
              <w:rPr>
                <w:b/>
                <w:bCs/>
                <w:color w:val="000000"/>
                <w:sz w:val="16"/>
                <w:szCs w:val="16"/>
                <w:lang w:eastAsia="es-MX"/>
              </w:rPr>
            </w:pPr>
          </w:p>
        </w:tc>
        <w:tc>
          <w:tcPr>
            <w:tcW w:w="93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CFEA4A1" w14:textId="77777777" w:rsidR="001F5EF4" w:rsidRPr="0020223F" w:rsidRDefault="001F5EF4" w:rsidP="00FF440E">
            <w:pPr>
              <w:jc w:val="center"/>
              <w:rPr>
                <w:b/>
                <w:bCs/>
                <w:color w:val="000000"/>
                <w:sz w:val="16"/>
                <w:szCs w:val="16"/>
                <w:lang w:eastAsia="es-MX"/>
              </w:rPr>
            </w:pPr>
            <w:r w:rsidRPr="0020223F">
              <w:rPr>
                <w:b/>
                <w:bCs/>
                <w:color w:val="000000"/>
                <w:sz w:val="16"/>
                <w:szCs w:val="16"/>
                <w:lang w:eastAsia="es-MX"/>
              </w:rPr>
              <w:t>Inferior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0FFE92E7" w14:textId="77777777" w:rsidR="001F5EF4" w:rsidRPr="0020223F" w:rsidRDefault="001F5EF4" w:rsidP="00FF440E">
            <w:pPr>
              <w:jc w:val="center"/>
              <w:rPr>
                <w:b/>
                <w:bCs/>
                <w:color w:val="000000"/>
                <w:sz w:val="16"/>
                <w:szCs w:val="16"/>
                <w:lang w:eastAsia="es-MX"/>
              </w:rPr>
            </w:pPr>
            <w:r w:rsidRPr="0020223F">
              <w:rPr>
                <w:b/>
                <w:bCs/>
                <w:color w:val="000000"/>
                <w:sz w:val="16"/>
                <w:szCs w:val="16"/>
                <w:lang w:eastAsia="es-MX"/>
              </w:rPr>
              <w:t>Nowcast</w:t>
            </w:r>
            <w:r w:rsidRPr="005C2C9C">
              <w:rPr>
                <w:b/>
                <w:bCs/>
                <w:color w:val="000000"/>
                <w:sz w:val="16"/>
                <w:szCs w:val="16"/>
                <w:vertAlign w:val="superscript"/>
                <w:lang w:eastAsia="es-MX"/>
              </w:rPr>
              <w:t>1/</w:t>
            </w:r>
          </w:p>
        </w:tc>
        <w:tc>
          <w:tcPr>
            <w:tcW w:w="935"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456564D" w14:textId="77777777" w:rsidR="001F5EF4" w:rsidRPr="0020223F" w:rsidRDefault="001F5EF4" w:rsidP="00FF440E">
            <w:pPr>
              <w:jc w:val="center"/>
              <w:rPr>
                <w:b/>
                <w:bCs/>
                <w:color w:val="000000"/>
                <w:sz w:val="16"/>
                <w:szCs w:val="16"/>
                <w:lang w:eastAsia="es-MX"/>
              </w:rPr>
            </w:pPr>
            <w:r w:rsidRPr="0020223F">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6F398C28" w14:textId="77777777" w:rsidR="001F5EF4" w:rsidRPr="0020223F" w:rsidRDefault="001F5EF4" w:rsidP="00FF440E">
            <w:pPr>
              <w:jc w:val="center"/>
              <w:rPr>
                <w:b/>
                <w:bCs/>
                <w:color w:val="000000"/>
                <w:sz w:val="16"/>
                <w:szCs w:val="16"/>
                <w:lang w:eastAsia="es-MX"/>
              </w:rPr>
            </w:pPr>
            <w:r w:rsidRPr="0020223F">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0DC2BF9D" w14:textId="77777777" w:rsidR="001F5EF4" w:rsidRPr="0020223F" w:rsidRDefault="001F5EF4" w:rsidP="00FF440E">
            <w:pPr>
              <w:jc w:val="center"/>
              <w:rPr>
                <w:b/>
                <w:bCs/>
                <w:color w:val="000000"/>
                <w:sz w:val="16"/>
                <w:szCs w:val="16"/>
                <w:lang w:eastAsia="es-MX"/>
              </w:rPr>
            </w:pPr>
            <w:r w:rsidRPr="0020223F">
              <w:rPr>
                <w:b/>
                <w:bCs/>
                <w:color w:val="000000"/>
                <w:sz w:val="16"/>
                <w:szCs w:val="16"/>
                <w:lang w:eastAsia="es-MX"/>
              </w:rPr>
              <w:t>Nowcast</w:t>
            </w:r>
            <w:r w:rsidRPr="005C2C9C">
              <w:rPr>
                <w:b/>
                <w:bCs/>
                <w:color w:val="000000"/>
                <w:sz w:val="16"/>
                <w:szCs w:val="16"/>
                <w:vertAlign w:val="superscript"/>
                <w:lang w:eastAsia="es-MX"/>
              </w:rPr>
              <w:t>1/</w:t>
            </w:r>
          </w:p>
        </w:tc>
        <w:tc>
          <w:tcPr>
            <w:tcW w:w="936"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033D9EDD" w14:textId="77777777" w:rsidR="001F5EF4" w:rsidRPr="0020223F" w:rsidRDefault="001F5EF4" w:rsidP="00FF440E">
            <w:pPr>
              <w:jc w:val="center"/>
              <w:rPr>
                <w:b/>
                <w:bCs/>
                <w:color w:val="000000"/>
                <w:sz w:val="16"/>
                <w:szCs w:val="16"/>
                <w:lang w:eastAsia="es-MX"/>
              </w:rPr>
            </w:pPr>
            <w:r w:rsidRPr="0020223F">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6E0439EE" w14:textId="77777777" w:rsidR="001F5EF4" w:rsidRPr="0020223F" w:rsidRDefault="001F5EF4" w:rsidP="00FF440E">
            <w:pPr>
              <w:jc w:val="center"/>
              <w:rPr>
                <w:b/>
                <w:bCs/>
                <w:color w:val="000000"/>
                <w:sz w:val="16"/>
                <w:szCs w:val="16"/>
                <w:lang w:eastAsia="es-MX"/>
              </w:rPr>
            </w:pPr>
            <w:r w:rsidRPr="0020223F">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32F61C4" w14:textId="77777777" w:rsidR="001F5EF4" w:rsidRPr="0020223F" w:rsidRDefault="001F5EF4" w:rsidP="00FF440E">
            <w:pPr>
              <w:jc w:val="center"/>
              <w:rPr>
                <w:b/>
                <w:bCs/>
                <w:color w:val="000000"/>
                <w:sz w:val="16"/>
                <w:szCs w:val="16"/>
                <w:lang w:eastAsia="es-MX"/>
              </w:rPr>
            </w:pPr>
            <w:r w:rsidRPr="0020223F">
              <w:rPr>
                <w:b/>
                <w:bCs/>
                <w:color w:val="000000"/>
                <w:sz w:val="16"/>
                <w:szCs w:val="16"/>
                <w:lang w:eastAsia="es-MX"/>
              </w:rPr>
              <w:t>Nowcast</w:t>
            </w:r>
            <w:r w:rsidRPr="005C2C9C">
              <w:rPr>
                <w:b/>
                <w:bCs/>
                <w:color w:val="000000"/>
                <w:sz w:val="16"/>
                <w:szCs w:val="16"/>
                <w:vertAlign w:val="superscript"/>
                <w:lang w:eastAsia="es-MX"/>
              </w:rPr>
              <w:t>1/</w:t>
            </w:r>
          </w:p>
        </w:tc>
        <w:tc>
          <w:tcPr>
            <w:tcW w:w="934" w:type="dxa"/>
            <w:tcBorders>
              <w:top w:val="single" w:sz="4" w:space="0" w:color="auto"/>
              <w:left w:val="single" w:sz="4" w:space="0" w:color="auto"/>
              <w:bottom w:val="single" w:sz="4" w:space="0" w:color="auto"/>
            </w:tcBorders>
            <w:shd w:val="clear" w:color="auto" w:fill="D7E3BC"/>
            <w:noWrap/>
            <w:vAlign w:val="center"/>
            <w:hideMark/>
          </w:tcPr>
          <w:p w14:paraId="3BC661D0" w14:textId="77777777" w:rsidR="001F5EF4" w:rsidRPr="0020223F" w:rsidRDefault="001F5EF4" w:rsidP="00FF440E">
            <w:pPr>
              <w:jc w:val="center"/>
              <w:rPr>
                <w:b/>
                <w:bCs/>
                <w:color w:val="000000"/>
                <w:sz w:val="16"/>
                <w:szCs w:val="16"/>
                <w:lang w:eastAsia="es-MX"/>
              </w:rPr>
            </w:pPr>
            <w:r w:rsidRPr="0020223F">
              <w:rPr>
                <w:b/>
                <w:bCs/>
                <w:color w:val="000000"/>
                <w:sz w:val="16"/>
                <w:szCs w:val="16"/>
                <w:lang w:eastAsia="es-MX"/>
              </w:rPr>
              <w:t>Superior</w:t>
            </w:r>
          </w:p>
        </w:tc>
      </w:tr>
      <w:tr w:rsidR="001F5EF4" w:rsidRPr="0020223F" w14:paraId="051A248D" w14:textId="77777777" w:rsidTr="00FF440E">
        <w:trPr>
          <w:gridAfter w:val="1"/>
          <w:wAfter w:w="6" w:type="dxa"/>
          <w:trHeight w:val="393"/>
          <w:jc w:val="center"/>
        </w:trPr>
        <w:tc>
          <w:tcPr>
            <w:tcW w:w="921" w:type="dxa"/>
            <w:tcBorders>
              <w:top w:val="single" w:sz="4" w:space="0" w:color="auto"/>
              <w:right w:val="single" w:sz="4" w:space="0" w:color="auto"/>
            </w:tcBorders>
            <w:noWrap/>
            <w:vAlign w:val="center"/>
            <w:hideMark/>
          </w:tcPr>
          <w:p w14:paraId="44BEAC08" w14:textId="77777777" w:rsidR="001F5EF4" w:rsidRPr="00CB2958" w:rsidRDefault="001F5EF4" w:rsidP="00FF440E">
            <w:pPr>
              <w:jc w:val="center"/>
              <w:rPr>
                <w:color w:val="000000"/>
                <w:sz w:val="16"/>
                <w:szCs w:val="16"/>
                <w:lang w:eastAsia="es-MX"/>
              </w:rPr>
            </w:pPr>
            <w:r w:rsidRPr="00CB2958">
              <w:rPr>
                <w:color w:val="000000"/>
                <w:sz w:val="16"/>
                <w:szCs w:val="16"/>
                <w:lang w:eastAsia="es-MX"/>
              </w:rPr>
              <w:t>2021/05</w:t>
            </w:r>
          </w:p>
        </w:tc>
        <w:tc>
          <w:tcPr>
            <w:tcW w:w="932" w:type="dxa"/>
            <w:tcBorders>
              <w:top w:val="single" w:sz="4" w:space="0" w:color="auto"/>
              <w:left w:val="single" w:sz="4" w:space="0" w:color="auto"/>
              <w:right w:val="single" w:sz="4" w:space="0" w:color="auto"/>
            </w:tcBorders>
            <w:noWrap/>
            <w:vAlign w:val="center"/>
            <w:hideMark/>
          </w:tcPr>
          <w:p w14:paraId="61DA8B11" w14:textId="77777777" w:rsidR="001F5EF4" w:rsidRPr="00CB2958" w:rsidRDefault="001F5EF4" w:rsidP="00FF440E">
            <w:pPr>
              <w:jc w:val="center"/>
              <w:rPr>
                <w:color w:val="000000"/>
                <w:sz w:val="16"/>
                <w:szCs w:val="16"/>
                <w:lang w:eastAsia="es-MX"/>
              </w:rPr>
            </w:pPr>
            <w:r w:rsidRPr="00CB2958">
              <w:rPr>
                <w:sz w:val="16"/>
                <w:szCs w:val="16"/>
              </w:rPr>
              <w:t>23.2</w:t>
            </w:r>
          </w:p>
        </w:tc>
        <w:tc>
          <w:tcPr>
            <w:tcW w:w="933" w:type="dxa"/>
            <w:tcBorders>
              <w:top w:val="single" w:sz="4" w:space="0" w:color="auto"/>
              <w:left w:val="single" w:sz="4" w:space="0" w:color="auto"/>
              <w:right w:val="single" w:sz="4" w:space="0" w:color="auto"/>
            </w:tcBorders>
            <w:noWrap/>
            <w:vAlign w:val="center"/>
            <w:hideMark/>
          </w:tcPr>
          <w:p w14:paraId="1815F50D" w14:textId="77777777" w:rsidR="001F5EF4" w:rsidRPr="00CB2958" w:rsidRDefault="001F5EF4" w:rsidP="00FF440E">
            <w:pPr>
              <w:jc w:val="center"/>
              <w:rPr>
                <w:color w:val="000000"/>
                <w:sz w:val="16"/>
                <w:szCs w:val="16"/>
                <w:lang w:eastAsia="es-MX"/>
              </w:rPr>
            </w:pPr>
            <w:r w:rsidRPr="00CB2958">
              <w:rPr>
                <w:sz w:val="16"/>
                <w:szCs w:val="16"/>
              </w:rPr>
              <w:t>24.5</w:t>
            </w:r>
          </w:p>
        </w:tc>
        <w:tc>
          <w:tcPr>
            <w:tcW w:w="935" w:type="dxa"/>
            <w:tcBorders>
              <w:top w:val="single" w:sz="4" w:space="0" w:color="auto"/>
              <w:left w:val="single" w:sz="4" w:space="0" w:color="auto"/>
              <w:right w:val="single" w:sz="4" w:space="0" w:color="auto"/>
            </w:tcBorders>
            <w:noWrap/>
            <w:vAlign w:val="center"/>
            <w:hideMark/>
          </w:tcPr>
          <w:p w14:paraId="1D66C074" w14:textId="77777777" w:rsidR="001F5EF4" w:rsidRPr="00CB2958" w:rsidRDefault="001F5EF4" w:rsidP="00FF440E">
            <w:pPr>
              <w:jc w:val="center"/>
              <w:rPr>
                <w:color w:val="000000"/>
                <w:sz w:val="16"/>
                <w:szCs w:val="16"/>
                <w:lang w:eastAsia="es-MX"/>
              </w:rPr>
            </w:pPr>
            <w:r w:rsidRPr="00CB2958">
              <w:rPr>
                <w:sz w:val="16"/>
                <w:szCs w:val="16"/>
              </w:rPr>
              <w:t>25.9</w:t>
            </w:r>
          </w:p>
        </w:tc>
        <w:tc>
          <w:tcPr>
            <w:tcW w:w="933" w:type="dxa"/>
            <w:tcBorders>
              <w:top w:val="single" w:sz="4" w:space="0" w:color="auto"/>
              <w:left w:val="single" w:sz="4" w:space="0" w:color="auto"/>
              <w:right w:val="single" w:sz="4" w:space="0" w:color="auto"/>
            </w:tcBorders>
            <w:noWrap/>
            <w:vAlign w:val="center"/>
          </w:tcPr>
          <w:p w14:paraId="09F1D59F" w14:textId="77777777" w:rsidR="001F5EF4" w:rsidRPr="00CB2958" w:rsidRDefault="001F5EF4" w:rsidP="00FF440E">
            <w:pPr>
              <w:jc w:val="center"/>
              <w:rPr>
                <w:color w:val="000000"/>
                <w:sz w:val="16"/>
                <w:szCs w:val="16"/>
                <w:lang w:eastAsia="es-MX"/>
              </w:rPr>
            </w:pPr>
          </w:p>
        </w:tc>
        <w:tc>
          <w:tcPr>
            <w:tcW w:w="934" w:type="dxa"/>
            <w:tcBorders>
              <w:top w:val="single" w:sz="4" w:space="0" w:color="auto"/>
              <w:left w:val="single" w:sz="4" w:space="0" w:color="auto"/>
              <w:right w:val="single" w:sz="4" w:space="0" w:color="auto"/>
            </w:tcBorders>
            <w:noWrap/>
            <w:vAlign w:val="center"/>
            <w:hideMark/>
          </w:tcPr>
          <w:p w14:paraId="1D9CE013" w14:textId="77777777" w:rsidR="001F5EF4" w:rsidRPr="00CB2958" w:rsidRDefault="001F5EF4" w:rsidP="00FF440E">
            <w:pPr>
              <w:jc w:val="center"/>
              <w:rPr>
                <w:color w:val="000000"/>
                <w:sz w:val="16"/>
                <w:szCs w:val="16"/>
                <w:lang w:eastAsia="es-MX"/>
              </w:rPr>
            </w:pPr>
            <w:r w:rsidRPr="00CB2958">
              <w:rPr>
                <w:sz w:val="16"/>
                <w:szCs w:val="16"/>
              </w:rPr>
              <w:t>36.6*</w:t>
            </w:r>
          </w:p>
        </w:tc>
        <w:tc>
          <w:tcPr>
            <w:tcW w:w="936" w:type="dxa"/>
            <w:tcBorders>
              <w:top w:val="single" w:sz="4" w:space="0" w:color="auto"/>
              <w:left w:val="single" w:sz="4" w:space="0" w:color="auto"/>
              <w:right w:val="single" w:sz="4" w:space="0" w:color="auto"/>
            </w:tcBorders>
            <w:noWrap/>
            <w:vAlign w:val="center"/>
          </w:tcPr>
          <w:p w14:paraId="264CEBEE" w14:textId="77777777" w:rsidR="001F5EF4" w:rsidRPr="00CB2958" w:rsidRDefault="001F5EF4" w:rsidP="00FF440E">
            <w:pPr>
              <w:jc w:val="center"/>
              <w:rPr>
                <w:color w:val="000000"/>
                <w:sz w:val="16"/>
                <w:szCs w:val="16"/>
                <w:lang w:eastAsia="es-MX"/>
              </w:rPr>
            </w:pPr>
          </w:p>
        </w:tc>
        <w:tc>
          <w:tcPr>
            <w:tcW w:w="933" w:type="dxa"/>
            <w:tcBorders>
              <w:top w:val="single" w:sz="4" w:space="0" w:color="auto"/>
              <w:left w:val="single" w:sz="4" w:space="0" w:color="auto"/>
              <w:right w:val="single" w:sz="4" w:space="0" w:color="auto"/>
            </w:tcBorders>
            <w:noWrap/>
            <w:vAlign w:val="center"/>
            <w:hideMark/>
          </w:tcPr>
          <w:p w14:paraId="7003D7AF" w14:textId="77777777" w:rsidR="001F5EF4" w:rsidRPr="00CB2958" w:rsidRDefault="001F5EF4" w:rsidP="00FF440E">
            <w:pPr>
              <w:jc w:val="center"/>
              <w:rPr>
                <w:color w:val="000000"/>
                <w:sz w:val="16"/>
                <w:szCs w:val="16"/>
                <w:lang w:eastAsia="es-MX"/>
              </w:rPr>
            </w:pPr>
            <w:r w:rsidRPr="00CB2958">
              <w:rPr>
                <w:sz w:val="16"/>
                <w:szCs w:val="16"/>
              </w:rPr>
              <w:t>18.8</w:t>
            </w:r>
          </w:p>
        </w:tc>
        <w:tc>
          <w:tcPr>
            <w:tcW w:w="934" w:type="dxa"/>
            <w:tcBorders>
              <w:top w:val="single" w:sz="4" w:space="0" w:color="auto"/>
              <w:left w:val="single" w:sz="4" w:space="0" w:color="auto"/>
              <w:right w:val="single" w:sz="4" w:space="0" w:color="auto"/>
            </w:tcBorders>
            <w:noWrap/>
            <w:vAlign w:val="center"/>
            <w:hideMark/>
          </w:tcPr>
          <w:p w14:paraId="5E7646B0" w14:textId="77777777" w:rsidR="001F5EF4" w:rsidRPr="00CB2958" w:rsidRDefault="001F5EF4" w:rsidP="00FF440E">
            <w:pPr>
              <w:jc w:val="center"/>
              <w:rPr>
                <w:color w:val="000000"/>
                <w:sz w:val="16"/>
                <w:szCs w:val="16"/>
                <w:lang w:eastAsia="es-MX"/>
              </w:rPr>
            </w:pPr>
            <w:r w:rsidRPr="00CB2958">
              <w:rPr>
                <w:sz w:val="16"/>
                <w:szCs w:val="16"/>
              </w:rPr>
              <w:t>20.2</w:t>
            </w:r>
          </w:p>
        </w:tc>
        <w:tc>
          <w:tcPr>
            <w:tcW w:w="934" w:type="dxa"/>
            <w:tcBorders>
              <w:top w:val="single" w:sz="4" w:space="0" w:color="auto"/>
              <w:left w:val="single" w:sz="4" w:space="0" w:color="auto"/>
            </w:tcBorders>
            <w:noWrap/>
            <w:vAlign w:val="center"/>
            <w:hideMark/>
          </w:tcPr>
          <w:p w14:paraId="7A82C05A" w14:textId="77777777" w:rsidR="001F5EF4" w:rsidRPr="00CB2958" w:rsidRDefault="001F5EF4" w:rsidP="00FF440E">
            <w:pPr>
              <w:jc w:val="center"/>
              <w:rPr>
                <w:color w:val="000000"/>
                <w:sz w:val="16"/>
                <w:szCs w:val="16"/>
                <w:lang w:eastAsia="es-MX"/>
              </w:rPr>
            </w:pPr>
            <w:r w:rsidRPr="00CB2958">
              <w:rPr>
                <w:sz w:val="16"/>
                <w:szCs w:val="16"/>
              </w:rPr>
              <w:t>21.6</w:t>
            </w:r>
          </w:p>
        </w:tc>
      </w:tr>
      <w:tr w:rsidR="001F5EF4" w:rsidRPr="0020223F" w14:paraId="70086870" w14:textId="77777777" w:rsidTr="00FF440E">
        <w:trPr>
          <w:gridAfter w:val="1"/>
          <w:wAfter w:w="6" w:type="dxa"/>
          <w:trHeight w:val="411"/>
          <w:jc w:val="center"/>
        </w:trPr>
        <w:tc>
          <w:tcPr>
            <w:tcW w:w="921" w:type="dxa"/>
            <w:tcBorders>
              <w:right w:val="single" w:sz="4" w:space="0" w:color="auto"/>
            </w:tcBorders>
            <w:noWrap/>
            <w:vAlign w:val="center"/>
            <w:hideMark/>
          </w:tcPr>
          <w:p w14:paraId="56F8DF68" w14:textId="77777777" w:rsidR="001F5EF4" w:rsidRPr="00CB2958" w:rsidRDefault="001F5EF4" w:rsidP="00FF440E">
            <w:pPr>
              <w:jc w:val="center"/>
              <w:rPr>
                <w:color w:val="000000"/>
                <w:sz w:val="16"/>
                <w:szCs w:val="16"/>
                <w:lang w:eastAsia="es-MX"/>
              </w:rPr>
            </w:pPr>
            <w:r w:rsidRPr="00CB2958">
              <w:rPr>
                <w:color w:val="000000"/>
                <w:sz w:val="16"/>
                <w:szCs w:val="16"/>
                <w:lang w:eastAsia="es-MX"/>
              </w:rPr>
              <w:t>2021/06</w:t>
            </w:r>
          </w:p>
        </w:tc>
        <w:tc>
          <w:tcPr>
            <w:tcW w:w="932" w:type="dxa"/>
            <w:tcBorders>
              <w:left w:val="single" w:sz="4" w:space="0" w:color="auto"/>
              <w:right w:val="single" w:sz="4" w:space="0" w:color="auto"/>
            </w:tcBorders>
            <w:noWrap/>
            <w:vAlign w:val="center"/>
            <w:hideMark/>
          </w:tcPr>
          <w:p w14:paraId="249F7CBD" w14:textId="77777777" w:rsidR="001F5EF4" w:rsidRPr="00CB2958" w:rsidRDefault="001F5EF4" w:rsidP="00FF440E">
            <w:pPr>
              <w:jc w:val="center"/>
              <w:rPr>
                <w:color w:val="000000"/>
                <w:sz w:val="16"/>
                <w:szCs w:val="16"/>
                <w:lang w:eastAsia="es-MX"/>
              </w:rPr>
            </w:pPr>
            <w:r w:rsidRPr="00CB2958">
              <w:rPr>
                <w:sz w:val="16"/>
                <w:szCs w:val="16"/>
              </w:rPr>
              <w:t>13.4</w:t>
            </w:r>
          </w:p>
        </w:tc>
        <w:tc>
          <w:tcPr>
            <w:tcW w:w="933" w:type="dxa"/>
            <w:tcBorders>
              <w:left w:val="single" w:sz="4" w:space="0" w:color="auto"/>
              <w:right w:val="single" w:sz="4" w:space="0" w:color="auto"/>
            </w:tcBorders>
            <w:noWrap/>
            <w:vAlign w:val="center"/>
            <w:hideMark/>
          </w:tcPr>
          <w:p w14:paraId="15811DFA" w14:textId="77777777" w:rsidR="001F5EF4" w:rsidRPr="00CB2958" w:rsidRDefault="001F5EF4" w:rsidP="00FF440E">
            <w:pPr>
              <w:jc w:val="center"/>
              <w:rPr>
                <w:color w:val="000000"/>
                <w:sz w:val="16"/>
                <w:szCs w:val="16"/>
                <w:lang w:eastAsia="es-MX"/>
              </w:rPr>
            </w:pPr>
            <w:r w:rsidRPr="00CB2958">
              <w:rPr>
                <w:sz w:val="16"/>
                <w:szCs w:val="16"/>
              </w:rPr>
              <w:t>14.7</w:t>
            </w:r>
          </w:p>
        </w:tc>
        <w:tc>
          <w:tcPr>
            <w:tcW w:w="935" w:type="dxa"/>
            <w:tcBorders>
              <w:left w:val="single" w:sz="4" w:space="0" w:color="auto"/>
              <w:right w:val="single" w:sz="4" w:space="0" w:color="auto"/>
            </w:tcBorders>
            <w:shd w:val="clear" w:color="auto" w:fill="auto"/>
            <w:noWrap/>
            <w:vAlign w:val="center"/>
            <w:hideMark/>
          </w:tcPr>
          <w:p w14:paraId="1567C5F5" w14:textId="77777777" w:rsidR="001F5EF4" w:rsidRPr="00CB2958" w:rsidRDefault="001F5EF4" w:rsidP="00FF440E">
            <w:pPr>
              <w:jc w:val="center"/>
              <w:rPr>
                <w:color w:val="000000"/>
                <w:sz w:val="16"/>
                <w:szCs w:val="16"/>
                <w:lang w:eastAsia="es-MX"/>
              </w:rPr>
            </w:pPr>
            <w:r w:rsidRPr="00CB2958">
              <w:rPr>
                <w:sz w:val="16"/>
                <w:szCs w:val="16"/>
              </w:rPr>
              <w:t>16.1</w:t>
            </w:r>
          </w:p>
        </w:tc>
        <w:tc>
          <w:tcPr>
            <w:tcW w:w="933" w:type="dxa"/>
            <w:tcBorders>
              <w:left w:val="single" w:sz="4" w:space="0" w:color="auto"/>
              <w:right w:val="single" w:sz="4" w:space="0" w:color="auto"/>
            </w:tcBorders>
            <w:noWrap/>
            <w:vAlign w:val="center"/>
            <w:hideMark/>
          </w:tcPr>
          <w:p w14:paraId="4921FC14" w14:textId="77777777" w:rsidR="001F5EF4" w:rsidRPr="00CB2958" w:rsidRDefault="001F5EF4" w:rsidP="00FF440E">
            <w:pPr>
              <w:jc w:val="center"/>
              <w:rPr>
                <w:color w:val="000000"/>
                <w:sz w:val="16"/>
                <w:szCs w:val="16"/>
                <w:lang w:eastAsia="es-MX"/>
              </w:rPr>
            </w:pPr>
            <w:r w:rsidRPr="00CB2958">
              <w:rPr>
                <w:sz w:val="16"/>
                <w:szCs w:val="16"/>
              </w:rPr>
              <w:t>11.7</w:t>
            </w:r>
          </w:p>
        </w:tc>
        <w:tc>
          <w:tcPr>
            <w:tcW w:w="934" w:type="dxa"/>
            <w:tcBorders>
              <w:left w:val="single" w:sz="4" w:space="0" w:color="auto"/>
              <w:right w:val="single" w:sz="4" w:space="0" w:color="auto"/>
            </w:tcBorders>
            <w:noWrap/>
            <w:vAlign w:val="center"/>
            <w:hideMark/>
          </w:tcPr>
          <w:p w14:paraId="37D06E52" w14:textId="77777777" w:rsidR="001F5EF4" w:rsidRPr="00CB2958" w:rsidRDefault="001F5EF4" w:rsidP="00FF440E">
            <w:pPr>
              <w:jc w:val="center"/>
              <w:rPr>
                <w:color w:val="000000"/>
                <w:sz w:val="16"/>
                <w:szCs w:val="16"/>
                <w:lang w:eastAsia="es-MX"/>
              </w:rPr>
            </w:pPr>
            <w:r w:rsidRPr="00CB2958">
              <w:rPr>
                <w:sz w:val="16"/>
                <w:szCs w:val="16"/>
              </w:rPr>
              <w:t>14.4</w:t>
            </w:r>
          </w:p>
        </w:tc>
        <w:tc>
          <w:tcPr>
            <w:tcW w:w="936" w:type="dxa"/>
            <w:tcBorders>
              <w:left w:val="single" w:sz="4" w:space="0" w:color="auto"/>
              <w:right w:val="single" w:sz="4" w:space="0" w:color="auto"/>
            </w:tcBorders>
            <w:noWrap/>
            <w:vAlign w:val="center"/>
            <w:hideMark/>
          </w:tcPr>
          <w:p w14:paraId="52251E93" w14:textId="77777777" w:rsidR="001F5EF4" w:rsidRPr="00CB2958" w:rsidRDefault="001F5EF4" w:rsidP="00FF440E">
            <w:pPr>
              <w:jc w:val="center"/>
              <w:rPr>
                <w:color w:val="000000"/>
                <w:sz w:val="16"/>
                <w:szCs w:val="16"/>
                <w:lang w:eastAsia="es-MX"/>
              </w:rPr>
            </w:pPr>
            <w:r w:rsidRPr="00CB2958">
              <w:rPr>
                <w:sz w:val="16"/>
                <w:szCs w:val="16"/>
              </w:rPr>
              <w:t>17.1</w:t>
            </w:r>
          </w:p>
        </w:tc>
        <w:tc>
          <w:tcPr>
            <w:tcW w:w="933" w:type="dxa"/>
            <w:tcBorders>
              <w:left w:val="single" w:sz="4" w:space="0" w:color="auto"/>
              <w:right w:val="single" w:sz="4" w:space="0" w:color="auto"/>
            </w:tcBorders>
            <w:noWrap/>
            <w:vAlign w:val="center"/>
            <w:hideMark/>
          </w:tcPr>
          <w:p w14:paraId="7512BE9F" w14:textId="77777777" w:rsidR="001F5EF4" w:rsidRPr="00CB2958" w:rsidRDefault="001F5EF4" w:rsidP="00FF440E">
            <w:pPr>
              <w:jc w:val="center"/>
              <w:rPr>
                <w:color w:val="000000"/>
                <w:sz w:val="16"/>
                <w:szCs w:val="16"/>
                <w:lang w:eastAsia="es-MX"/>
              </w:rPr>
            </w:pPr>
            <w:r w:rsidRPr="00CB2958">
              <w:rPr>
                <w:sz w:val="16"/>
                <w:szCs w:val="16"/>
              </w:rPr>
              <w:t>12.6</w:t>
            </w:r>
          </w:p>
        </w:tc>
        <w:tc>
          <w:tcPr>
            <w:tcW w:w="934" w:type="dxa"/>
            <w:tcBorders>
              <w:left w:val="single" w:sz="4" w:space="0" w:color="auto"/>
              <w:right w:val="single" w:sz="4" w:space="0" w:color="auto"/>
            </w:tcBorders>
            <w:noWrap/>
            <w:vAlign w:val="center"/>
            <w:hideMark/>
          </w:tcPr>
          <w:p w14:paraId="6B27D611" w14:textId="77777777" w:rsidR="001F5EF4" w:rsidRPr="00CB2958" w:rsidRDefault="001F5EF4" w:rsidP="00FF440E">
            <w:pPr>
              <w:jc w:val="center"/>
              <w:rPr>
                <w:color w:val="000000"/>
                <w:sz w:val="16"/>
                <w:szCs w:val="16"/>
                <w:lang w:eastAsia="es-MX"/>
              </w:rPr>
            </w:pPr>
            <w:r w:rsidRPr="00CB2958">
              <w:rPr>
                <w:sz w:val="16"/>
                <w:szCs w:val="16"/>
              </w:rPr>
              <w:t>14.0</w:t>
            </w:r>
          </w:p>
        </w:tc>
        <w:tc>
          <w:tcPr>
            <w:tcW w:w="934" w:type="dxa"/>
            <w:tcBorders>
              <w:left w:val="single" w:sz="4" w:space="0" w:color="auto"/>
            </w:tcBorders>
            <w:noWrap/>
            <w:vAlign w:val="center"/>
            <w:hideMark/>
          </w:tcPr>
          <w:p w14:paraId="724C3133" w14:textId="77777777" w:rsidR="001F5EF4" w:rsidRPr="00CB2958" w:rsidRDefault="001F5EF4" w:rsidP="00FF440E">
            <w:pPr>
              <w:jc w:val="center"/>
              <w:rPr>
                <w:color w:val="000000"/>
                <w:sz w:val="16"/>
                <w:szCs w:val="16"/>
                <w:lang w:eastAsia="es-MX"/>
              </w:rPr>
            </w:pPr>
            <w:r w:rsidRPr="00CB2958">
              <w:rPr>
                <w:sz w:val="16"/>
                <w:szCs w:val="16"/>
              </w:rPr>
              <w:t>15.3</w:t>
            </w:r>
          </w:p>
        </w:tc>
      </w:tr>
    </w:tbl>
    <w:p w14:paraId="0D9B74B8" w14:textId="77777777" w:rsidR="001F5EF4" w:rsidRDefault="001F5EF4" w:rsidP="001F5EF4">
      <w:pPr>
        <w:pStyle w:val="pie"/>
        <w:ind w:left="0" w:right="-93" w:hanging="142"/>
        <w:rPr>
          <w:lang w:val="es-MX"/>
        </w:rPr>
      </w:pPr>
      <w:r>
        <w:rPr>
          <w:vertAlign w:val="superscript"/>
          <w:lang w:val="es-MX"/>
        </w:rPr>
        <w:t xml:space="preserve">1/ </w:t>
      </w:r>
      <w:r>
        <w:rPr>
          <w:lang w:val="es-MX"/>
        </w:rPr>
        <w:t>Estimación oportuna que aprovecha la asociación estadística entre la variable que se desea estimar, en este caso el IGAE, y otras variables más oportunas que ella.</w:t>
      </w:r>
    </w:p>
    <w:p w14:paraId="1FD97D34" w14:textId="77777777" w:rsidR="001F5EF4" w:rsidRPr="00D5238C" w:rsidRDefault="001F5EF4" w:rsidP="001F5EF4">
      <w:pPr>
        <w:pStyle w:val="pie"/>
        <w:ind w:left="142"/>
        <w:rPr>
          <w:lang w:val="es-MX"/>
        </w:rPr>
      </w:pPr>
      <w:r w:rsidRPr="00D5238C">
        <w:rPr>
          <w:lang w:val="es-MX"/>
        </w:rPr>
        <w:t>*</w:t>
      </w:r>
      <w:r>
        <w:rPr>
          <w:lang w:val="es-MX"/>
        </w:rPr>
        <w:t xml:space="preserve"> </w:t>
      </w:r>
      <w:r w:rsidRPr="00D5238C">
        <w:rPr>
          <w:lang w:val="es-MX"/>
        </w:rPr>
        <w:t>Se considera como valor observado.</w:t>
      </w:r>
    </w:p>
    <w:p w14:paraId="75A4FCDE" w14:textId="77777777" w:rsidR="001F5EF4" w:rsidRPr="00D5238C" w:rsidRDefault="001F5EF4" w:rsidP="001F5EF4">
      <w:pPr>
        <w:pStyle w:val="pie"/>
        <w:ind w:left="142"/>
        <w:rPr>
          <w:lang w:val="es-MX"/>
        </w:rPr>
      </w:pPr>
      <w:r w:rsidRPr="00D5238C">
        <w:rPr>
          <w:lang w:val="es-MX"/>
        </w:rPr>
        <w:t>Nota: Intervalos de confianza al 95</w:t>
      </w:r>
      <w:r>
        <w:rPr>
          <w:lang w:val="es-MX"/>
        </w:rPr>
        <w:t xml:space="preserve"> por ciento</w:t>
      </w:r>
      <w:r w:rsidRPr="00D5238C">
        <w:rPr>
          <w:lang w:val="es-MX"/>
        </w:rPr>
        <w:t>.</w:t>
      </w:r>
    </w:p>
    <w:p w14:paraId="5585CDB4" w14:textId="77777777" w:rsidR="001F5EF4" w:rsidRDefault="001F5EF4" w:rsidP="001F5EF4">
      <w:pPr>
        <w:pStyle w:val="pie"/>
        <w:ind w:left="142"/>
        <w:rPr>
          <w:lang w:val="es-MX"/>
        </w:rPr>
      </w:pPr>
      <w:r w:rsidRPr="00D5238C">
        <w:rPr>
          <w:lang w:val="es-MX"/>
        </w:rPr>
        <w:t>Fuente: INEGI.</w:t>
      </w:r>
      <w:bookmarkEnd w:id="0"/>
    </w:p>
    <w:p w14:paraId="09315261" w14:textId="61BFA799" w:rsidR="001F5EF4" w:rsidRPr="005F020D" w:rsidRDefault="001F5EF4" w:rsidP="001F5EF4">
      <w:pPr>
        <w:pStyle w:val="pie"/>
        <w:spacing w:before="120"/>
        <w:ind w:left="142"/>
        <w:jc w:val="center"/>
        <w:rPr>
          <w:b/>
          <w:sz w:val="22"/>
          <w:szCs w:val="22"/>
        </w:rPr>
      </w:pPr>
      <w:r w:rsidRPr="005F020D">
        <w:rPr>
          <w:b/>
          <w:sz w:val="22"/>
          <w:szCs w:val="22"/>
        </w:rPr>
        <w:t>Se</w:t>
      </w:r>
      <w:r w:rsidR="00912A7C">
        <w:rPr>
          <w:b/>
          <w:sz w:val="22"/>
          <w:szCs w:val="22"/>
        </w:rPr>
        <w:t xml:space="preserve"> </w:t>
      </w:r>
      <w:proofErr w:type="spellStart"/>
      <w:r w:rsidRPr="005F020D">
        <w:rPr>
          <w:b/>
          <w:sz w:val="22"/>
          <w:szCs w:val="22"/>
        </w:rPr>
        <w:t>anexa</w:t>
      </w:r>
      <w:proofErr w:type="spellEnd"/>
      <w:r w:rsidRPr="005F020D">
        <w:rPr>
          <w:b/>
          <w:sz w:val="22"/>
          <w:szCs w:val="22"/>
        </w:rPr>
        <w:t xml:space="preserve"> Nota</w:t>
      </w:r>
      <w:r w:rsidR="00FB0504">
        <w:rPr>
          <w:b/>
          <w:sz w:val="22"/>
          <w:szCs w:val="22"/>
        </w:rPr>
        <w:t xml:space="preserve"> </w:t>
      </w:r>
      <w:proofErr w:type="spellStart"/>
      <w:r w:rsidRPr="005F020D">
        <w:rPr>
          <w:b/>
          <w:sz w:val="22"/>
          <w:szCs w:val="22"/>
        </w:rPr>
        <w:t>Técnica</w:t>
      </w:r>
      <w:proofErr w:type="spellEnd"/>
    </w:p>
    <w:p w14:paraId="4431FA80" w14:textId="77777777" w:rsidR="001F5EF4" w:rsidRPr="00D0524B" w:rsidRDefault="001F5EF4" w:rsidP="005E04E3">
      <w:pPr>
        <w:pStyle w:val="NormalWeb"/>
        <w:spacing w:before="480" w:beforeAutospacing="0" w:after="0" w:afterAutospacing="0"/>
        <w:ind w:left="-567" w:right="-518"/>
        <w:contextualSpacing/>
        <w:jc w:val="center"/>
        <w:rPr>
          <w:rFonts w:ascii="Arial" w:hAnsi="Arial" w:cs="Arial"/>
          <w:sz w:val="20"/>
          <w:szCs w:val="20"/>
        </w:rPr>
      </w:pPr>
      <w:r w:rsidRPr="00D0524B">
        <w:rPr>
          <w:rFonts w:ascii="Arial" w:hAnsi="Arial" w:cs="Arial"/>
          <w:sz w:val="20"/>
          <w:szCs w:val="20"/>
        </w:rPr>
        <w:t xml:space="preserve">Para consultas de medios y periodistas, contactar a: comunicacionsocial@inegi.org.mx </w:t>
      </w:r>
    </w:p>
    <w:p w14:paraId="4C63E13B" w14:textId="77777777" w:rsidR="001F5EF4" w:rsidRPr="00D0524B" w:rsidRDefault="001F5EF4" w:rsidP="001F5EF4">
      <w:pPr>
        <w:pStyle w:val="NormalWeb"/>
        <w:spacing w:before="0" w:beforeAutospacing="0" w:after="0" w:afterAutospacing="0"/>
        <w:ind w:left="-567" w:right="-518"/>
        <w:contextualSpacing/>
        <w:jc w:val="center"/>
        <w:rPr>
          <w:rFonts w:ascii="Arial" w:hAnsi="Arial" w:cs="Arial"/>
          <w:sz w:val="20"/>
          <w:szCs w:val="20"/>
        </w:rPr>
      </w:pPr>
      <w:r w:rsidRPr="00D0524B">
        <w:rPr>
          <w:rFonts w:ascii="Arial" w:hAnsi="Arial" w:cs="Arial"/>
          <w:sz w:val="20"/>
          <w:szCs w:val="20"/>
        </w:rPr>
        <w:t>o llamar al teléfono (55) 52-78-10-00, ext. 1134, 1260 y 1241.</w:t>
      </w:r>
    </w:p>
    <w:p w14:paraId="2EC48161" w14:textId="77777777" w:rsidR="001F5EF4" w:rsidRDefault="001F5EF4" w:rsidP="001F5EF4">
      <w:pPr>
        <w:ind w:left="-567" w:right="-518"/>
        <w:contextualSpacing/>
        <w:jc w:val="center"/>
        <w:rPr>
          <w:sz w:val="20"/>
          <w:szCs w:val="20"/>
        </w:rPr>
      </w:pPr>
    </w:p>
    <w:p w14:paraId="43A44420" w14:textId="77777777" w:rsidR="001F5EF4" w:rsidRDefault="001F5EF4" w:rsidP="001F5EF4">
      <w:pPr>
        <w:ind w:left="-567" w:right="-518"/>
        <w:contextualSpacing/>
        <w:jc w:val="center"/>
        <w:rPr>
          <w:sz w:val="20"/>
          <w:szCs w:val="20"/>
        </w:rPr>
      </w:pPr>
      <w:r w:rsidRPr="00D0524B">
        <w:rPr>
          <w:sz w:val="20"/>
          <w:szCs w:val="20"/>
        </w:rPr>
        <w:t>Dirección de Atención a Medios / Dirección General Adjunta de Comunicación</w:t>
      </w:r>
    </w:p>
    <w:p w14:paraId="0FD649F5" w14:textId="77777777" w:rsidR="001F5EF4" w:rsidRPr="00D0524B" w:rsidRDefault="001F5EF4" w:rsidP="001F5EF4">
      <w:pPr>
        <w:ind w:left="-567" w:right="-518"/>
        <w:contextualSpacing/>
        <w:jc w:val="center"/>
        <w:rPr>
          <w:sz w:val="20"/>
          <w:szCs w:val="20"/>
        </w:rPr>
      </w:pPr>
    </w:p>
    <w:p w14:paraId="2ADFF6AD" w14:textId="77777777" w:rsidR="001F5EF4" w:rsidRDefault="001F5EF4" w:rsidP="001F5EF4">
      <w:pPr>
        <w:ind w:left="-567"/>
        <w:jc w:val="center"/>
        <w:rPr>
          <w:noProof/>
          <w:lang w:eastAsia="es-MX"/>
        </w:rPr>
        <w:sectPr w:rsidR="001F5EF4" w:rsidSect="00E84E5C">
          <w:headerReference w:type="default" r:id="rId8"/>
          <w:footerReference w:type="default" r:id="rId9"/>
          <w:pgSz w:w="12240" w:h="15840"/>
          <w:pgMar w:top="1417" w:right="1701" w:bottom="1276" w:left="1701" w:header="708" w:footer="708" w:gutter="0"/>
          <w:cols w:space="708"/>
          <w:docGrid w:linePitch="360"/>
        </w:sectPr>
      </w:pPr>
      <w:r w:rsidRPr="008F0992">
        <w:rPr>
          <w:noProof/>
          <w:lang w:eastAsia="es-MX"/>
        </w:rPr>
        <w:drawing>
          <wp:inline distT="0" distB="0" distL="0" distR="0" wp14:anchorId="6BB4F268" wp14:editId="17C47ECA">
            <wp:extent cx="260541" cy="239236"/>
            <wp:effectExtent l="0" t="0" r="6350" b="8890"/>
            <wp:docPr id="48" name="Imagen 48"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200" cy="282079"/>
                    </a:xfrm>
                    <a:prstGeom prst="rect">
                      <a:avLst/>
                    </a:prstGeom>
                    <a:noFill/>
                    <a:ln>
                      <a:noFill/>
                    </a:ln>
                  </pic:spPr>
                </pic:pic>
              </a:graphicData>
            </a:graphic>
          </wp:inline>
        </w:drawing>
      </w:r>
      <w:r w:rsidRPr="008F0992">
        <w:rPr>
          <w:noProof/>
          <w:lang w:eastAsia="es-MX"/>
        </w:rPr>
        <w:drawing>
          <wp:inline distT="0" distB="0" distL="0" distR="0" wp14:anchorId="6840D14A" wp14:editId="19A9EFC8">
            <wp:extent cx="244675" cy="243005"/>
            <wp:effectExtent l="0" t="0" r="3175" b="5080"/>
            <wp:docPr id="32" name="Imagen 32"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6886" cy="384246"/>
                    </a:xfrm>
                    <a:prstGeom prst="rect">
                      <a:avLst/>
                    </a:prstGeom>
                    <a:noFill/>
                    <a:ln>
                      <a:noFill/>
                    </a:ln>
                  </pic:spPr>
                </pic:pic>
              </a:graphicData>
            </a:graphic>
          </wp:inline>
        </w:drawing>
      </w:r>
      <w:r w:rsidRPr="008F0992">
        <w:rPr>
          <w:noProof/>
          <w:lang w:eastAsia="es-MX"/>
        </w:rPr>
        <w:drawing>
          <wp:inline distT="0" distB="0" distL="0" distR="0" wp14:anchorId="276094B7" wp14:editId="3F35E7C7">
            <wp:extent cx="245856" cy="248015"/>
            <wp:effectExtent l="0" t="0" r="1905" b="0"/>
            <wp:docPr id="208" name="Imagen 208"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1103" cy="283571"/>
                    </a:xfrm>
                    <a:prstGeom prst="rect">
                      <a:avLst/>
                    </a:prstGeom>
                    <a:noFill/>
                    <a:ln>
                      <a:noFill/>
                    </a:ln>
                  </pic:spPr>
                </pic:pic>
              </a:graphicData>
            </a:graphic>
          </wp:inline>
        </w:drawing>
      </w:r>
      <w:r w:rsidRPr="008F0992">
        <w:rPr>
          <w:noProof/>
          <w:lang w:eastAsia="es-MX"/>
        </w:rPr>
        <w:drawing>
          <wp:inline distT="0" distB="0" distL="0" distR="0" wp14:anchorId="12099915" wp14:editId="154281AA">
            <wp:extent cx="238125" cy="242051"/>
            <wp:effectExtent l="0" t="0" r="0" b="5715"/>
            <wp:docPr id="209" name="Imagen 209"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9571" cy="304510"/>
                    </a:xfrm>
                    <a:prstGeom prst="rect">
                      <a:avLst/>
                    </a:prstGeom>
                    <a:noFill/>
                    <a:ln>
                      <a:noFill/>
                    </a:ln>
                  </pic:spPr>
                </pic:pic>
              </a:graphicData>
            </a:graphic>
          </wp:inline>
        </w:drawing>
      </w:r>
      <w:r w:rsidRPr="008F0992">
        <w:rPr>
          <w:noProof/>
          <w:sz w:val="14"/>
          <w:szCs w:val="18"/>
          <w:lang w:eastAsia="es-MX"/>
        </w:rPr>
        <w:drawing>
          <wp:inline distT="0" distB="0" distL="0" distR="0" wp14:anchorId="337511BA" wp14:editId="2D35E48A">
            <wp:extent cx="2214751" cy="304800"/>
            <wp:effectExtent l="0" t="0" r="0" b="0"/>
            <wp:docPr id="210" name="Imagen 21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23452" cy="374809"/>
                    </a:xfrm>
                    <a:prstGeom prst="rect">
                      <a:avLst/>
                    </a:prstGeom>
                    <a:noFill/>
                    <a:ln>
                      <a:noFill/>
                    </a:ln>
                  </pic:spPr>
                </pic:pic>
              </a:graphicData>
            </a:graphic>
          </wp:inline>
        </w:drawing>
      </w:r>
    </w:p>
    <w:p w14:paraId="6D0706F0" w14:textId="77777777" w:rsidR="001F5EF4" w:rsidRPr="00B565B5" w:rsidRDefault="001F5EF4" w:rsidP="001F5EF4">
      <w:pPr>
        <w:pStyle w:val="Profesin"/>
        <w:outlineLvl w:val="0"/>
        <w:rPr>
          <w:sz w:val="24"/>
          <w:szCs w:val="24"/>
          <w:lang w:val="es-MX"/>
        </w:rPr>
      </w:pPr>
      <w:r w:rsidRPr="00B565B5">
        <w:rPr>
          <w:sz w:val="24"/>
          <w:szCs w:val="24"/>
          <w:lang w:val="es-MX"/>
        </w:rPr>
        <w:lastRenderedPageBreak/>
        <w:t>Nota técnica</w:t>
      </w:r>
    </w:p>
    <w:p w14:paraId="38BFE91F" w14:textId="77777777" w:rsidR="005C2BF1" w:rsidRPr="00B565B5" w:rsidRDefault="005C2BF1" w:rsidP="0082401B">
      <w:pPr>
        <w:jc w:val="center"/>
        <w:rPr>
          <w:b/>
          <w:bCs/>
          <w:caps/>
          <w:lang w:val="es-MX"/>
        </w:rPr>
      </w:pPr>
      <w:r w:rsidRPr="00B565B5">
        <w:rPr>
          <w:b/>
          <w:bCs/>
          <w:caps/>
          <w:lang w:val="es-MX"/>
        </w:rPr>
        <w:t xml:space="preserve">INDICADOR OPORTUNO DE LA ACTIVIDAD ECONÓMICA </w:t>
      </w:r>
    </w:p>
    <w:p w14:paraId="355F0B86" w14:textId="77777777" w:rsidR="0082401B" w:rsidRPr="00B565B5" w:rsidRDefault="00D7290B" w:rsidP="0082401B">
      <w:pPr>
        <w:jc w:val="center"/>
        <w:rPr>
          <w:b/>
          <w:spacing w:val="25"/>
          <w:lang w:val="es-MX"/>
        </w:rPr>
      </w:pPr>
      <w:r w:rsidRPr="00B565B5">
        <w:rPr>
          <w:b/>
          <w:spacing w:val="25"/>
          <w:lang w:val="es-MX"/>
        </w:rPr>
        <w:t xml:space="preserve">AL MES DE </w:t>
      </w:r>
      <w:r w:rsidR="00D2059E" w:rsidRPr="00B565B5">
        <w:rPr>
          <w:b/>
          <w:spacing w:val="25"/>
          <w:lang w:val="es-MX"/>
        </w:rPr>
        <w:t>JUNIO</w:t>
      </w:r>
      <w:r w:rsidR="00237437" w:rsidRPr="00B565B5">
        <w:rPr>
          <w:b/>
          <w:spacing w:val="25"/>
          <w:lang w:val="es-MX"/>
        </w:rPr>
        <w:t xml:space="preserve"> </w:t>
      </w:r>
      <w:r w:rsidR="00662155" w:rsidRPr="00B565B5">
        <w:rPr>
          <w:b/>
          <w:spacing w:val="25"/>
          <w:lang w:val="es-MX"/>
        </w:rPr>
        <w:t>DE 20</w:t>
      </w:r>
      <w:r w:rsidR="00085CEB" w:rsidRPr="00B565B5">
        <w:rPr>
          <w:b/>
          <w:spacing w:val="25"/>
          <w:lang w:val="es-MX"/>
        </w:rPr>
        <w:t>21</w:t>
      </w:r>
    </w:p>
    <w:p w14:paraId="11BD4FA6" w14:textId="77777777" w:rsidR="00C03447" w:rsidRDefault="00C03447" w:rsidP="00D5238C">
      <w:pPr>
        <w:rPr>
          <w:lang w:val="es-MX"/>
        </w:rPr>
      </w:pPr>
    </w:p>
    <w:p w14:paraId="26A54C54" w14:textId="76340466" w:rsidR="00C03447" w:rsidRPr="007A1B6B" w:rsidRDefault="00C03447" w:rsidP="00C03447">
      <w:pPr>
        <w:rPr>
          <w:b/>
          <w:bCs/>
          <w:spacing w:val="10"/>
        </w:rPr>
      </w:pPr>
      <w:r w:rsidRPr="00801AE1">
        <w:rPr>
          <w:lang w:val="es-MX"/>
        </w:rPr>
        <w:t xml:space="preserve">El Indicador Oportuno de la Actividad Económica (IOAE), permite contar con estimaciones </w:t>
      </w:r>
      <w:r w:rsidRPr="00801AE1">
        <w:t xml:space="preserve">econométricas muy oportunas sobre la evolución del </w:t>
      </w:r>
      <w:r w:rsidRPr="00801AE1">
        <w:rPr>
          <w:color w:val="000000" w:themeColor="text1"/>
        </w:rPr>
        <w:t>IGAE</w:t>
      </w:r>
      <w:r w:rsidRPr="00801AE1">
        <w:t xml:space="preserve">. Así, </w:t>
      </w:r>
      <w:r w:rsidRPr="00801AE1">
        <w:rPr>
          <w:lang w:val="es-MX"/>
        </w:rPr>
        <w:t xml:space="preserve">mientras que el IGAE y sus actividades económicas se dan a conocer aproximadamente </w:t>
      </w:r>
      <w:r w:rsidR="00F304BB">
        <w:rPr>
          <w:lang w:val="es-MX"/>
        </w:rPr>
        <w:t>ocho</w:t>
      </w:r>
      <w:r w:rsidRPr="00801AE1">
        <w:rPr>
          <w:lang w:val="es-MX"/>
        </w:rPr>
        <w:t xml:space="preserve"> semanas después de terminado el mes de referencia, el IOAE presenta sus estimaciones tres semanas después del cierre del mes, adelantadas en 5 semanas a la salida de los datos oficiales.</w:t>
      </w:r>
    </w:p>
    <w:p w14:paraId="4A6D63D0" w14:textId="41E99AD8" w:rsidR="009571CB" w:rsidRDefault="00C03447" w:rsidP="00F304BB">
      <w:pPr>
        <w:spacing w:before="240"/>
        <w:rPr>
          <w:lang w:val="es-MX"/>
        </w:rPr>
      </w:pPr>
      <w:r w:rsidRPr="00CB2958">
        <w:rPr>
          <w:lang w:val="es-MX"/>
        </w:rPr>
        <w:t>En términos de</w:t>
      </w:r>
      <w:r w:rsidR="003C00D4" w:rsidRPr="00CB2958">
        <w:rPr>
          <w:lang w:val="es-MX"/>
        </w:rPr>
        <w:t xml:space="preserve"> las variaciones porcentuales reales respecto al mes anterior tenemos </w:t>
      </w:r>
      <w:r w:rsidR="00642702" w:rsidRPr="00CB2958">
        <w:rPr>
          <w:lang w:val="es-MX"/>
        </w:rPr>
        <w:t xml:space="preserve">que </w:t>
      </w:r>
      <w:r w:rsidR="003C00D4" w:rsidRPr="00CB2958">
        <w:rPr>
          <w:lang w:val="es-MX"/>
        </w:rPr>
        <w:t>el IOAE estima</w:t>
      </w:r>
      <w:r w:rsidRPr="00CB2958">
        <w:rPr>
          <w:lang w:val="es-MX"/>
        </w:rPr>
        <w:t>,</w:t>
      </w:r>
      <w:r w:rsidR="003C00D4" w:rsidRPr="00CB2958">
        <w:rPr>
          <w:lang w:val="es-MX"/>
        </w:rPr>
        <w:t xml:space="preserve"> </w:t>
      </w:r>
      <w:r w:rsidR="00642702" w:rsidRPr="00CB2958">
        <w:rPr>
          <w:lang w:val="es-MX"/>
        </w:rPr>
        <w:t>para el IGAE</w:t>
      </w:r>
      <w:r w:rsidRPr="00CB2958">
        <w:rPr>
          <w:lang w:val="es-MX"/>
        </w:rPr>
        <w:t>,</w:t>
      </w:r>
      <w:r w:rsidR="00642702" w:rsidRPr="00CB2958">
        <w:rPr>
          <w:lang w:val="es-MX"/>
        </w:rPr>
        <w:t xml:space="preserve"> </w:t>
      </w:r>
      <w:r w:rsidR="003C00D4" w:rsidRPr="00CB2958">
        <w:rPr>
          <w:lang w:val="es-MX"/>
        </w:rPr>
        <w:t>un incremento de 0.</w:t>
      </w:r>
      <w:r w:rsidR="00222FED" w:rsidRPr="00CB2958">
        <w:rPr>
          <w:lang w:val="es-MX"/>
        </w:rPr>
        <w:t>3</w:t>
      </w:r>
      <w:r w:rsidR="003C00D4" w:rsidRPr="00CB2958">
        <w:rPr>
          <w:lang w:val="es-MX"/>
        </w:rPr>
        <w:t xml:space="preserve">% </w:t>
      </w:r>
      <w:r w:rsidR="00E26500" w:rsidRPr="00CB2958">
        <w:rPr>
          <w:lang w:val="es-MX"/>
        </w:rPr>
        <w:t xml:space="preserve">para </w:t>
      </w:r>
      <w:r w:rsidR="00D2059E" w:rsidRPr="00CB2958">
        <w:rPr>
          <w:lang w:val="es-MX"/>
        </w:rPr>
        <w:t>junio</w:t>
      </w:r>
      <w:r w:rsidR="00E26500" w:rsidRPr="00CB2958">
        <w:rPr>
          <w:lang w:val="es-MX"/>
        </w:rPr>
        <w:t xml:space="preserve"> </w:t>
      </w:r>
      <w:r w:rsidR="00F304BB">
        <w:rPr>
          <w:lang w:val="es-MX"/>
        </w:rPr>
        <w:t>pasado</w:t>
      </w:r>
      <w:r w:rsidR="003C00D4" w:rsidRPr="00CB2958">
        <w:rPr>
          <w:lang w:val="es-MX"/>
        </w:rPr>
        <w:t xml:space="preserve">. </w:t>
      </w:r>
      <w:r w:rsidR="009571CB" w:rsidRPr="00CB2958">
        <w:rPr>
          <w:lang w:val="es-MX"/>
        </w:rPr>
        <w:t>Considerando los principales Grandes Sectores de Actividad del IGAE, se tiene que para las actividades secundarias se calcula un decremento mensual de 0.</w:t>
      </w:r>
      <w:r w:rsidR="00D2059E" w:rsidRPr="00CB2958">
        <w:rPr>
          <w:lang w:val="es-MX"/>
        </w:rPr>
        <w:t>7</w:t>
      </w:r>
      <w:r w:rsidR="009571CB" w:rsidRPr="00CB2958">
        <w:rPr>
          <w:lang w:val="es-MX"/>
        </w:rPr>
        <w:t xml:space="preserve">%, mientras que para el sector terciario </w:t>
      </w:r>
      <w:r w:rsidR="006B53FC">
        <w:rPr>
          <w:lang w:val="es-MX"/>
        </w:rPr>
        <w:t xml:space="preserve">se tiene </w:t>
      </w:r>
      <w:r w:rsidR="00F304BB">
        <w:rPr>
          <w:lang w:val="es-MX"/>
        </w:rPr>
        <w:t xml:space="preserve">un </w:t>
      </w:r>
      <w:r w:rsidR="006B53FC">
        <w:rPr>
          <w:lang w:val="es-MX"/>
        </w:rPr>
        <w:t>alza</w:t>
      </w:r>
      <w:r w:rsidR="009571CB" w:rsidRPr="00CB2958">
        <w:rPr>
          <w:lang w:val="es-MX"/>
        </w:rPr>
        <w:t xml:space="preserve"> mensual</w:t>
      </w:r>
      <w:r w:rsidR="00642702" w:rsidRPr="00CB2958">
        <w:rPr>
          <w:lang w:val="es-MX"/>
        </w:rPr>
        <w:t xml:space="preserve"> </w:t>
      </w:r>
      <w:r w:rsidR="0098334A" w:rsidRPr="00CB2958">
        <w:rPr>
          <w:lang w:val="es-MX"/>
        </w:rPr>
        <w:t xml:space="preserve">estimada </w:t>
      </w:r>
      <w:r w:rsidR="00F304BB" w:rsidRPr="00CB2958">
        <w:rPr>
          <w:lang w:val="es-MX"/>
        </w:rPr>
        <w:t>de 0.4</w:t>
      </w:r>
      <w:r w:rsidR="00F304BB">
        <w:rPr>
          <w:lang w:val="es-MX"/>
        </w:rPr>
        <w:t>%</w:t>
      </w:r>
      <w:r w:rsidR="00F304BB" w:rsidRPr="00CB2958">
        <w:rPr>
          <w:lang w:val="es-MX"/>
        </w:rPr>
        <w:t xml:space="preserve"> </w:t>
      </w:r>
      <w:r w:rsidR="00F304BB">
        <w:rPr>
          <w:lang w:val="es-MX"/>
        </w:rPr>
        <w:t>en junio</w:t>
      </w:r>
      <w:r w:rsidR="009571CB" w:rsidRPr="00CB2958">
        <w:rPr>
          <w:lang w:val="es-MX"/>
        </w:rPr>
        <w:t>.</w:t>
      </w:r>
    </w:p>
    <w:p w14:paraId="143BD14A" w14:textId="77777777" w:rsidR="003C3215" w:rsidRPr="00E15E72" w:rsidRDefault="003C3215" w:rsidP="006B53FC">
      <w:pPr>
        <w:pStyle w:val="Titcuadrograf"/>
        <w:spacing w:before="240"/>
        <w:ind w:left="0"/>
        <w:rPr>
          <w:sz w:val="22"/>
          <w:szCs w:val="22"/>
        </w:rPr>
      </w:pPr>
      <w:r w:rsidRPr="00E15E72">
        <w:rPr>
          <w:sz w:val="22"/>
          <w:szCs w:val="22"/>
        </w:rPr>
        <w:t>IOAE para el IGAE, las actividades secundarias y terciarias</w:t>
      </w:r>
    </w:p>
    <w:p w14:paraId="55D8B33D" w14:textId="77777777" w:rsidR="003C3215" w:rsidRPr="0020223F" w:rsidRDefault="003C3215" w:rsidP="006B53FC">
      <w:pPr>
        <w:pStyle w:val="Titcuadrograf"/>
        <w:ind w:left="0"/>
        <w:rPr>
          <w:b w:val="0"/>
          <w:smallCaps w:val="0"/>
        </w:rPr>
      </w:pPr>
      <w:r w:rsidRPr="00EA3186">
        <w:rPr>
          <w:b w:val="0"/>
          <w:smallCaps w:val="0"/>
        </w:rPr>
        <w:t>(</w:t>
      </w:r>
      <w:r w:rsidRPr="00EA3186">
        <w:rPr>
          <w:b w:val="0"/>
          <w:smallCaps w:val="0"/>
          <w:sz w:val="20"/>
          <w:szCs w:val="20"/>
        </w:rPr>
        <w:t>Variación % real respecto al mes anterior</w:t>
      </w:r>
      <w:r w:rsidRPr="00EA3186">
        <w:rPr>
          <w:b w:val="0"/>
          <w:smallCaps w:val="0"/>
        </w:rPr>
        <w:t>)</w:t>
      </w:r>
    </w:p>
    <w:tbl>
      <w:tblPr>
        <w:tblW w:w="9331" w:type="dxa"/>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21"/>
        <w:gridCol w:w="932"/>
        <w:gridCol w:w="933"/>
        <w:gridCol w:w="935"/>
        <w:gridCol w:w="933"/>
        <w:gridCol w:w="934"/>
        <w:gridCol w:w="936"/>
        <w:gridCol w:w="933"/>
        <w:gridCol w:w="934"/>
        <w:gridCol w:w="934"/>
        <w:gridCol w:w="6"/>
      </w:tblGrid>
      <w:tr w:rsidR="003C3215" w:rsidRPr="0020223F" w14:paraId="48C1B91A" w14:textId="77777777" w:rsidTr="00204063">
        <w:trPr>
          <w:trHeight w:val="393"/>
          <w:jc w:val="center"/>
        </w:trPr>
        <w:tc>
          <w:tcPr>
            <w:tcW w:w="921" w:type="dxa"/>
            <w:vMerge w:val="restart"/>
            <w:tcBorders>
              <w:right w:val="single" w:sz="4" w:space="0" w:color="auto"/>
            </w:tcBorders>
            <w:shd w:val="clear" w:color="auto" w:fill="D7E3BC"/>
            <w:noWrap/>
            <w:vAlign w:val="center"/>
            <w:hideMark/>
          </w:tcPr>
          <w:p w14:paraId="7560FD34" w14:textId="77777777" w:rsidR="003C3215" w:rsidRPr="0020223F" w:rsidRDefault="003C3215" w:rsidP="00204063">
            <w:pPr>
              <w:jc w:val="center"/>
              <w:rPr>
                <w:b/>
                <w:bCs/>
                <w:color w:val="000000"/>
                <w:sz w:val="16"/>
                <w:szCs w:val="16"/>
                <w:lang w:val="es-MX" w:eastAsia="es-MX"/>
              </w:rPr>
            </w:pPr>
            <w:r>
              <w:rPr>
                <w:b/>
                <w:bCs/>
                <w:color w:val="000000"/>
                <w:sz w:val="16"/>
                <w:szCs w:val="16"/>
                <w:lang w:eastAsia="es-MX"/>
              </w:rPr>
              <w:t>Mes de referencia</w:t>
            </w:r>
          </w:p>
        </w:tc>
        <w:tc>
          <w:tcPr>
            <w:tcW w:w="2800" w:type="dxa"/>
            <w:gridSpan w:val="3"/>
            <w:tcBorders>
              <w:left w:val="single" w:sz="4" w:space="0" w:color="auto"/>
              <w:bottom w:val="single" w:sz="4" w:space="0" w:color="auto"/>
              <w:right w:val="single" w:sz="4" w:space="0" w:color="auto"/>
            </w:tcBorders>
            <w:shd w:val="clear" w:color="auto" w:fill="D7E3BC"/>
            <w:noWrap/>
            <w:vAlign w:val="center"/>
            <w:hideMark/>
          </w:tcPr>
          <w:p w14:paraId="24DEB020" w14:textId="77777777" w:rsidR="003C3215" w:rsidRPr="0020223F" w:rsidRDefault="003C3215" w:rsidP="00204063">
            <w:pPr>
              <w:jc w:val="center"/>
              <w:rPr>
                <w:b/>
                <w:bCs/>
                <w:color w:val="000000"/>
                <w:sz w:val="16"/>
                <w:szCs w:val="16"/>
                <w:lang w:eastAsia="es-MX"/>
              </w:rPr>
            </w:pPr>
            <w:r w:rsidRPr="0020223F">
              <w:rPr>
                <w:b/>
                <w:bCs/>
                <w:color w:val="000000"/>
                <w:sz w:val="16"/>
                <w:szCs w:val="16"/>
                <w:lang w:eastAsia="es-MX"/>
              </w:rPr>
              <w:t>IGAE</w:t>
            </w:r>
          </w:p>
        </w:tc>
        <w:tc>
          <w:tcPr>
            <w:tcW w:w="2803" w:type="dxa"/>
            <w:gridSpan w:val="3"/>
            <w:tcBorders>
              <w:left w:val="single" w:sz="4" w:space="0" w:color="auto"/>
              <w:bottom w:val="single" w:sz="4" w:space="0" w:color="auto"/>
              <w:right w:val="single" w:sz="4" w:space="0" w:color="auto"/>
            </w:tcBorders>
            <w:shd w:val="clear" w:color="auto" w:fill="D7E3BC"/>
            <w:noWrap/>
            <w:vAlign w:val="center"/>
            <w:hideMark/>
          </w:tcPr>
          <w:p w14:paraId="0E177566" w14:textId="77777777" w:rsidR="003C3215" w:rsidRPr="0020223F" w:rsidRDefault="003C3215" w:rsidP="00204063">
            <w:pPr>
              <w:jc w:val="center"/>
              <w:rPr>
                <w:b/>
                <w:bCs/>
                <w:color w:val="000000"/>
                <w:sz w:val="16"/>
                <w:szCs w:val="16"/>
                <w:lang w:eastAsia="es-MX"/>
              </w:rPr>
            </w:pPr>
            <w:r w:rsidRPr="0020223F">
              <w:rPr>
                <w:b/>
                <w:bCs/>
                <w:color w:val="000000"/>
                <w:sz w:val="16"/>
                <w:szCs w:val="16"/>
                <w:lang w:eastAsia="es-MX"/>
              </w:rPr>
              <w:t>Actividades secundarias</w:t>
            </w:r>
          </w:p>
        </w:tc>
        <w:tc>
          <w:tcPr>
            <w:tcW w:w="2807" w:type="dxa"/>
            <w:gridSpan w:val="4"/>
            <w:tcBorders>
              <w:left w:val="single" w:sz="4" w:space="0" w:color="auto"/>
              <w:bottom w:val="single" w:sz="4" w:space="0" w:color="auto"/>
            </w:tcBorders>
            <w:shd w:val="clear" w:color="auto" w:fill="D7E3BC"/>
            <w:noWrap/>
            <w:vAlign w:val="center"/>
            <w:hideMark/>
          </w:tcPr>
          <w:p w14:paraId="34FF7F41" w14:textId="77777777" w:rsidR="003C3215" w:rsidRPr="0020223F" w:rsidRDefault="003C3215" w:rsidP="00204063">
            <w:pPr>
              <w:jc w:val="center"/>
              <w:rPr>
                <w:b/>
                <w:bCs/>
                <w:color w:val="000000"/>
                <w:sz w:val="16"/>
                <w:szCs w:val="16"/>
                <w:lang w:eastAsia="es-MX"/>
              </w:rPr>
            </w:pPr>
            <w:r w:rsidRPr="0020223F">
              <w:rPr>
                <w:b/>
                <w:bCs/>
                <w:color w:val="000000"/>
                <w:sz w:val="16"/>
                <w:szCs w:val="16"/>
                <w:lang w:eastAsia="es-MX"/>
              </w:rPr>
              <w:t>Actividades terciarias</w:t>
            </w:r>
          </w:p>
        </w:tc>
      </w:tr>
      <w:tr w:rsidR="003C3215" w:rsidRPr="0020223F" w14:paraId="18D2AA90" w14:textId="77777777" w:rsidTr="00204063">
        <w:trPr>
          <w:gridAfter w:val="1"/>
          <w:wAfter w:w="6" w:type="dxa"/>
          <w:trHeight w:val="411"/>
          <w:jc w:val="center"/>
        </w:trPr>
        <w:tc>
          <w:tcPr>
            <w:tcW w:w="921" w:type="dxa"/>
            <w:vMerge/>
            <w:tcBorders>
              <w:bottom w:val="single" w:sz="4" w:space="0" w:color="auto"/>
              <w:right w:val="single" w:sz="4" w:space="0" w:color="auto"/>
            </w:tcBorders>
            <w:shd w:val="clear" w:color="auto" w:fill="D7E3BC"/>
            <w:vAlign w:val="center"/>
            <w:hideMark/>
          </w:tcPr>
          <w:p w14:paraId="4AE70824" w14:textId="77777777" w:rsidR="003C3215" w:rsidRPr="0020223F" w:rsidRDefault="003C3215" w:rsidP="00204063">
            <w:pPr>
              <w:jc w:val="center"/>
              <w:rPr>
                <w:b/>
                <w:bCs/>
                <w:color w:val="000000"/>
                <w:sz w:val="16"/>
                <w:szCs w:val="16"/>
                <w:lang w:eastAsia="es-MX"/>
              </w:rPr>
            </w:pPr>
          </w:p>
        </w:tc>
        <w:tc>
          <w:tcPr>
            <w:tcW w:w="93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1C3023EC" w14:textId="77777777" w:rsidR="003C3215" w:rsidRPr="0020223F" w:rsidRDefault="003C3215" w:rsidP="00204063">
            <w:pPr>
              <w:jc w:val="center"/>
              <w:rPr>
                <w:b/>
                <w:bCs/>
                <w:color w:val="000000"/>
                <w:sz w:val="16"/>
                <w:szCs w:val="16"/>
                <w:lang w:eastAsia="es-MX"/>
              </w:rPr>
            </w:pPr>
            <w:r w:rsidRPr="0020223F">
              <w:rPr>
                <w:b/>
                <w:bCs/>
                <w:color w:val="000000"/>
                <w:sz w:val="16"/>
                <w:szCs w:val="16"/>
                <w:lang w:eastAsia="es-MX"/>
              </w:rPr>
              <w:t>Inferior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7DDEDC36" w14:textId="77777777" w:rsidR="003C3215" w:rsidRPr="0020223F" w:rsidRDefault="003C3215" w:rsidP="00204063">
            <w:pPr>
              <w:jc w:val="center"/>
              <w:rPr>
                <w:b/>
                <w:bCs/>
                <w:color w:val="000000"/>
                <w:sz w:val="16"/>
                <w:szCs w:val="16"/>
                <w:lang w:eastAsia="es-MX"/>
              </w:rPr>
            </w:pPr>
            <w:r w:rsidRPr="0020223F">
              <w:rPr>
                <w:b/>
                <w:bCs/>
                <w:color w:val="000000"/>
                <w:sz w:val="16"/>
                <w:szCs w:val="16"/>
                <w:lang w:eastAsia="es-MX"/>
              </w:rPr>
              <w:t>Nowcast</w:t>
            </w:r>
          </w:p>
        </w:tc>
        <w:tc>
          <w:tcPr>
            <w:tcW w:w="935"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69B30EC2" w14:textId="77777777" w:rsidR="003C3215" w:rsidRPr="0020223F" w:rsidRDefault="003C3215" w:rsidP="00204063">
            <w:pPr>
              <w:jc w:val="center"/>
              <w:rPr>
                <w:b/>
                <w:bCs/>
                <w:color w:val="000000"/>
                <w:sz w:val="16"/>
                <w:szCs w:val="16"/>
                <w:lang w:eastAsia="es-MX"/>
              </w:rPr>
            </w:pPr>
            <w:r w:rsidRPr="0020223F">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154A0E28" w14:textId="77777777" w:rsidR="003C3215" w:rsidRPr="0020223F" w:rsidRDefault="003C3215" w:rsidP="00204063">
            <w:pPr>
              <w:jc w:val="center"/>
              <w:rPr>
                <w:b/>
                <w:bCs/>
                <w:color w:val="000000"/>
                <w:sz w:val="16"/>
                <w:szCs w:val="16"/>
                <w:lang w:eastAsia="es-MX"/>
              </w:rPr>
            </w:pPr>
            <w:r w:rsidRPr="0020223F">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550DDAAA" w14:textId="77777777" w:rsidR="003C3215" w:rsidRPr="0020223F" w:rsidRDefault="003C3215" w:rsidP="00204063">
            <w:pPr>
              <w:jc w:val="center"/>
              <w:rPr>
                <w:b/>
                <w:bCs/>
                <w:color w:val="000000"/>
                <w:sz w:val="16"/>
                <w:szCs w:val="16"/>
                <w:lang w:eastAsia="es-MX"/>
              </w:rPr>
            </w:pPr>
            <w:r w:rsidRPr="0020223F">
              <w:rPr>
                <w:b/>
                <w:bCs/>
                <w:color w:val="000000"/>
                <w:sz w:val="16"/>
                <w:szCs w:val="16"/>
                <w:lang w:eastAsia="es-MX"/>
              </w:rPr>
              <w:t>Nowcast</w:t>
            </w:r>
          </w:p>
        </w:tc>
        <w:tc>
          <w:tcPr>
            <w:tcW w:w="936"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0F8A8633" w14:textId="77777777" w:rsidR="003C3215" w:rsidRPr="0020223F" w:rsidRDefault="003C3215" w:rsidP="00204063">
            <w:pPr>
              <w:jc w:val="center"/>
              <w:rPr>
                <w:b/>
                <w:bCs/>
                <w:color w:val="000000"/>
                <w:sz w:val="16"/>
                <w:szCs w:val="16"/>
                <w:lang w:eastAsia="es-MX"/>
              </w:rPr>
            </w:pPr>
            <w:r w:rsidRPr="0020223F">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504B0F38" w14:textId="77777777" w:rsidR="003C3215" w:rsidRPr="0020223F" w:rsidRDefault="003C3215" w:rsidP="00204063">
            <w:pPr>
              <w:jc w:val="center"/>
              <w:rPr>
                <w:b/>
                <w:bCs/>
                <w:color w:val="000000"/>
                <w:sz w:val="16"/>
                <w:szCs w:val="16"/>
                <w:lang w:eastAsia="es-MX"/>
              </w:rPr>
            </w:pPr>
            <w:r w:rsidRPr="0020223F">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6A93B620" w14:textId="77777777" w:rsidR="003C3215" w:rsidRPr="0020223F" w:rsidRDefault="003C3215" w:rsidP="00204063">
            <w:pPr>
              <w:jc w:val="center"/>
              <w:rPr>
                <w:b/>
                <w:bCs/>
                <w:color w:val="000000"/>
                <w:sz w:val="16"/>
                <w:szCs w:val="16"/>
                <w:lang w:eastAsia="es-MX"/>
              </w:rPr>
            </w:pPr>
            <w:r w:rsidRPr="0020223F">
              <w:rPr>
                <w:b/>
                <w:bCs/>
                <w:color w:val="000000"/>
                <w:sz w:val="16"/>
                <w:szCs w:val="16"/>
                <w:lang w:eastAsia="es-MX"/>
              </w:rPr>
              <w:t>Nowcast</w:t>
            </w:r>
          </w:p>
        </w:tc>
        <w:tc>
          <w:tcPr>
            <w:tcW w:w="934" w:type="dxa"/>
            <w:tcBorders>
              <w:top w:val="single" w:sz="4" w:space="0" w:color="auto"/>
              <w:left w:val="single" w:sz="4" w:space="0" w:color="auto"/>
              <w:bottom w:val="single" w:sz="4" w:space="0" w:color="auto"/>
            </w:tcBorders>
            <w:shd w:val="clear" w:color="auto" w:fill="D7E3BC"/>
            <w:noWrap/>
            <w:vAlign w:val="center"/>
            <w:hideMark/>
          </w:tcPr>
          <w:p w14:paraId="3FBEE136" w14:textId="77777777" w:rsidR="003C3215" w:rsidRPr="0020223F" w:rsidRDefault="003C3215" w:rsidP="00204063">
            <w:pPr>
              <w:jc w:val="center"/>
              <w:rPr>
                <w:b/>
                <w:bCs/>
                <w:color w:val="000000"/>
                <w:sz w:val="16"/>
                <w:szCs w:val="16"/>
                <w:lang w:eastAsia="es-MX"/>
              </w:rPr>
            </w:pPr>
            <w:r w:rsidRPr="0020223F">
              <w:rPr>
                <w:b/>
                <w:bCs/>
                <w:color w:val="000000"/>
                <w:sz w:val="16"/>
                <w:szCs w:val="16"/>
                <w:lang w:eastAsia="es-MX"/>
              </w:rPr>
              <w:t>Superior</w:t>
            </w:r>
          </w:p>
        </w:tc>
      </w:tr>
      <w:tr w:rsidR="00D2059E" w:rsidRPr="0020223F" w14:paraId="1C51E4D7" w14:textId="77777777" w:rsidTr="00D2059E">
        <w:trPr>
          <w:gridAfter w:val="1"/>
          <w:wAfter w:w="6" w:type="dxa"/>
          <w:trHeight w:val="393"/>
          <w:jc w:val="center"/>
        </w:trPr>
        <w:tc>
          <w:tcPr>
            <w:tcW w:w="921" w:type="dxa"/>
            <w:tcBorders>
              <w:top w:val="single" w:sz="4" w:space="0" w:color="auto"/>
              <w:right w:val="single" w:sz="4" w:space="0" w:color="auto"/>
            </w:tcBorders>
            <w:noWrap/>
            <w:vAlign w:val="center"/>
            <w:hideMark/>
          </w:tcPr>
          <w:p w14:paraId="64E616E6" w14:textId="77777777" w:rsidR="00D2059E" w:rsidRPr="00BD7047" w:rsidRDefault="00D2059E" w:rsidP="00D2059E">
            <w:pPr>
              <w:jc w:val="center"/>
              <w:rPr>
                <w:color w:val="000000"/>
                <w:sz w:val="16"/>
                <w:szCs w:val="16"/>
                <w:lang w:eastAsia="es-MX"/>
              </w:rPr>
            </w:pPr>
            <w:r w:rsidRPr="00BD7047">
              <w:rPr>
                <w:color w:val="000000"/>
                <w:sz w:val="16"/>
                <w:szCs w:val="16"/>
                <w:lang w:eastAsia="es-MX"/>
              </w:rPr>
              <w:t>2021/0</w:t>
            </w:r>
            <w:r>
              <w:rPr>
                <w:color w:val="000000"/>
                <w:sz w:val="16"/>
                <w:szCs w:val="16"/>
                <w:lang w:eastAsia="es-MX"/>
              </w:rPr>
              <w:t>5</w:t>
            </w:r>
          </w:p>
        </w:tc>
        <w:tc>
          <w:tcPr>
            <w:tcW w:w="932" w:type="dxa"/>
            <w:tcBorders>
              <w:top w:val="single" w:sz="4" w:space="0" w:color="auto"/>
              <w:left w:val="single" w:sz="4" w:space="0" w:color="auto"/>
              <w:right w:val="single" w:sz="4" w:space="0" w:color="auto"/>
            </w:tcBorders>
            <w:noWrap/>
            <w:vAlign w:val="center"/>
            <w:hideMark/>
          </w:tcPr>
          <w:p w14:paraId="6A09656C" w14:textId="77777777" w:rsidR="00D2059E" w:rsidRPr="00CB2958" w:rsidRDefault="00D2059E" w:rsidP="00D2059E">
            <w:pPr>
              <w:jc w:val="center"/>
              <w:rPr>
                <w:color w:val="000000"/>
                <w:sz w:val="16"/>
                <w:szCs w:val="16"/>
                <w:lang w:eastAsia="es-MX"/>
              </w:rPr>
            </w:pPr>
            <w:r w:rsidRPr="00CB2958">
              <w:rPr>
                <w:sz w:val="16"/>
                <w:szCs w:val="16"/>
              </w:rPr>
              <w:t>-0.5</w:t>
            </w:r>
          </w:p>
        </w:tc>
        <w:tc>
          <w:tcPr>
            <w:tcW w:w="933" w:type="dxa"/>
            <w:tcBorders>
              <w:top w:val="single" w:sz="4" w:space="0" w:color="auto"/>
              <w:left w:val="single" w:sz="4" w:space="0" w:color="auto"/>
              <w:right w:val="single" w:sz="4" w:space="0" w:color="auto"/>
            </w:tcBorders>
            <w:noWrap/>
            <w:vAlign w:val="center"/>
            <w:hideMark/>
          </w:tcPr>
          <w:p w14:paraId="0584C158" w14:textId="77777777" w:rsidR="00D2059E" w:rsidRPr="00CB2958" w:rsidRDefault="00D2059E" w:rsidP="00D2059E">
            <w:pPr>
              <w:jc w:val="center"/>
              <w:rPr>
                <w:color w:val="000000"/>
                <w:sz w:val="16"/>
                <w:szCs w:val="16"/>
                <w:lang w:eastAsia="es-MX"/>
              </w:rPr>
            </w:pPr>
            <w:r w:rsidRPr="00CB2958">
              <w:rPr>
                <w:sz w:val="16"/>
                <w:szCs w:val="16"/>
              </w:rPr>
              <w:t>0.6</w:t>
            </w:r>
          </w:p>
        </w:tc>
        <w:tc>
          <w:tcPr>
            <w:tcW w:w="935" w:type="dxa"/>
            <w:tcBorders>
              <w:top w:val="single" w:sz="4" w:space="0" w:color="auto"/>
              <w:left w:val="single" w:sz="4" w:space="0" w:color="auto"/>
              <w:right w:val="single" w:sz="4" w:space="0" w:color="auto"/>
            </w:tcBorders>
            <w:noWrap/>
            <w:vAlign w:val="center"/>
            <w:hideMark/>
          </w:tcPr>
          <w:p w14:paraId="50FA1007" w14:textId="77777777" w:rsidR="00D2059E" w:rsidRPr="00CB2958" w:rsidRDefault="00D2059E" w:rsidP="00D2059E">
            <w:pPr>
              <w:jc w:val="center"/>
              <w:rPr>
                <w:color w:val="000000"/>
                <w:sz w:val="16"/>
                <w:szCs w:val="16"/>
                <w:lang w:eastAsia="es-MX"/>
              </w:rPr>
            </w:pPr>
            <w:r w:rsidRPr="00CB2958">
              <w:rPr>
                <w:sz w:val="16"/>
                <w:szCs w:val="16"/>
              </w:rPr>
              <w:t>1.7</w:t>
            </w:r>
          </w:p>
        </w:tc>
        <w:tc>
          <w:tcPr>
            <w:tcW w:w="933" w:type="dxa"/>
            <w:tcBorders>
              <w:top w:val="single" w:sz="4" w:space="0" w:color="auto"/>
              <w:left w:val="single" w:sz="4" w:space="0" w:color="auto"/>
              <w:right w:val="single" w:sz="4" w:space="0" w:color="auto"/>
            </w:tcBorders>
            <w:noWrap/>
            <w:vAlign w:val="center"/>
          </w:tcPr>
          <w:p w14:paraId="2445CC30" w14:textId="77777777" w:rsidR="00D2059E" w:rsidRPr="00CB2958" w:rsidRDefault="00D2059E" w:rsidP="00D2059E">
            <w:pPr>
              <w:jc w:val="center"/>
              <w:rPr>
                <w:color w:val="000000"/>
                <w:sz w:val="16"/>
                <w:szCs w:val="16"/>
                <w:lang w:eastAsia="es-MX"/>
              </w:rPr>
            </w:pPr>
          </w:p>
        </w:tc>
        <w:tc>
          <w:tcPr>
            <w:tcW w:w="934" w:type="dxa"/>
            <w:tcBorders>
              <w:top w:val="single" w:sz="4" w:space="0" w:color="auto"/>
              <w:left w:val="single" w:sz="4" w:space="0" w:color="auto"/>
              <w:right w:val="single" w:sz="4" w:space="0" w:color="auto"/>
            </w:tcBorders>
            <w:noWrap/>
            <w:vAlign w:val="center"/>
            <w:hideMark/>
          </w:tcPr>
          <w:p w14:paraId="24B719A4" w14:textId="77777777" w:rsidR="00D2059E" w:rsidRPr="00CB2958" w:rsidRDefault="00D2059E" w:rsidP="00D2059E">
            <w:pPr>
              <w:jc w:val="center"/>
              <w:rPr>
                <w:color w:val="000000"/>
                <w:sz w:val="16"/>
                <w:szCs w:val="16"/>
                <w:lang w:eastAsia="es-MX"/>
              </w:rPr>
            </w:pPr>
            <w:r w:rsidRPr="00CB2958">
              <w:rPr>
                <w:sz w:val="16"/>
                <w:szCs w:val="16"/>
              </w:rPr>
              <w:t>-0.1*</w:t>
            </w:r>
          </w:p>
        </w:tc>
        <w:tc>
          <w:tcPr>
            <w:tcW w:w="936" w:type="dxa"/>
            <w:tcBorders>
              <w:top w:val="single" w:sz="4" w:space="0" w:color="auto"/>
              <w:left w:val="single" w:sz="4" w:space="0" w:color="auto"/>
              <w:right w:val="single" w:sz="4" w:space="0" w:color="auto"/>
            </w:tcBorders>
            <w:noWrap/>
            <w:vAlign w:val="center"/>
          </w:tcPr>
          <w:p w14:paraId="1F5F7801" w14:textId="77777777" w:rsidR="00D2059E" w:rsidRPr="00CB2958" w:rsidRDefault="00D2059E" w:rsidP="00D2059E">
            <w:pPr>
              <w:jc w:val="center"/>
              <w:rPr>
                <w:color w:val="000000"/>
                <w:sz w:val="16"/>
                <w:szCs w:val="16"/>
                <w:lang w:eastAsia="es-MX"/>
              </w:rPr>
            </w:pPr>
          </w:p>
        </w:tc>
        <w:tc>
          <w:tcPr>
            <w:tcW w:w="933" w:type="dxa"/>
            <w:tcBorders>
              <w:top w:val="single" w:sz="4" w:space="0" w:color="auto"/>
              <w:left w:val="single" w:sz="4" w:space="0" w:color="auto"/>
              <w:right w:val="single" w:sz="4" w:space="0" w:color="auto"/>
            </w:tcBorders>
            <w:noWrap/>
            <w:vAlign w:val="center"/>
            <w:hideMark/>
          </w:tcPr>
          <w:p w14:paraId="2C8B8685" w14:textId="77777777" w:rsidR="00D2059E" w:rsidRPr="00CB2958" w:rsidRDefault="00D2059E" w:rsidP="00D2059E">
            <w:pPr>
              <w:jc w:val="center"/>
              <w:rPr>
                <w:color w:val="000000"/>
                <w:sz w:val="16"/>
                <w:szCs w:val="16"/>
                <w:lang w:eastAsia="es-MX"/>
              </w:rPr>
            </w:pPr>
            <w:r w:rsidRPr="00CB2958">
              <w:rPr>
                <w:sz w:val="16"/>
                <w:szCs w:val="16"/>
              </w:rPr>
              <w:t>-0.8</w:t>
            </w:r>
          </w:p>
        </w:tc>
        <w:tc>
          <w:tcPr>
            <w:tcW w:w="934" w:type="dxa"/>
            <w:tcBorders>
              <w:top w:val="single" w:sz="4" w:space="0" w:color="auto"/>
              <w:left w:val="single" w:sz="4" w:space="0" w:color="auto"/>
              <w:right w:val="single" w:sz="4" w:space="0" w:color="auto"/>
            </w:tcBorders>
            <w:noWrap/>
            <w:vAlign w:val="center"/>
            <w:hideMark/>
          </w:tcPr>
          <w:p w14:paraId="7FB47314" w14:textId="77777777" w:rsidR="00D2059E" w:rsidRPr="00CB2958" w:rsidRDefault="00D2059E" w:rsidP="00D2059E">
            <w:pPr>
              <w:jc w:val="center"/>
              <w:rPr>
                <w:color w:val="000000"/>
                <w:sz w:val="16"/>
                <w:szCs w:val="16"/>
                <w:lang w:eastAsia="es-MX"/>
              </w:rPr>
            </w:pPr>
            <w:r w:rsidRPr="00CB2958">
              <w:rPr>
                <w:sz w:val="16"/>
                <w:szCs w:val="16"/>
              </w:rPr>
              <w:t>0.3</w:t>
            </w:r>
          </w:p>
        </w:tc>
        <w:tc>
          <w:tcPr>
            <w:tcW w:w="934" w:type="dxa"/>
            <w:tcBorders>
              <w:top w:val="single" w:sz="4" w:space="0" w:color="auto"/>
              <w:left w:val="single" w:sz="4" w:space="0" w:color="auto"/>
            </w:tcBorders>
            <w:noWrap/>
            <w:vAlign w:val="center"/>
            <w:hideMark/>
          </w:tcPr>
          <w:p w14:paraId="48AFD381" w14:textId="77777777" w:rsidR="00D2059E" w:rsidRPr="00CB2958" w:rsidRDefault="00D2059E" w:rsidP="00D2059E">
            <w:pPr>
              <w:jc w:val="center"/>
              <w:rPr>
                <w:color w:val="000000"/>
                <w:sz w:val="16"/>
                <w:szCs w:val="16"/>
                <w:lang w:eastAsia="es-MX"/>
              </w:rPr>
            </w:pPr>
            <w:r w:rsidRPr="00CB2958">
              <w:rPr>
                <w:sz w:val="16"/>
                <w:szCs w:val="16"/>
              </w:rPr>
              <w:t>1.5</w:t>
            </w:r>
          </w:p>
        </w:tc>
      </w:tr>
      <w:tr w:rsidR="00D2059E" w:rsidRPr="0020223F" w14:paraId="059E046B" w14:textId="77777777" w:rsidTr="00D2059E">
        <w:trPr>
          <w:gridAfter w:val="1"/>
          <w:wAfter w:w="6" w:type="dxa"/>
          <w:trHeight w:val="411"/>
          <w:jc w:val="center"/>
        </w:trPr>
        <w:tc>
          <w:tcPr>
            <w:tcW w:w="921" w:type="dxa"/>
            <w:tcBorders>
              <w:right w:val="single" w:sz="4" w:space="0" w:color="auto"/>
            </w:tcBorders>
            <w:noWrap/>
            <w:vAlign w:val="center"/>
            <w:hideMark/>
          </w:tcPr>
          <w:p w14:paraId="0CC4D1F1" w14:textId="77777777" w:rsidR="00D2059E" w:rsidRPr="00BD7047" w:rsidRDefault="00D2059E" w:rsidP="00D2059E">
            <w:pPr>
              <w:jc w:val="center"/>
              <w:rPr>
                <w:color w:val="000000"/>
                <w:sz w:val="16"/>
                <w:szCs w:val="16"/>
                <w:lang w:eastAsia="es-MX"/>
              </w:rPr>
            </w:pPr>
            <w:r w:rsidRPr="00BD7047">
              <w:rPr>
                <w:color w:val="000000"/>
                <w:sz w:val="16"/>
                <w:szCs w:val="16"/>
                <w:lang w:eastAsia="es-MX"/>
              </w:rPr>
              <w:t>2021/0</w:t>
            </w:r>
            <w:r>
              <w:rPr>
                <w:color w:val="000000"/>
                <w:sz w:val="16"/>
                <w:szCs w:val="16"/>
                <w:lang w:eastAsia="es-MX"/>
              </w:rPr>
              <w:t>6</w:t>
            </w:r>
          </w:p>
        </w:tc>
        <w:tc>
          <w:tcPr>
            <w:tcW w:w="932" w:type="dxa"/>
            <w:tcBorders>
              <w:left w:val="single" w:sz="4" w:space="0" w:color="auto"/>
              <w:right w:val="single" w:sz="4" w:space="0" w:color="auto"/>
            </w:tcBorders>
            <w:noWrap/>
            <w:vAlign w:val="center"/>
            <w:hideMark/>
          </w:tcPr>
          <w:p w14:paraId="75B6C91D" w14:textId="77777777" w:rsidR="00D2059E" w:rsidRPr="00CB2958" w:rsidRDefault="00D2059E" w:rsidP="00D2059E">
            <w:pPr>
              <w:jc w:val="center"/>
              <w:rPr>
                <w:color w:val="000000"/>
                <w:sz w:val="16"/>
                <w:szCs w:val="16"/>
                <w:lang w:eastAsia="es-MX"/>
              </w:rPr>
            </w:pPr>
            <w:r w:rsidRPr="00CB2958">
              <w:rPr>
                <w:sz w:val="16"/>
                <w:szCs w:val="16"/>
              </w:rPr>
              <w:t>-0.9</w:t>
            </w:r>
          </w:p>
        </w:tc>
        <w:tc>
          <w:tcPr>
            <w:tcW w:w="933" w:type="dxa"/>
            <w:tcBorders>
              <w:left w:val="single" w:sz="4" w:space="0" w:color="auto"/>
              <w:right w:val="single" w:sz="4" w:space="0" w:color="auto"/>
            </w:tcBorders>
            <w:noWrap/>
            <w:vAlign w:val="center"/>
            <w:hideMark/>
          </w:tcPr>
          <w:p w14:paraId="004E5114" w14:textId="77777777" w:rsidR="00D2059E" w:rsidRPr="00CB2958" w:rsidRDefault="00D2059E" w:rsidP="00D2059E">
            <w:pPr>
              <w:jc w:val="center"/>
              <w:rPr>
                <w:color w:val="000000"/>
                <w:sz w:val="16"/>
                <w:szCs w:val="16"/>
                <w:lang w:eastAsia="es-MX"/>
              </w:rPr>
            </w:pPr>
            <w:r w:rsidRPr="00CB2958">
              <w:rPr>
                <w:sz w:val="16"/>
                <w:szCs w:val="16"/>
              </w:rPr>
              <w:t>0.3</w:t>
            </w:r>
          </w:p>
        </w:tc>
        <w:tc>
          <w:tcPr>
            <w:tcW w:w="935" w:type="dxa"/>
            <w:tcBorders>
              <w:left w:val="single" w:sz="4" w:space="0" w:color="auto"/>
              <w:right w:val="single" w:sz="4" w:space="0" w:color="auto"/>
            </w:tcBorders>
            <w:shd w:val="clear" w:color="auto" w:fill="auto"/>
            <w:noWrap/>
            <w:vAlign w:val="center"/>
            <w:hideMark/>
          </w:tcPr>
          <w:p w14:paraId="57892356" w14:textId="77777777" w:rsidR="00D2059E" w:rsidRPr="00CB2958" w:rsidRDefault="00D2059E" w:rsidP="00D2059E">
            <w:pPr>
              <w:jc w:val="center"/>
              <w:rPr>
                <w:color w:val="000000"/>
                <w:sz w:val="16"/>
                <w:szCs w:val="16"/>
                <w:lang w:eastAsia="es-MX"/>
              </w:rPr>
            </w:pPr>
            <w:r w:rsidRPr="00CB2958">
              <w:rPr>
                <w:sz w:val="16"/>
                <w:szCs w:val="16"/>
              </w:rPr>
              <w:t>1.4</w:t>
            </w:r>
          </w:p>
        </w:tc>
        <w:tc>
          <w:tcPr>
            <w:tcW w:w="933" w:type="dxa"/>
            <w:tcBorders>
              <w:left w:val="single" w:sz="4" w:space="0" w:color="auto"/>
              <w:right w:val="single" w:sz="4" w:space="0" w:color="auto"/>
            </w:tcBorders>
            <w:noWrap/>
            <w:vAlign w:val="center"/>
            <w:hideMark/>
          </w:tcPr>
          <w:p w14:paraId="431D877D" w14:textId="77777777" w:rsidR="00D2059E" w:rsidRPr="00CB2958" w:rsidRDefault="00D2059E" w:rsidP="00D2059E">
            <w:pPr>
              <w:jc w:val="center"/>
              <w:rPr>
                <w:color w:val="000000"/>
                <w:sz w:val="16"/>
                <w:szCs w:val="16"/>
                <w:lang w:eastAsia="es-MX"/>
              </w:rPr>
            </w:pPr>
            <w:r w:rsidRPr="00CB2958">
              <w:rPr>
                <w:sz w:val="16"/>
                <w:szCs w:val="16"/>
              </w:rPr>
              <w:t>-3.0</w:t>
            </w:r>
          </w:p>
        </w:tc>
        <w:tc>
          <w:tcPr>
            <w:tcW w:w="934" w:type="dxa"/>
            <w:tcBorders>
              <w:left w:val="single" w:sz="4" w:space="0" w:color="auto"/>
              <w:right w:val="single" w:sz="4" w:space="0" w:color="auto"/>
            </w:tcBorders>
            <w:noWrap/>
            <w:vAlign w:val="center"/>
            <w:hideMark/>
          </w:tcPr>
          <w:p w14:paraId="5EE3A831" w14:textId="77777777" w:rsidR="00D2059E" w:rsidRPr="00CB2958" w:rsidRDefault="00D2059E" w:rsidP="00D2059E">
            <w:pPr>
              <w:jc w:val="center"/>
              <w:rPr>
                <w:color w:val="000000"/>
                <w:sz w:val="16"/>
                <w:szCs w:val="16"/>
                <w:lang w:eastAsia="es-MX"/>
              </w:rPr>
            </w:pPr>
            <w:r w:rsidRPr="00CB2958">
              <w:rPr>
                <w:sz w:val="16"/>
                <w:szCs w:val="16"/>
              </w:rPr>
              <w:t>-0.7</w:t>
            </w:r>
          </w:p>
        </w:tc>
        <w:tc>
          <w:tcPr>
            <w:tcW w:w="936" w:type="dxa"/>
            <w:tcBorders>
              <w:left w:val="single" w:sz="4" w:space="0" w:color="auto"/>
              <w:right w:val="single" w:sz="4" w:space="0" w:color="auto"/>
            </w:tcBorders>
            <w:noWrap/>
            <w:vAlign w:val="center"/>
            <w:hideMark/>
          </w:tcPr>
          <w:p w14:paraId="5EB83B36" w14:textId="77777777" w:rsidR="00D2059E" w:rsidRPr="00CB2958" w:rsidRDefault="00D2059E" w:rsidP="00D2059E">
            <w:pPr>
              <w:jc w:val="center"/>
              <w:rPr>
                <w:color w:val="000000"/>
                <w:sz w:val="16"/>
                <w:szCs w:val="16"/>
                <w:lang w:eastAsia="es-MX"/>
              </w:rPr>
            </w:pPr>
            <w:r w:rsidRPr="00CB2958">
              <w:rPr>
                <w:sz w:val="16"/>
                <w:szCs w:val="16"/>
              </w:rPr>
              <w:t>1.6</w:t>
            </w:r>
          </w:p>
        </w:tc>
        <w:tc>
          <w:tcPr>
            <w:tcW w:w="933" w:type="dxa"/>
            <w:tcBorders>
              <w:left w:val="single" w:sz="4" w:space="0" w:color="auto"/>
              <w:right w:val="single" w:sz="4" w:space="0" w:color="auto"/>
            </w:tcBorders>
            <w:noWrap/>
            <w:vAlign w:val="center"/>
            <w:hideMark/>
          </w:tcPr>
          <w:p w14:paraId="5CC47788" w14:textId="77777777" w:rsidR="00D2059E" w:rsidRPr="00CB2958" w:rsidRDefault="00D2059E" w:rsidP="00D2059E">
            <w:pPr>
              <w:jc w:val="center"/>
              <w:rPr>
                <w:color w:val="000000"/>
                <w:sz w:val="16"/>
                <w:szCs w:val="16"/>
                <w:lang w:eastAsia="es-MX"/>
              </w:rPr>
            </w:pPr>
            <w:r w:rsidRPr="00CB2958">
              <w:rPr>
                <w:sz w:val="16"/>
                <w:szCs w:val="16"/>
              </w:rPr>
              <w:t>-0.8</w:t>
            </w:r>
          </w:p>
        </w:tc>
        <w:tc>
          <w:tcPr>
            <w:tcW w:w="934" w:type="dxa"/>
            <w:tcBorders>
              <w:left w:val="single" w:sz="4" w:space="0" w:color="auto"/>
              <w:right w:val="single" w:sz="4" w:space="0" w:color="auto"/>
            </w:tcBorders>
            <w:noWrap/>
            <w:vAlign w:val="center"/>
            <w:hideMark/>
          </w:tcPr>
          <w:p w14:paraId="782A9257" w14:textId="77777777" w:rsidR="00D2059E" w:rsidRPr="00CB2958" w:rsidRDefault="00D2059E" w:rsidP="00D2059E">
            <w:pPr>
              <w:jc w:val="center"/>
              <w:rPr>
                <w:color w:val="000000"/>
                <w:sz w:val="16"/>
                <w:szCs w:val="16"/>
                <w:lang w:eastAsia="es-MX"/>
              </w:rPr>
            </w:pPr>
            <w:r w:rsidRPr="00CB2958">
              <w:rPr>
                <w:sz w:val="16"/>
                <w:szCs w:val="16"/>
              </w:rPr>
              <w:t>0.4</w:t>
            </w:r>
          </w:p>
        </w:tc>
        <w:tc>
          <w:tcPr>
            <w:tcW w:w="934" w:type="dxa"/>
            <w:tcBorders>
              <w:left w:val="single" w:sz="4" w:space="0" w:color="auto"/>
            </w:tcBorders>
            <w:noWrap/>
            <w:vAlign w:val="center"/>
            <w:hideMark/>
          </w:tcPr>
          <w:p w14:paraId="143D1010" w14:textId="77777777" w:rsidR="00D2059E" w:rsidRPr="00CB2958" w:rsidRDefault="00D2059E" w:rsidP="00D2059E">
            <w:pPr>
              <w:jc w:val="center"/>
              <w:rPr>
                <w:color w:val="000000"/>
                <w:sz w:val="16"/>
                <w:szCs w:val="16"/>
                <w:lang w:eastAsia="es-MX"/>
              </w:rPr>
            </w:pPr>
            <w:r w:rsidRPr="00CB2958">
              <w:rPr>
                <w:sz w:val="16"/>
                <w:szCs w:val="16"/>
              </w:rPr>
              <w:t>1.6</w:t>
            </w:r>
          </w:p>
        </w:tc>
      </w:tr>
    </w:tbl>
    <w:p w14:paraId="1A1C1EBE" w14:textId="77777777" w:rsidR="003C3215" w:rsidRDefault="003C3215" w:rsidP="003C3215">
      <w:pPr>
        <w:pStyle w:val="pie"/>
        <w:ind w:left="142" w:hanging="142"/>
        <w:rPr>
          <w:lang w:val="es-MX"/>
        </w:rPr>
      </w:pPr>
      <w:r w:rsidRPr="00BD7047">
        <w:rPr>
          <w:lang w:val="es-MX"/>
        </w:rPr>
        <w:t xml:space="preserve">* </w:t>
      </w:r>
      <w:r w:rsidRPr="00A0708B">
        <w:rPr>
          <w:lang w:val="es-MX"/>
        </w:rPr>
        <w:t>Se considera como valor observado de acuerdo con la variación % real respecto al mismo mes del año anterior del índice de producción industrial.</w:t>
      </w:r>
    </w:p>
    <w:p w14:paraId="43D41665" w14:textId="77777777" w:rsidR="003C3215" w:rsidRPr="00D5238C" w:rsidRDefault="003C3215" w:rsidP="003C3215">
      <w:pPr>
        <w:pStyle w:val="pie"/>
        <w:rPr>
          <w:lang w:val="es-MX"/>
        </w:rPr>
      </w:pPr>
      <w:r w:rsidRPr="00D5238C">
        <w:rPr>
          <w:lang w:val="es-MX"/>
        </w:rPr>
        <w:t>Nota: Intervalos de confianza al 95</w:t>
      </w:r>
      <w:r>
        <w:rPr>
          <w:lang w:val="es-MX"/>
        </w:rPr>
        <w:t xml:space="preserve"> por ciento</w:t>
      </w:r>
      <w:r w:rsidRPr="00D5238C">
        <w:rPr>
          <w:lang w:val="es-MX"/>
        </w:rPr>
        <w:t>.</w:t>
      </w:r>
    </w:p>
    <w:p w14:paraId="3A6C0373" w14:textId="77777777" w:rsidR="003C3215" w:rsidRPr="009B66EB" w:rsidRDefault="003C3215" w:rsidP="003C3215">
      <w:pPr>
        <w:pStyle w:val="pie"/>
        <w:rPr>
          <w:lang w:val="es-MX"/>
        </w:rPr>
      </w:pPr>
      <w:r w:rsidRPr="00D5238C">
        <w:rPr>
          <w:lang w:val="es-MX"/>
        </w:rPr>
        <w:t>Fuente: INEGI.</w:t>
      </w:r>
    </w:p>
    <w:p w14:paraId="42C5E2A5" w14:textId="55EC8D7D" w:rsidR="00C03447" w:rsidRDefault="00C03447" w:rsidP="00F304BB">
      <w:pPr>
        <w:spacing w:before="240"/>
        <w:rPr>
          <w:lang w:val="es-MX"/>
        </w:rPr>
      </w:pPr>
      <w:r w:rsidRPr="00CB2958">
        <w:rPr>
          <w:lang w:val="es-MX"/>
        </w:rPr>
        <w:t xml:space="preserve">Finalmente, </w:t>
      </w:r>
      <w:r w:rsidR="00AD6E5A">
        <w:rPr>
          <w:lang w:val="es-MX"/>
        </w:rPr>
        <w:t>en</w:t>
      </w:r>
      <w:r w:rsidR="00AD6E5A" w:rsidRPr="00CB2958">
        <w:rPr>
          <w:lang w:val="es-MX"/>
        </w:rPr>
        <w:t xml:space="preserve"> junio </w:t>
      </w:r>
      <w:r w:rsidR="00AD6E5A">
        <w:rPr>
          <w:lang w:val="es-MX"/>
        </w:rPr>
        <w:t xml:space="preserve">de </w:t>
      </w:r>
      <w:r w:rsidR="00AD6E5A" w:rsidRPr="00CB2958">
        <w:rPr>
          <w:lang w:val="es-MX"/>
        </w:rPr>
        <w:t>2021</w:t>
      </w:r>
      <w:r w:rsidR="00AD6E5A">
        <w:rPr>
          <w:lang w:val="es-MX"/>
        </w:rPr>
        <w:t xml:space="preserve"> </w:t>
      </w:r>
      <w:r w:rsidR="00F304BB" w:rsidRPr="00CB2958">
        <w:rPr>
          <w:lang w:val="es-MX"/>
        </w:rPr>
        <w:t>se estima un nivel de 110.9 para el IGAE</w:t>
      </w:r>
      <w:r w:rsidR="00AD330B">
        <w:rPr>
          <w:lang w:val="es-MX"/>
        </w:rPr>
        <w:t>,</w:t>
      </w:r>
      <w:r w:rsidR="00F304BB" w:rsidRPr="00CB2958">
        <w:rPr>
          <w:lang w:val="es-MX"/>
        </w:rPr>
        <w:t xml:space="preserve"> </w:t>
      </w:r>
      <w:r w:rsidR="004B19FD" w:rsidRPr="00CB2958">
        <w:rPr>
          <w:lang w:val="es-MX"/>
        </w:rPr>
        <w:t>considerando el índice base 2013=100</w:t>
      </w:r>
      <w:r w:rsidRPr="00CB2958">
        <w:rPr>
          <w:lang w:val="es-MX"/>
        </w:rPr>
        <w:t xml:space="preserve">, para las actividades secundarias </w:t>
      </w:r>
      <w:r w:rsidR="00F304BB">
        <w:rPr>
          <w:lang w:val="es-MX"/>
        </w:rPr>
        <w:t xml:space="preserve">el </w:t>
      </w:r>
      <w:r w:rsidR="004B19FD">
        <w:rPr>
          <w:lang w:val="es-MX"/>
        </w:rPr>
        <w:t xml:space="preserve">índice </w:t>
      </w:r>
      <w:r w:rsidR="00AD6E5A">
        <w:rPr>
          <w:lang w:val="es-MX"/>
        </w:rPr>
        <w:t>fue</w:t>
      </w:r>
      <w:r w:rsidR="00F304BB">
        <w:rPr>
          <w:lang w:val="es-MX"/>
        </w:rPr>
        <w:t xml:space="preserve"> </w:t>
      </w:r>
      <w:r w:rsidRPr="00CB2958">
        <w:rPr>
          <w:lang w:val="es-MX"/>
        </w:rPr>
        <w:t>de 9</w:t>
      </w:r>
      <w:r w:rsidR="0001578F" w:rsidRPr="00CB2958">
        <w:rPr>
          <w:lang w:val="es-MX"/>
        </w:rPr>
        <w:t>7</w:t>
      </w:r>
      <w:r w:rsidRPr="00CB2958">
        <w:rPr>
          <w:lang w:val="es-MX"/>
        </w:rPr>
        <w:t>.</w:t>
      </w:r>
      <w:r w:rsidR="0001578F" w:rsidRPr="00CB2958">
        <w:rPr>
          <w:lang w:val="es-MX"/>
        </w:rPr>
        <w:t>9</w:t>
      </w:r>
      <w:r w:rsidRPr="00CB2958">
        <w:rPr>
          <w:lang w:val="es-MX"/>
        </w:rPr>
        <w:t xml:space="preserve"> y </w:t>
      </w:r>
      <w:r w:rsidR="00F304BB">
        <w:rPr>
          <w:lang w:val="es-MX"/>
        </w:rPr>
        <w:t xml:space="preserve">de </w:t>
      </w:r>
      <w:r w:rsidRPr="00CB2958">
        <w:rPr>
          <w:lang w:val="es-MX"/>
        </w:rPr>
        <w:t>11</w:t>
      </w:r>
      <w:r w:rsidR="0001578F" w:rsidRPr="00CB2958">
        <w:rPr>
          <w:lang w:val="es-MX"/>
        </w:rPr>
        <w:t>6</w:t>
      </w:r>
      <w:r w:rsidRPr="00CB2958">
        <w:rPr>
          <w:lang w:val="es-MX"/>
        </w:rPr>
        <w:t>.</w:t>
      </w:r>
      <w:r w:rsidR="0001578F" w:rsidRPr="00CB2958">
        <w:rPr>
          <w:lang w:val="es-MX"/>
        </w:rPr>
        <w:t>5</w:t>
      </w:r>
      <w:r w:rsidRPr="00CB2958">
        <w:rPr>
          <w:lang w:val="es-MX"/>
        </w:rPr>
        <w:t xml:space="preserve"> para el sector terciario.</w:t>
      </w:r>
    </w:p>
    <w:p w14:paraId="2E0CACA4" w14:textId="77777777" w:rsidR="00C03447" w:rsidRPr="00E15E72" w:rsidRDefault="00C03447" w:rsidP="006B53FC">
      <w:pPr>
        <w:pStyle w:val="Titcuadrograf"/>
        <w:spacing w:before="240"/>
        <w:ind w:left="0"/>
        <w:rPr>
          <w:sz w:val="22"/>
          <w:szCs w:val="22"/>
        </w:rPr>
      </w:pPr>
      <w:r w:rsidRPr="00E15E72">
        <w:rPr>
          <w:sz w:val="22"/>
          <w:szCs w:val="22"/>
        </w:rPr>
        <w:t>IOAE para el IGAE, las actividades secundarias y terciarias</w:t>
      </w:r>
    </w:p>
    <w:p w14:paraId="3747DEC7" w14:textId="77777777" w:rsidR="00C03447" w:rsidRPr="0020223F" w:rsidRDefault="00C03447" w:rsidP="006B53FC">
      <w:pPr>
        <w:pStyle w:val="Titcuadrograf"/>
        <w:ind w:left="0"/>
        <w:rPr>
          <w:b w:val="0"/>
          <w:smallCaps w:val="0"/>
        </w:rPr>
      </w:pPr>
      <w:r w:rsidRPr="00EA3186">
        <w:rPr>
          <w:b w:val="0"/>
          <w:smallCaps w:val="0"/>
        </w:rPr>
        <w:t>(</w:t>
      </w:r>
      <w:r w:rsidRPr="000518C7">
        <w:rPr>
          <w:b w:val="0"/>
          <w:smallCaps w:val="0"/>
          <w:sz w:val="20"/>
          <w:szCs w:val="20"/>
        </w:rPr>
        <w:t>Índice base 2013=100</w:t>
      </w:r>
      <w:r>
        <w:rPr>
          <w:b w:val="0"/>
          <w:smallCaps w:val="0"/>
          <w:sz w:val="20"/>
          <w:szCs w:val="20"/>
        </w:rPr>
        <w:t>)</w:t>
      </w:r>
    </w:p>
    <w:tbl>
      <w:tblPr>
        <w:tblW w:w="9331" w:type="dxa"/>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21"/>
        <w:gridCol w:w="932"/>
        <w:gridCol w:w="933"/>
        <w:gridCol w:w="935"/>
        <w:gridCol w:w="933"/>
        <w:gridCol w:w="934"/>
        <w:gridCol w:w="936"/>
        <w:gridCol w:w="933"/>
        <w:gridCol w:w="934"/>
        <w:gridCol w:w="934"/>
        <w:gridCol w:w="6"/>
      </w:tblGrid>
      <w:tr w:rsidR="00C03447" w:rsidRPr="0020223F" w14:paraId="035A845A" w14:textId="77777777" w:rsidTr="001562A9">
        <w:trPr>
          <w:trHeight w:val="393"/>
          <w:jc w:val="center"/>
        </w:trPr>
        <w:tc>
          <w:tcPr>
            <w:tcW w:w="921" w:type="dxa"/>
            <w:vMerge w:val="restart"/>
            <w:tcBorders>
              <w:right w:val="single" w:sz="4" w:space="0" w:color="auto"/>
            </w:tcBorders>
            <w:shd w:val="clear" w:color="auto" w:fill="D7E3BC"/>
            <w:noWrap/>
            <w:vAlign w:val="center"/>
            <w:hideMark/>
          </w:tcPr>
          <w:p w14:paraId="5B3A51E8" w14:textId="77777777" w:rsidR="00C03447" w:rsidRPr="0020223F" w:rsidRDefault="00C03447" w:rsidP="001562A9">
            <w:pPr>
              <w:jc w:val="center"/>
              <w:rPr>
                <w:b/>
                <w:bCs/>
                <w:color w:val="000000"/>
                <w:sz w:val="16"/>
                <w:szCs w:val="16"/>
                <w:lang w:val="es-MX" w:eastAsia="es-MX"/>
              </w:rPr>
            </w:pPr>
            <w:r>
              <w:rPr>
                <w:b/>
                <w:bCs/>
                <w:color w:val="000000"/>
                <w:sz w:val="16"/>
                <w:szCs w:val="16"/>
                <w:lang w:eastAsia="es-MX"/>
              </w:rPr>
              <w:t>Mes de referencia</w:t>
            </w:r>
          </w:p>
        </w:tc>
        <w:tc>
          <w:tcPr>
            <w:tcW w:w="2800" w:type="dxa"/>
            <w:gridSpan w:val="3"/>
            <w:tcBorders>
              <w:left w:val="single" w:sz="4" w:space="0" w:color="auto"/>
              <w:bottom w:val="single" w:sz="4" w:space="0" w:color="auto"/>
              <w:right w:val="single" w:sz="4" w:space="0" w:color="auto"/>
            </w:tcBorders>
            <w:shd w:val="clear" w:color="auto" w:fill="D7E3BC"/>
            <w:noWrap/>
            <w:vAlign w:val="center"/>
            <w:hideMark/>
          </w:tcPr>
          <w:p w14:paraId="67651469" w14:textId="77777777" w:rsidR="00C03447" w:rsidRPr="0020223F" w:rsidRDefault="00C03447" w:rsidP="001562A9">
            <w:pPr>
              <w:jc w:val="center"/>
              <w:rPr>
                <w:b/>
                <w:bCs/>
                <w:color w:val="000000"/>
                <w:sz w:val="16"/>
                <w:szCs w:val="16"/>
                <w:lang w:eastAsia="es-MX"/>
              </w:rPr>
            </w:pPr>
            <w:r w:rsidRPr="0020223F">
              <w:rPr>
                <w:b/>
                <w:bCs/>
                <w:color w:val="000000"/>
                <w:sz w:val="16"/>
                <w:szCs w:val="16"/>
                <w:lang w:eastAsia="es-MX"/>
              </w:rPr>
              <w:t>IGAE</w:t>
            </w:r>
          </w:p>
        </w:tc>
        <w:tc>
          <w:tcPr>
            <w:tcW w:w="2803" w:type="dxa"/>
            <w:gridSpan w:val="3"/>
            <w:tcBorders>
              <w:left w:val="single" w:sz="4" w:space="0" w:color="auto"/>
              <w:bottom w:val="single" w:sz="4" w:space="0" w:color="auto"/>
              <w:right w:val="single" w:sz="4" w:space="0" w:color="auto"/>
            </w:tcBorders>
            <w:shd w:val="clear" w:color="auto" w:fill="D7E3BC"/>
            <w:noWrap/>
            <w:vAlign w:val="center"/>
            <w:hideMark/>
          </w:tcPr>
          <w:p w14:paraId="2BCCE5E6" w14:textId="77777777" w:rsidR="00C03447" w:rsidRPr="0020223F" w:rsidRDefault="00C03447" w:rsidP="001562A9">
            <w:pPr>
              <w:jc w:val="center"/>
              <w:rPr>
                <w:b/>
                <w:bCs/>
                <w:color w:val="000000"/>
                <w:sz w:val="16"/>
                <w:szCs w:val="16"/>
                <w:lang w:eastAsia="es-MX"/>
              </w:rPr>
            </w:pPr>
            <w:r w:rsidRPr="0020223F">
              <w:rPr>
                <w:b/>
                <w:bCs/>
                <w:color w:val="000000"/>
                <w:sz w:val="16"/>
                <w:szCs w:val="16"/>
                <w:lang w:eastAsia="es-MX"/>
              </w:rPr>
              <w:t>Actividades secundarias</w:t>
            </w:r>
          </w:p>
        </w:tc>
        <w:tc>
          <w:tcPr>
            <w:tcW w:w="2807" w:type="dxa"/>
            <w:gridSpan w:val="4"/>
            <w:tcBorders>
              <w:left w:val="single" w:sz="4" w:space="0" w:color="auto"/>
              <w:bottom w:val="single" w:sz="4" w:space="0" w:color="auto"/>
            </w:tcBorders>
            <w:shd w:val="clear" w:color="auto" w:fill="D7E3BC"/>
            <w:noWrap/>
            <w:vAlign w:val="center"/>
            <w:hideMark/>
          </w:tcPr>
          <w:p w14:paraId="6E9C75A7" w14:textId="77777777" w:rsidR="00C03447" w:rsidRPr="0020223F" w:rsidRDefault="00C03447" w:rsidP="001562A9">
            <w:pPr>
              <w:jc w:val="center"/>
              <w:rPr>
                <w:b/>
                <w:bCs/>
                <w:color w:val="000000"/>
                <w:sz w:val="16"/>
                <w:szCs w:val="16"/>
                <w:lang w:eastAsia="es-MX"/>
              </w:rPr>
            </w:pPr>
            <w:r w:rsidRPr="0020223F">
              <w:rPr>
                <w:b/>
                <w:bCs/>
                <w:color w:val="000000"/>
                <w:sz w:val="16"/>
                <w:szCs w:val="16"/>
                <w:lang w:eastAsia="es-MX"/>
              </w:rPr>
              <w:t>Actividades terciarias</w:t>
            </w:r>
          </w:p>
        </w:tc>
      </w:tr>
      <w:tr w:rsidR="00C03447" w:rsidRPr="0020223F" w14:paraId="518865AB" w14:textId="77777777" w:rsidTr="001562A9">
        <w:trPr>
          <w:gridAfter w:val="1"/>
          <w:wAfter w:w="6" w:type="dxa"/>
          <w:trHeight w:val="411"/>
          <w:jc w:val="center"/>
        </w:trPr>
        <w:tc>
          <w:tcPr>
            <w:tcW w:w="921" w:type="dxa"/>
            <w:vMerge/>
            <w:tcBorders>
              <w:bottom w:val="single" w:sz="4" w:space="0" w:color="auto"/>
              <w:right w:val="single" w:sz="4" w:space="0" w:color="auto"/>
            </w:tcBorders>
            <w:shd w:val="clear" w:color="auto" w:fill="D7E3BC"/>
            <w:vAlign w:val="center"/>
            <w:hideMark/>
          </w:tcPr>
          <w:p w14:paraId="42942DC3" w14:textId="77777777" w:rsidR="00C03447" w:rsidRPr="0020223F" w:rsidRDefault="00C03447" w:rsidP="001562A9">
            <w:pPr>
              <w:jc w:val="center"/>
              <w:rPr>
                <w:b/>
                <w:bCs/>
                <w:color w:val="000000"/>
                <w:sz w:val="16"/>
                <w:szCs w:val="16"/>
                <w:lang w:eastAsia="es-MX"/>
              </w:rPr>
            </w:pPr>
          </w:p>
        </w:tc>
        <w:tc>
          <w:tcPr>
            <w:tcW w:w="93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49AC6D1A" w14:textId="77777777" w:rsidR="00C03447" w:rsidRPr="0020223F" w:rsidRDefault="00C03447" w:rsidP="001562A9">
            <w:pPr>
              <w:jc w:val="center"/>
              <w:rPr>
                <w:b/>
                <w:bCs/>
                <w:color w:val="000000"/>
                <w:sz w:val="16"/>
                <w:szCs w:val="16"/>
                <w:lang w:eastAsia="es-MX"/>
              </w:rPr>
            </w:pPr>
            <w:r w:rsidRPr="0020223F">
              <w:rPr>
                <w:b/>
                <w:bCs/>
                <w:color w:val="000000"/>
                <w:sz w:val="16"/>
                <w:szCs w:val="16"/>
                <w:lang w:eastAsia="es-MX"/>
              </w:rPr>
              <w:t>Inferior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76E2616C" w14:textId="77777777" w:rsidR="00C03447" w:rsidRPr="0020223F" w:rsidRDefault="00C03447" w:rsidP="001562A9">
            <w:pPr>
              <w:jc w:val="center"/>
              <w:rPr>
                <w:b/>
                <w:bCs/>
                <w:color w:val="000000"/>
                <w:sz w:val="16"/>
                <w:szCs w:val="16"/>
                <w:lang w:eastAsia="es-MX"/>
              </w:rPr>
            </w:pPr>
            <w:r w:rsidRPr="0020223F">
              <w:rPr>
                <w:b/>
                <w:bCs/>
                <w:color w:val="000000"/>
                <w:sz w:val="16"/>
                <w:szCs w:val="16"/>
                <w:lang w:eastAsia="es-MX"/>
              </w:rPr>
              <w:t>Nowcast</w:t>
            </w:r>
          </w:p>
        </w:tc>
        <w:tc>
          <w:tcPr>
            <w:tcW w:w="935"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65C06A69" w14:textId="77777777" w:rsidR="00C03447" w:rsidRPr="0020223F" w:rsidRDefault="00C03447" w:rsidP="001562A9">
            <w:pPr>
              <w:jc w:val="center"/>
              <w:rPr>
                <w:b/>
                <w:bCs/>
                <w:color w:val="000000"/>
                <w:sz w:val="16"/>
                <w:szCs w:val="16"/>
                <w:lang w:eastAsia="es-MX"/>
              </w:rPr>
            </w:pPr>
            <w:r w:rsidRPr="0020223F">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21BF39DA" w14:textId="77777777" w:rsidR="00C03447" w:rsidRPr="0020223F" w:rsidRDefault="00C03447" w:rsidP="001562A9">
            <w:pPr>
              <w:jc w:val="center"/>
              <w:rPr>
                <w:b/>
                <w:bCs/>
                <w:color w:val="000000"/>
                <w:sz w:val="16"/>
                <w:szCs w:val="16"/>
                <w:lang w:eastAsia="es-MX"/>
              </w:rPr>
            </w:pPr>
            <w:r w:rsidRPr="0020223F">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401B35C4" w14:textId="77777777" w:rsidR="00C03447" w:rsidRPr="0020223F" w:rsidRDefault="00C03447" w:rsidP="001562A9">
            <w:pPr>
              <w:jc w:val="center"/>
              <w:rPr>
                <w:b/>
                <w:bCs/>
                <w:color w:val="000000"/>
                <w:sz w:val="16"/>
                <w:szCs w:val="16"/>
                <w:lang w:eastAsia="es-MX"/>
              </w:rPr>
            </w:pPr>
            <w:r w:rsidRPr="0020223F">
              <w:rPr>
                <w:b/>
                <w:bCs/>
                <w:color w:val="000000"/>
                <w:sz w:val="16"/>
                <w:szCs w:val="16"/>
                <w:lang w:eastAsia="es-MX"/>
              </w:rPr>
              <w:t>Nowcast</w:t>
            </w:r>
          </w:p>
        </w:tc>
        <w:tc>
          <w:tcPr>
            <w:tcW w:w="936"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6EEA644F" w14:textId="77777777" w:rsidR="00C03447" w:rsidRPr="0020223F" w:rsidRDefault="00C03447" w:rsidP="001562A9">
            <w:pPr>
              <w:jc w:val="center"/>
              <w:rPr>
                <w:b/>
                <w:bCs/>
                <w:color w:val="000000"/>
                <w:sz w:val="16"/>
                <w:szCs w:val="16"/>
                <w:lang w:eastAsia="es-MX"/>
              </w:rPr>
            </w:pPr>
            <w:r w:rsidRPr="0020223F">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1172F2C" w14:textId="77777777" w:rsidR="00C03447" w:rsidRPr="0020223F" w:rsidRDefault="00C03447" w:rsidP="001562A9">
            <w:pPr>
              <w:jc w:val="center"/>
              <w:rPr>
                <w:b/>
                <w:bCs/>
                <w:color w:val="000000"/>
                <w:sz w:val="16"/>
                <w:szCs w:val="16"/>
                <w:lang w:eastAsia="es-MX"/>
              </w:rPr>
            </w:pPr>
            <w:r w:rsidRPr="0020223F">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61798A37" w14:textId="77777777" w:rsidR="00C03447" w:rsidRPr="0020223F" w:rsidRDefault="00C03447" w:rsidP="001562A9">
            <w:pPr>
              <w:jc w:val="center"/>
              <w:rPr>
                <w:b/>
                <w:bCs/>
                <w:color w:val="000000"/>
                <w:sz w:val="16"/>
                <w:szCs w:val="16"/>
                <w:lang w:eastAsia="es-MX"/>
              </w:rPr>
            </w:pPr>
            <w:r w:rsidRPr="0020223F">
              <w:rPr>
                <w:b/>
                <w:bCs/>
                <w:color w:val="000000"/>
                <w:sz w:val="16"/>
                <w:szCs w:val="16"/>
                <w:lang w:eastAsia="es-MX"/>
              </w:rPr>
              <w:t>Nowcast</w:t>
            </w:r>
          </w:p>
        </w:tc>
        <w:tc>
          <w:tcPr>
            <w:tcW w:w="934" w:type="dxa"/>
            <w:tcBorders>
              <w:top w:val="single" w:sz="4" w:space="0" w:color="auto"/>
              <w:left w:val="single" w:sz="4" w:space="0" w:color="auto"/>
              <w:bottom w:val="single" w:sz="4" w:space="0" w:color="auto"/>
            </w:tcBorders>
            <w:shd w:val="clear" w:color="auto" w:fill="D7E3BC"/>
            <w:noWrap/>
            <w:vAlign w:val="center"/>
            <w:hideMark/>
          </w:tcPr>
          <w:p w14:paraId="0EB85B04" w14:textId="77777777" w:rsidR="00C03447" w:rsidRPr="0020223F" w:rsidRDefault="00C03447" w:rsidP="001562A9">
            <w:pPr>
              <w:jc w:val="center"/>
              <w:rPr>
                <w:b/>
                <w:bCs/>
                <w:color w:val="000000"/>
                <w:sz w:val="16"/>
                <w:szCs w:val="16"/>
                <w:lang w:eastAsia="es-MX"/>
              </w:rPr>
            </w:pPr>
            <w:r w:rsidRPr="0020223F">
              <w:rPr>
                <w:b/>
                <w:bCs/>
                <w:color w:val="000000"/>
                <w:sz w:val="16"/>
                <w:szCs w:val="16"/>
                <w:lang w:eastAsia="es-MX"/>
              </w:rPr>
              <w:t>Superior</w:t>
            </w:r>
          </w:p>
        </w:tc>
      </w:tr>
      <w:tr w:rsidR="00D2059E" w:rsidRPr="003C00D4" w14:paraId="61A097CA" w14:textId="77777777" w:rsidTr="00D2059E">
        <w:trPr>
          <w:gridAfter w:val="1"/>
          <w:wAfter w:w="6" w:type="dxa"/>
          <w:trHeight w:val="393"/>
          <w:jc w:val="center"/>
        </w:trPr>
        <w:tc>
          <w:tcPr>
            <w:tcW w:w="921" w:type="dxa"/>
            <w:tcBorders>
              <w:top w:val="single" w:sz="4" w:space="0" w:color="auto"/>
              <w:right w:val="single" w:sz="4" w:space="0" w:color="auto"/>
            </w:tcBorders>
            <w:noWrap/>
            <w:vAlign w:val="center"/>
            <w:hideMark/>
          </w:tcPr>
          <w:p w14:paraId="78B13A51" w14:textId="77777777" w:rsidR="00D2059E" w:rsidRPr="003C00D4" w:rsidRDefault="00D2059E" w:rsidP="00D2059E">
            <w:pPr>
              <w:jc w:val="center"/>
              <w:rPr>
                <w:color w:val="000000"/>
                <w:sz w:val="16"/>
                <w:szCs w:val="16"/>
                <w:lang w:eastAsia="es-MX"/>
              </w:rPr>
            </w:pPr>
            <w:r w:rsidRPr="003C00D4">
              <w:rPr>
                <w:color w:val="000000"/>
                <w:sz w:val="16"/>
                <w:szCs w:val="16"/>
                <w:lang w:eastAsia="es-MX"/>
              </w:rPr>
              <w:t>2021/0</w:t>
            </w:r>
            <w:r>
              <w:rPr>
                <w:color w:val="000000"/>
                <w:sz w:val="16"/>
                <w:szCs w:val="16"/>
                <w:lang w:eastAsia="es-MX"/>
              </w:rPr>
              <w:t>5</w:t>
            </w:r>
          </w:p>
        </w:tc>
        <w:tc>
          <w:tcPr>
            <w:tcW w:w="932" w:type="dxa"/>
            <w:tcBorders>
              <w:top w:val="single" w:sz="4" w:space="0" w:color="auto"/>
              <w:left w:val="single" w:sz="4" w:space="0" w:color="auto"/>
              <w:right w:val="single" w:sz="4" w:space="0" w:color="auto"/>
            </w:tcBorders>
            <w:noWrap/>
            <w:vAlign w:val="center"/>
            <w:hideMark/>
          </w:tcPr>
          <w:p w14:paraId="42173687" w14:textId="77777777" w:rsidR="00D2059E" w:rsidRPr="00CB2958" w:rsidRDefault="00D2059E" w:rsidP="00D2059E">
            <w:pPr>
              <w:jc w:val="center"/>
              <w:rPr>
                <w:color w:val="000000"/>
                <w:sz w:val="16"/>
                <w:szCs w:val="16"/>
                <w:lang w:eastAsia="es-MX"/>
              </w:rPr>
            </w:pPr>
            <w:r w:rsidRPr="00CB2958">
              <w:rPr>
                <w:sz w:val="16"/>
                <w:szCs w:val="16"/>
              </w:rPr>
              <w:t>109.3</w:t>
            </w:r>
          </w:p>
        </w:tc>
        <w:tc>
          <w:tcPr>
            <w:tcW w:w="933" w:type="dxa"/>
            <w:tcBorders>
              <w:top w:val="single" w:sz="4" w:space="0" w:color="auto"/>
              <w:left w:val="single" w:sz="4" w:space="0" w:color="auto"/>
              <w:right w:val="single" w:sz="4" w:space="0" w:color="auto"/>
            </w:tcBorders>
            <w:noWrap/>
            <w:vAlign w:val="center"/>
            <w:hideMark/>
          </w:tcPr>
          <w:p w14:paraId="0F93B1B0" w14:textId="77777777" w:rsidR="00D2059E" w:rsidRPr="00CB2958" w:rsidRDefault="00D2059E" w:rsidP="00D2059E">
            <w:pPr>
              <w:jc w:val="center"/>
              <w:rPr>
                <w:color w:val="000000"/>
                <w:sz w:val="16"/>
                <w:szCs w:val="16"/>
                <w:lang w:eastAsia="es-MX"/>
              </w:rPr>
            </w:pPr>
            <w:r w:rsidRPr="00CB2958">
              <w:rPr>
                <w:sz w:val="16"/>
                <w:szCs w:val="16"/>
              </w:rPr>
              <w:t>110.6</w:t>
            </w:r>
          </w:p>
        </w:tc>
        <w:tc>
          <w:tcPr>
            <w:tcW w:w="935" w:type="dxa"/>
            <w:tcBorders>
              <w:top w:val="single" w:sz="4" w:space="0" w:color="auto"/>
              <w:left w:val="single" w:sz="4" w:space="0" w:color="auto"/>
              <w:right w:val="single" w:sz="4" w:space="0" w:color="auto"/>
            </w:tcBorders>
            <w:noWrap/>
            <w:vAlign w:val="center"/>
            <w:hideMark/>
          </w:tcPr>
          <w:p w14:paraId="30145BD8" w14:textId="77777777" w:rsidR="00D2059E" w:rsidRPr="00CB2958" w:rsidRDefault="00D2059E" w:rsidP="00D2059E">
            <w:pPr>
              <w:jc w:val="center"/>
              <w:rPr>
                <w:color w:val="000000"/>
                <w:sz w:val="16"/>
                <w:szCs w:val="16"/>
                <w:lang w:eastAsia="es-MX"/>
              </w:rPr>
            </w:pPr>
            <w:r w:rsidRPr="00CB2958">
              <w:rPr>
                <w:sz w:val="16"/>
                <w:szCs w:val="16"/>
              </w:rPr>
              <w:t>111.8</w:t>
            </w:r>
          </w:p>
        </w:tc>
        <w:tc>
          <w:tcPr>
            <w:tcW w:w="933" w:type="dxa"/>
            <w:tcBorders>
              <w:top w:val="single" w:sz="4" w:space="0" w:color="auto"/>
              <w:left w:val="single" w:sz="4" w:space="0" w:color="auto"/>
              <w:right w:val="single" w:sz="4" w:space="0" w:color="auto"/>
            </w:tcBorders>
            <w:noWrap/>
            <w:vAlign w:val="center"/>
          </w:tcPr>
          <w:p w14:paraId="18143C12" w14:textId="77777777" w:rsidR="00D2059E" w:rsidRPr="00CB2958" w:rsidRDefault="00D2059E" w:rsidP="00D2059E">
            <w:pPr>
              <w:jc w:val="center"/>
              <w:rPr>
                <w:color w:val="000000"/>
                <w:sz w:val="16"/>
                <w:szCs w:val="16"/>
                <w:lang w:eastAsia="es-MX"/>
              </w:rPr>
            </w:pPr>
          </w:p>
        </w:tc>
        <w:tc>
          <w:tcPr>
            <w:tcW w:w="934" w:type="dxa"/>
            <w:tcBorders>
              <w:top w:val="single" w:sz="4" w:space="0" w:color="auto"/>
              <w:left w:val="single" w:sz="4" w:space="0" w:color="auto"/>
              <w:right w:val="single" w:sz="4" w:space="0" w:color="auto"/>
            </w:tcBorders>
            <w:noWrap/>
            <w:vAlign w:val="center"/>
            <w:hideMark/>
          </w:tcPr>
          <w:p w14:paraId="5B5146C5" w14:textId="77777777" w:rsidR="00D2059E" w:rsidRPr="00CB2958" w:rsidRDefault="00D2059E" w:rsidP="00D2059E">
            <w:pPr>
              <w:jc w:val="center"/>
              <w:rPr>
                <w:color w:val="000000"/>
                <w:sz w:val="16"/>
                <w:szCs w:val="16"/>
                <w:lang w:eastAsia="es-MX"/>
              </w:rPr>
            </w:pPr>
            <w:r w:rsidRPr="00CB2958">
              <w:rPr>
                <w:sz w:val="16"/>
                <w:szCs w:val="16"/>
              </w:rPr>
              <w:t>98.6*</w:t>
            </w:r>
          </w:p>
        </w:tc>
        <w:tc>
          <w:tcPr>
            <w:tcW w:w="936" w:type="dxa"/>
            <w:tcBorders>
              <w:top w:val="single" w:sz="4" w:space="0" w:color="auto"/>
              <w:left w:val="single" w:sz="4" w:space="0" w:color="auto"/>
              <w:right w:val="single" w:sz="4" w:space="0" w:color="auto"/>
            </w:tcBorders>
            <w:noWrap/>
            <w:vAlign w:val="center"/>
          </w:tcPr>
          <w:p w14:paraId="5814D14D" w14:textId="77777777" w:rsidR="00D2059E" w:rsidRPr="00CB2958" w:rsidRDefault="00D2059E" w:rsidP="00D2059E">
            <w:pPr>
              <w:jc w:val="center"/>
              <w:rPr>
                <w:color w:val="000000"/>
                <w:sz w:val="16"/>
                <w:szCs w:val="16"/>
                <w:lang w:eastAsia="es-MX"/>
              </w:rPr>
            </w:pPr>
          </w:p>
        </w:tc>
        <w:tc>
          <w:tcPr>
            <w:tcW w:w="933" w:type="dxa"/>
            <w:tcBorders>
              <w:top w:val="single" w:sz="4" w:space="0" w:color="auto"/>
              <w:left w:val="single" w:sz="4" w:space="0" w:color="auto"/>
              <w:right w:val="single" w:sz="4" w:space="0" w:color="auto"/>
            </w:tcBorders>
            <w:noWrap/>
            <w:vAlign w:val="center"/>
            <w:hideMark/>
          </w:tcPr>
          <w:p w14:paraId="31AE59BB" w14:textId="77777777" w:rsidR="00D2059E" w:rsidRPr="00CB2958" w:rsidRDefault="00D2059E" w:rsidP="00D2059E">
            <w:pPr>
              <w:jc w:val="center"/>
              <w:rPr>
                <w:color w:val="000000"/>
                <w:sz w:val="16"/>
                <w:szCs w:val="16"/>
                <w:lang w:eastAsia="es-MX"/>
              </w:rPr>
            </w:pPr>
            <w:r w:rsidRPr="00CB2958">
              <w:rPr>
                <w:sz w:val="16"/>
                <w:szCs w:val="16"/>
              </w:rPr>
              <w:t>114.7</w:t>
            </w:r>
          </w:p>
        </w:tc>
        <w:tc>
          <w:tcPr>
            <w:tcW w:w="934" w:type="dxa"/>
            <w:tcBorders>
              <w:top w:val="single" w:sz="4" w:space="0" w:color="auto"/>
              <w:left w:val="single" w:sz="4" w:space="0" w:color="auto"/>
              <w:right w:val="single" w:sz="4" w:space="0" w:color="auto"/>
            </w:tcBorders>
            <w:noWrap/>
            <w:vAlign w:val="center"/>
            <w:hideMark/>
          </w:tcPr>
          <w:p w14:paraId="08B51DD9" w14:textId="77777777" w:rsidR="00D2059E" w:rsidRPr="00CB2958" w:rsidRDefault="00D2059E" w:rsidP="00D2059E">
            <w:pPr>
              <w:jc w:val="center"/>
              <w:rPr>
                <w:color w:val="000000"/>
                <w:sz w:val="16"/>
                <w:szCs w:val="16"/>
                <w:lang w:eastAsia="es-MX"/>
              </w:rPr>
            </w:pPr>
            <w:r w:rsidRPr="00CB2958">
              <w:rPr>
                <w:sz w:val="16"/>
                <w:szCs w:val="16"/>
              </w:rPr>
              <w:t>116.1</w:t>
            </w:r>
          </w:p>
        </w:tc>
        <w:tc>
          <w:tcPr>
            <w:tcW w:w="934" w:type="dxa"/>
            <w:tcBorders>
              <w:top w:val="single" w:sz="4" w:space="0" w:color="auto"/>
              <w:left w:val="single" w:sz="4" w:space="0" w:color="auto"/>
            </w:tcBorders>
            <w:noWrap/>
            <w:vAlign w:val="center"/>
            <w:hideMark/>
          </w:tcPr>
          <w:p w14:paraId="2746C92D" w14:textId="77777777" w:rsidR="00D2059E" w:rsidRPr="00CB2958" w:rsidRDefault="00D2059E" w:rsidP="00D2059E">
            <w:pPr>
              <w:jc w:val="center"/>
              <w:rPr>
                <w:color w:val="000000"/>
                <w:sz w:val="16"/>
                <w:szCs w:val="16"/>
                <w:lang w:eastAsia="es-MX"/>
              </w:rPr>
            </w:pPr>
            <w:r w:rsidRPr="00CB2958">
              <w:rPr>
                <w:sz w:val="16"/>
                <w:szCs w:val="16"/>
              </w:rPr>
              <w:t>117.4</w:t>
            </w:r>
          </w:p>
        </w:tc>
      </w:tr>
      <w:tr w:rsidR="00D2059E" w:rsidRPr="003C00D4" w14:paraId="63D9A4E4" w14:textId="77777777" w:rsidTr="00D2059E">
        <w:trPr>
          <w:gridAfter w:val="1"/>
          <w:wAfter w:w="6" w:type="dxa"/>
          <w:trHeight w:val="411"/>
          <w:jc w:val="center"/>
        </w:trPr>
        <w:tc>
          <w:tcPr>
            <w:tcW w:w="921" w:type="dxa"/>
            <w:tcBorders>
              <w:right w:val="single" w:sz="4" w:space="0" w:color="auto"/>
            </w:tcBorders>
            <w:noWrap/>
            <w:vAlign w:val="center"/>
            <w:hideMark/>
          </w:tcPr>
          <w:p w14:paraId="68EC156B" w14:textId="77777777" w:rsidR="00D2059E" w:rsidRPr="003C00D4" w:rsidRDefault="00D2059E" w:rsidP="00D2059E">
            <w:pPr>
              <w:jc w:val="center"/>
              <w:rPr>
                <w:color w:val="000000"/>
                <w:sz w:val="16"/>
                <w:szCs w:val="16"/>
                <w:lang w:eastAsia="es-MX"/>
              </w:rPr>
            </w:pPr>
            <w:r w:rsidRPr="003C00D4">
              <w:rPr>
                <w:color w:val="000000"/>
                <w:sz w:val="16"/>
                <w:szCs w:val="16"/>
                <w:lang w:eastAsia="es-MX"/>
              </w:rPr>
              <w:t>2021/0</w:t>
            </w:r>
            <w:r>
              <w:rPr>
                <w:color w:val="000000"/>
                <w:sz w:val="16"/>
                <w:szCs w:val="16"/>
                <w:lang w:eastAsia="es-MX"/>
              </w:rPr>
              <w:t>6</w:t>
            </w:r>
          </w:p>
        </w:tc>
        <w:tc>
          <w:tcPr>
            <w:tcW w:w="932" w:type="dxa"/>
            <w:tcBorders>
              <w:left w:val="single" w:sz="4" w:space="0" w:color="auto"/>
              <w:right w:val="single" w:sz="4" w:space="0" w:color="auto"/>
            </w:tcBorders>
            <w:noWrap/>
            <w:vAlign w:val="center"/>
            <w:hideMark/>
          </w:tcPr>
          <w:p w14:paraId="43FE9F6F" w14:textId="77777777" w:rsidR="00D2059E" w:rsidRPr="00CB2958" w:rsidRDefault="00D2059E" w:rsidP="00D2059E">
            <w:pPr>
              <w:jc w:val="center"/>
              <w:rPr>
                <w:color w:val="000000"/>
                <w:sz w:val="16"/>
                <w:szCs w:val="16"/>
                <w:lang w:eastAsia="es-MX"/>
              </w:rPr>
            </w:pPr>
            <w:r w:rsidRPr="00CB2958">
              <w:rPr>
                <w:sz w:val="16"/>
                <w:szCs w:val="16"/>
              </w:rPr>
              <w:t>109.6</w:t>
            </w:r>
          </w:p>
        </w:tc>
        <w:tc>
          <w:tcPr>
            <w:tcW w:w="933" w:type="dxa"/>
            <w:tcBorders>
              <w:left w:val="single" w:sz="4" w:space="0" w:color="auto"/>
              <w:right w:val="single" w:sz="4" w:space="0" w:color="auto"/>
            </w:tcBorders>
            <w:noWrap/>
            <w:vAlign w:val="center"/>
            <w:hideMark/>
          </w:tcPr>
          <w:p w14:paraId="1A373EF1" w14:textId="77777777" w:rsidR="00D2059E" w:rsidRPr="00CB2958" w:rsidRDefault="00D2059E" w:rsidP="00D2059E">
            <w:pPr>
              <w:jc w:val="center"/>
              <w:rPr>
                <w:color w:val="000000"/>
                <w:sz w:val="16"/>
                <w:szCs w:val="16"/>
                <w:lang w:eastAsia="es-MX"/>
              </w:rPr>
            </w:pPr>
            <w:r w:rsidRPr="00CB2958">
              <w:rPr>
                <w:sz w:val="16"/>
                <w:szCs w:val="16"/>
              </w:rPr>
              <w:t>110.9</w:t>
            </w:r>
          </w:p>
        </w:tc>
        <w:tc>
          <w:tcPr>
            <w:tcW w:w="935" w:type="dxa"/>
            <w:tcBorders>
              <w:left w:val="single" w:sz="4" w:space="0" w:color="auto"/>
              <w:right w:val="single" w:sz="4" w:space="0" w:color="auto"/>
            </w:tcBorders>
            <w:shd w:val="clear" w:color="auto" w:fill="auto"/>
            <w:noWrap/>
            <w:vAlign w:val="center"/>
            <w:hideMark/>
          </w:tcPr>
          <w:p w14:paraId="54766051" w14:textId="77777777" w:rsidR="00D2059E" w:rsidRPr="00CB2958" w:rsidRDefault="00D2059E" w:rsidP="00D2059E">
            <w:pPr>
              <w:jc w:val="center"/>
              <w:rPr>
                <w:color w:val="000000"/>
                <w:sz w:val="16"/>
                <w:szCs w:val="16"/>
                <w:lang w:eastAsia="es-MX"/>
              </w:rPr>
            </w:pPr>
            <w:r w:rsidRPr="00CB2958">
              <w:rPr>
                <w:sz w:val="16"/>
                <w:szCs w:val="16"/>
              </w:rPr>
              <w:t>112.2</w:t>
            </w:r>
          </w:p>
        </w:tc>
        <w:tc>
          <w:tcPr>
            <w:tcW w:w="933" w:type="dxa"/>
            <w:tcBorders>
              <w:left w:val="single" w:sz="4" w:space="0" w:color="auto"/>
              <w:right w:val="single" w:sz="4" w:space="0" w:color="auto"/>
            </w:tcBorders>
            <w:noWrap/>
            <w:vAlign w:val="center"/>
            <w:hideMark/>
          </w:tcPr>
          <w:p w14:paraId="5C59E92D" w14:textId="77777777" w:rsidR="00D2059E" w:rsidRPr="00CB2958" w:rsidRDefault="00D2059E" w:rsidP="00D2059E">
            <w:pPr>
              <w:jc w:val="center"/>
              <w:rPr>
                <w:color w:val="000000"/>
                <w:sz w:val="16"/>
                <w:szCs w:val="16"/>
                <w:lang w:eastAsia="es-MX"/>
              </w:rPr>
            </w:pPr>
            <w:r w:rsidRPr="00CB2958">
              <w:rPr>
                <w:sz w:val="16"/>
                <w:szCs w:val="16"/>
              </w:rPr>
              <w:t>95.6</w:t>
            </w:r>
          </w:p>
        </w:tc>
        <w:tc>
          <w:tcPr>
            <w:tcW w:w="934" w:type="dxa"/>
            <w:tcBorders>
              <w:left w:val="single" w:sz="4" w:space="0" w:color="auto"/>
              <w:right w:val="single" w:sz="4" w:space="0" w:color="auto"/>
            </w:tcBorders>
            <w:noWrap/>
            <w:vAlign w:val="center"/>
            <w:hideMark/>
          </w:tcPr>
          <w:p w14:paraId="005356D1" w14:textId="77777777" w:rsidR="00D2059E" w:rsidRPr="00CB2958" w:rsidRDefault="00D2059E" w:rsidP="00D2059E">
            <w:pPr>
              <w:jc w:val="center"/>
              <w:rPr>
                <w:color w:val="000000"/>
                <w:sz w:val="16"/>
                <w:szCs w:val="16"/>
                <w:lang w:eastAsia="es-MX"/>
              </w:rPr>
            </w:pPr>
            <w:r w:rsidRPr="00CB2958">
              <w:rPr>
                <w:sz w:val="16"/>
                <w:szCs w:val="16"/>
              </w:rPr>
              <w:t>97.9</w:t>
            </w:r>
          </w:p>
        </w:tc>
        <w:tc>
          <w:tcPr>
            <w:tcW w:w="936" w:type="dxa"/>
            <w:tcBorders>
              <w:left w:val="single" w:sz="4" w:space="0" w:color="auto"/>
              <w:right w:val="single" w:sz="4" w:space="0" w:color="auto"/>
            </w:tcBorders>
            <w:noWrap/>
            <w:vAlign w:val="center"/>
            <w:hideMark/>
          </w:tcPr>
          <w:p w14:paraId="18363FE2" w14:textId="77777777" w:rsidR="00D2059E" w:rsidRPr="00CB2958" w:rsidRDefault="00D2059E" w:rsidP="00D2059E">
            <w:pPr>
              <w:jc w:val="center"/>
              <w:rPr>
                <w:color w:val="000000"/>
                <w:sz w:val="16"/>
                <w:szCs w:val="16"/>
                <w:lang w:eastAsia="es-MX"/>
              </w:rPr>
            </w:pPr>
            <w:r w:rsidRPr="00CB2958">
              <w:rPr>
                <w:sz w:val="16"/>
                <w:szCs w:val="16"/>
              </w:rPr>
              <w:t>100.2</w:t>
            </w:r>
          </w:p>
        </w:tc>
        <w:tc>
          <w:tcPr>
            <w:tcW w:w="933" w:type="dxa"/>
            <w:tcBorders>
              <w:left w:val="single" w:sz="4" w:space="0" w:color="auto"/>
              <w:right w:val="single" w:sz="4" w:space="0" w:color="auto"/>
            </w:tcBorders>
            <w:noWrap/>
            <w:vAlign w:val="center"/>
            <w:hideMark/>
          </w:tcPr>
          <w:p w14:paraId="743D7E2B" w14:textId="77777777" w:rsidR="00D2059E" w:rsidRPr="00CB2958" w:rsidRDefault="00D2059E" w:rsidP="00D2059E">
            <w:pPr>
              <w:jc w:val="center"/>
              <w:rPr>
                <w:color w:val="000000"/>
                <w:sz w:val="16"/>
                <w:szCs w:val="16"/>
                <w:lang w:eastAsia="es-MX"/>
              </w:rPr>
            </w:pPr>
            <w:r w:rsidRPr="00CB2958">
              <w:rPr>
                <w:sz w:val="16"/>
                <w:szCs w:val="16"/>
              </w:rPr>
              <w:t>115.1</w:t>
            </w:r>
          </w:p>
        </w:tc>
        <w:tc>
          <w:tcPr>
            <w:tcW w:w="934" w:type="dxa"/>
            <w:tcBorders>
              <w:left w:val="single" w:sz="4" w:space="0" w:color="auto"/>
              <w:right w:val="single" w:sz="4" w:space="0" w:color="auto"/>
            </w:tcBorders>
            <w:noWrap/>
            <w:vAlign w:val="center"/>
            <w:hideMark/>
          </w:tcPr>
          <w:p w14:paraId="761E2140" w14:textId="77777777" w:rsidR="00D2059E" w:rsidRPr="00CB2958" w:rsidRDefault="00D2059E" w:rsidP="00D2059E">
            <w:pPr>
              <w:jc w:val="center"/>
              <w:rPr>
                <w:color w:val="000000"/>
                <w:sz w:val="16"/>
                <w:szCs w:val="16"/>
                <w:lang w:eastAsia="es-MX"/>
              </w:rPr>
            </w:pPr>
            <w:r w:rsidRPr="00CB2958">
              <w:rPr>
                <w:sz w:val="16"/>
                <w:szCs w:val="16"/>
              </w:rPr>
              <w:t>116.5</w:t>
            </w:r>
          </w:p>
        </w:tc>
        <w:tc>
          <w:tcPr>
            <w:tcW w:w="934" w:type="dxa"/>
            <w:tcBorders>
              <w:left w:val="single" w:sz="4" w:space="0" w:color="auto"/>
            </w:tcBorders>
            <w:noWrap/>
            <w:vAlign w:val="center"/>
            <w:hideMark/>
          </w:tcPr>
          <w:p w14:paraId="7CEE7A60" w14:textId="77777777" w:rsidR="00D2059E" w:rsidRPr="00CB2958" w:rsidRDefault="00D2059E" w:rsidP="00D2059E">
            <w:pPr>
              <w:jc w:val="center"/>
              <w:rPr>
                <w:color w:val="000000"/>
                <w:sz w:val="16"/>
                <w:szCs w:val="16"/>
                <w:lang w:eastAsia="es-MX"/>
              </w:rPr>
            </w:pPr>
            <w:r w:rsidRPr="00CB2958">
              <w:rPr>
                <w:sz w:val="16"/>
                <w:szCs w:val="16"/>
              </w:rPr>
              <w:t>117.9</w:t>
            </w:r>
          </w:p>
        </w:tc>
      </w:tr>
    </w:tbl>
    <w:p w14:paraId="2F97ADF3" w14:textId="77777777" w:rsidR="00C03447" w:rsidRPr="00D5238C" w:rsidRDefault="00C03447" w:rsidP="00AD330B">
      <w:pPr>
        <w:pStyle w:val="pie"/>
        <w:ind w:left="0" w:firstLine="0"/>
        <w:rPr>
          <w:lang w:val="es-MX"/>
        </w:rPr>
      </w:pPr>
      <w:r w:rsidRPr="003C00D4">
        <w:rPr>
          <w:lang w:val="es-MX"/>
        </w:rPr>
        <w:t>*</w:t>
      </w:r>
      <w:r w:rsidRPr="00A0708B">
        <w:rPr>
          <w:lang w:val="es-MX"/>
        </w:rPr>
        <w:t>Se considera como valor observado de acuerdo con la variación % real respecto al mismo mes del año anterior del índice de producción industrial.</w:t>
      </w:r>
    </w:p>
    <w:p w14:paraId="68F90510" w14:textId="77777777" w:rsidR="00C03447" w:rsidRPr="00D5238C" w:rsidRDefault="00C03447" w:rsidP="00C03447">
      <w:pPr>
        <w:pStyle w:val="pie"/>
        <w:rPr>
          <w:lang w:val="es-MX"/>
        </w:rPr>
      </w:pPr>
      <w:r w:rsidRPr="00D5238C">
        <w:rPr>
          <w:lang w:val="es-MX"/>
        </w:rPr>
        <w:t>Nota: Intervalos de confianza al 95</w:t>
      </w:r>
      <w:r>
        <w:rPr>
          <w:lang w:val="es-MX"/>
        </w:rPr>
        <w:t xml:space="preserve"> por ciento</w:t>
      </w:r>
      <w:r w:rsidRPr="00D5238C">
        <w:rPr>
          <w:lang w:val="es-MX"/>
        </w:rPr>
        <w:t>.</w:t>
      </w:r>
    </w:p>
    <w:p w14:paraId="34442316" w14:textId="77777777" w:rsidR="00C03447" w:rsidRPr="00D5238C" w:rsidRDefault="00C03447" w:rsidP="00C03447">
      <w:pPr>
        <w:pStyle w:val="pie"/>
        <w:rPr>
          <w:lang w:val="es-MX"/>
        </w:rPr>
      </w:pPr>
      <w:r w:rsidRPr="00D5238C">
        <w:rPr>
          <w:lang w:val="es-MX"/>
        </w:rPr>
        <w:t>Fuente: INEGI.</w:t>
      </w:r>
    </w:p>
    <w:p w14:paraId="74312DAE" w14:textId="77777777" w:rsidR="004B19FD" w:rsidRDefault="004B19FD" w:rsidP="00911985">
      <w:pPr>
        <w:rPr>
          <w:lang w:val="es-MX"/>
        </w:rPr>
      </w:pPr>
    </w:p>
    <w:p w14:paraId="417E18BE" w14:textId="5D305F41" w:rsidR="00911985" w:rsidRDefault="00911985" w:rsidP="004B19FD">
      <w:pPr>
        <w:spacing w:before="120"/>
        <w:rPr>
          <w:lang w:val="es-MX"/>
        </w:rPr>
      </w:pPr>
      <w:r>
        <w:rPr>
          <w:lang w:val="es-MX"/>
        </w:rPr>
        <w:t xml:space="preserve">Las </w:t>
      </w:r>
      <w:r w:rsidR="00AD330B">
        <w:rPr>
          <w:lang w:val="es-MX"/>
        </w:rPr>
        <w:t>g</w:t>
      </w:r>
      <w:r>
        <w:rPr>
          <w:lang w:val="es-MX"/>
        </w:rPr>
        <w:t xml:space="preserve">ráficas </w:t>
      </w:r>
      <w:r w:rsidR="003C3215">
        <w:rPr>
          <w:lang w:val="es-MX"/>
        </w:rPr>
        <w:t>1 a 3</w:t>
      </w:r>
      <w:r>
        <w:rPr>
          <w:lang w:val="es-MX"/>
        </w:rPr>
        <w:t xml:space="preserve"> muestran los resultados obtenidos a través del IOAE para el IGAE, las actividades secundarias y las actividades terciarias</w:t>
      </w:r>
      <w:r w:rsidR="003C3215">
        <w:rPr>
          <w:lang w:val="es-MX"/>
        </w:rPr>
        <w:t>, respectivamente</w:t>
      </w:r>
      <w:r>
        <w:rPr>
          <w:lang w:val="es-MX"/>
        </w:rPr>
        <w:t xml:space="preserve">.  En cada caso, la línea azul representa la variación porcentual anual de la serie de interés, la línea negra punteada se refiere al ajuste obtenido por el modelo de estimación, la línea roja muestra los </w:t>
      </w:r>
      <w:proofErr w:type="spellStart"/>
      <w:r>
        <w:rPr>
          <w:i/>
          <w:lang w:val="es-MX"/>
        </w:rPr>
        <w:t>nowcasts</w:t>
      </w:r>
      <w:proofErr w:type="spellEnd"/>
      <w:r w:rsidR="0098385E">
        <w:rPr>
          <w:rStyle w:val="Refdenotaalpie"/>
          <w:i/>
          <w:lang w:val="es-MX"/>
        </w:rPr>
        <w:footnoteReference w:id="1"/>
      </w:r>
      <w:r>
        <w:rPr>
          <w:lang w:val="es-MX"/>
        </w:rPr>
        <w:t xml:space="preserve"> de</w:t>
      </w:r>
      <w:r w:rsidR="00FB7F29">
        <w:rPr>
          <w:lang w:val="es-MX"/>
        </w:rPr>
        <w:t xml:space="preserve"> </w:t>
      </w:r>
      <w:r w:rsidR="00FB7F29" w:rsidRPr="00CB2958">
        <w:rPr>
          <w:lang w:val="es-MX"/>
        </w:rPr>
        <w:t xml:space="preserve">mayo </w:t>
      </w:r>
      <w:r w:rsidR="00600A23" w:rsidRPr="00CB2958">
        <w:rPr>
          <w:lang w:val="es-MX"/>
        </w:rPr>
        <w:t xml:space="preserve">y </w:t>
      </w:r>
      <w:r w:rsidR="00FB7F29" w:rsidRPr="00CB2958">
        <w:rPr>
          <w:lang w:val="es-MX"/>
        </w:rPr>
        <w:t>junio</w:t>
      </w:r>
      <w:r w:rsidR="00600A23" w:rsidRPr="00CB2958">
        <w:rPr>
          <w:lang w:val="es-MX"/>
        </w:rPr>
        <w:t xml:space="preserve"> </w:t>
      </w:r>
      <w:r w:rsidR="00AD330B">
        <w:rPr>
          <w:lang w:val="es-MX"/>
        </w:rPr>
        <w:t xml:space="preserve">de </w:t>
      </w:r>
      <w:r w:rsidR="00600A23" w:rsidRPr="00CB2958">
        <w:rPr>
          <w:lang w:val="es-MX"/>
        </w:rPr>
        <w:t>2020-2021</w:t>
      </w:r>
      <w:r w:rsidR="00B456F7" w:rsidRPr="00DA7E1B">
        <w:rPr>
          <w:rStyle w:val="Refdenotaalpie"/>
          <w:lang w:val="es-MX"/>
        </w:rPr>
        <w:footnoteReference w:id="2"/>
      </w:r>
      <w:r w:rsidR="004B19FD">
        <w:rPr>
          <w:lang w:val="es-MX"/>
        </w:rPr>
        <w:t xml:space="preserve">. </w:t>
      </w:r>
      <w:r w:rsidR="00B456F7">
        <w:rPr>
          <w:lang w:val="es-MX"/>
        </w:rPr>
        <w:t>F</w:t>
      </w:r>
      <w:r>
        <w:rPr>
          <w:lang w:val="es-MX"/>
        </w:rPr>
        <w:t>inalmente, las líneas verdes punteadas, sus intervalos de confianza al 95 por ciento.</w:t>
      </w:r>
      <w:r w:rsidR="00F7366E">
        <w:rPr>
          <w:lang w:val="es-MX"/>
        </w:rPr>
        <w:t xml:space="preserve"> </w:t>
      </w:r>
    </w:p>
    <w:p w14:paraId="1D880CD0" w14:textId="77777777" w:rsidR="00F7366E" w:rsidRDefault="00F7366E" w:rsidP="00911985">
      <w:pPr>
        <w:rPr>
          <w:b/>
          <w:bCs/>
          <w:sz w:val="23"/>
          <w:szCs w:val="23"/>
          <w:lang w:val="es-MX"/>
        </w:rPr>
      </w:pPr>
    </w:p>
    <w:p w14:paraId="07604E99" w14:textId="77777777" w:rsidR="00911985" w:rsidRDefault="00911985" w:rsidP="00911985">
      <w:pPr>
        <w:rPr>
          <w:b/>
          <w:bCs/>
          <w:sz w:val="23"/>
          <w:szCs w:val="23"/>
        </w:rPr>
      </w:pPr>
    </w:p>
    <w:p w14:paraId="14B3FE8E" w14:textId="77777777" w:rsidR="00DC28CD" w:rsidRPr="004C6A26" w:rsidRDefault="00DC28CD" w:rsidP="00AD330B">
      <w:pPr>
        <w:pStyle w:val="Titcuadrograf"/>
        <w:ind w:left="0"/>
        <w:rPr>
          <w:b w:val="0"/>
          <w:smallCaps w:val="0"/>
          <w:sz w:val="20"/>
          <w:szCs w:val="20"/>
        </w:rPr>
      </w:pPr>
      <w:r w:rsidRPr="004C6A26">
        <w:rPr>
          <w:b w:val="0"/>
          <w:smallCaps w:val="0"/>
          <w:sz w:val="20"/>
          <w:szCs w:val="20"/>
        </w:rPr>
        <w:t>Gráfica 1</w:t>
      </w:r>
    </w:p>
    <w:p w14:paraId="58393F30" w14:textId="77777777" w:rsidR="00911985" w:rsidRPr="00E15E72" w:rsidRDefault="00911985" w:rsidP="00AD330B">
      <w:pPr>
        <w:pStyle w:val="Titcuadrograf"/>
        <w:ind w:left="0"/>
        <w:rPr>
          <w:sz w:val="22"/>
          <w:szCs w:val="22"/>
        </w:rPr>
      </w:pPr>
      <w:r w:rsidRPr="00E15E72">
        <w:rPr>
          <w:sz w:val="22"/>
          <w:szCs w:val="22"/>
        </w:rPr>
        <w:t xml:space="preserve">IOAE: </w:t>
      </w:r>
      <w:r w:rsidRPr="00E15E72">
        <w:rPr>
          <w:iCs/>
          <w:sz w:val="22"/>
          <w:szCs w:val="22"/>
        </w:rPr>
        <w:t>Nowcast</w:t>
      </w:r>
      <w:r w:rsidRPr="00E15E72">
        <w:rPr>
          <w:sz w:val="22"/>
          <w:szCs w:val="22"/>
        </w:rPr>
        <w:t xml:space="preserve"> del IGAE</w:t>
      </w:r>
    </w:p>
    <w:p w14:paraId="2739F7B8" w14:textId="77777777" w:rsidR="00911985" w:rsidRPr="00900B43" w:rsidRDefault="00DC28CD" w:rsidP="00AD330B">
      <w:pPr>
        <w:jc w:val="center"/>
        <w:rPr>
          <w:sz w:val="18"/>
          <w:szCs w:val="18"/>
        </w:rPr>
      </w:pPr>
      <w:r w:rsidRPr="00EA3186">
        <w:rPr>
          <w:sz w:val="18"/>
          <w:szCs w:val="18"/>
        </w:rPr>
        <w:t>(</w:t>
      </w:r>
      <w:r w:rsidR="00911985" w:rsidRPr="00EA3186">
        <w:rPr>
          <w:sz w:val="20"/>
          <w:szCs w:val="20"/>
        </w:rPr>
        <w:t xml:space="preserve">Variaciones porcentuales respecto </w:t>
      </w:r>
      <w:r w:rsidR="00443766">
        <w:rPr>
          <w:sz w:val="20"/>
          <w:szCs w:val="20"/>
        </w:rPr>
        <w:t>a</w:t>
      </w:r>
      <w:r w:rsidR="00911985" w:rsidRPr="00EA3186">
        <w:rPr>
          <w:sz w:val="20"/>
          <w:szCs w:val="20"/>
        </w:rPr>
        <w:t>l mismo mes del año anterior</w:t>
      </w:r>
      <w:r w:rsidRPr="00EA3186">
        <w:rPr>
          <w:sz w:val="20"/>
          <w:szCs w:val="20"/>
        </w:rPr>
        <w:t xml:space="preserve">. </w:t>
      </w:r>
      <w:r w:rsidR="00FB7F29" w:rsidRPr="00CB2958">
        <w:rPr>
          <w:sz w:val="20"/>
          <w:szCs w:val="20"/>
        </w:rPr>
        <w:t>Mayo</w:t>
      </w:r>
      <w:r w:rsidR="00B456F7" w:rsidRPr="00CB2958">
        <w:rPr>
          <w:sz w:val="20"/>
          <w:szCs w:val="20"/>
        </w:rPr>
        <w:t xml:space="preserve"> </w:t>
      </w:r>
      <w:r w:rsidR="006E6647" w:rsidRPr="00CB2958">
        <w:rPr>
          <w:sz w:val="20"/>
          <w:szCs w:val="20"/>
        </w:rPr>
        <w:t xml:space="preserve">y </w:t>
      </w:r>
      <w:r w:rsidR="00FB7F29" w:rsidRPr="00CB2958">
        <w:rPr>
          <w:sz w:val="20"/>
          <w:szCs w:val="20"/>
        </w:rPr>
        <w:t>junio</w:t>
      </w:r>
      <w:r w:rsidR="00FE559F" w:rsidRPr="00CB2958">
        <w:rPr>
          <w:sz w:val="20"/>
          <w:szCs w:val="20"/>
        </w:rPr>
        <w:t xml:space="preserve"> </w:t>
      </w:r>
      <w:r w:rsidRPr="00CB2958">
        <w:rPr>
          <w:sz w:val="20"/>
          <w:szCs w:val="20"/>
        </w:rPr>
        <w:t>de 202</w:t>
      </w:r>
      <w:r w:rsidR="00B456F7" w:rsidRPr="00CB2958">
        <w:rPr>
          <w:sz w:val="20"/>
          <w:szCs w:val="20"/>
        </w:rPr>
        <w:t>1</w:t>
      </w:r>
      <w:r w:rsidRPr="00EA3186">
        <w:rPr>
          <w:sz w:val="18"/>
          <w:szCs w:val="18"/>
        </w:rPr>
        <w:t>)</w:t>
      </w:r>
    </w:p>
    <w:p w14:paraId="75E11B2B" w14:textId="77777777" w:rsidR="00E56C07" w:rsidRDefault="00222FED" w:rsidP="004A0698">
      <w:pPr>
        <w:spacing w:after="240"/>
        <w:jc w:val="center"/>
        <w:rPr>
          <w:b/>
          <w:bCs/>
          <w:spacing w:val="10"/>
          <w:sz w:val="23"/>
          <w:szCs w:val="23"/>
          <w:lang w:val="es-MX"/>
        </w:rPr>
      </w:pPr>
      <w:r>
        <w:rPr>
          <w:noProof/>
        </w:rPr>
        <w:drawing>
          <wp:inline distT="0" distB="0" distL="0" distR="0" wp14:anchorId="77F2E8A0" wp14:editId="22EE65CB">
            <wp:extent cx="5972810" cy="3120390"/>
            <wp:effectExtent l="0" t="0" r="8890" b="3810"/>
            <wp:docPr id="7" name="Gráfico 7">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7DC2BD8" w14:textId="77777777" w:rsidR="00547906" w:rsidRDefault="00547906" w:rsidP="00E56C07">
      <w:pPr>
        <w:jc w:val="center"/>
        <w:rPr>
          <w:spacing w:val="10"/>
          <w:sz w:val="23"/>
          <w:szCs w:val="23"/>
          <w:lang w:val="es-MX"/>
        </w:rPr>
      </w:pPr>
      <w:r>
        <w:rPr>
          <w:b/>
          <w:bCs/>
          <w:spacing w:val="10"/>
          <w:sz w:val="23"/>
          <w:szCs w:val="23"/>
          <w:lang w:val="es-MX"/>
        </w:rPr>
        <w:br w:type="page"/>
      </w:r>
    </w:p>
    <w:p w14:paraId="348AD49D" w14:textId="77777777" w:rsidR="00911985" w:rsidRDefault="00911985" w:rsidP="00911985">
      <w:pPr>
        <w:rPr>
          <w:b/>
          <w:bCs/>
          <w:sz w:val="23"/>
          <w:szCs w:val="23"/>
          <w:lang w:val="es-MX"/>
        </w:rPr>
      </w:pPr>
    </w:p>
    <w:p w14:paraId="4D0B4807" w14:textId="77777777" w:rsidR="00DC28CD" w:rsidRPr="004C6A26" w:rsidRDefault="00DC28CD" w:rsidP="00AD330B">
      <w:pPr>
        <w:pStyle w:val="Titcuadrograf"/>
        <w:ind w:left="0"/>
        <w:rPr>
          <w:b w:val="0"/>
          <w:smallCaps w:val="0"/>
          <w:sz w:val="20"/>
          <w:szCs w:val="20"/>
        </w:rPr>
      </w:pPr>
      <w:r w:rsidRPr="004C6A26">
        <w:rPr>
          <w:b w:val="0"/>
          <w:smallCaps w:val="0"/>
          <w:sz w:val="20"/>
          <w:szCs w:val="20"/>
        </w:rPr>
        <w:t xml:space="preserve">Gráfica </w:t>
      </w:r>
      <w:r w:rsidR="004C6A26">
        <w:rPr>
          <w:b w:val="0"/>
          <w:smallCaps w:val="0"/>
          <w:sz w:val="20"/>
          <w:szCs w:val="20"/>
        </w:rPr>
        <w:t>2</w:t>
      </w:r>
    </w:p>
    <w:p w14:paraId="44D708D6" w14:textId="77777777" w:rsidR="004C6A26" w:rsidRPr="00E15E72" w:rsidRDefault="004C6A26" w:rsidP="00AD330B">
      <w:pPr>
        <w:pStyle w:val="Titcuadrograf"/>
        <w:ind w:left="0"/>
        <w:rPr>
          <w:sz w:val="22"/>
          <w:szCs w:val="22"/>
        </w:rPr>
      </w:pPr>
      <w:r w:rsidRPr="00E15E72">
        <w:rPr>
          <w:sz w:val="22"/>
          <w:szCs w:val="22"/>
        </w:rPr>
        <w:t xml:space="preserve">IOAE: </w:t>
      </w:r>
      <w:r w:rsidRPr="00E15E72">
        <w:rPr>
          <w:iCs/>
          <w:sz w:val="22"/>
          <w:szCs w:val="22"/>
        </w:rPr>
        <w:t xml:space="preserve">Nowcast </w:t>
      </w:r>
      <w:r w:rsidRPr="00E15E72">
        <w:rPr>
          <w:sz w:val="22"/>
          <w:szCs w:val="22"/>
        </w:rPr>
        <w:t xml:space="preserve">de las actividades secundarias </w:t>
      </w:r>
    </w:p>
    <w:p w14:paraId="087AE0D9" w14:textId="77777777" w:rsidR="004C6A26" w:rsidRPr="00547906" w:rsidRDefault="004C6A26" w:rsidP="00AD330B">
      <w:pPr>
        <w:jc w:val="center"/>
        <w:rPr>
          <w:sz w:val="18"/>
          <w:szCs w:val="18"/>
        </w:rPr>
      </w:pPr>
      <w:r w:rsidRPr="00EA3186">
        <w:rPr>
          <w:sz w:val="18"/>
          <w:szCs w:val="18"/>
        </w:rPr>
        <w:t>(</w:t>
      </w:r>
      <w:r w:rsidRPr="00EA3186">
        <w:rPr>
          <w:sz w:val="20"/>
          <w:szCs w:val="20"/>
        </w:rPr>
        <w:t xml:space="preserve">Variaciones porcentuales respecto </w:t>
      </w:r>
      <w:r w:rsidR="00443766">
        <w:rPr>
          <w:sz w:val="20"/>
          <w:szCs w:val="20"/>
        </w:rPr>
        <w:t>a</w:t>
      </w:r>
      <w:r w:rsidRPr="00EA3186">
        <w:rPr>
          <w:sz w:val="20"/>
          <w:szCs w:val="20"/>
        </w:rPr>
        <w:t>l mismo mes del año anterior.</w:t>
      </w:r>
      <w:r w:rsidR="0056557E">
        <w:rPr>
          <w:sz w:val="20"/>
          <w:szCs w:val="20"/>
        </w:rPr>
        <w:t xml:space="preserve"> </w:t>
      </w:r>
      <w:r w:rsidR="00FB7F29" w:rsidRPr="00CB2958">
        <w:rPr>
          <w:sz w:val="20"/>
          <w:szCs w:val="20"/>
        </w:rPr>
        <w:t>Junio</w:t>
      </w:r>
      <w:r w:rsidR="006E6647" w:rsidRPr="004B19FD">
        <w:rPr>
          <w:sz w:val="20"/>
          <w:szCs w:val="20"/>
        </w:rPr>
        <w:t xml:space="preserve"> </w:t>
      </w:r>
      <w:r w:rsidR="006E6647" w:rsidRPr="00223C81">
        <w:rPr>
          <w:sz w:val="20"/>
          <w:szCs w:val="20"/>
        </w:rPr>
        <w:t>de 202</w:t>
      </w:r>
      <w:r w:rsidR="00B456F7" w:rsidRPr="00223C81">
        <w:rPr>
          <w:sz w:val="20"/>
          <w:szCs w:val="20"/>
        </w:rPr>
        <w:t>1</w:t>
      </w:r>
      <w:r w:rsidRPr="00EA3186">
        <w:rPr>
          <w:sz w:val="18"/>
          <w:szCs w:val="18"/>
        </w:rPr>
        <w:t>)</w:t>
      </w:r>
    </w:p>
    <w:p w14:paraId="6D1095E8" w14:textId="222CB5DF" w:rsidR="00911985" w:rsidRDefault="00A0708B" w:rsidP="004A0698">
      <w:pPr>
        <w:spacing w:after="240"/>
        <w:jc w:val="center"/>
        <w:rPr>
          <w:b/>
          <w:bCs/>
          <w:sz w:val="23"/>
          <w:szCs w:val="23"/>
        </w:rPr>
      </w:pPr>
      <w:r>
        <w:rPr>
          <w:noProof/>
        </w:rPr>
        <w:drawing>
          <wp:inline distT="0" distB="0" distL="0" distR="0" wp14:anchorId="2849DE4A" wp14:editId="274468FC">
            <wp:extent cx="5972810" cy="2880360"/>
            <wp:effectExtent l="0" t="0" r="8890" b="15240"/>
            <wp:docPr id="2" name="Gráfico 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053E483" w14:textId="77777777" w:rsidR="00911985" w:rsidRDefault="00911985" w:rsidP="00911985">
      <w:pPr>
        <w:ind w:left="-567"/>
        <w:jc w:val="center"/>
        <w:rPr>
          <w:b/>
          <w:bCs/>
          <w:sz w:val="23"/>
          <w:szCs w:val="23"/>
        </w:rPr>
      </w:pPr>
    </w:p>
    <w:p w14:paraId="1D72398D" w14:textId="77777777" w:rsidR="004C6A26" w:rsidRPr="004C6A26" w:rsidRDefault="004C6A26" w:rsidP="00AD330B">
      <w:pPr>
        <w:pStyle w:val="Titcuadrograf"/>
        <w:ind w:left="0"/>
        <w:rPr>
          <w:b w:val="0"/>
          <w:smallCaps w:val="0"/>
          <w:sz w:val="20"/>
          <w:szCs w:val="20"/>
        </w:rPr>
      </w:pPr>
      <w:r w:rsidRPr="004C6A26">
        <w:rPr>
          <w:b w:val="0"/>
          <w:smallCaps w:val="0"/>
          <w:sz w:val="20"/>
          <w:szCs w:val="20"/>
        </w:rPr>
        <w:t xml:space="preserve">Gráfica </w:t>
      </w:r>
      <w:r>
        <w:rPr>
          <w:b w:val="0"/>
          <w:smallCaps w:val="0"/>
          <w:sz w:val="20"/>
          <w:szCs w:val="20"/>
        </w:rPr>
        <w:t>3</w:t>
      </w:r>
    </w:p>
    <w:p w14:paraId="4216A665" w14:textId="77777777" w:rsidR="00911985" w:rsidRPr="008B2AA1" w:rsidRDefault="00911985" w:rsidP="00AD330B">
      <w:pPr>
        <w:jc w:val="center"/>
        <w:rPr>
          <w:b/>
          <w:bCs/>
          <w:sz w:val="22"/>
          <w:szCs w:val="22"/>
        </w:rPr>
      </w:pPr>
      <w:r w:rsidRPr="008B2AA1">
        <w:rPr>
          <w:rStyle w:val="TitcuadrografCar"/>
          <w:color w:val="auto"/>
          <w:spacing w:val="0"/>
          <w:sz w:val="22"/>
          <w:szCs w:val="22"/>
        </w:rPr>
        <w:t xml:space="preserve">IOAE: Nowcast de las </w:t>
      </w:r>
      <w:r w:rsidR="004C6A26" w:rsidRPr="008B2AA1">
        <w:rPr>
          <w:rStyle w:val="TitcuadrografCar"/>
          <w:color w:val="auto"/>
          <w:spacing w:val="0"/>
          <w:sz w:val="22"/>
          <w:szCs w:val="22"/>
        </w:rPr>
        <w:t>actividades terciarias</w:t>
      </w:r>
      <w:r w:rsidR="004C6A26" w:rsidRPr="008B2AA1">
        <w:rPr>
          <w:b/>
          <w:bCs/>
          <w:sz w:val="22"/>
          <w:szCs w:val="22"/>
        </w:rPr>
        <w:t xml:space="preserve"> </w:t>
      </w:r>
    </w:p>
    <w:p w14:paraId="79FA582A" w14:textId="77777777" w:rsidR="004C6A26" w:rsidRPr="00AE2968" w:rsidRDefault="004C6A26" w:rsidP="00AD330B">
      <w:pPr>
        <w:jc w:val="center"/>
        <w:rPr>
          <w:sz w:val="20"/>
          <w:szCs w:val="20"/>
        </w:rPr>
      </w:pPr>
      <w:r w:rsidRPr="00EA3186">
        <w:rPr>
          <w:sz w:val="20"/>
          <w:szCs w:val="20"/>
        </w:rPr>
        <w:t xml:space="preserve">(Variaciones porcentuales respecto </w:t>
      </w:r>
      <w:r w:rsidR="00443766">
        <w:rPr>
          <w:sz w:val="20"/>
          <w:szCs w:val="20"/>
        </w:rPr>
        <w:t>a</w:t>
      </w:r>
      <w:r w:rsidRPr="00EA3186">
        <w:rPr>
          <w:sz w:val="20"/>
          <w:szCs w:val="20"/>
        </w:rPr>
        <w:t xml:space="preserve">l mismo mes del año anterior. </w:t>
      </w:r>
      <w:r w:rsidR="00FB7F29" w:rsidRPr="00CB2958">
        <w:rPr>
          <w:sz w:val="20"/>
          <w:szCs w:val="20"/>
        </w:rPr>
        <w:t>Mayo</w:t>
      </w:r>
      <w:r w:rsidR="006E6647" w:rsidRPr="00CB2958">
        <w:rPr>
          <w:sz w:val="20"/>
          <w:szCs w:val="20"/>
        </w:rPr>
        <w:t xml:space="preserve"> </w:t>
      </w:r>
      <w:r w:rsidR="00B456F7" w:rsidRPr="00CB2958">
        <w:rPr>
          <w:sz w:val="20"/>
          <w:szCs w:val="20"/>
        </w:rPr>
        <w:t xml:space="preserve">y </w:t>
      </w:r>
      <w:r w:rsidR="00FB7F29" w:rsidRPr="00CB2958">
        <w:rPr>
          <w:sz w:val="20"/>
          <w:szCs w:val="20"/>
        </w:rPr>
        <w:t>junio</w:t>
      </w:r>
      <w:r w:rsidR="00B456F7" w:rsidRPr="00CB2958">
        <w:rPr>
          <w:sz w:val="20"/>
          <w:szCs w:val="20"/>
        </w:rPr>
        <w:t xml:space="preserve"> </w:t>
      </w:r>
      <w:r w:rsidR="00B456F7" w:rsidRPr="00223C81">
        <w:rPr>
          <w:sz w:val="20"/>
          <w:szCs w:val="20"/>
        </w:rPr>
        <w:t>de 2021</w:t>
      </w:r>
      <w:r w:rsidRPr="00EA3186">
        <w:rPr>
          <w:sz w:val="20"/>
          <w:szCs w:val="20"/>
        </w:rPr>
        <w:t>)</w:t>
      </w:r>
    </w:p>
    <w:p w14:paraId="14153D8B" w14:textId="77777777" w:rsidR="00911985" w:rsidRDefault="00222FED" w:rsidP="004A0698">
      <w:pPr>
        <w:pStyle w:val="Subttulo"/>
        <w:spacing w:after="240"/>
        <w:ind w:left="-567" w:right="-518"/>
        <w:rPr>
          <w:b w:val="0"/>
          <w:bCs w:val="0"/>
          <w:spacing w:val="10"/>
          <w:sz w:val="23"/>
          <w:szCs w:val="23"/>
          <w:lang w:val="es-MX"/>
        </w:rPr>
      </w:pPr>
      <w:r>
        <w:rPr>
          <w:noProof/>
        </w:rPr>
        <w:drawing>
          <wp:inline distT="0" distB="0" distL="0" distR="0" wp14:anchorId="22656A34" wp14:editId="0980ABDF">
            <wp:extent cx="5972810" cy="3121025"/>
            <wp:effectExtent l="0" t="0" r="8890" b="3175"/>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DE6C1C2" w14:textId="77777777" w:rsidR="003C3215" w:rsidRDefault="003C3215" w:rsidP="004A0698">
      <w:pPr>
        <w:pStyle w:val="Subttulo"/>
        <w:spacing w:after="240"/>
        <w:ind w:left="-567" w:right="-518"/>
        <w:rPr>
          <w:b w:val="0"/>
          <w:bCs w:val="0"/>
          <w:spacing w:val="10"/>
          <w:sz w:val="23"/>
          <w:szCs w:val="23"/>
          <w:lang w:val="es-MX"/>
        </w:rPr>
      </w:pPr>
    </w:p>
    <w:p w14:paraId="68A3F528" w14:textId="09B16342" w:rsidR="00A24200" w:rsidRDefault="003C3215" w:rsidP="00801AE1">
      <w:pPr>
        <w:rPr>
          <w:lang w:val="es-MX"/>
        </w:rPr>
      </w:pPr>
      <w:r w:rsidRPr="00CB2958">
        <w:rPr>
          <w:lang w:val="es-MX"/>
        </w:rPr>
        <w:lastRenderedPageBreak/>
        <w:t xml:space="preserve">Las </w:t>
      </w:r>
      <w:r w:rsidR="008B2AA1">
        <w:rPr>
          <w:lang w:val="es-MX"/>
        </w:rPr>
        <w:t>g</w:t>
      </w:r>
      <w:r w:rsidRPr="00CB2958">
        <w:rPr>
          <w:lang w:val="es-MX"/>
        </w:rPr>
        <w:t>ráficas 4 y 5 muestran los resultados obtenidos a través del IOAE para el IGAE</w:t>
      </w:r>
      <w:r w:rsidR="00801AE1" w:rsidRPr="00CB2958">
        <w:rPr>
          <w:lang w:val="es-MX"/>
        </w:rPr>
        <w:t>,</w:t>
      </w:r>
      <w:r w:rsidRPr="00CB2958">
        <w:rPr>
          <w:lang w:val="es-MX"/>
        </w:rPr>
        <w:t xml:space="preserve"> </w:t>
      </w:r>
      <w:r w:rsidR="00A24200" w:rsidRPr="00CB2958">
        <w:rPr>
          <w:lang w:val="es-MX"/>
        </w:rPr>
        <w:t>tanto</w:t>
      </w:r>
      <w:r w:rsidR="00C03447" w:rsidRPr="00CB2958">
        <w:rPr>
          <w:lang w:val="es-MX"/>
        </w:rPr>
        <w:t xml:space="preserve"> </w:t>
      </w:r>
      <w:r w:rsidR="00FE7344" w:rsidRPr="00CB2958">
        <w:rPr>
          <w:lang w:val="es-MX"/>
        </w:rPr>
        <w:t>para</w:t>
      </w:r>
      <w:r w:rsidR="00A24200" w:rsidRPr="00CB2958">
        <w:rPr>
          <w:lang w:val="es-MX"/>
        </w:rPr>
        <w:t xml:space="preserve"> su variación porcentual </w:t>
      </w:r>
      <w:r w:rsidR="00FE7344" w:rsidRPr="00CB2958">
        <w:rPr>
          <w:lang w:val="es-MX"/>
        </w:rPr>
        <w:t>real respecto al mes anterior</w:t>
      </w:r>
      <w:r w:rsidR="00C03447" w:rsidRPr="00CB2958">
        <w:rPr>
          <w:lang w:val="es-MX"/>
        </w:rPr>
        <w:t xml:space="preserve"> y</w:t>
      </w:r>
      <w:r w:rsidR="00FE7344" w:rsidRPr="00CB2958">
        <w:rPr>
          <w:lang w:val="es-MX"/>
        </w:rPr>
        <w:t xml:space="preserve"> </w:t>
      </w:r>
      <w:r w:rsidR="00C03447" w:rsidRPr="00CB2958">
        <w:rPr>
          <w:lang w:val="es-MX"/>
        </w:rPr>
        <w:t>para el índice (base 2013 = 100)</w:t>
      </w:r>
      <w:r w:rsidR="008B2AA1">
        <w:rPr>
          <w:lang w:val="es-MX"/>
        </w:rPr>
        <w:t xml:space="preserve">, </w:t>
      </w:r>
      <w:r w:rsidR="00FE7344" w:rsidRPr="00CB2958">
        <w:rPr>
          <w:lang w:val="es-MX"/>
        </w:rPr>
        <w:t>respectivamente</w:t>
      </w:r>
      <w:r w:rsidRPr="00CB2958">
        <w:rPr>
          <w:lang w:val="es-MX"/>
        </w:rPr>
        <w:t xml:space="preserve">.  En cada caso, la línea azul representa </w:t>
      </w:r>
      <w:r w:rsidR="00DF1795" w:rsidRPr="00CB2958">
        <w:rPr>
          <w:lang w:val="es-MX"/>
        </w:rPr>
        <w:t>el valor observado,</w:t>
      </w:r>
      <w:r w:rsidRPr="00CB2958">
        <w:rPr>
          <w:lang w:val="es-MX"/>
        </w:rPr>
        <w:t xml:space="preserve"> la línea negra punteada se refiere al ajuste obtenido por el modelo de estimación</w:t>
      </w:r>
      <w:r w:rsidR="00FE7344" w:rsidRPr="00CB2958">
        <w:rPr>
          <w:lang w:val="es-MX"/>
        </w:rPr>
        <w:t xml:space="preserve"> y</w:t>
      </w:r>
      <w:r w:rsidRPr="00CB2958">
        <w:rPr>
          <w:lang w:val="es-MX"/>
        </w:rPr>
        <w:t xml:space="preserve"> la línea roja muestra los </w:t>
      </w:r>
      <w:proofErr w:type="spellStart"/>
      <w:r w:rsidRPr="00CB2958">
        <w:rPr>
          <w:i/>
          <w:lang w:val="es-MX"/>
        </w:rPr>
        <w:t>nowcasts</w:t>
      </w:r>
      <w:proofErr w:type="spellEnd"/>
      <w:r w:rsidR="00DF1795" w:rsidRPr="00CB2958">
        <w:rPr>
          <w:i/>
          <w:lang w:val="es-MX"/>
        </w:rPr>
        <w:t xml:space="preserve"> </w:t>
      </w:r>
      <w:r w:rsidRPr="00CB2958">
        <w:rPr>
          <w:lang w:val="es-MX"/>
        </w:rPr>
        <w:t xml:space="preserve">de </w:t>
      </w:r>
      <w:r w:rsidR="00FB7F29" w:rsidRPr="00CB2958">
        <w:rPr>
          <w:lang w:val="es-MX"/>
        </w:rPr>
        <w:t>mayo</w:t>
      </w:r>
      <w:r w:rsidRPr="00CB2958">
        <w:rPr>
          <w:lang w:val="es-MX"/>
        </w:rPr>
        <w:t xml:space="preserve"> y </w:t>
      </w:r>
      <w:r w:rsidR="00FB7F29" w:rsidRPr="00CB2958">
        <w:rPr>
          <w:lang w:val="es-MX"/>
        </w:rPr>
        <w:t>junio</w:t>
      </w:r>
      <w:r w:rsidRPr="00CB2958">
        <w:rPr>
          <w:lang w:val="es-MX"/>
        </w:rPr>
        <w:t xml:space="preserve"> </w:t>
      </w:r>
      <w:r w:rsidR="008B2AA1">
        <w:rPr>
          <w:lang w:val="es-MX"/>
        </w:rPr>
        <w:t xml:space="preserve">de </w:t>
      </w:r>
      <w:r w:rsidRPr="00CB2958">
        <w:rPr>
          <w:lang w:val="es-MX"/>
        </w:rPr>
        <w:t>2020-2021. Finalmente, las líneas verdes punteadas, sus intervalos de confianza al 95 por ciento.</w:t>
      </w:r>
      <w:r>
        <w:rPr>
          <w:lang w:val="es-MX"/>
        </w:rPr>
        <w:t xml:space="preserve"> </w:t>
      </w:r>
    </w:p>
    <w:p w14:paraId="7500FCE2" w14:textId="77777777" w:rsidR="00801AE1" w:rsidRPr="00801AE1" w:rsidRDefault="00801AE1" w:rsidP="00801AE1">
      <w:pPr>
        <w:rPr>
          <w:lang w:val="es-MX"/>
        </w:rPr>
      </w:pPr>
    </w:p>
    <w:p w14:paraId="41F265E2" w14:textId="77777777" w:rsidR="003C3215" w:rsidRPr="004C6A26" w:rsidRDefault="003C3215" w:rsidP="008B2AA1">
      <w:pPr>
        <w:pStyle w:val="Titcuadrograf"/>
        <w:ind w:left="0"/>
        <w:rPr>
          <w:b w:val="0"/>
          <w:smallCaps w:val="0"/>
          <w:sz w:val="20"/>
          <w:szCs w:val="20"/>
        </w:rPr>
      </w:pPr>
      <w:r w:rsidRPr="004C6A26">
        <w:rPr>
          <w:b w:val="0"/>
          <w:smallCaps w:val="0"/>
          <w:sz w:val="20"/>
          <w:szCs w:val="20"/>
        </w:rPr>
        <w:t xml:space="preserve">Gráfica </w:t>
      </w:r>
      <w:r w:rsidR="00801AE1">
        <w:rPr>
          <w:b w:val="0"/>
          <w:smallCaps w:val="0"/>
          <w:sz w:val="20"/>
          <w:szCs w:val="20"/>
        </w:rPr>
        <w:t>4</w:t>
      </w:r>
    </w:p>
    <w:p w14:paraId="0B3B6BA4" w14:textId="77777777" w:rsidR="003C3215" w:rsidRPr="00E15E72" w:rsidRDefault="003C3215" w:rsidP="008B2AA1">
      <w:pPr>
        <w:pStyle w:val="Titcuadrograf"/>
        <w:ind w:left="0"/>
        <w:rPr>
          <w:sz w:val="22"/>
          <w:szCs w:val="22"/>
        </w:rPr>
      </w:pPr>
      <w:r w:rsidRPr="00E15E72">
        <w:rPr>
          <w:sz w:val="22"/>
          <w:szCs w:val="22"/>
        </w:rPr>
        <w:t xml:space="preserve">IOAE: </w:t>
      </w:r>
      <w:r w:rsidRPr="00E15E72">
        <w:rPr>
          <w:iCs/>
          <w:sz w:val="22"/>
          <w:szCs w:val="22"/>
        </w:rPr>
        <w:t>Nowcast</w:t>
      </w:r>
      <w:r w:rsidRPr="00E15E72">
        <w:rPr>
          <w:sz w:val="22"/>
          <w:szCs w:val="22"/>
        </w:rPr>
        <w:t xml:space="preserve"> del IGAE</w:t>
      </w:r>
    </w:p>
    <w:p w14:paraId="019D3292" w14:textId="6B031885" w:rsidR="003C3215" w:rsidRPr="00FE7344" w:rsidRDefault="003C3215" w:rsidP="008B2AA1">
      <w:pPr>
        <w:jc w:val="center"/>
        <w:rPr>
          <w:sz w:val="20"/>
          <w:szCs w:val="20"/>
        </w:rPr>
      </w:pPr>
      <w:r w:rsidRPr="00EA3186">
        <w:rPr>
          <w:sz w:val="20"/>
          <w:szCs w:val="20"/>
        </w:rPr>
        <w:t>(</w:t>
      </w:r>
      <w:r w:rsidR="00FE7344" w:rsidRPr="00FE7344">
        <w:rPr>
          <w:sz w:val="20"/>
          <w:szCs w:val="20"/>
        </w:rPr>
        <w:t xml:space="preserve">Variación </w:t>
      </w:r>
      <w:r w:rsidR="00C37C02">
        <w:rPr>
          <w:sz w:val="20"/>
          <w:szCs w:val="20"/>
        </w:rPr>
        <w:t>porcentual</w:t>
      </w:r>
      <w:r w:rsidR="00FE7344" w:rsidRPr="00FE7344">
        <w:rPr>
          <w:sz w:val="20"/>
          <w:szCs w:val="20"/>
        </w:rPr>
        <w:t xml:space="preserve"> real respecto al mes anterior</w:t>
      </w:r>
      <w:r w:rsidR="00FE7344">
        <w:rPr>
          <w:sz w:val="20"/>
          <w:szCs w:val="20"/>
        </w:rPr>
        <w:t xml:space="preserve">. </w:t>
      </w:r>
      <w:r w:rsidR="00FB7F29" w:rsidRPr="00CB2958">
        <w:rPr>
          <w:sz w:val="20"/>
          <w:szCs w:val="20"/>
        </w:rPr>
        <w:t>Mayo</w:t>
      </w:r>
      <w:r w:rsidRPr="00CB2958">
        <w:rPr>
          <w:sz w:val="20"/>
          <w:szCs w:val="20"/>
        </w:rPr>
        <w:t xml:space="preserve"> y </w:t>
      </w:r>
      <w:r w:rsidR="00FB7F29" w:rsidRPr="00CB2958">
        <w:rPr>
          <w:sz w:val="20"/>
          <w:szCs w:val="20"/>
        </w:rPr>
        <w:t>junio</w:t>
      </w:r>
      <w:r w:rsidRPr="002A311E">
        <w:rPr>
          <w:sz w:val="20"/>
          <w:szCs w:val="20"/>
        </w:rPr>
        <w:t xml:space="preserve"> </w:t>
      </w:r>
      <w:r w:rsidRPr="00223C81">
        <w:rPr>
          <w:sz w:val="20"/>
          <w:szCs w:val="20"/>
        </w:rPr>
        <w:t>de 2021</w:t>
      </w:r>
      <w:r w:rsidRPr="00EA3186">
        <w:rPr>
          <w:sz w:val="20"/>
          <w:szCs w:val="20"/>
        </w:rPr>
        <w:t>)</w:t>
      </w:r>
    </w:p>
    <w:p w14:paraId="39B0D79C" w14:textId="77777777" w:rsidR="003C3215" w:rsidRDefault="007D338B" w:rsidP="004C6A26">
      <w:pPr>
        <w:pStyle w:val="Subttulo"/>
        <w:ind w:right="-518"/>
        <w:jc w:val="both"/>
        <w:rPr>
          <w:bCs w:val="0"/>
          <w:i/>
          <w:iCs/>
          <w:spacing w:val="10"/>
        </w:rPr>
      </w:pPr>
      <w:r w:rsidRPr="00A0708B">
        <w:rPr>
          <w:noProof/>
          <w:bdr w:val="single" w:sz="2" w:space="0" w:color="auto"/>
        </w:rPr>
        <w:drawing>
          <wp:inline distT="0" distB="0" distL="0" distR="0" wp14:anchorId="74AF95F8" wp14:editId="0BC0C981">
            <wp:extent cx="5972810" cy="3120390"/>
            <wp:effectExtent l="0" t="0" r="8890" b="3810"/>
            <wp:docPr id="3" name="Gráfico 3">
              <a:extLst xmlns:a="http://schemas.openxmlformats.org/drawingml/2006/main">
                <a:ext uri="{FF2B5EF4-FFF2-40B4-BE49-F238E27FC236}">
                  <a16:creationId xmlns:a16="http://schemas.microsoft.com/office/drawing/2014/main" id="{B63048FD-F98E-4362-9527-EF864DC708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04C473B" w14:textId="77777777" w:rsidR="003C3215" w:rsidRDefault="003C3215" w:rsidP="003C3215">
      <w:pPr>
        <w:pStyle w:val="Titcuadrograf"/>
        <w:rPr>
          <w:b w:val="0"/>
          <w:smallCaps w:val="0"/>
          <w:sz w:val="20"/>
          <w:szCs w:val="20"/>
        </w:rPr>
      </w:pPr>
    </w:p>
    <w:p w14:paraId="19558EEF" w14:textId="77777777" w:rsidR="003C3215" w:rsidRDefault="003C3215" w:rsidP="003C3215">
      <w:pPr>
        <w:pStyle w:val="Titcuadrograf"/>
        <w:rPr>
          <w:b w:val="0"/>
          <w:smallCaps w:val="0"/>
          <w:sz w:val="20"/>
          <w:szCs w:val="20"/>
        </w:rPr>
      </w:pPr>
    </w:p>
    <w:p w14:paraId="02591AE7" w14:textId="77777777" w:rsidR="003C3215" w:rsidRDefault="003C3215" w:rsidP="00801AE1">
      <w:pPr>
        <w:pStyle w:val="Titcuadrograf"/>
        <w:ind w:left="0"/>
        <w:jc w:val="both"/>
        <w:rPr>
          <w:b w:val="0"/>
          <w:smallCaps w:val="0"/>
          <w:sz w:val="20"/>
          <w:szCs w:val="20"/>
        </w:rPr>
      </w:pPr>
    </w:p>
    <w:p w14:paraId="2F69CC9C" w14:textId="77777777" w:rsidR="00801AE1" w:rsidRDefault="00801AE1" w:rsidP="00801AE1">
      <w:pPr>
        <w:pStyle w:val="Titcuadrograf"/>
        <w:ind w:left="0"/>
        <w:jc w:val="both"/>
        <w:rPr>
          <w:b w:val="0"/>
          <w:smallCaps w:val="0"/>
          <w:sz w:val="20"/>
          <w:szCs w:val="20"/>
        </w:rPr>
      </w:pPr>
    </w:p>
    <w:p w14:paraId="08DB5B76" w14:textId="77777777" w:rsidR="00801AE1" w:rsidRDefault="00801AE1" w:rsidP="00801AE1">
      <w:pPr>
        <w:pStyle w:val="Titcuadrograf"/>
        <w:ind w:left="0"/>
        <w:jc w:val="both"/>
        <w:rPr>
          <w:b w:val="0"/>
          <w:smallCaps w:val="0"/>
          <w:sz w:val="20"/>
          <w:szCs w:val="20"/>
        </w:rPr>
      </w:pPr>
    </w:p>
    <w:p w14:paraId="62507FBA" w14:textId="77777777" w:rsidR="00801AE1" w:rsidRDefault="00801AE1" w:rsidP="00801AE1">
      <w:pPr>
        <w:pStyle w:val="Titcuadrograf"/>
        <w:ind w:left="0"/>
        <w:jc w:val="both"/>
        <w:rPr>
          <w:b w:val="0"/>
          <w:smallCaps w:val="0"/>
          <w:sz w:val="20"/>
          <w:szCs w:val="20"/>
        </w:rPr>
      </w:pPr>
    </w:p>
    <w:p w14:paraId="4540F5CF" w14:textId="77777777" w:rsidR="00801AE1" w:rsidRDefault="00801AE1" w:rsidP="00801AE1">
      <w:pPr>
        <w:pStyle w:val="Titcuadrograf"/>
        <w:ind w:left="0"/>
        <w:jc w:val="both"/>
        <w:rPr>
          <w:b w:val="0"/>
          <w:smallCaps w:val="0"/>
          <w:sz w:val="20"/>
          <w:szCs w:val="20"/>
        </w:rPr>
      </w:pPr>
    </w:p>
    <w:p w14:paraId="6822EDF9" w14:textId="77777777" w:rsidR="00801AE1" w:rsidRDefault="00801AE1" w:rsidP="00801AE1">
      <w:pPr>
        <w:pStyle w:val="Titcuadrograf"/>
        <w:ind w:left="0"/>
        <w:jc w:val="both"/>
        <w:rPr>
          <w:b w:val="0"/>
          <w:smallCaps w:val="0"/>
          <w:sz w:val="20"/>
          <w:szCs w:val="20"/>
        </w:rPr>
      </w:pPr>
    </w:p>
    <w:p w14:paraId="1F105941" w14:textId="77777777" w:rsidR="00801AE1" w:rsidRDefault="00801AE1" w:rsidP="00801AE1">
      <w:pPr>
        <w:pStyle w:val="Titcuadrograf"/>
        <w:ind w:left="0"/>
        <w:jc w:val="both"/>
        <w:rPr>
          <w:b w:val="0"/>
          <w:smallCaps w:val="0"/>
          <w:sz w:val="20"/>
          <w:szCs w:val="20"/>
        </w:rPr>
      </w:pPr>
    </w:p>
    <w:p w14:paraId="513CC663" w14:textId="77777777" w:rsidR="00801AE1" w:rsidRDefault="00801AE1" w:rsidP="00801AE1">
      <w:pPr>
        <w:pStyle w:val="Titcuadrograf"/>
        <w:ind w:left="0"/>
        <w:jc w:val="both"/>
        <w:rPr>
          <w:b w:val="0"/>
          <w:smallCaps w:val="0"/>
          <w:sz w:val="20"/>
          <w:szCs w:val="20"/>
        </w:rPr>
      </w:pPr>
    </w:p>
    <w:p w14:paraId="2393B183" w14:textId="77777777" w:rsidR="00801AE1" w:rsidRDefault="00801AE1" w:rsidP="00801AE1">
      <w:pPr>
        <w:pStyle w:val="Titcuadrograf"/>
        <w:ind w:left="0"/>
        <w:jc w:val="both"/>
        <w:rPr>
          <w:b w:val="0"/>
          <w:smallCaps w:val="0"/>
          <w:sz w:val="20"/>
          <w:szCs w:val="20"/>
        </w:rPr>
      </w:pPr>
    </w:p>
    <w:p w14:paraId="740DB77E" w14:textId="77777777" w:rsidR="00801AE1" w:rsidRDefault="00801AE1" w:rsidP="00801AE1">
      <w:pPr>
        <w:pStyle w:val="Titcuadrograf"/>
        <w:ind w:left="0"/>
        <w:jc w:val="both"/>
        <w:rPr>
          <w:b w:val="0"/>
          <w:smallCaps w:val="0"/>
          <w:sz w:val="20"/>
          <w:szCs w:val="20"/>
        </w:rPr>
      </w:pPr>
    </w:p>
    <w:p w14:paraId="4D4552DC" w14:textId="77777777" w:rsidR="00801AE1" w:rsidRDefault="00801AE1" w:rsidP="00801AE1">
      <w:pPr>
        <w:pStyle w:val="Titcuadrograf"/>
        <w:ind w:left="0"/>
        <w:jc w:val="both"/>
        <w:rPr>
          <w:b w:val="0"/>
          <w:smallCaps w:val="0"/>
          <w:sz w:val="20"/>
          <w:szCs w:val="20"/>
        </w:rPr>
      </w:pPr>
    </w:p>
    <w:p w14:paraId="7788A5F3" w14:textId="77777777" w:rsidR="00801AE1" w:rsidRDefault="00801AE1" w:rsidP="00801AE1">
      <w:pPr>
        <w:pStyle w:val="Titcuadrograf"/>
        <w:ind w:left="0"/>
        <w:jc w:val="both"/>
        <w:rPr>
          <w:b w:val="0"/>
          <w:smallCaps w:val="0"/>
          <w:sz w:val="20"/>
          <w:szCs w:val="20"/>
        </w:rPr>
      </w:pPr>
    </w:p>
    <w:p w14:paraId="505347EC" w14:textId="77777777" w:rsidR="00801AE1" w:rsidRDefault="00801AE1" w:rsidP="00801AE1">
      <w:pPr>
        <w:pStyle w:val="Titcuadrograf"/>
        <w:ind w:left="0"/>
        <w:jc w:val="both"/>
        <w:rPr>
          <w:b w:val="0"/>
          <w:smallCaps w:val="0"/>
          <w:sz w:val="20"/>
          <w:szCs w:val="20"/>
        </w:rPr>
      </w:pPr>
    </w:p>
    <w:p w14:paraId="25FB1143" w14:textId="16F28E53" w:rsidR="00A0708B" w:rsidRDefault="00A0708B">
      <w:pPr>
        <w:jc w:val="left"/>
        <w:rPr>
          <w:sz w:val="20"/>
          <w:szCs w:val="20"/>
          <w:lang w:val="es-MX"/>
        </w:rPr>
      </w:pPr>
      <w:r>
        <w:rPr>
          <w:b/>
          <w:smallCaps/>
          <w:sz w:val="20"/>
          <w:szCs w:val="20"/>
        </w:rPr>
        <w:br w:type="page"/>
      </w:r>
    </w:p>
    <w:p w14:paraId="724AD3C6" w14:textId="77777777" w:rsidR="00801AE1" w:rsidRDefault="00801AE1" w:rsidP="00801AE1">
      <w:pPr>
        <w:pStyle w:val="Titcuadrograf"/>
        <w:ind w:left="0"/>
        <w:jc w:val="both"/>
        <w:rPr>
          <w:b w:val="0"/>
          <w:smallCaps w:val="0"/>
          <w:sz w:val="20"/>
          <w:szCs w:val="20"/>
        </w:rPr>
      </w:pPr>
    </w:p>
    <w:p w14:paraId="2BD1F9BA" w14:textId="77777777" w:rsidR="00801AE1" w:rsidRDefault="00801AE1" w:rsidP="00801AE1">
      <w:pPr>
        <w:pStyle w:val="Titcuadrograf"/>
        <w:ind w:left="0"/>
        <w:jc w:val="both"/>
        <w:rPr>
          <w:b w:val="0"/>
          <w:smallCaps w:val="0"/>
          <w:sz w:val="20"/>
          <w:szCs w:val="20"/>
        </w:rPr>
      </w:pPr>
    </w:p>
    <w:p w14:paraId="0CC82E24" w14:textId="77777777" w:rsidR="00C37C02" w:rsidRDefault="00C37C02" w:rsidP="00801AE1">
      <w:pPr>
        <w:pStyle w:val="Titcuadrograf"/>
        <w:rPr>
          <w:b w:val="0"/>
          <w:smallCaps w:val="0"/>
          <w:sz w:val="20"/>
          <w:szCs w:val="20"/>
        </w:rPr>
      </w:pPr>
    </w:p>
    <w:p w14:paraId="31662BDD" w14:textId="70D093EF" w:rsidR="00801AE1" w:rsidRPr="004C6A26" w:rsidRDefault="00801AE1" w:rsidP="00C37C02">
      <w:pPr>
        <w:pStyle w:val="Titcuadrograf"/>
        <w:ind w:left="0"/>
        <w:rPr>
          <w:b w:val="0"/>
          <w:smallCaps w:val="0"/>
          <w:sz w:val="20"/>
          <w:szCs w:val="20"/>
        </w:rPr>
      </w:pPr>
      <w:r w:rsidRPr="004C6A26">
        <w:rPr>
          <w:b w:val="0"/>
          <w:smallCaps w:val="0"/>
          <w:sz w:val="20"/>
          <w:szCs w:val="20"/>
        </w:rPr>
        <w:t xml:space="preserve">Gráfica </w:t>
      </w:r>
      <w:r>
        <w:rPr>
          <w:b w:val="0"/>
          <w:smallCaps w:val="0"/>
          <w:sz w:val="20"/>
          <w:szCs w:val="20"/>
        </w:rPr>
        <w:t>5</w:t>
      </w:r>
    </w:p>
    <w:p w14:paraId="37AD8837" w14:textId="77777777" w:rsidR="00801AE1" w:rsidRPr="00E15E72" w:rsidRDefault="00801AE1" w:rsidP="00C37C02">
      <w:pPr>
        <w:pStyle w:val="Titcuadrograf"/>
        <w:ind w:left="0"/>
        <w:rPr>
          <w:sz w:val="22"/>
          <w:szCs w:val="22"/>
        </w:rPr>
      </w:pPr>
      <w:r w:rsidRPr="00E15E72">
        <w:rPr>
          <w:sz w:val="22"/>
          <w:szCs w:val="22"/>
        </w:rPr>
        <w:t xml:space="preserve">IOAE: </w:t>
      </w:r>
      <w:r w:rsidRPr="00E15E72">
        <w:rPr>
          <w:iCs/>
          <w:sz w:val="22"/>
          <w:szCs w:val="22"/>
        </w:rPr>
        <w:t>Nowcast</w:t>
      </w:r>
      <w:r w:rsidRPr="00E15E72">
        <w:rPr>
          <w:sz w:val="22"/>
          <w:szCs w:val="22"/>
        </w:rPr>
        <w:t xml:space="preserve"> del IGAE</w:t>
      </w:r>
    </w:p>
    <w:p w14:paraId="174F7209" w14:textId="77777777" w:rsidR="00801AE1" w:rsidRPr="00AE2968" w:rsidRDefault="00801AE1" w:rsidP="00C37C02">
      <w:pPr>
        <w:jc w:val="center"/>
        <w:rPr>
          <w:sz w:val="20"/>
          <w:szCs w:val="20"/>
        </w:rPr>
      </w:pPr>
      <w:r>
        <w:rPr>
          <w:sz w:val="20"/>
          <w:szCs w:val="20"/>
        </w:rPr>
        <w:t>(Índice base 2013 = 100</w:t>
      </w:r>
      <w:r w:rsidRPr="00EA3186">
        <w:rPr>
          <w:sz w:val="20"/>
          <w:szCs w:val="20"/>
        </w:rPr>
        <w:t xml:space="preserve">. </w:t>
      </w:r>
      <w:r w:rsidR="00FB7F29" w:rsidRPr="00CB2958">
        <w:rPr>
          <w:sz w:val="20"/>
          <w:szCs w:val="20"/>
        </w:rPr>
        <w:t>Mayo y junio</w:t>
      </w:r>
      <w:r w:rsidRPr="002A311E">
        <w:rPr>
          <w:sz w:val="20"/>
          <w:szCs w:val="20"/>
        </w:rPr>
        <w:t xml:space="preserve"> </w:t>
      </w:r>
      <w:r w:rsidRPr="00223C81">
        <w:rPr>
          <w:sz w:val="20"/>
          <w:szCs w:val="20"/>
        </w:rPr>
        <w:t>de 2021</w:t>
      </w:r>
      <w:r w:rsidRPr="00EA3186">
        <w:rPr>
          <w:sz w:val="20"/>
          <w:szCs w:val="20"/>
        </w:rPr>
        <w:t>)</w:t>
      </w:r>
    </w:p>
    <w:p w14:paraId="09AFD6E1" w14:textId="77777777" w:rsidR="003C3215" w:rsidRDefault="007D338B" w:rsidP="003C3215">
      <w:pPr>
        <w:pStyle w:val="Titcuadrograf"/>
        <w:rPr>
          <w:b w:val="0"/>
          <w:smallCaps w:val="0"/>
          <w:sz w:val="20"/>
          <w:szCs w:val="20"/>
        </w:rPr>
      </w:pPr>
      <w:r w:rsidRPr="00A0708B">
        <w:rPr>
          <w:noProof/>
          <w:bdr w:val="single" w:sz="2" w:space="0" w:color="auto"/>
        </w:rPr>
        <w:drawing>
          <wp:inline distT="0" distB="0" distL="0" distR="0" wp14:anchorId="595BE97E" wp14:editId="2F0D1E70">
            <wp:extent cx="5972810" cy="3120390"/>
            <wp:effectExtent l="0" t="0" r="8890" b="3810"/>
            <wp:docPr id="4" name="Gráfico 4">
              <a:extLst xmlns:a="http://schemas.openxmlformats.org/drawingml/2006/main">
                <a:ext uri="{FF2B5EF4-FFF2-40B4-BE49-F238E27FC236}">
                  <a16:creationId xmlns:a16="http://schemas.microsoft.com/office/drawing/2014/main" id="{711B09CA-97CE-4238-8D1D-DD7B5C8763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9D32565" w14:textId="77777777" w:rsidR="003C3215" w:rsidRDefault="003C3215" w:rsidP="003C3215">
      <w:pPr>
        <w:pStyle w:val="Titcuadrograf"/>
        <w:rPr>
          <w:b w:val="0"/>
          <w:smallCaps w:val="0"/>
          <w:sz w:val="20"/>
          <w:szCs w:val="20"/>
        </w:rPr>
      </w:pPr>
    </w:p>
    <w:p w14:paraId="744E5B3F" w14:textId="77777777" w:rsidR="003C3215" w:rsidRDefault="003C3215" w:rsidP="00DF1795">
      <w:pPr>
        <w:pStyle w:val="Titcuadrograf"/>
        <w:ind w:left="0"/>
        <w:jc w:val="both"/>
        <w:rPr>
          <w:b w:val="0"/>
          <w:smallCaps w:val="0"/>
          <w:sz w:val="20"/>
          <w:szCs w:val="20"/>
        </w:rPr>
      </w:pPr>
    </w:p>
    <w:p w14:paraId="04802EF4" w14:textId="77777777" w:rsidR="00801AE1" w:rsidRDefault="00801AE1" w:rsidP="00DF1795">
      <w:pPr>
        <w:pStyle w:val="Titcuadrograf"/>
        <w:ind w:left="0"/>
        <w:jc w:val="both"/>
        <w:rPr>
          <w:b w:val="0"/>
          <w:smallCaps w:val="0"/>
          <w:sz w:val="20"/>
          <w:szCs w:val="20"/>
        </w:rPr>
      </w:pPr>
    </w:p>
    <w:p w14:paraId="4496038F" w14:textId="77777777" w:rsidR="003C3215" w:rsidRDefault="003C3215" w:rsidP="003C3215">
      <w:pPr>
        <w:pStyle w:val="Titcuadrograf"/>
        <w:rPr>
          <w:b w:val="0"/>
          <w:smallCaps w:val="0"/>
          <w:sz w:val="20"/>
          <w:szCs w:val="20"/>
        </w:rPr>
      </w:pPr>
    </w:p>
    <w:p w14:paraId="4A135246" w14:textId="77777777" w:rsidR="00911985" w:rsidRPr="004C6A26" w:rsidRDefault="004C6A26" w:rsidP="004C6A26">
      <w:pPr>
        <w:pStyle w:val="Subttulo"/>
        <w:ind w:right="-518"/>
        <w:jc w:val="both"/>
        <w:rPr>
          <w:bCs w:val="0"/>
          <w:i/>
          <w:iCs/>
          <w:spacing w:val="10"/>
        </w:rPr>
      </w:pPr>
      <w:r w:rsidRPr="004C6A26">
        <w:rPr>
          <w:bCs w:val="0"/>
          <w:i/>
          <w:iCs/>
          <w:spacing w:val="10"/>
        </w:rPr>
        <w:t>Nota metodológica</w:t>
      </w:r>
    </w:p>
    <w:p w14:paraId="624832A6" w14:textId="77777777" w:rsidR="00911985" w:rsidRDefault="00911985" w:rsidP="004B19FD">
      <w:pPr>
        <w:spacing w:before="240"/>
      </w:pPr>
      <w:r>
        <w:t xml:space="preserve">El IOAE se construye a partir de un modelo de </w:t>
      </w:r>
      <w:r>
        <w:rPr>
          <w:i/>
        </w:rPr>
        <w:t>nowcasting</w:t>
      </w:r>
      <w:r>
        <w:t xml:space="preserve">.  El modelo econométrico de </w:t>
      </w:r>
      <w:r>
        <w:rPr>
          <w:i/>
          <w:iCs/>
        </w:rPr>
        <w:t>nowcasting</w:t>
      </w:r>
      <w:r>
        <w:t xml:space="preserve"> parte de los logros previos del INEGI y los lleva un paso más allá para ofrecer estimaciones más oportunas de la evolución de un conjunto de indicadores macroeconómicos de interés. Los modelos de </w:t>
      </w:r>
      <w:r>
        <w:rPr>
          <w:i/>
          <w:iCs/>
        </w:rPr>
        <w:t>nowcasting</w:t>
      </w:r>
      <w:r>
        <w:t xml:space="preserve"> se ubican en un lugar intermedio entre los modelos de ajuste, que suponen la disponibilidad contemporánea de la variable a estimar y de todas sus covariables, y los modelos de pronóstico, que frecuentemente hacen uso del pasado de las covariables y de la variable a estimar para predecir su futuro.</w:t>
      </w:r>
    </w:p>
    <w:p w14:paraId="06CC07BD" w14:textId="77777777" w:rsidR="00911985" w:rsidRDefault="00911985" w:rsidP="004B19FD">
      <w:pPr>
        <w:spacing w:before="240"/>
        <w:rPr>
          <w:sz w:val="23"/>
          <w:szCs w:val="23"/>
        </w:rPr>
      </w:pPr>
      <w:r>
        <w:t xml:space="preserve">En consecuencia, con el </w:t>
      </w:r>
      <w:r>
        <w:rPr>
          <w:i/>
        </w:rPr>
        <w:t>nowcasting</w:t>
      </w:r>
      <w:r>
        <w:t xml:space="preserve"> se logra estimar el valor de la variable de interés (por ejemplo, el IGAE) a partir de la construcción de modelos econométricos subyacentes basados en sintetizar el comportamiento de las covariables contemporáneamente relevantes, obteniendo estimaciones aceptablemente precisas que ayuden a adelantar las señales económicas que, tiempo después, estarán indicando las cifras de los indicadores oficiales que se producen por los métodos tradicionales de las encuestas, los registros administrativos o las Cuentas Nacionales.  Estas estimaciones se hacen a partir </w:t>
      </w:r>
      <w:r>
        <w:lastRenderedPageBreak/>
        <w:t>de un subconjunto de las covariables relevantes, pero siempre ofreciendo estimaciones de la variable de interés que sean contemporáneas al subconjunto de covariables utilizado, de manera que en ningún momento se incurre en la estimación de pronósticos (que implicaría estimar la variable dependiente con referencia a periodos para los cuales no se dispone de correlatos contemporáneos).</w:t>
      </w:r>
    </w:p>
    <w:p w14:paraId="5C5193AF" w14:textId="77777777" w:rsidR="00911985" w:rsidRDefault="00911985" w:rsidP="004B19FD">
      <w:pPr>
        <w:spacing w:before="240"/>
      </w:pPr>
      <w:r>
        <w:t xml:space="preserve">Es importante mencionar que los resultados del </w:t>
      </w:r>
      <w:r>
        <w:rPr>
          <w:i/>
          <w:iCs/>
        </w:rPr>
        <w:t>nowcasting</w:t>
      </w:r>
      <w:r>
        <w:t xml:space="preserve"> no sustituyen de ninguna manera la información de las series oficiales que provienen de las Cuentas Nacionales o de las Encuestas en Establecimientos o en Hogares del INEGI, sino que se muestra como un trabajo complementario que insume los resultados de estos trabajos para ofrecer cifras razonablemente cercanas a las oficiales y bastante más oportunas.  Por lo tanto, el objetivo es generar estimaciones oportunas con base en la información relevante y disponible al momento de realizar dichas estimaciones. </w:t>
      </w:r>
    </w:p>
    <w:p w14:paraId="409B78FD" w14:textId="77777777" w:rsidR="00911985" w:rsidRDefault="00911985" w:rsidP="004B19FD">
      <w:pPr>
        <w:spacing w:before="240"/>
        <w:rPr>
          <w:lang w:val="es-MX"/>
        </w:rPr>
      </w:pPr>
      <w:r>
        <w:rPr>
          <w:lang w:val="es-MX"/>
        </w:rPr>
        <w:t>Los resultados del IOAE se presentan en la tercera semana de cada mes, y hacen referencia a la tasa de crecimiento anual de los indicadores en cuestión para el mes inmediato anterior y para el mes antepasado.  Dado que los resultados oficiales del IGAE y sus actividades económicas se dan a conocer aproximadamente 8 semanas después de terminado el mes de referencia, el IOAE está disponible una semana antes de que se reporten las cifras del IGAE del mes antepasado y con 5 semanas de antelación a la publicación de las cifras oficiales del mes inmediato anterior.</w:t>
      </w:r>
    </w:p>
    <w:p w14:paraId="277D68A3" w14:textId="77777777" w:rsidR="00911985" w:rsidRDefault="00911985" w:rsidP="004B19FD">
      <w:pPr>
        <w:spacing w:before="240"/>
      </w:pPr>
      <w:r>
        <w:t xml:space="preserve">A efecto de lograr el mejor ajuste del modelo en el margen, es decir, hacia el final de la serie, se hace necesario incorporar variables de alta frecuencia y oportunidad, algunas de ellas provenientes de fuentes no tradicionales, como reportes de búsquedas en Internet del tipo de Google </w:t>
      </w:r>
      <w:proofErr w:type="spellStart"/>
      <w:r>
        <w:t>Trends</w:t>
      </w:r>
      <w:proofErr w:type="spellEnd"/>
      <w:r>
        <w:t xml:space="preserve"> o de movilidad física de la población como las que se derivan de la explotación de la geolocalización en redes sociales como Twitter. La incorporación de este tipo de fuentes permite mejorar la precisión de los resultados del modelo de nowcasting a pesar de posibles cambios abruptos en la actividad económica. </w:t>
      </w:r>
    </w:p>
    <w:p w14:paraId="1124102E" w14:textId="2F684E4B" w:rsidR="00911985" w:rsidRDefault="00911985" w:rsidP="00BB7393">
      <w:pPr>
        <w:spacing w:before="240"/>
        <w:rPr>
          <w:sz w:val="23"/>
          <w:szCs w:val="23"/>
        </w:rPr>
      </w:pPr>
      <w:r>
        <w:t xml:space="preserve">El modelo de </w:t>
      </w:r>
      <w:r>
        <w:rPr>
          <w:i/>
          <w:iCs/>
        </w:rPr>
        <w:t>nowcasting</w:t>
      </w:r>
      <w:r>
        <w:t xml:space="preserve"> que subyace al IOAE se centra en construir un factor dinámico, oportuno y econométricamente válido a partir de la metodología de </w:t>
      </w:r>
      <w:proofErr w:type="spellStart"/>
      <w:r>
        <w:t>Doz</w:t>
      </w:r>
      <w:proofErr w:type="spellEnd"/>
      <w:r>
        <w:t xml:space="preserve"> </w:t>
      </w:r>
      <w:r>
        <w:rPr>
          <w:i/>
          <w:iCs/>
        </w:rPr>
        <w:t>et al.</w:t>
      </w:r>
      <w:r>
        <w:t xml:space="preserve"> (2011)</w:t>
      </w:r>
      <w:r>
        <w:rPr>
          <w:rStyle w:val="Refdenotaalpie"/>
          <w:bCs/>
          <w:spacing w:val="10"/>
        </w:rPr>
        <w:footnoteReference w:id="3"/>
      </w:r>
      <w:r w:rsidR="007C455D">
        <w:t>.</w:t>
      </w:r>
      <w:r>
        <w:t xml:space="preserve"> La estimación de un factor permite mantener el sentido estructural de dicho factor, de tal manera que las contribuciones o cargas asociadas de cada variable en el factor sean interpretables desde una perspectiva económica. Asimismo, desde el punto de vista estadístico el modelo satisface supuestos que garantizan la estimación consistente del factor</w:t>
      </w:r>
      <w:r>
        <w:rPr>
          <w:rStyle w:val="Refdenotaalpie"/>
          <w:bCs/>
          <w:spacing w:val="10"/>
          <w:sz w:val="23"/>
          <w:szCs w:val="23"/>
        </w:rPr>
        <w:footnoteReference w:id="4"/>
      </w:r>
      <w:r w:rsidR="00DA5F82">
        <w:t>.</w:t>
      </w:r>
    </w:p>
    <w:p w14:paraId="2B14F9C3" w14:textId="77777777" w:rsidR="004B19FD" w:rsidRDefault="004B19FD">
      <w:pPr>
        <w:jc w:val="left"/>
      </w:pPr>
      <w:r>
        <w:br w:type="page"/>
      </w:r>
    </w:p>
    <w:p w14:paraId="2F8D7BD2" w14:textId="28B10B8D" w:rsidR="00911985" w:rsidRDefault="00911985" w:rsidP="00322223">
      <w:pPr>
        <w:spacing w:before="60" w:after="60"/>
      </w:pPr>
      <w:r>
        <w:lastRenderedPageBreak/>
        <w:t>El IOAE</w:t>
      </w:r>
      <w:r>
        <w:rPr>
          <w:i/>
          <w:iCs/>
        </w:rPr>
        <w:t xml:space="preserve"> </w:t>
      </w:r>
      <w:r>
        <w:t>tiene las siguientes características:</w:t>
      </w:r>
    </w:p>
    <w:p w14:paraId="61D3E939" w14:textId="77777777" w:rsidR="00911985" w:rsidRDefault="00911985" w:rsidP="00322223">
      <w:pPr>
        <w:pStyle w:val="Prrafodelista"/>
        <w:numPr>
          <w:ilvl w:val="0"/>
          <w:numId w:val="26"/>
        </w:numPr>
        <w:spacing w:after="80"/>
        <w:ind w:left="714" w:hanging="357"/>
      </w:pPr>
      <w:r>
        <w:t>Estimación de los dos meses posteriores al cierre del último dato publicado oficialmente para el IGAE, así como para las actividades económicas secundarias y terciarias.</w:t>
      </w:r>
    </w:p>
    <w:p w14:paraId="19A729EB" w14:textId="77777777" w:rsidR="00911985" w:rsidRDefault="00911985" w:rsidP="00322223">
      <w:pPr>
        <w:pStyle w:val="Prrafodelista"/>
        <w:numPr>
          <w:ilvl w:val="0"/>
          <w:numId w:val="26"/>
        </w:numPr>
        <w:spacing w:after="80"/>
        <w:ind w:left="714" w:hanging="357"/>
      </w:pPr>
      <w:r>
        <w:t>Selección de variables explicativas económicas y financieras con el criterio de oportunidad y alta correlación respecto a la variable a estimar.</w:t>
      </w:r>
    </w:p>
    <w:p w14:paraId="3CFFD9AA" w14:textId="3F6BF7D5" w:rsidR="00911985" w:rsidRDefault="00911985" w:rsidP="00322223">
      <w:pPr>
        <w:pStyle w:val="Prrafodelista"/>
        <w:numPr>
          <w:ilvl w:val="0"/>
          <w:numId w:val="26"/>
        </w:numPr>
        <w:spacing w:after="80"/>
        <w:ind w:left="714" w:hanging="357"/>
      </w:pPr>
      <w:r>
        <w:t xml:space="preserve">Incorporación de fuentes no tradicionales de información y de alta frecuencia como Google </w:t>
      </w:r>
      <w:proofErr w:type="spellStart"/>
      <w:r>
        <w:t>Trends</w:t>
      </w:r>
      <w:proofErr w:type="spellEnd"/>
      <w:r>
        <w:t xml:space="preserve"> y un indicador de movilidad</w:t>
      </w:r>
      <w:r w:rsidR="007D2553">
        <w:rPr>
          <w:rStyle w:val="Refdenotaalpie"/>
          <w:sz w:val="23"/>
          <w:szCs w:val="23"/>
        </w:rPr>
        <w:footnoteReference w:id="5"/>
      </w:r>
      <w:r w:rsidR="00DA5F82">
        <w:t>.</w:t>
      </w:r>
    </w:p>
    <w:p w14:paraId="3E4E1890" w14:textId="77777777" w:rsidR="00911985" w:rsidRDefault="00911985" w:rsidP="00322223">
      <w:pPr>
        <w:pStyle w:val="Prrafodelista"/>
        <w:numPr>
          <w:ilvl w:val="0"/>
          <w:numId w:val="26"/>
        </w:numPr>
        <w:spacing w:after="80"/>
        <w:ind w:left="714" w:hanging="357"/>
      </w:pPr>
      <w:r>
        <w:t xml:space="preserve">Selección de tópicos relevantes de Google </w:t>
      </w:r>
      <w:proofErr w:type="spellStart"/>
      <w:r>
        <w:t>Trends</w:t>
      </w:r>
      <w:proofErr w:type="spellEnd"/>
      <w:r>
        <w:t xml:space="preserve"> a través de regresión LASSO</w:t>
      </w:r>
      <w:r w:rsidR="00085120">
        <w:t xml:space="preserve"> </w:t>
      </w:r>
      <w:r w:rsidR="00085120" w:rsidRPr="00B456F7">
        <w:t>y/o regresión con validación cruzada</w:t>
      </w:r>
      <w:r w:rsidR="00600A23">
        <w:t xml:space="preserve"> para series de tiempo</w:t>
      </w:r>
      <w:r w:rsidRPr="00B456F7">
        <w:t>.</w:t>
      </w:r>
    </w:p>
    <w:p w14:paraId="551122EE" w14:textId="77777777" w:rsidR="00911985" w:rsidRDefault="00911985" w:rsidP="00322223">
      <w:pPr>
        <w:pStyle w:val="Prrafodelista"/>
        <w:numPr>
          <w:ilvl w:val="0"/>
          <w:numId w:val="26"/>
        </w:numPr>
        <w:spacing w:after="80"/>
        <w:ind w:left="714" w:hanging="357"/>
      </w:pPr>
      <w:r>
        <w:t>Transformación de variables de tal forma que se maximice la correlación con la variable a estimar.</w:t>
      </w:r>
    </w:p>
    <w:p w14:paraId="0D75DD67" w14:textId="77777777" w:rsidR="00911985" w:rsidRDefault="00911985" w:rsidP="00322223">
      <w:pPr>
        <w:pStyle w:val="Prrafodelista"/>
        <w:numPr>
          <w:ilvl w:val="0"/>
          <w:numId w:val="26"/>
        </w:numPr>
        <w:spacing w:after="80"/>
        <w:ind w:left="714" w:hanging="357"/>
      </w:pPr>
      <w:r>
        <w:t>Validación estadística sobre el número de factores.</w:t>
      </w:r>
    </w:p>
    <w:p w14:paraId="7DBB8331" w14:textId="77777777" w:rsidR="00911985" w:rsidRDefault="00911985" w:rsidP="00322223">
      <w:pPr>
        <w:pStyle w:val="Prrafodelista"/>
        <w:numPr>
          <w:ilvl w:val="0"/>
          <w:numId w:val="26"/>
        </w:numPr>
        <w:spacing w:after="80"/>
        <w:ind w:left="714" w:hanging="357"/>
      </w:pPr>
      <w:r>
        <w:t>Prueba de estacionariedad para los errores idiosincráticos que validan la estimación consistente de los factores y de las cargas asociadas.</w:t>
      </w:r>
    </w:p>
    <w:p w14:paraId="1DA4F9A5" w14:textId="0099B796" w:rsidR="00911985" w:rsidRDefault="00911985" w:rsidP="00322223">
      <w:pPr>
        <w:pStyle w:val="Prrafodelista"/>
        <w:numPr>
          <w:ilvl w:val="0"/>
          <w:numId w:val="26"/>
        </w:numPr>
        <w:spacing w:after="80"/>
        <w:ind w:left="714" w:hanging="357"/>
      </w:pPr>
      <w:r>
        <w:t xml:space="preserve">Combinación de </w:t>
      </w:r>
      <w:proofErr w:type="spellStart"/>
      <w:r>
        <w:t>nowcasts</w:t>
      </w:r>
      <w:proofErr w:type="spellEnd"/>
      <w:r>
        <w:t xml:space="preserve"> para modelos con error de estimación en datos de prueba estadísticamente igual (Prueba </w:t>
      </w:r>
      <w:bookmarkStart w:id="2" w:name="_Hlk56534249"/>
      <w:proofErr w:type="spellStart"/>
      <w:r>
        <w:t>Diebold</w:t>
      </w:r>
      <w:proofErr w:type="spellEnd"/>
      <w:r>
        <w:t>-Mariano</w:t>
      </w:r>
      <w:bookmarkEnd w:id="2"/>
      <w:r>
        <w:t>)</w:t>
      </w:r>
      <w:r w:rsidR="008E4EF4">
        <w:rPr>
          <w:rStyle w:val="Refdenotaalpie"/>
        </w:rPr>
        <w:footnoteReference w:id="6"/>
      </w:r>
      <w:r w:rsidR="00DA5F82">
        <w:t>.</w:t>
      </w:r>
    </w:p>
    <w:p w14:paraId="5D09F8BF" w14:textId="2F8F6B74" w:rsidR="00911985" w:rsidRDefault="00911985" w:rsidP="00322223">
      <w:pPr>
        <w:pStyle w:val="Prrafodelista"/>
        <w:numPr>
          <w:ilvl w:val="0"/>
          <w:numId w:val="26"/>
        </w:numPr>
        <w:spacing w:after="80"/>
        <w:ind w:left="714" w:hanging="357"/>
      </w:pPr>
      <w:r>
        <w:t xml:space="preserve">Estimación de intervalos de confianza al 95%: factores, cargas de variables y </w:t>
      </w:r>
      <w:proofErr w:type="spellStart"/>
      <w:r>
        <w:t>nowcasts</w:t>
      </w:r>
      <w:proofErr w:type="spellEnd"/>
      <w:r>
        <w:rPr>
          <w:rStyle w:val="Refdenotaalpie"/>
          <w:sz w:val="23"/>
          <w:szCs w:val="23"/>
        </w:rPr>
        <w:footnoteReference w:id="7"/>
      </w:r>
      <w:r w:rsidR="00DA5F82">
        <w:t>.</w:t>
      </w:r>
    </w:p>
    <w:p w14:paraId="62988E01" w14:textId="77777777" w:rsidR="00911985" w:rsidRDefault="00911985" w:rsidP="00322223">
      <w:pPr>
        <w:pStyle w:val="Prrafodelista"/>
        <w:numPr>
          <w:ilvl w:val="0"/>
          <w:numId w:val="26"/>
        </w:numPr>
        <w:spacing w:after="80"/>
        <w:ind w:left="714" w:hanging="357"/>
      </w:pPr>
      <w:r>
        <w:t>Estimación Monte Carlo de los pesos de las variables una vez suavizado el factor mediante el filtro de Kalman.</w:t>
      </w:r>
    </w:p>
    <w:p w14:paraId="118C954E" w14:textId="77777777" w:rsidR="00911985" w:rsidRDefault="00911985" w:rsidP="00DA5F82">
      <w:pPr>
        <w:spacing w:before="240" w:after="60"/>
      </w:pPr>
      <w:r>
        <w:t>Las variables utilizadas en el IOAE</w:t>
      </w:r>
      <w:r>
        <w:rPr>
          <w:i/>
          <w:iCs/>
        </w:rPr>
        <w:t xml:space="preserve"> </w:t>
      </w:r>
      <w:r>
        <w:t xml:space="preserve">son seleccionadas con el criterio de oportunidad y correlación, es decir, que las variables se actualicen al menos antes que la variable a estimar y que, además, estén correlacionadas con esta última. También se busca que estas variables hayan sido utilizadas o consideradas por modelos previos en la literatura para el caso de México. </w:t>
      </w:r>
    </w:p>
    <w:p w14:paraId="59489C1D" w14:textId="01126AB7" w:rsidR="00911985" w:rsidRDefault="00911985" w:rsidP="00DA5F82">
      <w:pPr>
        <w:spacing w:before="240" w:after="60"/>
      </w:pPr>
      <w:r>
        <w:t>Todas las variables son de libre acceso y se introducen al modelo desestacionalizadas, ya sea al obtenerlas así directamente de la fuente o bien desestacionalizándolas, usando el paquete X-13ARIMA-SEATS.  Las variables utilizadas se describen en la Tabla 1</w:t>
      </w:r>
      <w:r w:rsidR="00642588">
        <w:rPr>
          <w:rStyle w:val="Refdenotaalpie"/>
        </w:rPr>
        <w:footnoteReference w:id="8"/>
      </w:r>
      <w:r w:rsidR="00DA5F82">
        <w:t>.</w:t>
      </w:r>
    </w:p>
    <w:p w14:paraId="5199E903" w14:textId="6F2FC1DD" w:rsidR="00C54799" w:rsidRPr="00C54799" w:rsidRDefault="00911985" w:rsidP="00322223">
      <w:pPr>
        <w:pStyle w:val="Sinespaciado"/>
        <w:spacing w:before="120"/>
        <w:jc w:val="center"/>
        <w:rPr>
          <w:rFonts w:ascii="Arial" w:hAnsi="Arial" w:cs="Arial"/>
          <w:sz w:val="20"/>
          <w:szCs w:val="20"/>
        </w:rPr>
      </w:pPr>
      <w:r w:rsidRPr="00C54799">
        <w:rPr>
          <w:rFonts w:ascii="Arial" w:hAnsi="Arial" w:cs="Arial"/>
          <w:sz w:val="20"/>
          <w:szCs w:val="20"/>
        </w:rPr>
        <w:lastRenderedPageBreak/>
        <w:t>Tabla 1</w:t>
      </w:r>
    </w:p>
    <w:p w14:paraId="188D082F" w14:textId="77777777" w:rsidR="00911985" w:rsidRPr="00E15E72" w:rsidRDefault="00911985" w:rsidP="00C54799">
      <w:pPr>
        <w:pStyle w:val="Titcuadrograf"/>
        <w:rPr>
          <w:rStyle w:val="Textoennegrita"/>
          <w:b/>
          <w:bCs w:val="0"/>
          <w:sz w:val="22"/>
          <w:szCs w:val="22"/>
        </w:rPr>
      </w:pPr>
      <w:r w:rsidRPr="00E15E72">
        <w:rPr>
          <w:rStyle w:val="Textoennegrita"/>
          <w:b/>
          <w:bCs w:val="0"/>
          <w:sz w:val="22"/>
          <w:szCs w:val="22"/>
        </w:rPr>
        <w:t>Variables utilizadas en el IOAE</w:t>
      </w:r>
    </w:p>
    <w:p w14:paraId="757FC2B8" w14:textId="77777777" w:rsidR="00911985" w:rsidRPr="007D52F0" w:rsidRDefault="00911985" w:rsidP="00911985">
      <w:pPr>
        <w:ind w:left="-567"/>
        <w:rPr>
          <w:b/>
          <w:sz w:val="6"/>
          <w:szCs w:val="6"/>
          <w:lang w:eastAsia="en-US"/>
        </w:rPr>
      </w:pPr>
    </w:p>
    <w:tbl>
      <w:tblPr>
        <w:tblStyle w:val="Tablaconcuadrcula1clara"/>
        <w:tblW w:w="9356" w:type="dxa"/>
        <w:tblLook w:val="04A0" w:firstRow="1" w:lastRow="0" w:firstColumn="1" w:lastColumn="0" w:noHBand="0" w:noVBand="1"/>
      </w:tblPr>
      <w:tblGrid>
        <w:gridCol w:w="2405"/>
        <w:gridCol w:w="4258"/>
        <w:gridCol w:w="2693"/>
      </w:tblGrid>
      <w:tr w:rsidR="00A752D3" w:rsidRPr="00A752D3" w14:paraId="52772956" w14:textId="77777777" w:rsidTr="002043C5">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left w:val="single" w:sz="4" w:space="0" w:color="auto"/>
              <w:bottom w:val="single" w:sz="4" w:space="0" w:color="auto"/>
            </w:tcBorders>
            <w:shd w:val="clear" w:color="auto" w:fill="D7E3BC"/>
            <w:vAlign w:val="center"/>
            <w:hideMark/>
          </w:tcPr>
          <w:p w14:paraId="415E1045" w14:textId="77777777" w:rsidR="00A752D3" w:rsidRPr="00A752D3" w:rsidRDefault="00A752D3" w:rsidP="00A752D3">
            <w:pPr>
              <w:jc w:val="center"/>
              <w:rPr>
                <w:color w:val="000000"/>
                <w:sz w:val="16"/>
                <w:szCs w:val="16"/>
                <w:lang w:val="es-MX" w:eastAsia="es-MX"/>
              </w:rPr>
            </w:pPr>
            <w:r w:rsidRPr="00A752D3">
              <w:rPr>
                <w:color w:val="000000"/>
                <w:sz w:val="16"/>
                <w:szCs w:val="16"/>
                <w:lang w:val="es-MX" w:eastAsia="es-MX"/>
              </w:rPr>
              <w:t>Variable</w:t>
            </w:r>
          </w:p>
        </w:tc>
        <w:tc>
          <w:tcPr>
            <w:tcW w:w="4258" w:type="dxa"/>
            <w:tcBorders>
              <w:top w:val="single" w:sz="4" w:space="0" w:color="auto"/>
              <w:bottom w:val="single" w:sz="4" w:space="0" w:color="auto"/>
            </w:tcBorders>
            <w:shd w:val="clear" w:color="auto" w:fill="D7E3BC"/>
            <w:vAlign w:val="center"/>
            <w:hideMark/>
          </w:tcPr>
          <w:p w14:paraId="50A2F19F" w14:textId="77777777" w:rsidR="00A752D3" w:rsidRPr="00A752D3" w:rsidRDefault="00A752D3" w:rsidP="00A752D3">
            <w:pPr>
              <w:jc w:val="center"/>
              <w:cnfStyle w:val="100000000000" w:firstRow="1" w:lastRow="0" w:firstColumn="0" w:lastColumn="0" w:oddVBand="0" w:evenVBand="0" w:oddHBand="0" w:evenHBand="0" w:firstRowFirstColumn="0" w:firstRowLastColumn="0" w:lastRowFirstColumn="0" w:lastRowLastColumn="0"/>
              <w:rPr>
                <w:color w:val="000000"/>
                <w:sz w:val="16"/>
                <w:szCs w:val="16"/>
                <w:lang w:val="es-MX" w:eastAsia="es-MX"/>
              </w:rPr>
            </w:pPr>
            <w:r w:rsidRPr="00A752D3">
              <w:rPr>
                <w:color w:val="000000"/>
                <w:sz w:val="16"/>
                <w:szCs w:val="16"/>
                <w:lang w:val="es-MX" w:eastAsia="es-MX"/>
              </w:rPr>
              <w:t>Descripción</w:t>
            </w:r>
          </w:p>
        </w:tc>
        <w:tc>
          <w:tcPr>
            <w:tcW w:w="2693" w:type="dxa"/>
            <w:tcBorders>
              <w:top w:val="single" w:sz="4" w:space="0" w:color="auto"/>
              <w:bottom w:val="single" w:sz="4" w:space="0" w:color="auto"/>
              <w:right w:val="single" w:sz="4" w:space="0" w:color="auto"/>
            </w:tcBorders>
            <w:shd w:val="clear" w:color="auto" w:fill="D7E3BC"/>
            <w:vAlign w:val="center"/>
            <w:hideMark/>
          </w:tcPr>
          <w:p w14:paraId="161C3057" w14:textId="77777777" w:rsidR="00A752D3" w:rsidRPr="00A752D3" w:rsidRDefault="00A752D3" w:rsidP="00A752D3">
            <w:pPr>
              <w:jc w:val="center"/>
              <w:cnfStyle w:val="100000000000" w:firstRow="1" w:lastRow="0" w:firstColumn="0" w:lastColumn="0" w:oddVBand="0" w:evenVBand="0" w:oddHBand="0" w:evenHBand="0" w:firstRowFirstColumn="0" w:firstRowLastColumn="0" w:lastRowFirstColumn="0" w:lastRowLastColumn="0"/>
              <w:rPr>
                <w:color w:val="000000"/>
                <w:sz w:val="16"/>
                <w:szCs w:val="16"/>
                <w:lang w:val="es-MX" w:eastAsia="es-MX"/>
              </w:rPr>
            </w:pPr>
            <w:r w:rsidRPr="00A752D3">
              <w:rPr>
                <w:color w:val="000000"/>
                <w:sz w:val="16"/>
                <w:szCs w:val="16"/>
                <w:lang w:val="es-MX" w:eastAsia="es-MX"/>
              </w:rPr>
              <w:t>Fuente</w:t>
            </w:r>
          </w:p>
        </w:tc>
      </w:tr>
      <w:tr w:rsidR="00A752D3" w:rsidRPr="00A752D3" w14:paraId="40797F65" w14:textId="77777777" w:rsidTr="002043C5">
        <w:trPr>
          <w:trHeight w:val="30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left w:val="single" w:sz="4" w:space="0" w:color="auto"/>
              <w:bottom w:val="nil"/>
              <w:right w:val="single" w:sz="4" w:space="0" w:color="auto"/>
            </w:tcBorders>
            <w:vAlign w:val="center"/>
            <w:hideMark/>
          </w:tcPr>
          <w:p w14:paraId="407996C4"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ANTAD</w:t>
            </w:r>
          </w:p>
        </w:tc>
        <w:tc>
          <w:tcPr>
            <w:tcW w:w="4258" w:type="dxa"/>
            <w:tcBorders>
              <w:top w:val="single" w:sz="4" w:space="0" w:color="auto"/>
              <w:left w:val="single" w:sz="4" w:space="0" w:color="auto"/>
              <w:bottom w:val="nil"/>
              <w:right w:val="single" w:sz="4" w:space="0" w:color="auto"/>
            </w:tcBorders>
            <w:vAlign w:val="center"/>
            <w:hideMark/>
          </w:tcPr>
          <w:p w14:paraId="1399C4D5"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Ventas totales</w:t>
            </w:r>
          </w:p>
        </w:tc>
        <w:tc>
          <w:tcPr>
            <w:tcW w:w="2693" w:type="dxa"/>
            <w:tcBorders>
              <w:top w:val="single" w:sz="4" w:space="0" w:color="auto"/>
              <w:left w:val="single" w:sz="4" w:space="0" w:color="auto"/>
              <w:bottom w:val="nil"/>
              <w:right w:val="single" w:sz="4" w:space="0" w:color="auto"/>
            </w:tcBorders>
            <w:vAlign w:val="center"/>
            <w:hideMark/>
          </w:tcPr>
          <w:p w14:paraId="0D20DAE0"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ANTAD</w:t>
            </w:r>
          </w:p>
        </w:tc>
      </w:tr>
      <w:tr w:rsidR="002043C5" w:rsidRPr="00A752D3" w14:paraId="4E2FF4BD" w14:textId="77777777" w:rsidTr="002043C5">
        <w:trPr>
          <w:trHeight w:val="355"/>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10190C21"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Confianza-comercio</w:t>
            </w:r>
          </w:p>
        </w:tc>
        <w:tc>
          <w:tcPr>
            <w:tcW w:w="4258" w:type="dxa"/>
            <w:tcBorders>
              <w:top w:val="nil"/>
              <w:left w:val="single" w:sz="4" w:space="0" w:color="auto"/>
              <w:bottom w:val="nil"/>
              <w:right w:val="single" w:sz="4" w:space="0" w:color="auto"/>
            </w:tcBorders>
            <w:vAlign w:val="center"/>
            <w:hideMark/>
          </w:tcPr>
          <w:p w14:paraId="2BF2F793"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Momento adecuado para invertir del sector comercial</w:t>
            </w:r>
          </w:p>
        </w:tc>
        <w:tc>
          <w:tcPr>
            <w:tcW w:w="2693" w:type="dxa"/>
            <w:tcBorders>
              <w:top w:val="nil"/>
              <w:left w:val="single" w:sz="4" w:space="0" w:color="auto"/>
              <w:bottom w:val="nil"/>
              <w:right w:val="single" w:sz="4" w:space="0" w:color="auto"/>
            </w:tcBorders>
            <w:vAlign w:val="center"/>
            <w:hideMark/>
          </w:tcPr>
          <w:p w14:paraId="231094FA"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INEGI</w:t>
            </w:r>
          </w:p>
        </w:tc>
      </w:tr>
      <w:tr w:rsidR="00A752D3" w:rsidRPr="00A752D3" w14:paraId="07DEC8A2" w14:textId="77777777" w:rsidTr="002043C5">
        <w:trPr>
          <w:trHeight w:val="136"/>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20CCE029"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Confianza-construcción</w:t>
            </w:r>
          </w:p>
        </w:tc>
        <w:tc>
          <w:tcPr>
            <w:tcW w:w="4258" w:type="dxa"/>
            <w:tcBorders>
              <w:top w:val="nil"/>
              <w:left w:val="single" w:sz="4" w:space="0" w:color="auto"/>
              <w:bottom w:val="nil"/>
              <w:right w:val="single" w:sz="4" w:space="0" w:color="auto"/>
            </w:tcBorders>
            <w:vAlign w:val="center"/>
            <w:hideMark/>
          </w:tcPr>
          <w:p w14:paraId="6EC05524"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 xml:space="preserve">Momento adecuado para invertir del sector </w:t>
            </w:r>
            <w:r w:rsidRPr="00EA3186">
              <w:rPr>
                <w:color w:val="000000"/>
                <w:sz w:val="16"/>
                <w:szCs w:val="16"/>
              </w:rPr>
              <w:t>c</w:t>
            </w:r>
            <w:r w:rsidR="00AE2968" w:rsidRPr="00EA3186">
              <w:rPr>
                <w:color w:val="000000"/>
                <w:sz w:val="16"/>
                <w:szCs w:val="16"/>
              </w:rPr>
              <w:t>onstrucción</w:t>
            </w:r>
          </w:p>
        </w:tc>
        <w:tc>
          <w:tcPr>
            <w:tcW w:w="2693" w:type="dxa"/>
            <w:tcBorders>
              <w:top w:val="nil"/>
              <w:left w:val="single" w:sz="4" w:space="0" w:color="auto"/>
              <w:bottom w:val="nil"/>
              <w:right w:val="single" w:sz="4" w:space="0" w:color="auto"/>
            </w:tcBorders>
            <w:vAlign w:val="center"/>
            <w:hideMark/>
          </w:tcPr>
          <w:p w14:paraId="638F3485"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INEGI</w:t>
            </w:r>
          </w:p>
        </w:tc>
      </w:tr>
      <w:tr w:rsidR="002043C5" w:rsidRPr="00A752D3" w14:paraId="5422A392" w14:textId="77777777" w:rsidTr="002043C5">
        <w:trPr>
          <w:trHeight w:val="72"/>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08C39B10"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Confianza-manufacturas</w:t>
            </w:r>
          </w:p>
        </w:tc>
        <w:tc>
          <w:tcPr>
            <w:tcW w:w="4258" w:type="dxa"/>
            <w:tcBorders>
              <w:top w:val="nil"/>
              <w:left w:val="single" w:sz="4" w:space="0" w:color="auto"/>
              <w:bottom w:val="nil"/>
              <w:right w:val="single" w:sz="4" w:space="0" w:color="auto"/>
            </w:tcBorders>
            <w:vAlign w:val="center"/>
            <w:hideMark/>
          </w:tcPr>
          <w:p w14:paraId="53206EBB"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Momento adecuado para invertir de las manufacturas</w:t>
            </w:r>
          </w:p>
        </w:tc>
        <w:tc>
          <w:tcPr>
            <w:tcW w:w="2693" w:type="dxa"/>
            <w:tcBorders>
              <w:top w:val="nil"/>
              <w:left w:val="single" w:sz="4" w:space="0" w:color="auto"/>
              <w:bottom w:val="nil"/>
              <w:right w:val="single" w:sz="4" w:space="0" w:color="auto"/>
            </w:tcBorders>
            <w:vAlign w:val="center"/>
            <w:hideMark/>
          </w:tcPr>
          <w:p w14:paraId="1E44E56F"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INEGI</w:t>
            </w:r>
          </w:p>
        </w:tc>
      </w:tr>
      <w:tr w:rsidR="00A752D3" w:rsidRPr="00A752D3" w14:paraId="1E23E4C2" w14:textId="77777777" w:rsidTr="002043C5">
        <w:trPr>
          <w:trHeight w:val="6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4FEA067C"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Confianza-servicios</w:t>
            </w:r>
          </w:p>
        </w:tc>
        <w:tc>
          <w:tcPr>
            <w:tcW w:w="4258" w:type="dxa"/>
            <w:tcBorders>
              <w:top w:val="nil"/>
              <w:left w:val="single" w:sz="4" w:space="0" w:color="auto"/>
              <w:bottom w:val="nil"/>
              <w:right w:val="single" w:sz="4" w:space="0" w:color="auto"/>
            </w:tcBorders>
            <w:vAlign w:val="center"/>
            <w:hideMark/>
          </w:tcPr>
          <w:p w14:paraId="600792D8"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Momento adecuado para invertir del sector servicios</w:t>
            </w:r>
          </w:p>
        </w:tc>
        <w:tc>
          <w:tcPr>
            <w:tcW w:w="2693" w:type="dxa"/>
            <w:tcBorders>
              <w:top w:val="nil"/>
              <w:left w:val="single" w:sz="4" w:space="0" w:color="auto"/>
              <w:bottom w:val="nil"/>
              <w:right w:val="single" w:sz="4" w:space="0" w:color="auto"/>
            </w:tcBorders>
            <w:vAlign w:val="center"/>
            <w:hideMark/>
          </w:tcPr>
          <w:p w14:paraId="1D995378"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INEGI</w:t>
            </w:r>
          </w:p>
        </w:tc>
      </w:tr>
      <w:tr w:rsidR="002043C5" w:rsidRPr="00A752D3" w14:paraId="351C35B8" w14:textId="77777777" w:rsidTr="002043C5">
        <w:trPr>
          <w:trHeight w:val="6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620BA8DC"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Combustibles-SENER</w:t>
            </w:r>
          </w:p>
        </w:tc>
        <w:tc>
          <w:tcPr>
            <w:tcW w:w="4258" w:type="dxa"/>
            <w:tcBorders>
              <w:top w:val="nil"/>
              <w:left w:val="single" w:sz="4" w:space="0" w:color="auto"/>
              <w:bottom w:val="nil"/>
              <w:right w:val="single" w:sz="4" w:space="0" w:color="auto"/>
            </w:tcBorders>
            <w:vAlign w:val="center"/>
            <w:hideMark/>
          </w:tcPr>
          <w:p w14:paraId="7459FD93"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Demanda de combustibles</w:t>
            </w:r>
          </w:p>
        </w:tc>
        <w:tc>
          <w:tcPr>
            <w:tcW w:w="2693" w:type="dxa"/>
            <w:tcBorders>
              <w:top w:val="nil"/>
              <w:left w:val="single" w:sz="4" w:space="0" w:color="auto"/>
              <w:bottom w:val="nil"/>
              <w:right w:val="single" w:sz="4" w:space="0" w:color="auto"/>
            </w:tcBorders>
            <w:vAlign w:val="center"/>
            <w:hideMark/>
          </w:tcPr>
          <w:p w14:paraId="3B61E1B2"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Secretaría de Energía</w:t>
            </w:r>
          </w:p>
        </w:tc>
      </w:tr>
      <w:tr w:rsidR="002043C5" w:rsidRPr="00A752D3" w14:paraId="6095861E" w14:textId="77777777" w:rsidTr="002043C5">
        <w:trPr>
          <w:trHeight w:val="6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16459555"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Producción industrial</w:t>
            </w:r>
          </w:p>
        </w:tc>
        <w:tc>
          <w:tcPr>
            <w:tcW w:w="4258" w:type="dxa"/>
            <w:tcBorders>
              <w:top w:val="nil"/>
              <w:left w:val="single" w:sz="4" w:space="0" w:color="auto"/>
              <w:bottom w:val="nil"/>
              <w:right w:val="single" w:sz="4" w:space="0" w:color="auto"/>
            </w:tcBorders>
            <w:vAlign w:val="center"/>
            <w:hideMark/>
          </w:tcPr>
          <w:p w14:paraId="067EAE48"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Índice de producción industrial</w:t>
            </w:r>
          </w:p>
        </w:tc>
        <w:tc>
          <w:tcPr>
            <w:tcW w:w="2693" w:type="dxa"/>
            <w:tcBorders>
              <w:top w:val="nil"/>
              <w:left w:val="single" w:sz="4" w:space="0" w:color="auto"/>
              <w:bottom w:val="nil"/>
              <w:right w:val="single" w:sz="4" w:space="0" w:color="auto"/>
            </w:tcBorders>
            <w:vAlign w:val="center"/>
            <w:hideMark/>
          </w:tcPr>
          <w:p w14:paraId="44F0AFD0"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INEGI</w:t>
            </w:r>
          </w:p>
        </w:tc>
      </w:tr>
      <w:tr w:rsidR="002043C5" w:rsidRPr="00A752D3" w14:paraId="41D9E5C1" w14:textId="77777777" w:rsidTr="002043C5">
        <w:trPr>
          <w:trHeight w:val="30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634718A5"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IMSS</w:t>
            </w:r>
          </w:p>
        </w:tc>
        <w:tc>
          <w:tcPr>
            <w:tcW w:w="4258" w:type="dxa"/>
            <w:tcBorders>
              <w:top w:val="nil"/>
              <w:left w:val="single" w:sz="4" w:space="0" w:color="auto"/>
              <w:bottom w:val="nil"/>
              <w:right w:val="single" w:sz="4" w:space="0" w:color="auto"/>
            </w:tcBorders>
            <w:vAlign w:val="center"/>
            <w:hideMark/>
          </w:tcPr>
          <w:p w14:paraId="3989536D"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Asegurados permanentes y eventuales del Seguro Social</w:t>
            </w:r>
          </w:p>
        </w:tc>
        <w:tc>
          <w:tcPr>
            <w:tcW w:w="2693" w:type="dxa"/>
            <w:tcBorders>
              <w:top w:val="nil"/>
              <w:left w:val="single" w:sz="4" w:space="0" w:color="auto"/>
              <w:bottom w:val="nil"/>
              <w:right w:val="single" w:sz="4" w:space="0" w:color="auto"/>
            </w:tcBorders>
            <w:vAlign w:val="center"/>
            <w:hideMark/>
          </w:tcPr>
          <w:p w14:paraId="64523C23"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Instituto Mexicano del Seguro Social</w:t>
            </w:r>
          </w:p>
        </w:tc>
      </w:tr>
      <w:tr w:rsidR="002043C5" w:rsidRPr="00A752D3" w14:paraId="20FA7E89" w14:textId="77777777" w:rsidTr="002043C5">
        <w:trPr>
          <w:trHeight w:val="30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5F4FEB30"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BMV</w:t>
            </w:r>
          </w:p>
        </w:tc>
        <w:tc>
          <w:tcPr>
            <w:tcW w:w="4258" w:type="dxa"/>
            <w:tcBorders>
              <w:top w:val="nil"/>
              <w:left w:val="single" w:sz="4" w:space="0" w:color="auto"/>
              <w:bottom w:val="nil"/>
              <w:right w:val="single" w:sz="4" w:space="0" w:color="auto"/>
            </w:tcBorders>
            <w:vAlign w:val="center"/>
            <w:hideMark/>
          </w:tcPr>
          <w:p w14:paraId="17FE749F"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Índice de precios y cotizaciones de la Bolsa Mexicana de Valores</w:t>
            </w:r>
          </w:p>
        </w:tc>
        <w:tc>
          <w:tcPr>
            <w:tcW w:w="2693" w:type="dxa"/>
            <w:tcBorders>
              <w:top w:val="nil"/>
              <w:left w:val="single" w:sz="4" w:space="0" w:color="auto"/>
              <w:bottom w:val="nil"/>
              <w:right w:val="single" w:sz="4" w:space="0" w:color="auto"/>
            </w:tcBorders>
            <w:vAlign w:val="center"/>
            <w:hideMark/>
          </w:tcPr>
          <w:p w14:paraId="17CCA59F"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Banco de México</w:t>
            </w:r>
          </w:p>
        </w:tc>
      </w:tr>
      <w:tr w:rsidR="002043C5" w:rsidRPr="00A752D3" w14:paraId="5E17AE7E" w14:textId="77777777" w:rsidTr="002043C5">
        <w:trPr>
          <w:trHeight w:val="9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44D502F8"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Producción industrial-EUA</w:t>
            </w:r>
          </w:p>
        </w:tc>
        <w:tc>
          <w:tcPr>
            <w:tcW w:w="4258" w:type="dxa"/>
            <w:tcBorders>
              <w:top w:val="nil"/>
              <w:left w:val="single" w:sz="4" w:space="0" w:color="auto"/>
              <w:bottom w:val="nil"/>
              <w:right w:val="single" w:sz="4" w:space="0" w:color="auto"/>
            </w:tcBorders>
            <w:vAlign w:val="center"/>
            <w:hideMark/>
          </w:tcPr>
          <w:p w14:paraId="3ADFBC96"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Índice de producción industrial de los Estados Unidos</w:t>
            </w:r>
          </w:p>
        </w:tc>
        <w:tc>
          <w:tcPr>
            <w:tcW w:w="2693" w:type="dxa"/>
            <w:tcBorders>
              <w:top w:val="nil"/>
              <w:left w:val="single" w:sz="4" w:space="0" w:color="auto"/>
              <w:bottom w:val="nil"/>
              <w:right w:val="single" w:sz="4" w:space="0" w:color="auto"/>
            </w:tcBorders>
            <w:vAlign w:val="center"/>
            <w:hideMark/>
          </w:tcPr>
          <w:p w14:paraId="34528DD3"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 xml:space="preserve">Bureau </w:t>
            </w:r>
            <w:proofErr w:type="spellStart"/>
            <w:r>
              <w:rPr>
                <w:color w:val="000000"/>
                <w:sz w:val="16"/>
                <w:szCs w:val="16"/>
              </w:rPr>
              <w:t>of</w:t>
            </w:r>
            <w:proofErr w:type="spellEnd"/>
            <w:r>
              <w:rPr>
                <w:color w:val="000000"/>
                <w:sz w:val="16"/>
                <w:szCs w:val="16"/>
              </w:rPr>
              <w:t xml:space="preserve"> </w:t>
            </w:r>
            <w:proofErr w:type="spellStart"/>
            <w:r>
              <w:rPr>
                <w:color w:val="000000"/>
                <w:sz w:val="16"/>
                <w:szCs w:val="16"/>
              </w:rPr>
              <w:t>Economic</w:t>
            </w:r>
            <w:proofErr w:type="spellEnd"/>
            <w:r>
              <w:rPr>
                <w:color w:val="000000"/>
                <w:sz w:val="16"/>
                <w:szCs w:val="16"/>
              </w:rPr>
              <w:t xml:space="preserve"> </w:t>
            </w:r>
            <w:proofErr w:type="spellStart"/>
            <w:r>
              <w:rPr>
                <w:color w:val="000000"/>
                <w:sz w:val="16"/>
                <w:szCs w:val="16"/>
              </w:rPr>
              <w:t>Analysis</w:t>
            </w:r>
            <w:proofErr w:type="spellEnd"/>
            <w:r>
              <w:rPr>
                <w:color w:val="000000"/>
                <w:sz w:val="16"/>
                <w:szCs w:val="16"/>
              </w:rPr>
              <w:t xml:space="preserve"> </w:t>
            </w:r>
          </w:p>
        </w:tc>
      </w:tr>
      <w:tr w:rsidR="00A752D3" w:rsidRPr="00A752D3" w14:paraId="2FB441CE" w14:textId="77777777" w:rsidTr="002043C5">
        <w:trPr>
          <w:trHeight w:val="30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4D8E059E"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 xml:space="preserve">Ventas al </w:t>
            </w:r>
            <w:r w:rsidR="00642588">
              <w:rPr>
                <w:b w:val="0"/>
                <w:bCs w:val="0"/>
                <w:color w:val="000000"/>
                <w:sz w:val="16"/>
                <w:szCs w:val="16"/>
              </w:rPr>
              <w:t>por menor</w:t>
            </w:r>
          </w:p>
        </w:tc>
        <w:tc>
          <w:tcPr>
            <w:tcW w:w="4258" w:type="dxa"/>
            <w:tcBorders>
              <w:top w:val="nil"/>
              <w:left w:val="single" w:sz="4" w:space="0" w:color="auto"/>
              <w:bottom w:val="nil"/>
              <w:right w:val="single" w:sz="4" w:space="0" w:color="auto"/>
            </w:tcBorders>
            <w:vAlign w:val="center"/>
            <w:hideMark/>
          </w:tcPr>
          <w:p w14:paraId="5C7A632D"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Ingresos por suministros de bienes y servicios. Comercio al por menor.</w:t>
            </w:r>
          </w:p>
        </w:tc>
        <w:tc>
          <w:tcPr>
            <w:tcW w:w="2693" w:type="dxa"/>
            <w:tcBorders>
              <w:top w:val="nil"/>
              <w:left w:val="single" w:sz="4" w:space="0" w:color="auto"/>
              <w:bottom w:val="nil"/>
              <w:right w:val="single" w:sz="4" w:space="0" w:color="auto"/>
            </w:tcBorders>
            <w:vAlign w:val="center"/>
            <w:hideMark/>
          </w:tcPr>
          <w:p w14:paraId="5E3B9AF3"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INEGI</w:t>
            </w:r>
          </w:p>
        </w:tc>
      </w:tr>
      <w:tr w:rsidR="00A752D3" w:rsidRPr="00A752D3" w14:paraId="40FDCCC1" w14:textId="77777777" w:rsidTr="002043C5">
        <w:trPr>
          <w:trHeight w:val="271"/>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314D5A66"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Importaciones</w:t>
            </w:r>
          </w:p>
        </w:tc>
        <w:tc>
          <w:tcPr>
            <w:tcW w:w="4258" w:type="dxa"/>
            <w:tcBorders>
              <w:top w:val="nil"/>
              <w:left w:val="single" w:sz="4" w:space="0" w:color="auto"/>
              <w:bottom w:val="nil"/>
              <w:right w:val="single" w:sz="4" w:space="0" w:color="auto"/>
            </w:tcBorders>
            <w:vAlign w:val="center"/>
            <w:hideMark/>
          </w:tcPr>
          <w:p w14:paraId="7F91B75E"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Importaciones totales</w:t>
            </w:r>
          </w:p>
        </w:tc>
        <w:tc>
          <w:tcPr>
            <w:tcW w:w="2693" w:type="dxa"/>
            <w:tcBorders>
              <w:top w:val="nil"/>
              <w:left w:val="single" w:sz="4" w:space="0" w:color="auto"/>
              <w:bottom w:val="nil"/>
              <w:right w:val="single" w:sz="4" w:space="0" w:color="auto"/>
            </w:tcBorders>
            <w:vAlign w:val="center"/>
            <w:hideMark/>
          </w:tcPr>
          <w:p w14:paraId="143499D2"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INEGI</w:t>
            </w:r>
          </w:p>
        </w:tc>
      </w:tr>
      <w:tr w:rsidR="002043C5" w:rsidRPr="00A752D3" w14:paraId="471425C1" w14:textId="77777777" w:rsidTr="002043C5">
        <w:trPr>
          <w:trHeight w:val="6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63A4DC2E"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M4</w:t>
            </w:r>
          </w:p>
        </w:tc>
        <w:tc>
          <w:tcPr>
            <w:tcW w:w="4258" w:type="dxa"/>
            <w:tcBorders>
              <w:top w:val="nil"/>
              <w:left w:val="single" w:sz="4" w:space="0" w:color="auto"/>
              <w:bottom w:val="nil"/>
              <w:right w:val="single" w:sz="4" w:space="0" w:color="auto"/>
            </w:tcBorders>
            <w:vAlign w:val="center"/>
            <w:hideMark/>
          </w:tcPr>
          <w:p w14:paraId="469FC945"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Agregado monetario M4</w:t>
            </w:r>
          </w:p>
        </w:tc>
        <w:tc>
          <w:tcPr>
            <w:tcW w:w="2693" w:type="dxa"/>
            <w:tcBorders>
              <w:top w:val="nil"/>
              <w:left w:val="single" w:sz="4" w:space="0" w:color="auto"/>
              <w:bottom w:val="nil"/>
              <w:right w:val="single" w:sz="4" w:space="0" w:color="auto"/>
            </w:tcBorders>
            <w:vAlign w:val="center"/>
            <w:hideMark/>
          </w:tcPr>
          <w:p w14:paraId="7AF93FDE"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Banco de México</w:t>
            </w:r>
          </w:p>
        </w:tc>
      </w:tr>
      <w:tr w:rsidR="00A752D3" w:rsidRPr="00A752D3" w14:paraId="65CC0F5C" w14:textId="77777777" w:rsidTr="002043C5">
        <w:trPr>
          <w:trHeight w:val="17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6AF92B90"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Movilidad Twitter</w:t>
            </w:r>
          </w:p>
        </w:tc>
        <w:tc>
          <w:tcPr>
            <w:tcW w:w="4258" w:type="dxa"/>
            <w:tcBorders>
              <w:top w:val="nil"/>
              <w:left w:val="single" w:sz="4" w:space="0" w:color="auto"/>
              <w:bottom w:val="nil"/>
              <w:right w:val="single" w:sz="4" w:space="0" w:color="auto"/>
            </w:tcBorders>
            <w:vAlign w:val="center"/>
            <w:hideMark/>
          </w:tcPr>
          <w:p w14:paraId="740913F8"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Índice de movilidad de Twitter</w:t>
            </w:r>
          </w:p>
        </w:tc>
        <w:tc>
          <w:tcPr>
            <w:tcW w:w="2693" w:type="dxa"/>
            <w:tcBorders>
              <w:top w:val="nil"/>
              <w:left w:val="single" w:sz="4" w:space="0" w:color="auto"/>
              <w:bottom w:val="nil"/>
              <w:right w:val="single" w:sz="4" w:space="0" w:color="auto"/>
            </w:tcBorders>
            <w:vAlign w:val="center"/>
            <w:hideMark/>
          </w:tcPr>
          <w:p w14:paraId="1B4FF739"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Elaboración propia con datos de Twitter</w:t>
            </w:r>
          </w:p>
        </w:tc>
      </w:tr>
      <w:tr w:rsidR="00A752D3" w:rsidRPr="00A752D3" w14:paraId="1C75AC4B" w14:textId="77777777" w:rsidTr="002043C5">
        <w:trPr>
          <w:trHeight w:val="6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60762B77"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Ocupación hotelera</w:t>
            </w:r>
          </w:p>
        </w:tc>
        <w:tc>
          <w:tcPr>
            <w:tcW w:w="4258" w:type="dxa"/>
            <w:tcBorders>
              <w:top w:val="nil"/>
              <w:left w:val="single" w:sz="4" w:space="0" w:color="auto"/>
              <w:bottom w:val="nil"/>
              <w:right w:val="single" w:sz="4" w:space="0" w:color="auto"/>
            </w:tcBorders>
            <w:vAlign w:val="center"/>
            <w:hideMark/>
          </w:tcPr>
          <w:p w14:paraId="306E556A"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Ocupación hotelera en corredores y agrupamientos</w:t>
            </w:r>
          </w:p>
        </w:tc>
        <w:tc>
          <w:tcPr>
            <w:tcW w:w="2693" w:type="dxa"/>
            <w:tcBorders>
              <w:top w:val="nil"/>
              <w:left w:val="single" w:sz="4" w:space="0" w:color="auto"/>
              <w:bottom w:val="nil"/>
              <w:right w:val="single" w:sz="4" w:space="0" w:color="auto"/>
            </w:tcBorders>
            <w:vAlign w:val="center"/>
            <w:hideMark/>
          </w:tcPr>
          <w:p w14:paraId="13CF8D8A"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Secretaría de Turismo</w:t>
            </w:r>
          </w:p>
        </w:tc>
      </w:tr>
      <w:tr w:rsidR="002043C5" w:rsidRPr="00A752D3" w14:paraId="0B52D725" w14:textId="77777777" w:rsidTr="002043C5">
        <w:trPr>
          <w:trHeight w:val="108"/>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695F85D2"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Pedidos manufactureros</w:t>
            </w:r>
          </w:p>
        </w:tc>
        <w:tc>
          <w:tcPr>
            <w:tcW w:w="4258" w:type="dxa"/>
            <w:tcBorders>
              <w:top w:val="nil"/>
              <w:left w:val="single" w:sz="4" w:space="0" w:color="auto"/>
              <w:bottom w:val="nil"/>
              <w:right w:val="single" w:sz="4" w:space="0" w:color="auto"/>
            </w:tcBorders>
            <w:vAlign w:val="center"/>
            <w:hideMark/>
          </w:tcPr>
          <w:p w14:paraId="109DBB8F"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Indicador de pedidos manufactureros</w:t>
            </w:r>
          </w:p>
        </w:tc>
        <w:tc>
          <w:tcPr>
            <w:tcW w:w="2693" w:type="dxa"/>
            <w:tcBorders>
              <w:top w:val="nil"/>
              <w:left w:val="single" w:sz="4" w:space="0" w:color="auto"/>
              <w:bottom w:val="nil"/>
              <w:right w:val="single" w:sz="4" w:space="0" w:color="auto"/>
            </w:tcBorders>
            <w:vAlign w:val="center"/>
            <w:hideMark/>
          </w:tcPr>
          <w:p w14:paraId="0E311081"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INEGI</w:t>
            </w:r>
          </w:p>
        </w:tc>
      </w:tr>
      <w:tr w:rsidR="002043C5" w:rsidRPr="00A752D3" w14:paraId="285478D3" w14:textId="77777777" w:rsidTr="002043C5">
        <w:trPr>
          <w:trHeight w:val="30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0414555A"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Producción de vehículos</w:t>
            </w:r>
          </w:p>
        </w:tc>
        <w:tc>
          <w:tcPr>
            <w:tcW w:w="4258" w:type="dxa"/>
            <w:tcBorders>
              <w:top w:val="nil"/>
              <w:left w:val="single" w:sz="4" w:space="0" w:color="auto"/>
              <w:bottom w:val="nil"/>
              <w:right w:val="single" w:sz="4" w:space="0" w:color="auto"/>
            </w:tcBorders>
            <w:vAlign w:val="center"/>
            <w:hideMark/>
          </w:tcPr>
          <w:p w14:paraId="1B1B05EF"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Producción de vehículos automotores</w:t>
            </w:r>
          </w:p>
        </w:tc>
        <w:tc>
          <w:tcPr>
            <w:tcW w:w="2693" w:type="dxa"/>
            <w:tcBorders>
              <w:top w:val="nil"/>
              <w:left w:val="single" w:sz="4" w:space="0" w:color="auto"/>
              <w:bottom w:val="nil"/>
              <w:right w:val="single" w:sz="4" w:space="0" w:color="auto"/>
            </w:tcBorders>
            <w:vAlign w:val="center"/>
            <w:hideMark/>
          </w:tcPr>
          <w:p w14:paraId="76BF6A0D"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INEGI</w:t>
            </w:r>
          </w:p>
        </w:tc>
      </w:tr>
      <w:tr w:rsidR="00A752D3" w:rsidRPr="00A752D3" w14:paraId="306B2E94" w14:textId="77777777" w:rsidTr="002043C5">
        <w:trPr>
          <w:trHeight w:val="6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4BABF31E"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 xml:space="preserve">Remesas </w:t>
            </w:r>
          </w:p>
        </w:tc>
        <w:tc>
          <w:tcPr>
            <w:tcW w:w="4258" w:type="dxa"/>
            <w:tcBorders>
              <w:top w:val="nil"/>
              <w:left w:val="single" w:sz="4" w:space="0" w:color="auto"/>
              <w:bottom w:val="nil"/>
              <w:right w:val="single" w:sz="4" w:space="0" w:color="auto"/>
            </w:tcBorders>
            <w:vAlign w:val="center"/>
            <w:hideMark/>
          </w:tcPr>
          <w:p w14:paraId="1E9AB625"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Remesas familiares</w:t>
            </w:r>
          </w:p>
        </w:tc>
        <w:tc>
          <w:tcPr>
            <w:tcW w:w="2693" w:type="dxa"/>
            <w:tcBorders>
              <w:top w:val="nil"/>
              <w:left w:val="single" w:sz="4" w:space="0" w:color="auto"/>
              <w:bottom w:val="nil"/>
              <w:right w:val="single" w:sz="4" w:space="0" w:color="auto"/>
            </w:tcBorders>
            <w:vAlign w:val="center"/>
            <w:hideMark/>
          </w:tcPr>
          <w:p w14:paraId="304A60AA"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Banco de México</w:t>
            </w:r>
          </w:p>
        </w:tc>
      </w:tr>
      <w:tr w:rsidR="00A752D3" w:rsidRPr="00A752D3" w14:paraId="25239FE3" w14:textId="77777777" w:rsidTr="002043C5">
        <w:trPr>
          <w:trHeight w:val="212"/>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1AE6AEEC"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SP 500</w:t>
            </w:r>
          </w:p>
        </w:tc>
        <w:tc>
          <w:tcPr>
            <w:tcW w:w="4258" w:type="dxa"/>
            <w:tcBorders>
              <w:top w:val="nil"/>
              <w:left w:val="single" w:sz="4" w:space="0" w:color="auto"/>
              <w:bottom w:val="nil"/>
              <w:right w:val="single" w:sz="4" w:space="0" w:color="auto"/>
            </w:tcBorders>
            <w:vAlign w:val="center"/>
            <w:hideMark/>
          </w:tcPr>
          <w:p w14:paraId="1ED14E55"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 xml:space="preserve">Índice Standard &amp; </w:t>
            </w:r>
            <w:proofErr w:type="spellStart"/>
            <w:r>
              <w:rPr>
                <w:color w:val="000000"/>
                <w:sz w:val="16"/>
                <w:szCs w:val="16"/>
              </w:rPr>
              <w:t>Poor’s</w:t>
            </w:r>
            <w:proofErr w:type="spellEnd"/>
          </w:p>
        </w:tc>
        <w:tc>
          <w:tcPr>
            <w:tcW w:w="2693" w:type="dxa"/>
            <w:tcBorders>
              <w:top w:val="nil"/>
              <w:left w:val="single" w:sz="4" w:space="0" w:color="auto"/>
              <w:bottom w:val="nil"/>
              <w:right w:val="single" w:sz="4" w:space="0" w:color="auto"/>
            </w:tcBorders>
            <w:vAlign w:val="center"/>
            <w:hideMark/>
          </w:tcPr>
          <w:p w14:paraId="5EB6C800"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Yahoo! Financiero</w:t>
            </w:r>
          </w:p>
        </w:tc>
      </w:tr>
      <w:tr w:rsidR="00A752D3" w:rsidRPr="00A752D3" w14:paraId="6BE02B31" w14:textId="77777777" w:rsidTr="002043C5">
        <w:trPr>
          <w:trHeight w:val="6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62B992EA"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Empleo de manufacturas</w:t>
            </w:r>
          </w:p>
        </w:tc>
        <w:tc>
          <w:tcPr>
            <w:tcW w:w="4258" w:type="dxa"/>
            <w:tcBorders>
              <w:top w:val="nil"/>
              <w:left w:val="single" w:sz="4" w:space="0" w:color="auto"/>
              <w:bottom w:val="nil"/>
              <w:right w:val="single" w:sz="4" w:space="0" w:color="auto"/>
            </w:tcBorders>
            <w:vAlign w:val="center"/>
            <w:hideMark/>
          </w:tcPr>
          <w:p w14:paraId="044617D8"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Personal ocupado (serie de tenencia)</w:t>
            </w:r>
          </w:p>
        </w:tc>
        <w:tc>
          <w:tcPr>
            <w:tcW w:w="2693" w:type="dxa"/>
            <w:tcBorders>
              <w:top w:val="nil"/>
              <w:left w:val="single" w:sz="4" w:space="0" w:color="auto"/>
              <w:bottom w:val="nil"/>
              <w:right w:val="single" w:sz="4" w:space="0" w:color="auto"/>
            </w:tcBorders>
            <w:vAlign w:val="center"/>
            <w:hideMark/>
          </w:tcPr>
          <w:p w14:paraId="100D5E1D"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INEGI</w:t>
            </w:r>
          </w:p>
        </w:tc>
      </w:tr>
      <w:tr w:rsidR="00A752D3" w:rsidRPr="00A752D3" w14:paraId="03763377" w14:textId="77777777" w:rsidTr="002043C5">
        <w:trPr>
          <w:trHeight w:val="134"/>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11E5DA89"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Tipo de cambio</w:t>
            </w:r>
          </w:p>
        </w:tc>
        <w:tc>
          <w:tcPr>
            <w:tcW w:w="4258" w:type="dxa"/>
            <w:tcBorders>
              <w:top w:val="nil"/>
              <w:left w:val="single" w:sz="4" w:space="0" w:color="auto"/>
              <w:bottom w:val="nil"/>
              <w:right w:val="single" w:sz="4" w:space="0" w:color="auto"/>
            </w:tcBorders>
            <w:vAlign w:val="center"/>
            <w:hideMark/>
          </w:tcPr>
          <w:p w14:paraId="39FD6441"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Tipo de cambio nominal promedio</w:t>
            </w:r>
          </w:p>
        </w:tc>
        <w:tc>
          <w:tcPr>
            <w:tcW w:w="2693" w:type="dxa"/>
            <w:tcBorders>
              <w:top w:val="nil"/>
              <w:left w:val="single" w:sz="4" w:space="0" w:color="auto"/>
              <w:bottom w:val="nil"/>
              <w:right w:val="single" w:sz="4" w:space="0" w:color="auto"/>
            </w:tcBorders>
            <w:vAlign w:val="center"/>
            <w:hideMark/>
          </w:tcPr>
          <w:p w14:paraId="48FBEB14"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Banco de México</w:t>
            </w:r>
          </w:p>
        </w:tc>
      </w:tr>
      <w:tr w:rsidR="00A752D3" w:rsidRPr="00A752D3" w14:paraId="0256D0DF" w14:textId="77777777" w:rsidTr="002043C5">
        <w:trPr>
          <w:trHeight w:val="6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68A0FD7F" w14:textId="77777777" w:rsidR="00A752D3" w:rsidRPr="00642588" w:rsidRDefault="00A752D3" w:rsidP="00A752D3">
            <w:pPr>
              <w:spacing w:before="60" w:after="60"/>
              <w:jc w:val="left"/>
              <w:rPr>
                <w:b w:val="0"/>
                <w:bCs w:val="0"/>
                <w:color w:val="000000"/>
                <w:sz w:val="16"/>
                <w:szCs w:val="16"/>
                <w:lang w:val="es-MX" w:eastAsia="es-MX"/>
              </w:rPr>
            </w:pPr>
            <w:r w:rsidRPr="00642588">
              <w:rPr>
                <w:b w:val="0"/>
                <w:bCs w:val="0"/>
                <w:color w:val="000000"/>
                <w:sz w:val="16"/>
                <w:szCs w:val="16"/>
              </w:rPr>
              <w:t>Desocupación</w:t>
            </w:r>
          </w:p>
        </w:tc>
        <w:tc>
          <w:tcPr>
            <w:tcW w:w="4258" w:type="dxa"/>
            <w:tcBorders>
              <w:top w:val="nil"/>
              <w:left w:val="single" w:sz="4" w:space="0" w:color="auto"/>
              <w:bottom w:val="nil"/>
              <w:right w:val="single" w:sz="4" w:space="0" w:color="auto"/>
            </w:tcBorders>
            <w:vAlign w:val="center"/>
            <w:hideMark/>
          </w:tcPr>
          <w:p w14:paraId="0329E3DB" w14:textId="77777777" w:rsidR="00A752D3" w:rsidRPr="00642588"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sidRPr="00642588">
              <w:rPr>
                <w:color w:val="000000"/>
                <w:sz w:val="16"/>
                <w:szCs w:val="16"/>
              </w:rPr>
              <w:t>Tasa de desocupación en áreas urbanas</w:t>
            </w:r>
          </w:p>
        </w:tc>
        <w:tc>
          <w:tcPr>
            <w:tcW w:w="2693" w:type="dxa"/>
            <w:tcBorders>
              <w:top w:val="nil"/>
              <w:left w:val="single" w:sz="4" w:space="0" w:color="auto"/>
              <w:bottom w:val="nil"/>
              <w:right w:val="single" w:sz="4" w:space="0" w:color="auto"/>
            </w:tcBorders>
            <w:vAlign w:val="center"/>
            <w:hideMark/>
          </w:tcPr>
          <w:p w14:paraId="7916FF8E" w14:textId="77777777" w:rsidR="00A752D3" w:rsidRPr="00642588"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sidRPr="00642588">
              <w:rPr>
                <w:color w:val="000000"/>
                <w:sz w:val="16"/>
                <w:szCs w:val="16"/>
              </w:rPr>
              <w:t>INEGI</w:t>
            </w:r>
          </w:p>
        </w:tc>
      </w:tr>
      <w:tr w:rsidR="002043C5" w:rsidRPr="00A752D3" w14:paraId="3294D47D" w14:textId="77777777" w:rsidTr="002043C5">
        <w:trPr>
          <w:trHeight w:val="6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57979CCE"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TIIE 28</w:t>
            </w:r>
          </w:p>
        </w:tc>
        <w:tc>
          <w:tcPr>
            <w:tcW w:w="4258" w:type="dxa"/>
            <w:tcBorders>
              <w:top w:val="nil"/>
              <w:left w:val="single" w:sz="4" w:space="0" w:color="auto"/>
              <w:bottom w:val="nil"/>
              <w:right w:val="single" w:sz="4" w:space="0" w:color="auto"/>
            </w:tcBorders>
            <w:vAlign w:val="center"/>
            <w:hideMark/>
          </w:tcPr>
          <w:p w14:paraId="6E67619A"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Tasa de interés interbancaria de equilibrio a 28 días</w:t>
            </w:r>
          </w:p>
        </w:tc>
        <w:tc>
          <w:tcPr>
            <w:tcW w:w="2693" w:type="dxa"/>
            <w:tcBorders>
              <w:top w:val="nil"/>
              <w:left w:val="single" w:sz="4" w:space="0" w:color="auto"/>
              <w:bottom w:val="nil"/>
              <w:right w:val="single" w:sz="4" w:space="0" w:color="auto"/>
            </w:tcBorders>
            <w:vAlign w:val="center"/>
            <w:hideMark/>
          </w:tcPr>
          <w:p w14:paraId="0F184ED4"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Banco de México</w:t>
            </w:r>
          </w:p>
        </w:tc>
      </w:tr>
      <w:tr w:rsidR="00A752D3" w:rsidRPr="00A752D3" w14:paraId="3BE8E316" w14:textId="77777777" w:rsidTr="00642588">
        <w:trPr>
          <w:trHeight w:val="6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12A87F1A"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Exportaciones</w:t>
            </w:r>
          </w:p>
        </w:tc>
        <w:tc>
          <w:tcPr>
            <w:tcW w:w="4258" w:type="dxa"/>
            <w:tcBorders>
              <w:top w:val="nil"/>
              <w:left w:val="single" w:sz="4" w:space="0" w:color="auto"/>
              <w:bottom w:val="nil"/>
              <w:right w:val="single" w:sz="4" w:space="0" w:color="auto"/>
            </w:tcBorders>
            <w:vAlign w:val="center"/>
            <w:hideMark/>
          </w:tcPr>
          <w:p w14:paraId="6520CB0E"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Exportaciones totales</w:t>
            </w:r>
          </w:p>
        </w:tc>
        <w:tc>
          <w:tcPr>
            <w:tcW w:w="2693" w:type="dxa"/>
            <w:tcBorders>
              <w:top w:val="nil"/>
              <w:left w:val="single" w:sz="4" w:space="0" w:color="auto"/>
              <w:bottom w:val="nil"/>
              <w:right w:val="single" w:sz="4" w:space="0" w:color="auto"/>
            </w:tcBorders>
            <w:vAlign w:val="center"/>
            <w:hideMark/>
          </w:tcPr>
          <w:p w14:paraId="361AC449"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INEGI</w:t>
            </w:r>
          </w:p>
        </w:tc>
      </w:tr>
      <w:tr w:rsidR="00642588" w:rsidRPr="00A752D3" w14:paraId="74B3A15C" w14:textId="77777777" w:rsidTr="002043C5">
        <w:trPr>
          <w:trHeight w:val="6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single" w:sz="4" w:space="0" w:color="auto"/>
              <w:right w:val="single" w:sz="4" w:space="0" w:color="auto"/>
            </w:tcBorders>
            <w:vAlign w:val="center"/>
          </w:tcPr>
          <w:p w14:paraId="705C902A" w14:textId="77777777" w:rsidR="00642588" w:rsidRPr="00262755" w:rsidRDefault="00642588" w:rsidP="00A752D3">
            <w:pPr>
              <w:spacing w:before="60" w:after="60"/>
              <w:jc w:val="left"/>
              <w:rPr>
                <w:b w:val="0"/>
                <w:bCs w:val="0"/>
                <w:color w:val="000000"/>
                <w:sz w:val="16"/>
                <w:szCs w:val="16"/>
              </w:rPr>
            </w:pPr>
            <w:r w:rsidRPr="00262755">
              <w:rPr>
                <w:b w:val="0"/>
                <w:bCs w:val="0"/>
                <w:color w:val="000000"/>
                <w:sz w:val="16"/>
                <w:szCs w:val="16"/>
              </w:rPr>
              <w:t xml:space="preserve">Google </w:t>
            </w:r>
            <w:proofErr w:type="spellStart"/>
            <w:r w:rsidRPr="00262755">
              <w:rPr>
                <w:b w:val="0"/>
                <w:bCs w:val="0"/>
                <w:color w:val="000000"/>
                <w:sz w:val="16"/>
                <w:szCs w:val="16"/>
              </w:rPr>
              <w:t>Trends</w:t>
            </w:r>
            <w:proofErr w:type="spellEnd"/>
          </w:p>
        </w:tc>
        <w:tc>
          <w:tcPr>
            <w:tcW w:w="4258" w:type="dxa"/>
            <w:tcBorders>
              <w:top w:val="nil"/>
              <w:left w:val="single" w:sz="4" w:space="0" w:color="auto"/>
              <w:bottom w:val="single" w:sz="4" w:space="0" w:color="auto"/>
              <w:right w:val="single" w:sz="4" w:space="0" w:color="auto"/>
            </w:tcBorders>
            <w:vAlign w:val="center"/>
          </w:tcPr>
          <w:p w14:paraId="2A139EE9" w14:textId="77777777" w:rsidR="00642588" w:rsidRPr="00262755" w:rsidRDefault="00642588"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rPr>
            </w:pPr>
            <w:r w:rsidRPr="00262755">
              <w:rPr>
                <w:color w:val="000000"/>
                <w:sz w:val="16"/>
                <w:szCs w:val="16"/>
              </w:rPr>
              <w:t xml:space="preserve">Tópicos relevantes de Google </w:t>
            </w:r>
            <w:proofErr w:type="spellStart"/>
            <w:r w:rsidRPr="00262755">
              <w:rPr>
                <w:color w:val="000000"/>
                <w:sz w:val="16"/>
                <w:szCs w:val="16"/>
              </w:rPr>
              <w:t>Trends</w:t>
            </w:r>
            <w:proofErr w:type="spellEnd"/>
          </w:p>
        </w:tc>
        <w:tc>
          <w:tcPr>
            <w:tcW w:w="2693" w:type="dxa"/>
            <w:tcBorders>
              <w:top w:val="nil"/>
              <w:left w:val="single" w:sz="4" w:space="0" w:color="auto"/>
              <w:bottom w:val="single" w:sz="4" w:space="0" w:color="auto"/>
              <w:right w:val="single" w:sz="4" w:space="0" w:color="auto"/>
            </w:tcBorders>
            <w:vAlign w:val="center"/>
          </w:tcPr>
          <w:p w14:paraId="4DC409AA" w14:textId="77777777" w:rsidR="00642588" w:rsidRPr="00262755" w:rsidRDefault="00642588"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262755">
              <w:rPr>
                <w:color w:val="000000"/>
                <w:sz w:val="16"/>
                <w:szCs w:val="16"/>
              </w:rPr>
              <w:t>Google</w:t>
            </w:r>
          </w:p>
        </w:tc>
      </w:tr>
    </w:tbl>
    <w:p w14:paraId="72DA12EB" w14:textId="2C563664" w:rsidR="004D4987" w:rsidRDefault="004D4987" w:rsidP="00AD6E5A">
      <w:pPr>
        <w:spacing w:before="360" w:after="120"/>
      </w:pPr>
      <w:r w:rsidRPr="00FC70C5">
        <w:t xml:space="preserve">La información contenida en este documento es generada por el INEGI </w:t>
      </w:r>
      <w:r>
        <w:t xml:space="preserve">y </w:t>
      </w:r>
      <w:r w:rsidRPr="00FC70C5">
        <w:t xml:space="preserve">se da a conocer en la fecha establecida en el </w:t>
      </w:r>
      <w:r w:rsidRPr="00FC70C5">
        <w:rPr>
          <w:snapToGrid w:val="0"/>
        </w:rPr>
        <w:t>Calendario de difusión de información estadística y geográfica y de Interés Nacional</w:t>
      </w:r>
      <w:r w:rsidRPr="00FC70C5">
        <w:t>.</w:t>
      </w:r>
    </w:p>
    <w:p w14:paraId="4BD5B749" w14:textId="77777777" w:rsidR="00911985" w:rsidRDefault="00C84375" w:rsidP="00AD6E5A">
      <w:pPr>
        <w:spacing w:before="120"/>
      </w:pPr>
      <w:r w:rsidRPr="00547906">
        <w:t>L</w:t>
      </w:r>
      <w:r w:rsidR="00911985" w:rsidRPr="00547906">
        <w:t>a síntesis metodológica</w:t>
      </w:r>
      <w:r w:rsidRPr="00547906">
        <w:t xml:space="preserve"> puede consultarse en</w:t>
      </w:r>
      <w:r w:rsidR="00322223">
        <w:t>:</w:t>
      </w:r>
      <w:r w:rsidR="00911985" w:rsidRPr="00547906">
        <w:t xml:space="preserve"> </w:t>
      </w:r>
      <w:hyperlink r:id="rId25" w:anchor="Documentacion" w:history="1">
        <w:r w:rsidR="00911985" w:rsidRPr="00AD6E5A">
          <w:rPr>
            <w:rStyle w:val="Hipervnculo"/>
            <w:sz w:val="20"/>
            <w:szCs w:val="20"/>
          </w:rPr>
          <w:t>https://www.inegi.org.mx/investigacion/ioae/#Documentacion</w:t>
        </w:r>
      </w:hyperlink>
      <w:r w:rsidR="00911985" w:rsidRPr="00AD6E5A">
        <w:rPr>
          <w:sz w:val="20"/>
          <w:szCs w:val="20"/>
        </w:rPr>
        <w:t>.</w:t>
      </w:r>
    </w:p>
    <w:p w14:paraId="60E5462E" w14:textId="2A81D243" w:rsidR="00593F5A" w:rsidRPr="001F1169" w:rsidRDefault="00635009" w:rsidP="00C84375">
      <w:pPr>
        <w:pStyle w:val="texto0"/>
        <w:ind w:right="50"/>
        <w:rPr>
          <w:color w:val="auto"/>
        </w:rPr>
      </w:pPr>
      <w:r w:rsidRPr="00DE1840">
        <w:rPr>
          <w:rFonts w:cs="Arial"/>
          <w:color w:val="auto"/>
        </w:rPr>
        <w:t>Las series del I</w:t>
      </w:r>
      <w:r w:rsidR="00D7290B">
        <w:rPr>
          <w:rFonts w:cs="Arial"/>
          <w:color w:val="auto"/>
        </w:rPr>
        <w:t>O</w:t>
      </w:r>
      <w:r w:rsidRPr="00DE1840">
        <w:rPr>
          <w:rFonts w:cs="Arial"/>
          <w:color w:val="auto"/>
        </w:rPr>
        <w:t>AE, p</w:t>
      </w:r>
      <w:r w:rsidR="00553B76">
        <w:rPr>
          <w:rFonts w:cs="Arial"/>
          <w:color w:val="auto"/>
        </w:rPr>
        <w:t>ue</w:t>
      </w:r>
      <w:r w:rsidRPr="00DE1840">
        <w:rPr>
          <w:rFonts w:cs="Arial"/>
          <w:color w:val="auto"/>
        </w:rPr>
        <w:t>d</w:t>
      </w:r>
      <w:r w:rsidR="00553B76">
        <w:rPr>
          <w:rFonts w:cs="Arial"/>
          <w:color w:val="auto"/>
        </w:rPr>
        <w:t>e</w:t>
      </w:r>
      <w:r w:rsidRPr="00DE1840">
        <w:rPr>
          <w:rFonts w:cs="Arial"/>
          <w:color w:val="auto"/>
        </w:rPr>
        <w:t xml:space="preserve">n ser consultadas en </w:t>
      </w:r>
      <w:hyperlink r:id="rId26" w:history="1">
        <w:r w:rsidR="00C84375" w:rsidRPr="00AD6E5A">
          <w:rPr>
            <w:rStyle w:val="Hipervnculo"/>
            <w:sz w:val="20"/>
            <w:szCs w:val="16"/>
          </w:rPr>
          <w:t>http://www.inegi.org.mx/investigacion/ioae/</w:t>
        </w:r>
      </w:hyperlink>
      <w:r w:rsidRPr="00AD6E5A">
        <w:rPr>
          <w:rFonts w:cs="Arial"/>
          <w:color w:val="auto"/>
          <w:sz w:val="20"/>
          <w:szCs w:val="16"/>
        </w:rPr>
        <w:t>,</w:t>
      </w:r>
      <w:r w:rsidRPr="00DE1840">
        <w:rPr>
          <w:rFonts w:cs="Arial"/>
          <w:color w:val="auto"/>
        </w:rPr>
        <w:t xml:space="preserve"> de la página del Instituto en </w:t>
      </w:r>
      <w:r w:rsidR="00553B76">
        <w:rPr>
          <w:rFonts w:cs="Arial"/>
          <w:color w:val="auto"/>
        </w:rPr>
        <w:t>i</w:t>
      </w:r>
      <w:r w:rsidRPr="00DE1840">
        <w:rPr>
          <w:rFonts w:cs="Arial"/>
          <w:color w:val="auto"/>
        </w:rPr>
        <w:t>nternet:</w:t>
      </w:r>
      <w:r w:rsidR="00322223">
        <w:rPr>
          <w:rFonts w:cs="Arial"/>
          <w:color w:val="auto"/>
        </w:rPr>
        <w:t xml:space="preserve"> </w:t>
      </w:r>
      <w:r w:rsidRPr="00AD6E5A">
        <w:rPr>
          <w:rFonts w:cs="Arial"/>
          <w:color w:val="0000FF"/>
          <w:sz w:val="20"/>
          <w:szCs w:val="16"/>
          <w:u w:val="single"/>
          <w:lang w:eastAsia="en-US"/>
        </w:rPr>
        <w:t>https://</w:t>
      </w:r>
      <w:hyperlink r:id="rId27" w:history="1">
        <w:r w:rsidRPr="00AD6E5A">
          <w:rPr>
            <w:rStyle w:val="Hipervnculo"/>
            <w:rFonts w:cs="Arial"/>
            <w:sz w:val="20"/>
            <w:szCs w:val="16"/>
            <w:lang w:eastAsia="en-US"/>
          </w:rPr>
          <w:t>www.inegi.org.mx</w:t>
        </w:r>
      </w:hyperlink>
      <w:r w:rsidRPr="00AD6E5A">
        <w:rPr>
          <w:rFonts w:cs="Arial"/>
          <w:color w:val="0000FF"/>
          <w:sz w:val="20"/>
          <w:szCs w:val="16"/>
          <w:lang w:eastAsia="en-US"/>
        </w:rPr>
        <w:t>.</w:t>
      </w:r>
    </w:p>
    <w:sectPr w:rsidR="00593F5A" w:rsidRPr="001F1169" w:rsidSect="007A1B6B">
      <w:headerReference w:type="default" r:id="rId28"/>
      <w:footerReference w:type="default" r:id="rId29"/>
      <w:pgSz w:w="12242" w:h="15842" w:code="1"/>
      <w:pgMar w:top="1134" w:right="1418" w:bottom="1134" w:left="1418" w:header="567" w:footer="567" w:gutter="0"/>
      <w:paperSrc w:first="258" w:other="258"/>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B9524" w14:textId="77777777" w:rsidR="00C62338" w:rsidRDefault="00C62338">
      <w:r>
        <w:separator/>
      </w:r>
    </w:p>
  </w:endnote>
  <w:endnote w:type="continuationSeparator" w:id="0">
    <w:p w14:paraId="4D8AFD0A" w14:textId="77777777" w:rsidR="00C62338" w:rsidRDefault="00C62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11D47" w14:textId="77777777" w:rsidR="001F5EF4" w:rsidRPr="00975B1E" w:rsidRDefault="001F5EF4" w:rsidP="00975B1E">
    <w:pPr>
      <w:pStyle w:val="Piedepgina"/>
      <w:jc w:val="center"/>
      <w:rPr>
        <w:b/>
        <w:bCs/>
        <w:color w:val="002060"/>
        <w:sz w:val="20"/>
        <w:szCs w:val="20"/>
      </w:rPr>
    </w:pPr>
    <w:r w:rsidRPr="00975B1E">
      <w:rPr>
        <w:b/>
        <w:bCs/>
        <w:color w:val="002060"/>
        <w:sz w:val="20"/>
        <w:szCs w:val="20"/>
      </w:rPr>
      <w:t>COMUNICACIÓN SOCIAL</w:t>
    </w:r>
  </w:p>
  <w:p w14:paraId="499CF027" w14:textId="77777777" w:rsidR="001F5EF4" w:rsidRPr="007B4B63" w:rsidRDefault="001F5EF4" w:rsidP="007B4B63">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B4AD5" w14:textId="77777777" w:rsidR="00C54799" w:rsidRDefault="00C54799"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9AFDC" w14:textId="77777777" w:rsidR="00C62338" w:rsidRDefault="00C62338">
      <w:r>
        <w:separator/>
      </w:r>
    </w:p>
  </w:footnote>
  <w:footnote w:type="continuationSeparator" w:id="0">
    <w:p w14:paraId="2F0C584E" w14:textId="77777777" w:rsidR="00C62338" w:rsidRDefault="00C62338">
      <w:r>
        <w:continuationSeparator/>
      </w:r>
    </w:p>
  </w:footnote>
  <w:footnote w:id="1">
    <w:p w14:paraId="5C62E326" w14:textId="77777777" w:rsidR="0098385E" w:rsidRPr="0098385E" w:rsidRDefault="0098385E" w:rsidP="00DA5F82">
      <w:pPr>
        <w:pStyle w:val="Textonotapie"/>
        <w:ind w:left="142" w:hanging="142"/>
      </w:pPr>
      <w:r w:rsidRPr="004B19FD">
        <w:rPr>
          <w:rStyle w:val="Refdenotaalpie"/>
          <w:sz w:val="18"/>
          <w:szCs w:val="18"/>
        </w:rPr>
        <w:footnoteRef/>
      </w:r>
      <w:r w:rsidRPr="004B19FD">
        <w:t xml:space="preserve"> </w:t>
      </w:r>
      <w:r w:rsidRPr="00262755">
        <w:rPr>
          <w:sz w:val="16"/>
          <w:szCs w:val="16"/>
        </w:rPr>
        <w:t>Estimación oportuna que aprovecha la asociación estadística entre la variable que se desea estimar, en este caso el IGAE, y otras variables más oportunas que ella.</w:t>
      </w:r>
    </w:p>
  </w:footnote>
  <w:footnote w:id="2">
    <w:p w14:paraId="58B1057D" w14:textId="09B11428" w:rsidR="00B456F7" w:rsidRPr="001460DD" w:rsidRDefault="00B456F7" w:rsidP="00B456F7">
      <w:pPr>
        <w:pStyle w:val="Textonotapie"/>
        <w:rPr>
          <w:sz w:val="16"/>
          <w:szCs w:val="16"/>
          <w:lang w:val="es-MX"/>
        </w:rPr>
      </w:pPr>
      <w:r w:rsidRPr="004B19FD">
        <w:rPr>
          <w:rStyle w:val="Refdenotaalpie"/>
          <w:sz w:val="18"/>
          <w:szCs w:val="18"/>
        </w:rPr>
        <w:footnoteRef/>
      </w:r>
      <w:r w:rsidRPr="004B19FD">
        <w:rPr>
          <w:sz w:val="18"/>
          <w:szCs w:val="18"/>
          <w:lang w:val="es-MX"/>
        </w:rPr>
        <w:t xml:space="preserve"> </w:t>
      </w:r>
      <w:r w:rsidRPr="00DA7E1B">
        <w:rPr>
          <w:sz w:val="16"/>
          <w:szCs w:val="16"/>
          <w:lang w:val="es-MX"/>
        </w:rPr>
        <w:t xml:space="preserve">Para las actividades secundarias se presenta únicamente para el mes </w:t>
      </w:r>
      <w:r w:rsidRPr="00CB2958">
        <w:rPr>
          <w:sz w:val="16"/>
          <w:szCs w:val="16"/>
          <w:lang w:val="es-MX"/>
        </w:rPr>
        <w:t xml:space="preserve">de </w:t>
      </w:r>
      <w:r w:rsidR="00FB7F29" w:rsidRPr="00CB2958">
        <w:rPr>
          <w:sz w:val="16"/>
          <w:szCs w:val="16"/>
          <w:lang w:val="es-MX"/>
        </w:rPr>
        <w:t>junio</w:t>
      </w:r>
      <w:r w:rsidRPr="00DA7E1B">
        <w:rPr>
          <w:sz w:val="16"/>
          <w:szCs w:val="16"/>
          <w:lang w:val="es-MX"/>
        </w:rPr>
        <w:t xml:space="preserve"> </w:t>
      </w:r>
      <w:r w:rsidR="00AD330B">
        <w:rPr>
          <w:sz w:val="16"/>
          <w:szCs w:val="16"/>
          <w:lang w:val="es-MX"/>
        </w:rPr>
        <w:t xml:space="preserve">de </w:t>
      </w:r>
      <w:r w:rsidRPr="00DA7E1B">
        <w:rPr>
          <w:sz w:val="16"/>
          <w:szCs w:val="16"/>
          <w:lang w:val="es-MX"/>
        </w:rPr>
        <w:t>20</w:t>
      </w:r>
      <w:r>
        <w:rPr>
          <w:sz w:val="16"/>
          <w:szCs w:val="16"/>
          <w:lang w:val="es-MX"/>
        </w:rPr>
        <w:t>20</w:t>
      </w:r>
      <w:r w:rsidRPr="00DA7E1B">
        <w:rPr>
          <w:sz w:val="16"/>
          <w:szCs w:val="16"/>
          <w:lang w:val="es-MX"/>
        </w:rPr>
        <w:t>-202</w:t>
      </w:r>
      <w:r>
        <w:rPr>
          <w:sz w:val="16"/>
          <w:szCs w:val="16"/>
          <w:lang w:val="es-MX"/>
        </w:rPr>
        <w:t>1</w:t>
      </w:r>
      <w:r w:rsidRPr="00DA7E1B">
        <w:rPr>
          <w:sz w:val="16"/>
          <w:szCs w:val="16"/>
          <w:lang w:val="es-MX"/>
        </w:rPr>
        <w:t>.</w:t>
      </w:r>
    </w:p>
  </w:footnote>
  <w:footnote w:id="3">
    <w:p w14:paraId="1A2C80B4" w14:textId="77777777" w:rsidR="00C54799" w:rsidRPr="004C6A26" w:rsidRDefault="00C54799" w:rsidP="004C6A26">
      <w:pPr>
        <w:pStyle w:val="Textonotapie"/>
        <w:spacing w:after="60"/>
        <w:ind w:left="284" w:hanging="284"/>
        <w:rPr>
          <w:rStyle w:val="pieCar"/>
          <w:lang w:val="es-MX"/>
        </w:rPr>
      </w:pPr>
      <w:r w:rsidRPr="004B19FD">
        <w:rPr>
          <w:rStyle w:val="Refdenotaalpie"/>
          <w:sz w:val="18"/>
          <w:szCs w:val="18"/>
        </w:rPr>
        <w:footnoteRef/>
      </w:r>
      <w:r w:rsidRPr="004B19FD">
        <w:rPr>
          <w:lang w:val="en-US"/>
        </w:rPr>
        <w:t xml:space="preserve"> </w:t>
      </w:r>
      <w:r w:rsidRPr="001460DD">
        <w:rPr>
          <w:sz w:val="16"/>
          <w:szCs w:val="16"/>
          <w:lang w:val="en-US"/>
        </w:rPr>
        <w:tab/>
      </w:r>
      <w:r w:rsidRPr="001460DD">
        <w:rPr>
          <w:rStyle w:val="pieCar"/>
        </w:rPr>
        <w:t xml:space="preserve">Doz, C., Giannone, D., y Reichlin, L. (2011). </w:t>
      </w:r>
      <w:r w:rsidRPr="004C6A26">
        <w:rPr>
          <w:rStyle w:val="pieCar"/>
        </w:rPr>
        <w:t xml:space="preserve">A two-step estimator for large approximate dynamic factor models based on Kalman filtering. </w:t>
      </w:r>
      <w:r w:rsidRPr="007D52F0">
        <w:rPr>
          <w:rStyle w:val="pieCar"/>
          <w:lang w:val="es-MX"/>
        </w:rPr>
        <w:t>Journal of Econometrics, 164(1):188-205.</w:t>
      </w:r>
    </w:p>
  </w:footnote>
  <w:footnote w:id="4">
    <w:p w14:paraId="38522945" w14:textId="77777777" w:rsidR="00C54799" w:rsidRPr="00262755" w:rsidRDefault="00C54799" w:rsidP="004C6A26">
      <w:pPr>
        <w:pStyle w:val="Textonotapie"/>
        <w:spacing w:after="60"/>
        <w:ind w:left="284" w:hanging="284"/>
        <w:jc w:val="left"/>
        <w:rPr>
          <w:sz w:val="16"/>
          <w:szCs w:val="16"/>
          <w:lang w:val="es-MX"/>
        </w:rPr>
      </w:pPr>
      <w:r w:rsidRPr="004B19FD">
        <w:rPr>
          <w:rStyle w:val="Refdenotaalpie"/>
          <w:sz w:val="18"/>
          <w:szCs w:val="18"/>
        </w:rPr>
        <w:footnoteRef/>
      </w:r>
      <w:r w:rsidRPr="004B19FD">
        <w:rPr>
          <w:sz w:val="18"/>
          <w:szCs w:val="18"/>
        </w:rPr>
        <w:t xml:space="preserve"> </w:t>
      </w:r>
      <w:r>
        <w:rPr>
          <w:sz w:val="16"/>
          <w:szCs w:val="16"/>
        </w:rPr>
        <w:tab/>
      </w:r>
      <w:r w:rsidRPr="004C6A26">
        <w:rPr>
          <w:sz w:val="16"/>
          <w:szCs w:val="16"/>
          <w:lang w:val="es-MX"/>
        </w:rPr>
        <w:t xml:space="preserve">Estos supuestos son la estacionariedad en el componente idiosincrático del modelo de factores dinámicos y la no presencia de </w:t>
      </w:r>
      <w:r w:rsidRPr="00262755">
        <w:rPr>
          <w:sz w:val="16"/>
          <w:szCs w:val="16"/>
          <w:lang w:val="es-MX"/>
        </w:rPr>
        <w:t>autocorrelación serial en el modelo de</w:t>
      </w:r>
      <w:r w:rsidRPr="00262755">
        <w:rPr>
          <w:i/>
          <w:iCs/>
          <w:sz w:val="16"/>
          <w:szCs w:val="16"/>
          <w:lang w:val="es-MX"/>
        </w:rPr>
        <w:t xml:space="preserve"> nowcasting</w:t>
      </w:r>
      <w:r w:rsidRPr="00262755">
        <w:rPr>
          <w:sz w:val="16"/>
          <w:szCs w:val="16"/>
          <w:lang w:val="es-MX"/>
        </w:rPr>
        <w:t>.</w:t>
      </w:r>
      <w:r w:rsidR="00457B1E">
        <w:rPr>
          <w:sz w:val="16"/>
          <w:szCs w:val="16"/>
          <w:lang w:val="es-MX"/>
        </w:rPr>
        <w:t xml:space="preserve"> </w:t>
      </w:r>
    </w:p>
  </w:footnote>
  <w:footnote w:id="5">
    <w:p w14:paraId="2C0F828B" w14:textId="77777777" w:rsidR="007D2553" w:rsidRPr="00262755" w:rsidRDefault="007D2553" w:rsidP="007D2553">
      <w:pPr>
        <w:pStyle w:val="pie"/>
        <w:rPr>
          <w:sz w:val="20"/>
          <w:szCs w:val="20"/>
          <w:lang w:val="es-MX"/>
        </w:rPr>
      </w:pPr>
      <w:r w:rsidRPr="007D2553">
        <w:rPr>
          <w:rStyle w:val="Refdenotaalpie"/>
          <w:sz w:val="18"/>
          <w:szCs w:val="18"/>
        </w:rPr>
        <w:footnoteRef/>
      </w:r>
      <w:r w:rsidRPr="007D2553">
        <w:rPr>
          <w:sz w:val="18"/>
          <w:szCs w:val="18"/>
          <w:lang w:val="es-MX"/>
        </w:rPr>
        <w:t xml:space="preserve"> </w:t>
      </w:r>
      <w:r w:rsidRPr="00262755">
        <w:rPr>
          <w:lang w:val="es-MX"/>
        </w:rPr>
        <w:tab/>
        <w:t>Conforme se identifiquen y se tengan disponibles otras fuentes no tradicionales de información de alta oportunidad y frecuencia, se podrán incorporar en modelo toda vez que ayuden a lograr estimaciones más oportunas o precisas.</w:t>
      </w:r>
    </w:p>
  </w:footnote>
  <w:footnote w:id="6">
    <w:p w14:paraId="5BE7D26D" w14:textId="61F2A5A9" w:rsidR="008E4EF4" w:rsidRPr="005C487C" w:rsidRDefault="008E4EF4">
      <w:pPr>
        <w:pStyle w:val="Textonotapie"/>
        <w:rPr>
          <w:sz w:val="16"/>
          <w:szCs w:val="16"/>
        </w:rPr>
      </w:pPr>
      <w:r w:rsidRPr="00DA5F82">
        <w:rPr>
          <w:rStyle w:val="Refdenotaalpie"/>
          <w:sz w:val="18"/>
          <w:szCs w:val="18"/>
        </w:rPr>
        <w:footnoteRef/>
      </w:r>
      <w:r w:rsidRPr="00DA5F82">
        <w:rPr>
          <w:sz w:val="18"/>
          <w:szCs w:val="18"/>
        </w:rPr>
        <w:t xml:space="preserve"> </w:t>
      </w:r>
      <w:r w:rsidRPr="005C487C">
        <w:rPr>
          <w:sz w:val="16"/>
          <w:szCs w:val="16"/>
        </w:rPr>
        <w:t xml:space="preserve">   </w:t>
      </w:r>
      <w:r w:rsidR="00DA5F82">
        <w:rPr>
          <w:sz w:val="16"/>
          <w:szCs w:val="16"/>
        </w:rPr>
        <w:t xml:space="preserve"> </w:t>
      </w:r>
      <w:r w:rsidRPr="005C487C">
        <w:rPr>
          <w:sz w:val="16"/>
          <w:szCs w:val="16"/>
        </w:rPr>
        <w:t xml:space="preserve">Los </w:t>
      </w:r>
      <w:r w:rsidRPr="005C487C">
        <w:rPr>
          <w:i/>
          <w:iCs/>
          <w:sz w:val="16"/>
          <w:szCs w:val="16"/>
        </w:rPr>
        <w:t>nowcasts</w:t>
      </w:r>
      <w:r w:rsidRPr="005C487C">
        <w:rPr>
          <w:sz w:val="16"/>
          <w:szCs w:val="16"/>
        </w:rPr>
        <w:t xml:space="preserve"> son sujetos a revisiones según el error de estimación en periodos de validación cruzada para series de tiempo. Se   </w:t>
      </w:r>
    </w:p>
    <w:p w14:paraId="67808234" w14:textId="022F0C2C" w:rsidR="008E4EF4" w:rsidRPr="005C487C" w:rsidRDefault="008E4EF4">
      <w:pPr>
        <w:pStyle w:val="Textonotapie"/>
        <w:rPr>
          <w:sz w:val="16"/>
          <w:szCs w:val="16"/>
        </w:rPr>
      </w:pPr>
      <w:r w:rsidRPr="005C487C">
        <w:rPr>
          <w:sz w:val="16"/>
          <w:szCs w:val="16"/>
        </w:rPr>
        <w:t xml:space="preserve">     </w:t>
      </w:r>
      <w:r w:rsidR="00DA5F82">
        <w:rPr>
          <w:sz w:val="16"/>
          <w:szCs w:val="16"/>
        </w:rPr>
        <w:t xml:space="preserve"> </w:t>
      </w:r>
      <w:r w:rsidRPr="005C487C">
        <w:rPr>
          <w:sz w:val="16"/>
          <w:szCs w:val="16"/>
        </w:rPr>
        <w:t xml:space="preserve">pueden utilizar métodos de reconciliación de cifras cuando el error de estimación sea menor respecto a métodos directos de </w:t>
      </w:r>
    </w:p>
    <w:p w14:paraId="480FE03A" w14:textId="5DEDADBD" w:rsidR="00457B1E" w:rsidRPr="005C487C" w:rsidRDefault="008E4EF4">
      <w:pPr>
        <w:pStyle w:val="Textonotapie"/>
        <w:rPr>
          <w:sz w:val="16"/>
          <w:szCs w:val="16"/>
        </w:rPr>
      </w:pPr>
      <w:r w:rsidRPr="005C487C">
        <w:rPr>
          <w:sz w:val="16"/>
          <w:szCs w:val="16"/>
        </w:rPr>
        <w:t xml:space="preserve">     </w:t>
      </w:r>
      <w:r w:rsidR="00DA5F82">
        <w:rPr>
          <w:sz w:val="16"/>
          <w:szCs w:val="16"/>
        </w:rPr>
        <w:t xml:space="preserve"> </w:t>
      </w:r>
      <w:r w:rsidRPr="005C487C">
        <w:rPr>
          <w:sz w:val="16"/>
          <w:szCs w:val="16"/>
        </w:rPr>
        <w:t>estimación</w:t>
      </w:r>
      <w:r w:rsidR="00FE559F" w:rsidRPr="005C487C">
        <w:rPr>
          <w:sz w:val="16"/>
          <w:szCs w:val="16"/>
        </w:rPr>
        <w:t xml:space="preserve"> y modelos de </w:t>
      </w:r>
      <w:r w:rsidR="00FE559F" w:rsidRPr="005C487C">
        <w:rPr>
          <w:i/>
          <w:iCs/>
          <w:sz w:val="16"/>
          <w:szCs w:val="16"/>
        </w:rPr>
        <w:t>nowcasting</w:t>
      </w:r>
      <w:r w:rsidR="00FE559F" w:rsidRPr="005C487C">
        <w:rPr>
          <w:sz w:val="16"/>
          <w:szCs w:val="16"/>
        </w:rPr>
        <w:t xml:space="preserve"> con diferentes especificaciones: niveles, variaciones porcentuales mensuales o anuales</w:t>
      </w:r>
      <w:r w:rsidR="005331F3" w:rsidRPr="005C487C">
        <w:rPr>
          <w:sz w:val="16"/>
          <w:szCs w:val="16"/>
        </w:rPr>
        <w:t>;</w:t>
      </w:r>
      <w:r w:rsidR="00457B1E" w:rsidRPr="005C487C">
        <w:rPr>
          <w:sz w:val="16"/>
          <w:szCs w:val="16"/>
        </w:rPr>
        <w:t xml:space="preserve"> </w:t>
      </w:r>
    </w:p>
    <w:p w14:paraId="2419FB05" w14:textId="19AEB1F4" w:rsidR="008E4EF4" w:rsidRPr="008E4EF4" w:rsidRDefault="00457B1E" w:rsidP="007D2553">
      <w:pPr>
        <w:pStyle w:val="Textonotapie"/>
        <w:spacing w:after="60"/>
        <w:rPr>
          <w:sz w:val="16"/>
          <w:szCs w:val="16"/>
        </w:rPr>
      </w:pPr>
      <w:r w:rsidRPr="005C487C">
        <w:rPr>
          <w:sz w:val="16"/>
          <w:szCs w:val="16"/>
        </w:rPr>
        <w:t xml:space="preserve">     </w:t>
      </w:r>
      <w:r w:rsidR="00DA5F82">
        <w:rPr>
          <w:sz w:val="16"/>
          <w:szCs w:val="16"/>
        </w:rPr>
        <w:t xml:space="preserve"> </w:t>
      </w:r>
      <w:r w:rsidRPr="005C487C">
        <w:rPr>
          <w:sz w:val="16"/>
          <w:szCs w:val="16"/>
        </w:rPr>
        <w:t xml:space="preserve">esto para la realización de los </w:t>
      </w:r>
      <w:r w:rsidRPr="005C487C">
        <w:rPr>
          <w:i/>
          <w:iCs/>
          <w:sz w:val="16"/>
          <w:szCs w:val="16"/>
        </w:rPr>
        <w:t xml:space="preserve">nowcasts </w:t>
      </w:r>
      <w:r w:rsidRPr="005C487C">
        <w:rPr>
          <w:sz w:val="16"/>
          <w:szCs w:val="16"/>
        </w:rPr>
        <w:t>y modelos de explicación</w:t>
      </w:r>
      <w:r w:rsidR="003B5DAC" w:rsidRPr="005C487C">
        <w:rPr>
          <w:sz w:val="16"/>
          <w:szCs w:val="16"/>
        </w:rPr>
        <w:t>.</w:t>
      </w:r>
    </w:p>
  </w:footnote>
  <w:footnote w:id="7">
    <w:p w14:paraId="13BFC284" w14:textId="77777777" w:rsidR="00C54799" w:rsidRPr="004C6A26" w:rsidRDefault="00C54799" w:rsidP="004C6A26">
      <w:pPr>
        <w:pStyle w:val="pie"/>
        <w:rPr>
          <w:lang w:val="es-MX"/>
        </w:rPr>
      </w:pPr>
      <w:r w:rsidRPr="00DA5F82">
        <w:rPr>
          <w:rStyle w:val="Refdenotaalpie"/>
          <w:sz w:val="18"/>
          <w:szCs w:val="18"/>
          <w:lang w:val="es-MX"/>
        </w:rPr>
        <w:footnoteRef/>
      </w:r>
      <w:r w:rsidRPr="00262755">
        <w:rPr>
          <w:lang w:val="es-MX"/>
        </w:rPr>
        <w:t xml:space="preserve"> </w:t>
      </w:r>
      <w:r w:rsidRPr="00262755">
        <w:rPr>
          <w:lang w:val="es-MX"/>
        </w:rPr>
        <w:tab/>
        <w:t xml:space="preserve">Los intervalos de confianza no son necesariamente simétricos debido a que su estimación considera </w:t>
      </w:r>
      <w:r w:rsidR="00D131E0" w:rsidRPr="00262755">
        <w:rPr>
          <w:lang w:val="es-MX"/>
        </w:rPr>
        <w:t>la mediana</w:t>
      </w:r>
      <w:r w:rsidRPr="00262755">
        <w:rPr>
          <w:lang w:val="es-MX"/>
        </w:rPr>
        <w:t xml:space="preserve"> de</w:t>
      </w:r>
      <w:r w:rsidR="00D131E0" w:rsidRPr="00262755">
        <w:rPr>
          <w:lang w:val="es-MX"/>
        </w:rPr>
        <w:t xml:space="preserve"> los intervalos</w:t>
      </w:r>
      <w:r w:rsidR="003F3DC1" w:rsidRPr="00262755">
        <w:rPr>
          <w:lang w:val="es-MX"/>
        </w:rPr>
        <w:t xml:space="preserve"> inferior y superior</w:t>
      </w:r>
      <w:r w:rsidR="00D131E0" w:rsidRPr="00262755">
        <w:rPr>
          <w:lang w:val="es-MX"/>
        </w:rPr>
        <w:t xml:space="preserve"> al 95%</w:t>
      </w:r>
      <w:r w:rsidRPr="00262755">
        <w:rPr>
          <w:lang w:val="es-MX"/>
        </w:rPr>
        <w:t xml:space="preserve">, </w:t>
      </w:r>
      <w:r w:rsidR="00D131E0" w:rsidRPr="00262755">
        <w:rPr>
          <w:lang w:val="es-MX"/>
        </w:rPr>
        <w:t xml:space="preserve">para los modelos que, </w:t>
      </w:r>
      <w:r w:rsidRPr="00262755">
        <w:rPr>
          <w:lang w:val="es-MX"/>
        </w:rPr>
        <w:t xml:space="preserve">en datos de prueba, </w:t>
      </w:r>
      <w:r w:rsidR="003547B5" w:rsidRPr="00262755">
        <w:rPr>
          <w:lang w:val="es-MX"/>
        </w:rPr>
        <w:t xml:space="preserve">otorgan </w:t>
      </w:r>
      <w:r w:rsidR="003547B5" w:rsidRPr="00262755">
        <w:rPr>
          <w:i/>
          <w:iCs/>
          <w:lang w:val="es-MX"/>
        </w:rPr>
        <w:t>nowcasts</w:t>
      </w:r>
      <w:r w:rsidR="003547B5" w:rsidRPr="00262755">
        <w:rPr>
          <w:lang w:val="es-MX"/>
        </w:rPr>
        <w:t xml:space="preserve"> con errores e</w:t>
      </w:r>
      <w:r w:rsidRPr="00262755">
        <w:rPr>
          <w:lang w:val="es-MX"/>
        </w:rPr>
        <w:t>stadísticamente igual</w:t>
      </w:r>
      <w:r w:rsidR="0073570D" w:rsidRPr="00262755">
        <w:rPr>
          <w:lang w:val="es-MX"/>
        </w:rPr>
        <w:t>es</w:t>
      </w:r>
      <w:r w:rsidRPr="00262755">
        <w:rPr>
          <w:lang w:val="es-MX"/>
        </w:rPr>
        <w:t xml:space="preserve"> según la prueba de Diebold-Mariano.</w:t>
      </w:r>
    </w:p>
  </w:footnote>
  <w:footnote w:id="8">
    <w:p w14:paraId="3E95F14F" w14:textId="5E811926" w:rsidR="00642588" w:rsidRPr="00642588" w:rsidRDefault="00642588" w:rsidP="00DA5F82">
      <w:pPr>
        <w:pStyle w:val="Textonotapie"/>
        <w:ind w:left="284" w:hanging="284"/>
        <w:rPr>
          <w:sz w:val="16"/>
          <w:szCs w:val="16"/>
          <w:lang w:val="es-MX"/>
        </w:rPr>
      </w:pPr>
      <w:r w:rsidRPr="00DA5F82">
        <w:rPr>
          <w:rStyle w:val="Refdenotaalpie"/>
          <w:sz w:val="18"/>
          <w:szCs w:val="18"/>
        </w:rPr>
        <w:footnoteRef/>
      </w:r>
      <w:r w:rsidRPr="00DA5F82">
        <w:rPr>
          <w:sz w:val="18"/>
          <w:szCs w:val="18"/>
        </w:rPr>
        <w:t xml:space="preserve"> </w:t>
      </w:r>
      <w:r w:rsidR="00DA5F82">
        <w:rPr>
          <w:sz w:val="18"/>
          <w:szCs w:val="18"/>
        </w:rPr>
        <w:t xml:space="preserve">  </w:t>
      </w:r>
      <w:r w:rsidRPr="00262755">
        <w:rPr>
          <w:sz w:val="16"/>
          <w:szCs w:val="16"/>
          <w:lang w:val="es-MX"/>
        </w:rPr>
        <w:t>El número de variables</w:t>
      </w:r>
      <w:r w:rsidR="00A70230" w:rsidRPr="00262755">
        <w:rPr>
          <w:sz w:val="16"/>
          <w:szCs w:val="16"/>
          <w:lang w:val="es-MX"/>
        </w:rPr>
        <w:t>, y por lo tanto</w:t>
      </w:r>
      <w:r w:rsidR="0073570D" w:rsidRPr="00262755">
        <w:rPr>
          <w:sz w:val="16"/>
          <w:szCs w:val="16"/>
          <w:lang w:val="es-MX"/>
        </w:rPr>
        <w:t xml:space="preserve"> las </w:t>
      </w:r>
      <w:r w:rsidR="00532DE3" w:rsidRPr="00262755">
        <w:rPr>
          <w:sz w:val="16"/>
          <w:szCs w:val="16"/>
          <w:lang w:val="es-MX"/>
        </w:rPr>
        <w:t>series de tiempo</w:t>
      </w:r>
      <w:r w:rsidR="0073570D" w:rsidRPr="00262755">
        <w:rPr>
          <w:sz w:val="16"/>
          <w:szCs w:val="16"/>
          <w:lang w:val="es-MX"/>
        </w:rPr>
        <w:t xml:space="preserve"> efectivamente consideradas en la estimación del modelo</w:t>
      </w:r>
      <w:r w:rsidRPr="00262755">
        <w:rPr>
          <w:sz w:val="16"/>
          <w:szCs w:val="16"/>
          <w:lang w:val="es-MX"/>
        </w:rPr>
        <w:t xml:space="preserve"> puede modificarse conforme se disminuya el error de estimación en el periodo de validación cruzada, fase en la cual se seleccionan los modelos de </w:t>
      </w:r>
      <w:r w:rsidRPr="00262755">
        <w:rPr>
          <w:i/>
          <w:iCs/>
          <w:sz w:val="16"/>
          <w:szCs w:val="16"/>
          <w:lang w:val="es-MX"/>
        </w:rPr>
        <w:t>nowcasting</w:t>
      </w:r>
      <w:r w:rsidRPr="00262755">
        <w:rPr>
          <w:sz w:val="16"/>
          <w:szCs w:val="16"/>
          <w:lang w:val="es-MX"/>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D3F0E" w14:textId="4E998681" w:rsidR="001F5EF4" w:rsidRPr="00306ECD" w:rsidRDefault="001F5EF4" w:rsidP="00A00E51">
    <w:pPr>
      <w:pStyle w:val="Encabezado"/>
      <w:ind w:right="-518"/>
      <w:jc w:val="right"/>
      <w:rPr>
        <w:b/>
        <w:color w:val="002060"/>
        <w:lang w:val="pt-BR"/>
      </w:rPr>
    </w:pPr>
    <w:r>
      <w:rPr>
        <w:noProof/>
        <w:lang w:eastAsia="es-MX"/>
      </w:rPr>
      <w:drawing>
        <wp:anchor distT="0" distB="0" distL="114300" distR="114300" simplePos="0" relativeHeight="251659264" behindDoc="0" locked="0" layoutInCell="1" allowOverlap="1" wp14:anchorId="725E44DE" wp14:editId="54933950">
          <wp:simplePos x="0" y="0"/>
          <wp:positionH relativeFrom="margin">
            <wp:posOffset>-114935</wp:posOffset>
          </wp:positionH>
          <wp:positionV relativeFrom="margin">
            <wp:posOffset>-1101725</wp:posOffset>
          </wp:positionV>
          <wp:extent cx="747395" cy="777875"/>
          <wp:effectExtent l="0" t="0" r="0" b="3175"/>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395" cy="7778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7F12D1">
      <w:rPr>
        <w:b/>
        <w:color w:val="002060"/>
      </w:rPr>
      <w:t>386</w:t>
    </w:r>
    <w:r w:rsidRPr="00306ECD">
      <w:rPr>
        <w:b/>
        <w:color w:val="002060"/>
      </w:rPr>
      <w:t>/2</w:t>
    </w:r>
    <w:r>
      <w:rPr>
        <w:b/>
        <w:color w:val="002060"/>
      </w:rPr>
      <w:t>1</w:t>
    </w:r>
  </w:p>
  <w:p w14:paraId="50B8A30C" w14:textId="77777777" w:rsidR="001F5EF4" w:rsidRPr="00306ECD" w:rsidRDefault="001F5EF4" w:rsidP="007B4B63">
    <w:pPr>
      <w:pStyle w:val="Encabezado"/>
      <w:ind w:left="-567" w:right="-518"/>
      <w:jc w:val="right"/>
      <w:rPr>
        <w:b/>
        <w:color w:val="002060"/>
        <w:lang w:val="pt-BR"/>
      </w:rPr>
    </w:pPr>
    <w:r>
      <w:rPr>
        <w:b/>
        <w:color w:val="002060"/>
        <w:lang w:val="pt-BR"/>
      </w:rPr>
      <w:t>19</w:t>
    </w:r>
    <w:r w:rsidRPr="00306ECD">
      <w:rPr>
        <w:b/>
        <w:color w:val="002060"/>
        <w:lang w:val="pt-BR"/>
      </w:rPr>
      <w:t xml:space="preserve"> DE </w:t>
    </w:r>
    <w:r>
      <w:rPr>
        <w:b/>
        <w:color w:val="002060"/>
        <w:lang w:val="pt-BR"/>
      </w:rPr>
      <w:t xml:space="preserve">JULIO </w:t>
    </w:r>
    <w:r w:rsidRPr="00306ECD">
      <w:rPr>
        <w:b/>
        <w:color w:val="002060"/>
        <w:lang w:val="pt-BR"/>
      </w:rPr>
      <w:t>DE 202</w:t>
    </w:r>
    <w:r>
      <w:rPr>
        <w:b/>
        <w:color w:val="002060"/>
        <w:lang w:val="pt-BR"/>
      </w:rPr>
      <w:t>1</w:t>
    </w:r>
  </w:p>
  <w:p w14:paraId="5653EE95" w14:textId="77777777" w:rsidR="001F5EF4" w:rsidRPr="00306ECD" w:rsidRDefault="001F5EF4" w:rsidP="007B4B63">
    <w:pPr>
      <w:pStyle w:val="Encabezado"/>
      <w:ind w:left="-567" w:right="-518"/>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/1</w:t>
    </w:r>
  </w:p>
  <w:p w14:paraId="6CF4A131" w14:textId="77777777" w:rsidR="001F5EF4" w:rsidRDefault="001F5EF4" w:rsidP="00395855">
    <w:pPr>
      <w:pStyle w:val="Encabezado"/>
      <w:jc w:val="center"/>
    </w:pPr>
  </w:p>
  <w:p w14:paraId="7FD8D78C" w14:textId="77777777" w:rsidR="001F5EF4" w:rsidRDefault="001F5EF4" w:rsidP="00395855">
    <w:pPr>
      <w:pStyle w:val="Encabezado"/>
      <w:jc w:val="center"/>
    </w:pPr>
  </w:p>
  <w:p w14:paraId="3CD214B7" w14:textId="77777777" w:rsidR="001F5EF4" w:rsidRDefault="001F5EF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86DFC" w14:textId="1610E6CA" w:rsidR="00C54799" w:rsidRDefault="00C54799" w:rsidP="001F5EF4">
    <w:pPr>
      <w:pStyle w:val="Encabezado"/>
      <w:jc w:val="center"/>
      <w:rPr>
        <w:noProof/>
        <w:lang w:val="es-MX" w:eastAsia="es-MX"/>
      </w:rPr>
    </w:pPr>
    <w:r>
      <w:rPr>
        <w:noProof/>
        <w:lang w:val="es-MX" w:eastAsia="es-MX"/>
      </w:rPr>
      <w:drawing>
        <wp:inline distT="0" distB="0" distL="0" distR="0" wp14:anchorId="60F8F539" wp14:editId="49E474D5">
          <wp:extent cx="1008000" cy="988597"/>
          <wp:effectExtent l="0" t="0" r="1905" b="2540"/>
          <wp:docPr id="5" name="Imagen 5"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08000" cy="988597"/>
                  </a:xfrm>
                  <a:prstGeom prst="rect">
                    <a:avLst/>
                  </a:prstGeom>
                  <a:noFill/>
                  <a:ln>
                    <a:noFill/>
                  </a:ln>
                </pic:spPr>
              </pic:pic>
            </a:graphicData>
          </a:graphic>
        </wp:inline>
      </w:drawing>
    </w:r>
  </w:p>
  <w:p w14:paraId="5CD02D51" w14:textId="77777777" w:rsidR="00C54799" w:rsidRDefault="00C54799" w:rsidP="003702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744799E"/>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481B71"/>
    <w:multiLevelType w:val="singleLevel"/>
    <w:tmpl w:val="C6D685E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18F7258"/>
    <w:multiLevelType w:val="hybridMultilevel"/>
    <w:tmpl w:val="B804E3E6"/>
    <w:lvl w:ilvl="0" w:tplc="080A0001">
      <w:start w:val="1"/>
      <w:numFmt w:val="bullet"/>
      <w:lvlText w:val=""/>
      <w:lvlJc w:val="left"/>
      <w:pPr>
        <w:ind w:left="2628" w:hanging="360"/>
      </w:pPr>
      <w:rPr>
        <w:rFonts w:ascii="Symbol" w:hAnsi="Symbol" w:hint="default"/>
      </w:rPr>
    </w:lvl>
    <w:lvl w:ilvl="1" w:tplc="080A0003" w:tentative="1">
      <w:start w:val="1"/>
      <w:numFmt w:val="bullet"/>
      <w:lvlText w:val="o"/>
      <w:lvlJc w:val="left"/>
      <w:pPr>
        <w:ind w:left="3348" w:hanging="360"/>
      </w:pPr>
      <w:rPr>
        <w:rFonts w:ascii="Courier New" w:hAnsi="Courier New" w:cs="Courier New" w:hint="default"/>
      </w:rPr>
    </w:lvl>
    <w:lvl w:ilvl="2" w:tplc="080A0005" w:tentative="1">
      <w:start w:val="1"/>
      <w:numFmt w:val="bullet"/>
      <w:lvlText w:val=""/>
      <w:lvlJc w:val="left"/>
      <w:pPr>
        <w:ind w:left="4068" w:hanging="360"/>
      </w:pPr>
      <w:rPr>
        <w:rFonts w:ascii="Wingdings" w:hAnsi="Wingdings" w:hint="default"/>
      </w:rPr>
    </w:lvl>
    <w:lvl w:ilvl="3" w:tplc="080A0001" w:tentative="1">
      <w:start w:val="1"/>
      <w:numFmt w:val="bullet"/>
      <w:lvlText w:val=""/>
      <w:lvlJc w:val="left"/>
      <w:pPr>
        <w:ind w:left="4788" w:hanging="360"/>
      </w:pPr>
      <w:rPr>
        <w:rFonts w:ascii="Symbol" w:hAnsi="Symbol" w:hint="default"/>
      </w:rPr>
    </w:lvl>
    <w:lvl w:ilvl="4" w:tplc="080A0003" w:tentative="1">
      <w:start w:val="1"/>
      <w:numFmt w:val="bullet"/>
      <w:lvlText w:val="o"/>
      <w:lvlJc w:val="left"/>
      <w:pPr>
        <w:ind w:left="5508" w:hanging="360"/>
      </w:pPr>
      <w:rPr>
        <w:rFonts w:ascii="Courier New" w:hAnsi="Courier New" w:cs="Courier New" w:hint="default"/>
      </w:rPr>
    </w:lvl>
    <w:lvl w:ilvl="5" w:tplc="080A0005" w:tentative="1">
      <w:start w:val="1"/>
      <w:numFmt w:val="bullet"/>
      <w:lvlText w:val=""/>
      <w:lvlJc w:val="left"/>
      <w:pPr>
        <w:ind w:left="6228" w:hanging="360"/>
      </w:pPr>
      <w:rPr>
        <w:rFonts w:ascii="Wingdings" w:hAnsi="Wingdings" w:hint="default"/>
      </w:rPr>
    </w:lvl>
    <w:lvl w:ilvl="6" w:tplc="080A0001" w:tentative="1">
      <w:start w:val="1"/>
      <w:numFmt w:val="bullet"/>
      <w:lvlText w:val=""/>
      <w:lvlJc w:val="left"/>
      <w:pPr>
        <w:ind w:left="6948" w:hanging="360"/>
      </w:pPr>
      <w:rPr>
        <w:rFonts w:ascii="Symbol" w:hAnsi="Symbol" w:hint="default"/>
      </w:rPr>
    </w:lvl>
    <w:lvl w:ilvl="7" w:tplc="080A0003" w:tentative="1">
      <w:start w:val="1"/>
      <w:numFmt w:val="bullet"/>
      <w:lvlText w:val="o"/>
      <w:lvlJc w:val="left"/>
      <w:pPr>
        <w:ind w:left="7668" w:hanging="360"/>
      </w:pPr>
      <w:rPr>
        <w:rFonts w:ascii="Courier New" w:hAnsi="Courier New" w:cs="Courier New" w:hint="default"/>
      </w:rPr>
    </w:lvl>
    <w:lvl w:ilvl="8" w:tplc="080A0005" w:tentative="1">
      <w:start w:val="1"/>
      <w:numFmt w:val="bullet"/>
      <w:lvlText w:val=""/>
      <w:lvlJc w:val="left"/>
      <w:pPr>
        <w:ind w:left="8388" w:hanging="360"/>
      </w:pPr>
      <w:rPr>
        <w:rFonts w:ascii="Wingdings" w:hAnsi="Wingding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DE4635B"/>
    <w:multiLevelType w:val="singleLevel"/>
    <w:tmpl w:val="A744799E"/>
    <w:lvl w:ilvl="0">
      <w:numFmt w:val="decimal"/>
      <w:lvlText w:val="*"/>
      <w:lvlJc w:val="left"/>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14E6786"/>
    <w:multiLevelType w:val="hybridMultilevel"/>
    <w:tmpl w:val="29B2E630"/>
    <w:lvl w:ilvl="0" w:tplc="25C45548">
      <w:numFmt w:val="bullet"/>
      <w:lvlText w:val="-"/>
      <w:lvlJc w:val="left"/>
      <w:pPr>
        <w:ind w:left="1068" w:hanging="360"/>
      </w:pPr>
      <w:rPr>
        <w:rFonts w:ascii="Arial" w:eastAsiaTheme="minorHAnsi" w:hAnsi="Arial" w:cs="Arial"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15"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7D42170"/>
    <w:multiLevelType w:val="hybridMultilevel"/>
    <w:tmpl w:val="FA8443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952664E"/>
    <w:multiLevelType w:val="hybridMultilevel"/>
    <w:tmpl w:val="0380A530"/>
    <w:lvl w:ilvl="0" w:tplc="4E22E71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0"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7"/>
  </w:num>
  <w:num w:numId="6">
    <w:abstractNumId w:val="1"/>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8"/>
  </w:num>
  <w:num w:numId="12">
    <w:abstractNumId w:val="19"/>
  </w:num>
  <w:num w:numId="13">
    <w:abstractNumId w:val="20"/>
  </w:num>
  <w:num w:numId="14">
    <w:abstractNumId w:val="11"/>
  </w:num>
  <w:num w:numId="15">
    <w:abstractNumId w:val="8"/>
  </w:num>
  <w:num w:numId="16">
    <w:abstractNumId w:val="15"/>
  </w:num>
  <w:num w:numId="17">
    <w:abstractNumId w:val="10"/>
  </w:num>
  <w:num w:numId="18">
    <w:abstractNumId w:val="13"/>
  </w:num>
  <w:num w:numId="19">
    <w:abstractNumId w:val="5"/>
  </w:num>
  <w:num w:numId="20">
    <w:abstractNumId w:val="2"/>
  </w:num>
  <w:num w:numId="21">
    <w:abstractNumId w:val="0"/>
    <w:lvlOverride w:ilvl="0">
      <w:lvl w:ilvl="0">
        <w:start w:val="1"/>
        <w:numFmt w:val="bullet"/>
        <w:lvlText w:val=""/>
        <w:legacy w:legacy="1" w:legacySpace="0" w:legacyIndent="360"/>
        <w:lvlJc w:val="left"/>
        <w:pPr>
          <w:ind w:left="2628" w:hanging="360"/>
        </w:pPr>
        <w:rPr>
          <w:rFonts w:ascii="Symbol" w:hAnsi="Symbol" w:hint="default"/>
          <w:color w:val="auto"/>
        </w:rPr>
      </w:lvl>
    </w:lvlOverride>
  </w:num>
  <w:num w:numId="22">
    <w:abstractNumId w:val="9"/>
  </w:num>
  <w:num w:numId="23">
    <w:abstractNumId w:val="12"/>
  </w:num>
  <w:num w:numId="24">
    <w:abstractNumId w:val="14"/>
  </w:num>
  <w:num w:numId="25">
    <w:abstractNumId w:val="16"/>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n-US" w:vendorID="64" w:dllVersion="6"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180F"/>
    <w:rsid w:val="00002466"/>
    <w:rsid w:val="00002665"/>
    <w:rsid w:val="000027BD"/>
    <w:rsid w:val="00002B26"/>
    <w:rsid w:val="00002BA8"/>
    <w:rsid w:val="00003C25"/>
    <w:rsid w:val="00003C68"/>
    <w:rsid w:val="00004291"/>
    <w:rsid w:val="0000458A"/>
    <w:rsid w:val="000050C6"/>
    <w:rsid w:val="00005940"/>
    <w:rsid w:val="00006B5A"/>
    <w:rsid w:val="000078B1"/>
    <w:rsid w:val="00007A1A"/>
    <w:rsid w:val="00010A59"/>
    <w:rsid w:val="000112A7"/>
    <w:rsid w:val="0001151F"/>
    <w:rsid w:val="00011840"/>
    <w:rsid w:val="00011AC0"/>
    <w:rsid w:val="00011BD3"/>
    <w:rsid w:val="0001211A"/>
    <w:rsid w:val="00012278"/>
    <w:rsid w:val="00012A27"/>
    <w:rsid w:val="00012E16"/>
    <w:rsid w:val="0001302A"/>
    <w:rsid w:val="00013212"/>
    <w:rsid w:val="000132A4"/>
    <w:rsid w:val="00013319"/>
    <w:rsid w:val="00013E55"/>
    <w:rsid w:val="000141A8"/>
    <w:rsid w:val="0001447E"/>
    <w:rsid w:val="000144ED"/>
    <w:rsid w:val="00014FBD"/>
    <w:rsid w:val="00015302"/>
    <w:rsid w:val="0001578F"/>
    <w:rsid w:val="00015CDC"/>
    <w:rsid w:val="00016590"/>
    <w:rsid w:val="00016B4E"/>
    <w:rsid w:val="00016D3A"/>
    <w:rsid w:val="0001718D"/>
    <w:rsid w:val="000176AC"/>
    <w:rsid w:val="00021432"/>
    <w:rsid w:val="00021492"/>
    <w:rsid w:val="000216A3"/>
    <w:rsid w:val="00022469"/>
    <w:rsid w:val="00022557"/>
    <w:rsid w:val="000228C4"/>
    <w:rsid w:val="00022CA3"/>
    <w:rsid w:val="00022D8E"/>
    <w:rsid w:val="00024146"/>
    <w:rsid w:val="00024AC7"/>
    <w:rsid w:val="00025B42"/>
    <w:rsid w:val="000260EE"/>
    <w:rsid w:val="00026B3C"/>
    <w:rsid w:val="00026B52"/>
    <w:rsid w:val="0002754B"/>
    <w:rsid w:val="000300AA"/>
    <w:rsid w:val="00030480"/>
    <w:rsid w:val="0003065F"/>
    <w:rsid w:val="0003076D"/>
    <w:rsid w:val="00030D10"/>
    <w:rsid w:val="00031231"/>
    <w:rsid w:val="000314D3"/>
    <w:rsid w:val="00031BCF"/>
    <w:rsid w:val="00032970"/>
    <w:rsid w:val="00032B16"/>
    <w:rsid w:val="00033603"/>
    <w:rsid w:val="000337B6"/>
    <w:rsid w:val="00033A14"/>
    <w:rsid w:val="0003447A"/>
    <w:rsid w:val="00034BC3"/>
    <w:rsid w:val="00035376"/>
    <w:rsid w:val="000353F3"/>
    <w:rsid w:val="00035600"/>
    <w:rsid w:val="00035B2D"/>
    <w:rsid w:val="00035DA7"/>
    <w:rsid w:val="00036D72"/>
    <w:rsid w:val="00037089"/>
    <w:rsid w:val="00037177"/>
    <w:rsid w:val="00037CC4"/>
    <w:rsid w:val="0004066E"/>
    <w:rsid w:val="00040F75"/>
    <w:rsid w:val="000415AB"/>
    <w:rsid w:val="00041FF7"/>
    <w:rsid w:val="0004225C"/>
    <w:rsid w:val="00042909"/>
    <w:rsid w:val="00043535"/>
    <w:rsid w:val="000436EA"/>
    <w:rsid w:val="00043B32"/>
    <w:rsid w:val="00043E2B"/>
    <w:rsid w:val="0004427A"/>
    <w:rsid w:val="00044296"/>
    <w:rsid w:val="00044699"/>
    <w:rsid w:val="00044700"/>
    <w:rsid w:val="00044C5E"/>
    <w:rsid w:val="0004596A"/>
    <w:rsid w:val="00045AF1"/>
    <w:rsid w:val="00045E9B"/>
    <w:rsid w:val="00046139"/>
    <w:rsid w:val="000465BF"/>
    <w:rsid w:val="00046822"/>
    <w:rsid w:val="00046AB6"/>
    <w:rsid w:val="00046D06"/>
    <w:rsid w:val="00046D37"/>
    <w:rsid w:val="000471BE"/>
    <w:rsid w:val="000471CD"/>
    <w:rsid w:val="0004735D"/>
    <w:rsid w:val="0004777C"/>
    <w:rsid w:val="000501E0"/>
    <w:rsid w:val="00050934"/>
    <w:rsid w:val="000509AF"/>
    <w:rsid w:val="00050CE5"/>
    <w:rsid w:val="00050FB5"/>
    <w:rsid w:val="000516A0"/>
    <w:rsid w:val="000518C7"/>
    <w:rsid w:val="00051C72"/>
    <w:rsid w:val="00051D1C"/>
    <w:rsid w:val="00051D9E"/>
    <w:rsid w:val="00052F04"/>
    <w:rsid w:val="00052F1E"/>
    <w:rsid w:val="000536D2"/>
    <w:rsid w:val="00053B2C"/>
    <w:rsid w:val="00053EB7"/>
    <w:rsid w:val="00054A4F"/>
    <w:rsid w:val="00055047"/>
    <w:rsid w:val="00055B54"/>
    <w:rsid w:val="00056F51"/>
    <w:rsid w:val="000573F5"/>
    <w:rsid w:val="00057DFD"/>
    <w:rsid w:val="00057F37"/>
    <w:rsid w:val="000602B0"/>
    <w:rsid w:val="0006056C"/>
    <w:rsid w:val="00061109"/>
    <w:rsid w:val="0006228A"/>
    <w:rsid w:val="00062398"/>
    <w:rsid w:val="00063614"/>
    <w:rsid w:val="00063838"/>
    <w:rsid w:val="00063D4B"/>
    <w:rsid w:val="0006433F"/>
    <w:rsid w:val="000645E1"/>
    <w:rsid w:val="000646BA"/>
    <w:rsid w:val="00064BBC"/>
    <w:rsid w:val="00064E9D"/>
    <w:rsid w:val="00064FDB"/>
    <w:rsid w:val="00065106"/>
    <w:rsid w:val="000651F1"/>
    <w:rsid w:val="00065708"/>
    <w:rsid w:val="00065A07"/>
    <w:rsid w:val="00065BC1"/>
    <w:rsid w:val="00066638"/>
    <w:rsid w:val="00066EA7"/>
    <w:rsid w:val="0007012A"/>
    <w:rsid w:val="0007017F"/>
    <w:rsid w:val="0007024E"/>
    <w:rsid w:val="00070431"/>
    <w:rsid w:val="000707FF"/>
    <w:rsid w:val="00070864"/>
    <w:rsid w:val="0007145A"/>
    <w:rsid w:val="00071F33"/>
    <w:rsid w:val="000725AC"/>
    <w:rsid w:val="000728D7"/>
    <w:rsid w:val="00072B18"/>
    <w:rsid w:val="000730F3"/>
    <w:rsid w:val="00073491"/>
    <w:rsid w:val="000739D2"/>
    <w:rsid w:val="00073A6C"/>
    <w:rsid w:val="00073EF4"/>
    <w:rsid w:val="000753EC"/>
    <w:rsid w:val="0007567F"/>
    <w:rsid w:val="00075B3A"/>
    <w:rsid w:val="00075DEC"/>
    <w:rsid w:val="00076234"/>
    <w:rsid w:val="000767F7"/>
    <w:rsid w:val="00076CC9"/>
    <w:rsid w:val="00076EE9"/>
    <w:rsid w:val="00077C46"/>
    <w:rsid w:val="0008027F"/>
    <w:rsid w:val="000806EB"/>
    <w:rsid w:val="0008084D"/>
    <w:rsid w:val="00080FB7"/>
    <w:rsid w:val="000814ED"/>
    <w:rsid w:val="0008175A"/>
    <w:rsid w:val="0008195B"/>
    <w:rsid w:val="000826F7"/>
    <w:rsid w:val="00082C9B"/>
    <w:rsid w:val="00082F11"/>
    <w:rsid w:val="0008325D"/>
    <w:rsid w:val="000834DD"/>
    <w:rsid w:val="000841A2"/>
    <w:rsid w:val="00084687"/>
    <w:rsid w:val="00084A57"/>
    <w:rsid w:val="00084BED"/>
    <w:rsid w:val="00084EDB"/>
    <w:rsid w:val="00084FF2"/>
    <w:rsid w:val="00085120"/>
    <w:rsid w:val="0008524D"/>
    <w:rsid w:val="000856E9"/>
    <w:rsid w:val="00085CEB"/>
    <w:rsid w:val="00086295"/>
    <w:rsid w:val="0008756B"/>
    <w:rsid w:val="0008798D"/>
    <w:rsid w:val="00087DB7"/>
    <w:rsid w:val="00090191"/>
    <w:rsid w:val="0009025D"/>
    <w:rsid w:val="00090997"/>
    <w:rsid w:val="00090B9C"/>
    <w:rsid w:val="00090D7B"/>
    <w:rsid w:val="00090F4A"/>
    <w:rsid w:val="00091474"/>
    <w:rsid w:val="000915F7"/>
    <w:rsid w:val="000918E3"/>
    <w:rsid w:val="00092764"/>
    <w:rsid w:val="0009292F"/>
    <w:rsid w:val="00092F4C"/>
    <w:rsid w:val="00094496"/>
    <w:rsid w:val="000950E7"/>
    <w:rsid w:val="00095360"/>
    <w:rsid w:val="000955AA"/>
    <w:rsid w:val="00095692"/>
    <w:rsid w:val="000957BC"/>
    <w:rsid w:val="00096737"/>
    <w:rsid w:val="00097B55"/>
    <w:rsid w:val="00097B65"/>
    <w:rsid w:val="00097C0A"/>
    <w:rsid w:val="000A0344"/>
    <w:rsid w:val="000A06B1"/>
    <w:rsid w:val="000A0823"/>
    <w:rsid w:val="000A21D6"/>
    <w:rsid w:val="000A2F4F"/>
    <w:rsid w:val="000A2F92"/>
    <w:rsid w:val="000A31EF"/>
    <w:rsid w:val="000A330C"/>
    <w:rsid w:val="000A3354"/>
    <w:rsid w:val="000A3733"/>
    <w:rsid w:val="000A43B0"/>
    <w:rsid w:val="000A4AF8"/>
    <w:rsid w:val="000A53E6"/>
    <w:rsid w:val="000A574B"/>
    <w:rsid w:val="000A5B04"/>
    <w:rsid w:val="000A5E2A"/>
    <w:rsid w:val="000A5E5E"/>
    <w:rsid w:val="000A643B"/>
    <w:rsid w:val="000A707A"/>
    <w:rsid w:val="000A78BA"/>
    <w:rsid w:val="000B0710"/>
    <w:rsid w:val="000B1C11"/>
    <w:rsid w:val="000B1D13"/>
    <w:rsid w:val="000B29B8"/>
    <w:rsid w:val="000B2A27"/>
    <w:rsid w:val="000B4A6A"/>
    <w:rsid w:val="000B50FB"/>
    <w:rsid w:val="000B515D"/>
    <w:rsid w:val="000B5A74"/>
    <w:rsid w:val="000B5FA3"/>
    <w:rsid w:val="000B6AF6"/>
    <w:rsid w:val="000B755D"/>
    <w:rsid w:val="000B7C7D"/>
    <w:rsid w:val="000C0FEE"/>
    <w:rsid w:val="000C1051"/>
    <w:rsid w:val="000C1F04"/>
    <w:rsid w:val="000C2892"/>
    <w:rsid w:val="000C2B3C"/>
    <w:rsid w:val="000C30D7"/>
    <w:rsid w:val="000C3105"/>
    <w:rsid w:val="000C34DD"/>
    <w:rsid w:val="000C37BC"/>
    <w:rsid w:val="000C3B87"/>
    <w:rsid w:val="000C482F"/>
    <w:rsid w:val="000C4992"/>
    <w:rsid w:val="000C4C15"/>
    <w:rsid w:val="000C5299"/>
    <w:rsid w:val="000C5468"/>
    <w:rsid w:val="000C55CC"/>
    <w:rsid w:val="000C5852"/>
    <w:rsid w:val="000C5D0E"/>
    <w:rsid w:val="000C6A4A"/>
    <w:rsid w:val="000C6AFD"/>
    <w:rsid w:val="000D06FA"/>
    <w:rsid w:val="000D0825"/>
    <w:rsid w:val="000D0DDA"/>
    <w:rsid w:val="000D0ED5"/>
    <w:rsid w:val="000D113E"/>
    <w:rsid w:val="000D1169"/>
    <w:rsid w:val="000D15C5"/>
    <w:rsid w:val="000D1EF3"/>
    <w:rsid w:val="000D25DA"/>
    <w:rsid w:val="000D28A5"/>
    <w:rsid w:val="000D31C1"/>
    <w:rsid w:val="000D32F1"/>
    <w:rsid w:val="000D33E6"/>
    <w:rsid w:val="000D36B2"/>
    <w:rsid w:val="000D39FD"/>
    <w:rsid w:val="000D4833"/>
    <w:rsid w:val="000D49D2"/>
    <w:rsid w:val="000D4A88"/>
    <w:rsid w:val="000D4BBC"/>
    <w:rsid w:val="000D4D90"/>
    <w:rsid w:val="000D4E26"/>
    <w:rsid w:val="000D5176"/>
    <w:rsid w:val="000D5EDB"/>
    <w:rsid w:val="000D6C0F"/>
    <w:rsid w:val="000D6F1E"/>
    <w:rsid w:val="000D7A95"/>
    <w:rsid w:val="000D7BBD"/>
    <w:rsid w:val="000D7FF6"/>
    <w:rsid w:val="000E03C0"/>
    <w:rsid w:val="000E0654"/>
    <w:rsid w:val="000E19B3"/>
    <w:rsid w:val="000E2970"/>
    <w:rsid w:val="000E3099"/>
    <w:rsid w:val="000E3BD8"/>
    <w:rsid w:val="000E3CC1"/>
    <w:rsid w:val="000E49D3"/>
    <w:rsid w:val="000E5331"/>
    <w:rsid w:val="000E5526"/>
    <w:rsid w:val="000E5990"/>
    <w:rsid w:val="000E5D6B"/>
    <w:rsid w:val="000E5FE0"/>
    <w:rsid w:val="000E6D5D"/>
    <w:rsid w:val="000F0023"/>
    <w:rsid w:val="000F059E"/>
    <w:rsid w:val="000F05D5"/>
    <w:rsid w:val="000F1DEB"/>
    <w:rsid w:val="000F30E6"/>
    <w:rsid w:val="000F3491"/>
    <w:rsid w:val="000F3DE6"/>
    <w:rsid w:val="000F44E7"/>
    <w:rsid w:val="000F49F1"/>
    <w:rsid w:val="000F4C41"/>
    <w:rsid w:val="000F4E66"/>
    <w:rsid w:val="000F4FA7"/>
    <w:rsid w:val="000F536A"/>
    <w:rsid w:val="000F541D"/>
    <w:rsid w:val="000F5AD1"/>
    <w:rsid w:val="000F649E"/>
    <w:rsid w:val="000F69FA"/>
    <w:rsid w:val="000F6F28"/>
    <w:rsid w:val="000F7577"/>
    <w:rsid w:val="000F7892"/>
    <w:rsid w:val="000F7974"/>
    <w:rsid w:val="000F7ECD"/>
    <w:rsid w:val="000F7FB5"/>
    <w:rsid w:val="00100317"/>
    <w:rsid w:val="0010113A"/>
    <w:rsid w:val="001011EC"/>
    <w:rsid w:val="001017C1"/>
    <w:rsid w:val="00101A87"/>
    <w:rsid w:val="00101E92"/>
    <w:rsid w:val="00101F40"/>
    <w:rsid w:val="00102206"/>
    <w:rsid w:val="00102729"/>
    <w:rsid w:val="00102B59"/>
    <w:rsid w:val="00103847"/>
    <w:rsid w:val="00103913"/>
    <w:rsid w:val="00105234"/>
    <w:rsid w:val="00105E2B"/>
    <w:rsid w:val="0010619C"/>
    <w:rsid w:val="0010664D"/>
    <w:rsid w:val="00106CDE"/>
    <w:rsid w:val="00110510"/>
    <w:rsid w:val="0011076D"/>
    <w:rsid w:val="00110DB1"/>
    <w:rsid w:val="00110DF0"/>
    <w:rsid w:val="001114D0"/>
    <w:rsid w:val="00111703"/>
    <w:rsid w:val="00111AA3"/>
    <w:rsid w:val="00111F29"/>
    <w:rsid w:val="00111FA3"/>
    <w:rsid w:val="00113348"/>
    <w:rsid w:val="00113404"/>
    <w:rsid w:val="001134B4"/>
    <w:rsid w:val="00113DE8"/>
    <w:rsid w:val="0011424C"/>
    <w:rsid w:val="0011478A"/>
    <w:rsid w:val="00114B56"/>
    <w:rsid w:val="00114B96"/>
    <w:rsid w:val="00114E47"/>
    <w:rsid w:val="00115A20"/>
    <w:rsid w:val="00116647"/>
    <w:rsid w:val="00116F84"/>
    <w:rsid w:val="00117067"/>
    <w:rsid w:val="00117193"/>
    <w:rsid w:val="001171C9"/>
    <w:rsid w:val="00117302"/>
    <w:rsid w:val="0011763B"/>
    <w:rsid w:val="00117D7A"/>
    <w:rsid w:val="00120112"/>
    <w:rsid w:val="001206BD"/>
    <w:rsid w:val="00120EA1"/>
    <w:rsid w:val="0012181E"/>
    <w:rsid w:val="00122048"/>
    <w:rsid w:val="001228A0"/>
    <w:rsid w:val="00122CD2"/>
    <w:rsid w:val="00123EFF"/>
    <w:rsid w:val="001241F7"/>
    <w:rsid w:val="001245E3"/>
    <w:rsid w:val="00124D1A"/>
    <w:rsid w:val="001251AF"/>
    <w:rsid w:val="001253B4"/>
    <w:rsid w:val="00125654"/>
    <w:rsid w:val="00125B46"/>
    <w:rsid w:val="00125D0D"/>
    <w:rsid w:val="00125D9D"/>
    <w:rsid w:val="001263E8"/>
    <w:rsid w:val="00127810"/>
    <w:rsid w:val="00127CE3"/>
    <w:rsid w:val="001301E6"/>
    <w:rsid w:val="001304F2"/>
    <w:rsid w:val="00130C4C"/>
    <w:rsid w:val="001313EB"/>
    <w:rsid w:val="001315EE"/>
    <w:rsid w:val="0013193B"/>
    <w:rsid w:val="0013222E"/>
    <w:rsid w:val="00134904"/>
    <w:rsid w:val="001349AB"/>
    <w:rsid w:val="00134B68"/>
    <w:rsid w:val="00134F4E"/>
    <w:rsid w:val="00134FB0"/>
    <w:rsid w:val="001350AC"/>
    <w:rsid w:val="001352EC"/>
    <w:rsid w:val="00135E0B"/>
    <w:rsid w:val="001361A8"/>
    <w:rsid w:val="001365A5"/>
    <w:rsid w:val="001368CC"/>
    <w:rsid w:val="00136ACB"/>
    <w:rsid w:val="001372CA"/>
    <w:rsid w:val="00137AFD"/>
    <w:rsid w:val="00137E0F"/>
    <w:rsid w:val="0014012A"/>
    <w:rsid w:val="00140AD8"/>
    <w:rsid w:val="00140BE4"/>
    <w:rsid w:val="001411DE"/>
    <w:rsid w:val="00141399"/>
    <w:rsid w:val="001418EF"/>
    <w:rsid w:val="00141A0B"/>
    <w:rsid w:val="00141AF4"/>
    <w:rsid w:val="001427B3"/>
    <w:rsid w:val="00142E09"/>
    <w:rsid w:val="0014377B"/>
    <w:rsid w:val="00143D3A"/>
    <w:rsid w:val="001440AA"/>
    <w:rsid w:val="00145173"/>
    <w:rsid w:val="001455FA"/>
    <w:rsid w:val="0014594B"/>
    <w:rsid w:val="00145F65"/>
    <w:rsid w:val="001460DD"/>
    <w:rsid w:val="001460E0"/>
    <w:rsid w:val="00146902"/>
    <w:rsid w:val="00146DFA"/>
    <w:rsid w:val="0015018D"/>
    <w:rsid w:val="00150228"/>
    <w:rsid w:val="001502C3"/>
    <w:rsid w:val="001504E8"/>
    <w:rsid w:val="00150536"/>
    <w:rsid w:val="00150681"/>
    <w:rsid w:val="001533B2"/>
    <w:rsid w:val="001534CA"/>
    <w:rsid w:val="0015369A"/>
    <w:rsid w:val="0015386A"/>
    <w:rsid w:val="001540F9"/>
    <w:rsid w:val="00154E90"/>
    <w:rsid w:val="001557A9"/>
    <w:rsid w:val="00155878"/>
    <w:rsid w:val="0015599D"/>
    <w:rsid w:val="00155A36"/>
    <w:rsid w:val="00156A96"/>
    <w:rsid w:val="00156B20"/>
    <w:rsid w:val="0015755C"/>
    <w:rsid w:val="001577D4"/>
    <w:rsid w:val="001600C9"/>
    <w:rsid w:val="00160208"/>
    <w:rsid w:val="00160308"/>
    <w:rsid w:val="0016052B"/>
    <w:rsid w:val="00160957"/>
    <w:rsid w:val="00160B56"/>
    <w:rsid w:val="0016159C"/>
    <w:rsid w:val="00161833"/>
    <w:rsid w:val="00161E62"/>
    <w:rsid w:val="00162797"/>
    <w:rsid w:val="00162A20"/>
    <w:rsid w:val="00164CD1"/>
    <w:rsid w:val="001655BD"/>
    <w:rsid w:val="00165810"/>
    <w:rsid w:val="00165E36"/>
    <w:rsid w:val="0016614B"/>
    <w:rsid w:val="001665FD"/>
    <w:rsid w:val="00167A1B"/>
    <w:rsid w:val="00167A72"/>
    <w:rsid w:val="0017080F"/>
    <w:rsid w:val="00170972"/>
    <w:rsid w:val="00170BD4"/>
    <w:rsid w:val="001711E3"/>
    <w:rsid w:val="001715D2"/>
    <w:rsid w:val="00171F31"/>
    <w:rsid w:val="00171F36"/>
    <w:rsid w:val="001723FC"/>
    <w:rsid w:val="00172464"/>
    <w:rsid w:val="00172600"/>
    <w:rsid w:val="00172614"/>
    <w:rsid w:val="00172AA4"/>
    <w:rsid w:val="0017308E"/>
    <w:rsid w:val="0017325D"/>
    <w:rsid w:val="00173309"/>
    <w:rsid w:val="0017357E"/>
    <w:rsid w:val="001735A8"/>
    <w:rsid w:val="00173881"/>
    <w:rsid w:val="00173CB3"/>
    <w:rsid w:val="001740E5"/>
    <w:rsid w:val="0017446E"/>
    <w:rsid w:val="0017451D"/>
    <w:rsid w:val="00174587"/>
    <w:rsid w:val="0017474C"/>
    <w:rsid w:val="00174783"/>
    <w:rsid w:val="00175869"/>
    <w:rsid w:val="00175CF4"/>
    <w:rsid w:val="0017618C"/>
    <w:rsid w:val="001763FA"/>
    <w:rsid w:val="001763FC"/>
    <w:rsid w:val="00176592"/>
    <w:rsid w:val="00176E7D"/>
    <w:rsid w:val="00177026"/>
    <w:rsid w:val="00177187"/>
    <w:rsid w:val="001773BC"/>
    <w:rsid w:val="00180887"/>
    <w:rsid w:val="00180A83"/>
    <w:rsid w:val="001813AB"/>
    <w:rsid w:val="001819C6"/>
    <w:rsid w:val="00181AA2"/>
    <w:rsid w:val="00181B78"/>
    <w:rsid w:val="0018211C"/>
    <w:rsid w:val="001821F8"/>
    <w:rsid w:val="00182CBE"/>
    <w:rsid w:val="001831B3"/>
    <w:rsid w:val="00184537"/>
    <w:rsid w:val="001845FA"/>
    <w:rsid w:val="00184EBD"/>
    <w:rsid w:val="0018522B"/>
    <w:rsid w:val="001854A8"/>
    <w:rsid w:val="00185D40"/>
    <w:rsid w:val="00186980"/>
    <w:rsid w:val="00186C17"/>
    <w:rsid w:val="001876B4"/>
    <w:rsid w:val="00187E87"/>
    <w:rsid w:val="00190180"/>
    <w:rsid w:val="00190A43"/>
    <w:rsid w:val="00190D0B"/>
    <w:rsid w:val="001912FB"/>
    <w:rsid w:val="00191608"/>
    <w:rsid w:val="00191664"/>
    <w:rsid w:val="00192065"/>
    <w:rsid w:val="001941AA"/>
    <w:rsid w:val="00194F73"/>
    <w:rsid w:val="00195EC2"/>
    <w:rsid w:val="00195F99"/>
    <w:rsid w:val="00196CB1"/>
    <w:rsid w:val="00197E8D"/>
    <w:rsid w:val="001A016C"/>
    <w:rsid w:val="001A0422"/>
    <w:rsid w:val="001A102F"/>
    <w:rsid w:val="001A1647"/>
    <w:rsid w:val="001A1A27"/>
    <w:rsid w:val="001A1ED0"/>
    <w:rsid w:val="001A2370"/>
    <w:rsid w:val="001A3372"/>
    <w:rsid w:val="001A35A6"/>
    <w:rsid w:val="001A368A"/>
    <w:rsid w:val="001A3963"/>
    <w:rsid w:val="001A41DF"/>
    <w:rsid w:val="001A43F5"/>
    <w:rsid w:val="001A4E0E"/>
    <w:rsid w:val="001A4E8C"/>
    <w:rsid w:val="001A4EF7"/>
    <w:rsid w:val="001A4F6E"/>
    <w:rsid w:val="001A5ABD"/>
    <w:rsid w:val="001A5CE0"/>
    <w:rsid w:val="001A60E2"/>
    <w:rsid w:val="001A69F0"/>
    <w:rsid w:val="001A7926"/>
    <w:rsid w:val="001A79AA"/>
    <w:rsid w:val="001A7F95"/>
    <w:rsid w:val="001B07B0"/>
    <w:rsid w:val="001B0992"/>
    <w:rsid w:val="001B0AC4"/>
    <w:rsid w:val="001B1075"/>
    <w:rsid w:val="001B1120"/>
    <w:rsid w:val="001B15E2"/>
    <w:rsid w:val="001B163A"/>
    <w:rsid w:val="001B1C66"/>
    <w:rsid w:val="001B253D"/>
    <w:rsid w:val="001B277C"/>
    <w:rsid w:val="001B2C6A"/>
    <w:rsid w:val="001B2F19"/>
    <w:rsid w:val="001B35ED"/>
    <w:rsid w:val="001B369D"/>
    <w:rsid w:val="001B3E39"/>
    <w:rsid w:val="001B450E"/>
    <w:rsid w:val="001B46DB"/>
    <w:rsid w:val="001B4F75"/>
    <w:rsid w:val="001B544C"/>
    <w:rsid w:val="001B5DDB"/>
    <w:rsid w:val="001B6006"/>
    <w:rsid w:val="001B62D3"/>
    <w:rsid w:val="001B74F4"/>
    <w:rsid w:val="001B75DC"/>
    <w:rsid w:val="001B795A"/>
    <w:rsid w:val="001B7F66"/>
    <w:rsid w:val="001C0136"/>
    <w:rsid w:val="001C0A6E"/>
    <w:rsid w:val="001C0AD1"/>
    <w:rsid w:val="001C0BCC"/>
    <w:rsid w:val="001C117D"/>
    <w:rsid w:val="001C15B6"/>
    <w:rsid w:val="001C177D"/>
    <w:rsid w:val="001C1F9C"/>
    <w:rsid w:val="001C226A"/>
    <w:rsid w:val="001C236E"/>
    <w:rsid w:val="001C2629"/>
    <w:rsid w:val="001C29E7"/>
    <w:rsid w:val="001C32C6"/>
    <w:rsid w:val="001C3810"/>
    <w:rsid w:val="001C3E2D"/>
    <w:rsid w:val="001C48C7"/>
    <w:rsid w:val="001C4A9E"/>
    <w:rsid w:val="001C6CAB"/>
    <w:rsid w:val="001C6CC1"/>
    <w:rsid w:val="001C7130"/>
    <w:rsid w:val="001C7E70"/>
    <w:rsid w:val="001D0068"/>
    <w:rsid w:val="001D01C6"/>
    <w:rsid w:val="001D092F"/>
    <w:rsid w:val="001D1AEF"/>
    <w:rsid w:val="001D244E"/>
    <w:rsid w:val="001D24F1"/>
    <w:rsid w:val="001D3AD1"/>
    <w:rsid w:val="001D478B"/>
    <w:rsid w:val="001D4970"/>
    <w:rsid w:val="001D5F02"/>
    <w:rsid w:val="001D606D"/>
    <w:rsid w:val="001D6186"/>
    <w:rsid w:val="001D62AF"/>
    <w:rsid w:val="001D637E"/>
    <w:rsid w:val="001D6652"/>
    <w:rsid w:val="001D69E5"/>
    <w:rsid w:val="001D6B3D"/>
    <w:rsid w:val="001D7104"/>
    <w:rsid w:val="001D71B1"/>
    <w:rsid w:val="001E075F"/>
    <w:rsid w:val="001E0933"/>
    <w:rsid w:val="001E0A09"/>
    <w:rsid w:val="001E0B64"/>
    <w:rsid w:val="001E14B0"/>
    <w:rsid w:val="001E14E8"/>
    <w:rsid w:val="001E1627"/>
    <w:rsid w:val="001E18BD"/>
    <w:rsid w:val="001E1C1B"/>
    <w:rsid w:val="001E1DBA"/>
    <w:rsid w:val="001E1EF2"/>
    <w:rsid w:val="001E290B"/>
    <w:rsid w:val="001E385F"/>
    <w:rsid w:val="001E39E4"/>
    <w:rsid w:val="001E3F11"/>
    <w:rsid w:val="001E490C"/>
    <w:rsid w:val="001E4C68"/>
    <w:rsid w:val="001E50FD"/>
    <w:rsid w:val="001E5310"/>
    <w:rsid w:val="001E59DC"/>
    <w:rsid w:val="001E5DD7"/>
    <w:rsid w:val="001E5EEE"/>
    <w:rsid w:val="001E7358"/>
    <w:rsid w:val="001E7C72"/>
    <w:rsid w:val="001E7EDD"/>
    <w:rsid w:val="001F02CD"/>
    <w:rsid w:val="001F05C6"/>
    <w:rsid w:val="001F0B7F"/>
    <w:rsid w:val="001F0CD0"/>
    <w:rsid w:val="001F0F71"/>
    <w:rsid w:val="001F1169"/>
    <w:rsid w:val="001F19D1"/>
    <w:rsid w:val="001F1AD8"/>
    <w:rsid w:val="001F1B69"/>
    <w:rsid w:val="001F1D9A"/>
    <w:rsid w:val="001F1ECC"/>
    <w:rsid w:val="001F2740"/>
    <w:rsid w:val="001F2B0D"/>
    <w:rsid w:val="001F2C3A"/>
    <w:rsid w:val="001F2E29"/>
    <w:rsid w:val="001F2E51"/>
    <w:rsid w:val="001F3531"/>
    <w:rsid w:val="001F3696"/>
    <w:rsid w:val="001F42FF"/>
    <w:rsid w:val="001F44B4"/>
    <w:rsid w:val="001F44D3"/>
    <w:rsid w:val="001F4510"/>
    <w:rsid w:val="001F5708"/>
    <w:rsid w:val="001F58D3"/>
    <w:rsid w:val="001F5EF4"/>
    <w:rsid w:val="001F65A4"/>
    <w:rsid w:val="001F65E0"/>
    <w:rsid w:val="001F696A"/>
    <w:rsid w:val="001F6EE3"/>
    <w:rsid w:val="001F720B"/>
    <w:rsid w:val="001F7362"/>
    <w:rsid w:val="001F7AE9"/>
    <w:rsid w:val="001F7CFD"/>
    <w:rsid w:val="002011D5"/>
    <w:rsid w:val="00201C2D"/>
    <w:rsid w:val="00201E78"/>
    <w:rsid w:val="0020223F"/>
    <w:rsid w:val="002029DF"/>
    <w:rsid w:val="00203367"/>
    <w:rsid w:val="002043C5"/>
    <w:rsid w:val="00204438"/>
    <w:rsid w:val="00204A44"/>
    <w:rsid w:val="00205562"/>
    <w:rsid w:val="00206147"/>
    <w:rsid w:val="002064F3"/>
    <w:rsid w:val="002069A8"/>
    <w:rsid w:val="00206EE7"/>
    <w:rsid w:val="00207559"/>
    <w:rsid w:val="0020789A"/>
    <w:rsid w:val="00207C83"/>
    <w:rsid w:val="00210869"/>
    <w:rsid w:val="002116AD"/>
    <w:rsid w:val="00211999"/>
    <w:rsid w:val="002123A4"/>
    <w:rsid w:val="002126CD"/>
    <w:rsid w:val="00213773"/>
    <w:rsid w:val="002138B5"/>
    <w:rsid w:val="00213B0E"/>
    <w:rsid w:val="00213B63"/>
    <w:rsid w:val="00213CBC"/>
    <w:rsid w:val="002141FB"/>
    <w:rsid w:val="0021455A"/>
    <w:rsid w:val="002146CA"/>
    <w:rsid w:val="002147D6"/>
    <w:rsid w:val="00214A76"/>
    <w:rsid w:val="0021575B"/>
    <w:rsid w:val="00215783"/>
    <w:rsid w:val="0021669B"/>
    <w:rsid w:val="00216876"/>
    <w:rsid w:val="00216BDA"/>
    <w:rsid w:val="0022018A"/>
    <w:rsid w:val="00220ADA"/>
    <w:rsid w:val="00220B7B"/>
    <w:rsid w:val="00221406"/>
    <w:rsid w:val="0022180E"/>
    <w:rsid w:val="002220BA"/>
    <w:rsid w:val="00222220"/>
    <w:rsid w:val="002227B3"/>
    <w:rsid w:val="00222CE3"/>
    <w:rsid w:val="00222FED"/>
    <w:rsid w:val="002234AC"/>
    <w:rsid w:val="002235D7"/>
    <w:rsid w:val="002239C4"/>
    <w:rsid w:val="00223C81"/>
    <w:rsid w:val="00224617"/>
    <w:rsid w:val="00224B4A"/>
    <w:rsid w:val="00225591"/>
    <w:rsid w:val="00225690"/>
    <w:rsid w:val="0022574F"/>
    <w:rsid w:val="00225920"/>
    <w:rsid w:val="0022593A"/>
    <w:rsid w:val="00225B52"/>
    <w:rsid w:val="00225CE3"/>
    <w:rsid w:val="002260D7"/>
    <w:rsid w:val="00226B17"/>
    <w:rsid w:val="0022712B"/>
    <w:rsid w:val="002276A4"/>
    <w:rsid w:val="00227843"/>
    <w:rsid w:val="00227A99"/>
    <w:rsid w:val="00227C8B"/>
    <w:rsid w:val="00230A44"/>
    <w:rsid w:val="00230A52"/>
    <w:rsid w:val="00230FA5"/>
    <w:rsid w:val="00231131"/>
    <w:rsid w:val="002316B3"/>
    <w:rsid w:val="0023170E"/>
    <w:rsid w:val="00231839"/>
    <w:rsid w:val="0023262B"/>
    <w:rsid w:val="00232A4E"/>
    <w:rsid w:val="00233541"/>
    <w:rsid w:val="00233A7D"/>
    <w:rsid w:val="00233EDD"/>
    <w:rsid w:val="0023482B"/>
    <w:rsid w:val="0023482C"/>
    <w:rsid w:val="00234AA4"/>
    <w:rsid w:val="00234C7F"/>
    <w:rsid w:val="00234E62"/>
    <w:rsid w:val="00234F8F"/>
    <w:rsid w:val="00235F56"/>
    <w:rsid w:val="0023658F"/>
    <w:rsid w:val="00236872"/>
    <w:rsid w:val="00236890"/>
    <w:rsid w:val="002368C0"/>
    <w:rsid w:val="00236CC2"/>
    <w:rsid w:val="00236CDE"/>
    <w:rsid w:val="00237437"/>
    <w:rsid w:val="0023763A"/>
    <w:rsid w:val="00237769"/>
    <w:rsid w:val="00237D7D"/>
    <w:rsid w:val="002404D1"/>
    <w:rsid w:val="002405C8"/>
    <w:rsid w:val="00240ECB"/>
    <w:rsid w:val="002415DA"/>
    <w:rsid w:val="00241857"/>
    <w:rsid w:val="0024285E"/>
    <w:rsid w:val="00242F79"/>
    <w:rsid w:val="00242FA8"/>
    <w:rsid w:val="0024310E"/>
    <w:rsid w:val="00243204"/>
    <w:rsid w:val="00243AC5"/>
    <w:rsid w:val="0024405D"/>
    <w:rsid w:val="00244516"/>
    <w:rsid w:val="002445E0"/>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12E"/>
    <w:rsid w:val="002526B9"/>
    <w:rsid w:val="00252B3F"/>
    <w:rsid w:val="00252DD3"/>
    <w:rsid w:val="0025394F"/>
    <w:rsid w:val="00253B97"/>
    <w:rsid w:val="002544CB"/>
    <w:rsid w:val="00254724"/>
    <w:rsid w:val="0025504A"/>
    <w:rsid w:val="00255D8E"/>
    <w:rsid w:val="00256077"/>
    <w:rsid w:val="00256194"/>
    <w:rsid w:val="00256584"/>
    <w:rsid w:val="00256A9C"/>
    <w:rsid w:val="00256C48"/>
    <w:rsid w:val="00256EF8"/>
    <w:rsid w:val="002570D5"/>
    <w:rsid w:val="00257177"/>
    <w:rsid w:val="002573A3"/>
    <w:rsid w:val="00257730"/>
    <w:rsid w:val="00257803"/>
    <w:rsid w:val="00257B74"/>
    <w:rsid w:val="00257CD8"/>
    <w:rsid w:val="00260B48"/>
    <w:rsid w:val="002610D8"/>
    <w:rsid w:val="00261A6C"/>
    <w:rsid w:val="00262749"/>
    <w:rsid w:val="00262755"/>
    <w:rsid w:val="002629E2"/>
    <w:rsid w:val="00262BA8"/>
    <w:rsid w:val="00262BC8"/>
    <w:rsid w:val="00263C36"/>
    <w:rsid w:val="002641D9"/>
    <w:rsid w:val="002643C5"/>
    <w:rsid w:val="00264917"/>
    <w:rsid w:val="002651EC"/>
    <w:rsid w:val="00265DC2"/>
    <w:rsid w:val="0026638C"/>
    <w:rsid w:val="00266400"/>
    <w:rsid w:val="00266F00"/>
    <w:rsid w:val="002670EF"/>
    <w:rsid w:val="002671A2"/>
    <w:rsid w:val="00267A38"/>
    <w:rsid w:val="00267F5F"/>
    <w:rsid w:val="00270261"/>
    <w:rsid w:val="00270419"/>
    <w:rsid w:val="002704ED"/>
    <w:rsid w:val="00270965"/>
    <w:rsid w:val="00271E5D"/>
    <w:rsid w:val="00272082"/>
    <w:rsid w:val="0027349D"/>
    <w:rsid w:val="00273516"/>
    <w:rsid w:val="00273985"/>
    <w:rsid w:val="00273B82"/>
    <w:rsid w:val="00273E7A"/>
    <w:rsid w:val="00274372"/>
    <w:rsid w:val="0027475A"/>
    <w:rsid w:val="0027537B"/>
    <w:rsid w:val="00275F56"/>
    <w:rsid w:val="002765B7"/>
    <w:rsid w:val="00276EAA"/>
    <w:rsid w:val="00277713"/>
    <w:rsid w:val="00277DBC"/>
    <w:rsid w:val="00277F64"/>
    <w:rsid w:val="002802A0"/>
    <w:rsid w:val="00280509"/>
    <w:rsid w:val="00280550"/>
    <w:rsid w:val="00281063"/>
    <w:rsid w:val="00281676"/>
    <w:rsid w:val="00281855"/>
    <w:rsid w:val="00281E32"/>
    <w:rsid w:val="00282479"/>
    <w:rsid w:val="0028276E"/>
    <w:rsid w:val="002827F3"/>
    <w:rsid w:val="002829BD"/>
    <w:rsid w:val="00282B3E"/>
    <w:rsid w:val="00282C1F"/>
    <w:rsid w:val="00282C6C"/>
    <w:rsid w:val="00283B7F"/>
    <w:rsid w:val="0028468D"/>
    <w:rsid w:val="0028470C"/>
    <w:rsid w:val="00284B5F"/>
    <w:rsid w:val="0028596B"/>
    <w:rsid w:val="00285FB9"/>
    <w:rsid w:val="00286219"/>
    <w:rsid w:val="00286228"/>
    <w:rsid w:val="00286A03"/>
    <w:rsid w:val="00287514"/>
    <w:rsid w:val="00287836"/>
    <w:rsid w:val="0028791B"/>
    <w:rsid w:val="00287E44"/>
    <w:rsid w:val="00287F79"/>
    <w:rsid w:val="002900A9"/>
    <w:rsid w:val="00290C43"/>
    <w:rsid w:val="00290C90"/>
    <w:rsid w:val="002916DB"/>
    <w:rsid w:val="0029190A"/>
    <w:rsid w:val="00292B2A"/>
    <w:rsid w:val="00293271"/>
    <w:rsid w:val="00293587"/>
    <w:rsid w:val="00293896"/>
    <w:rsid w:val="00293ED1"/>
    <w:rsid w:val="00294A06"/>
    <w:rsid w:val="00294FFB"/>
    <w:rsid w:val="002954FD"/>
    <w:rsid w:val="00295A73"/>
    <w:rsid w:val="00296242"/>
    <w:rsid w:val="002963A5"/>
    <w:rsid w:val="002965DF"/>
    <w:rsid w:val="00296CE6"/>
    <w:rsid w:val="002973DF"/>
    <w:rsid w:val="00297A9E"/>
    <w:rsid w:val="00297D6A"/>
    <w:rsid w:val="002A0190"/>
    <w:rsid w:val="002A0983"/>
    <w:rsid w:val="002A0BF5"/>
    <w:rsid w:val="002A1128"/>
    <w:rsid w:val="002A1422"/>
    <w:rsid w:val="002A1525"/>
    <w:rsid w:val="002A158C"/>
    <w:rsid w:val="002A2356"/>
    <w:rsid w:val="002A24EB"/>
    <w:rsid w:val="002A2627"/>
    <w:rsid w:val="002A26DB"/>
    <w:rsid w:val="002A2C5E"/>
    <w:rsid w:val="002A2D66"/>
    <w:rsid w:val="002A2E09"/>
    <w:rsid w:val="002A3DB5"/>
    <w:rsid w:val="002A428E"/>
    <w:rsid w:val="002A45BD"/>
    <w:rsid w:val="002A46FA"/>
    <w:rsid w:val="002A5227"/>
    <w:rsid w:val="002A522F"/>
    <w:rsid w:val="002A57BC"/>
    <w:rsid w:val="002A581C"/>
    <w:rsid w:val="002B00FE"/>
    <w:rsid w:val="002B0E27"/>
    <w:rsid w:val="002B10B6"/>
    <w:rsid w:val="002B10D3"/>
    <w:rsid w:val="002B1113"/>
    <w:rsid w:val="002B1867"/>
    <w:rsid w:val="002B1EA3"/>
    <w:rsid w:val="002B2A55"/>
    <w:rsid w:val="002B2CE4"/>
    <w:rsid w:val="002B2DA9"/>
    <w:rsid w:val="002B306E"/>
    <w:rsid w:val="002B30C8"/>
    <w:rsid w:val="002B31FA"/>
    <w:rsid w:val="002B33D5"/>
    <w:rsid w:val="002B3A06"/>
    <w:rsid w:val="002B4552"/>
    <w:rsid w:val="002B4B8B"/>
    <w:rsid w:val="002B4C84"/>
    <w:rsid w:val="002B5746"/>
    <w:rsid w:val="002B5F7F"/>
    <w:rsid w:val="002B63D3"/>
    <w:rsid w:val="002B6815"/>
    <w:rsid w:val="002B6AB1"/>
    <w:rsid w:val="002B71D1"/>
    <w:rsid w:val="002B7DCC"/>
    <w:rsid w:val="002C0144"/>
    <w:rsid w:val="002C0CAC"/>
    <w:rsid w:val="002C1F28"/>
    <w:rsid w:val="002C2517"/>
    <w:rsid w:val="002C254B"/>
    <w:rsid w:val="002C25DE"/>
    <w:rsid w:val="002C27E8"/>
    <w:rsid w:val="002C2A7A"/>
    <w:rsid w:val="002C2ACB"/>
    <w:rsid w:val="002C2F60"/>
    <w:rsid w:val="002C414C"/>
    <w:rsid w:val="002C41CB"/>
    <w:rsid w:val="002C45C6"/>
    <w:rsid w:val="002C5C58"/>
    <w:rsid w:val="002C6A1A"/>
    <w:rsid w:val="002C6B67"/>
    <w:rsid w:val="002C73EE"/>
    <w:rsid w:val="002C7660"/>
    <w:rsid w:val="002C7718"/>
    <w:rsid w:val="002C77DB"/>
    <w:rsid w:val="002C77F7"/>
    <w:rsid w:val="002C7CD4"/>
    <w:rsid w:val="002D0321"/>
    <w:rsid w:val="002D0E7A"/>
    <w:rsid w:val="002D155B"/>
    <w:rsid w:val="002D1AD3"/>
    <w:rsid w:val="002D26FE"/>
    <w:rsid w:val="002D40A5"/>
    <w:rsid w:val="002D473F"/>
    <w:rsid w:val="002D48E1"/>
    <w:rsid w:val="002D5A82"/>
    <w:rsid w:val="002D61C8"/>
    <w:rsid w:val="002D629E"/>
    <w:rsid w:val="002D6E9A"/>
    <w:rsid w:val="002D726B"/>
    <w:rsid w:val="002D75DB"/>
    <w:rsid w:val="002E0067"/>
    <w:rsid w:val="002E02D0"/>
    <w:rsid w:val="002E0489"/>
    <w:rsid w:val="002E04C0"/>
    <w:rsid w:val="002E0544"/>
    <w:rsid w:val="002E09BE"/>
    <w:rsid w:val="002E1DF4"/>
    <w:rsid w:val="002E1FFC"/>
    <w:rsid w:val="002E2C3B"/>
    <w:rsid w:val="002E3C37"/>
    <w:rsid w:val="002E454D"/>
    <w:rsid w:val="002E4BA7"/>
    <w:rsid w:val="002E4D3D"/>
    <w:rsid w:val="002E5922"/>
    <w:rsid w:val="002E5CA7"/>
    <w:rsid w:val="002E620C"/>
    <w:rsid w:val="002E668B"/>
    <w:rsid w:val="002E7235"/>
    <w:rsid w:val="002E77BC"/>
    <w:rsid w:val="002E7DEA"/>
    <w:rsid w:val="002F0276"/>
    <w:rsid w:val="002F10E7"/>
    <w:rsid w:val="002F11F9"/>
    <w:rsid w:val="002F1274"/>
    <w:rsid w:val="002F13E0"/>
    <w:rsid w:val="002F16CB"/>
    <w:rsid w:val="002F1742"/>
    <w:rsid w:val="002F1AB0"/>
    <w:rsid w:val="002F3C64"/>
    <w:rsid w:val="002F3E2E"/>
    <w:rsid w:val="002F4431"/>
    <w:rsid w:val="002F47E7"/>
    <w:rsid w:val="002F510D"/>
    <w:rsid w:val="002F5F61"/>
    <w:rsid w:val="00300081"/>
    <w:rsid w:val="0030023E"/>
    <w:rsid w:val="00300317"/>
    <w:rsid w:val="0030059B"/>
    <w:rsid w:val="00300FC5"/>
    <w:rsid w:val="00301277"/>
    <w:rsid w:val="003017B6"/>
    <w:rsid w:val="00301837"/>
    <w:rsid w:val="003019CD"/>
    <w:rsid w:val="00302EBA"/>
    <w:rsid w:val="0030341B"/>
    <w:rsid w:val="003034D2"/>
    <w:rsid w:val="0030373E"/>
    <w:rsid w:val="00303A1B"/>
    <w:rsid w:val="003045BE"/>
    <w:rsid w:val="00305BF6"/>
    <w:rsid w:val="00305F53"/>
    <w:rsid w:val="003060F3"/>
    <w:rsid w:val="0030611D"/>
    <w:rsid w:val="0030612A"/>
    <w:rsid w:val="003068EC"/>
    <w:rsid w:val="00306C01"/>
    <w:rsid w:val="00307495"/>
    <w:rsid w:val="0030759B"/>
    <w:rsid w:val="003076C4"/>
    <w:rsid w:val="003079A6"/>
    <w:rsid w:val="003106C8"/>
    <w:rsid w:val="00310E3F"/>
    <w:rsid w:val="00311262"/>
    <w:rsid w:val="00311270"/>
    <w:rsid w:val="0031175D"/>
    <w:rsid w:val="003119DD"/>
    <w:rsid w:val="00312297"/>
    <w:rsid w:val="00312DBF"/>
    <w:rsid w:val="00313367"/>
    <w:rsid w:val="0031354F"/>
    <w:rsid w:val="00313B33"/>
    <w:rsid w:val="00314614"/>
    <w:rsid w:val="00314739"/>
    <w:rsid w:val="00314773"/>
    <w:rsid w:val="00314F8A"/>
    <w:rsid w:val="003151F3"/>
    <w:rsid w:val="003152FA"/>
    <w:rsid w:val="003154DB"/>
    <w:rsid w:val="00316779"/>
    <w:rsid w:val="003175BF"/>
    <w:rsid w:val="00317BDD"/>
    <w:rsid w:val="00317DA5"/>
    <w:rsid w:val="003201D0"/>
    <w:rsid w:val="003205E0"/>
    <w:rsid w:val="00321386"/>
    <w:rsid w:val="00321788"/>
    <w:rsid w:val="00321848"/>
    <w:rsid w:val="00321CB3"/>
    <w:rsid w:val="00322223"/>
    <w:rsid w:val="00322341"/>
    <w:rsid w:val="00322D22"/>
    <w:rsid w:val="0032345B"/>
    <w:rsid w:val="003235FE"/>
    <w:rsid w:val="00323B4E"/>
    <w:rsid w:val="00324FF5"/>
    <w:rsid w:val="00325490"/>
    <w:rsid w:val="003256A0"/>
    <w:rsid w:val="003265DE"/>
    <w:rsid w:val="00326A08"/>
    <w:rsid w:val="003275D6"/>
    <w:rsid w:val="0032767E"/>
    <w:rsid w:val="003277C6"/>
    <w:rsid w:val="00327845"/>
    <w:rsid w:val="00327B0E"/>
    <w:rsid w:val="003302CF"/>
    <w:rsid w:val="00330559"/>
    <w:rsid w:val="00330B86"/>
    <w:rsid w:val="00330DB5"/>
    <w:rsid w:val="00331306"/>
    <w:rsid w:val="00331659"/>
    <w:rsid w:val="003319C5"/>
    <w:rsid w:val="00331A58"/>
    <w:rsid w:val="003320F9"/>
    <w:rsid w:val="003327BD"/>
    <w:rsid w:val="003338EB"/>
    <w:rsid w:val="00334446"/>
    <w:rsid w:val="0033444C"/>
    <w:rsid w:val="00334725"/>
    <w:rsid w:val="00334A38"/>
    <w:rsid w:val="00334AF1"/>
    <w:rsid w:val="003353D5"/>
    <w:rsid w:val="00335A53"/>
    <w:rsid w:val="003363FA"/>
    <w:rsid w:val="003379A4"/>
    <w:rsid w:val="00337BB0"/>
    <w:rsid w:val="00337CB6"/>
    <w:rsid w:val="003403AE"/>
    <w:rsid w:val="003409BD"/>
    <w:rsid w:val="0034111B"/>
    <w:rsid w:val="00341EEA"/>
    <w:rsid w:val="00342559"/>
    <w:rsid w:val="00342D1A"/>
    <w:rsid w:val="0034339B"/>
    <w:rsid w:val="00343860"/>
    <w:rsid w:val="00343AB5"/>
    <w:rsid w:val="00344CEF"/>
    <w:rsid w:val="00344D3F"/>
    <w:rsid w:val="00344F44"/>
    <w:rsid w:val="0034511C"/>
    <w:rsid w:val="00345191"/>
    <w:rsid w:val="0034550A"/>
    <w:rsid w:val="00345B7B"/>
    <w:rsid w:val="0034620C"/>
    <w:rsid w:val="00346579"/>
    <w:rsid w:val="00346C50"/>
    <w:rsid w:val="003474B3"/>
    <w:rsid w:val="00347A1B"/>
    <w:rsid w:val="00347CA3"/>
    <w:rsid w:val="00347F9F"/>
    <w:rsid w:val="00350636"/>
    <w:rsid w:val="00351032"/>
    <w:rsid w:val="0035149A"/>
    <w:rsid w:val="00351668"/>
    <w:rsid w:val="003524F4"/>
    <w:rsid w:val="00352775"/>
    <w:rsid w:val="00352F14"/>
    <w:rsid w:val="003530B3"/>
    <w:rsid w:val="003547B5"/>
    <w:rsid w:val="0035546F"/>
    <w:rsid w:val="003554BD"/>
    <w:rsid w:val="003554CE"/>
    <w:rsid w:val="00356392"/>
    <w:rsid w:val="00356586"/>
    <w:rsid w:val="00356792"/>
    <w:rsid w:val="003571E2"/>
    <w:rsid w:val="00360A82"/>
    <w:rsid w:val="00361062"/>
    <w:rsid w:val="003610F5"/>
    <w:rsid w:val="003616F4"/>
    <w:rsid w:val="003623A0"/>
    <w:rsid w:val="00362B5E"/>
    <w:rsid w:val="003638E9"/>
    <w:rsid w:val="003643A5"/>
    <w:rsid w:val="00364A29"/>
    <w:rsid w:val="00364D97"/>
    <w:rsid w:val="0036533F"/>
    <w:rsid w:val="00365370"/>
    <w:rsid w:val="00365D38"/>
    <w:rsid w:val="003661C9"/>
    <w:rsid w:val="00366468"/>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1937"/>
    <w:rsid w:val="0037207D"/>
    <w:rsid w:val="00372389"/>
    <w:rsid w:val="00372564"/>
    <w:rsid w:val="00372644"/>
    <w:rsid w:val="0037334A"/>
    <w:rsid w:val="003734B3"/>
    <w:rsid w:val="003736AF"/>
    <w:rsid w:val="0037443B"/>
    <w:rsid w:val="00374D3E"/>
    <w:rsid w:val="00375820"/>
    <w:rsid w:val="00375B14"/>
    <w:rsid w:val="00375D85"/>
    <w:rsid w:val="003760FD"/>
    <w:rsid w:val="003769D5"/>
    <w:rsid w:val="0037714B"/>
    <w:rsid w:val="00377475"/>
    <w:rsid w:val="0037777C"/>
    <w:rsid w:val="00377A8C"/>
    <w:rsid w:val="0038054C"/>
    <w:rsid w:val="0038061C"/>
    <w:rsid w:val="00381168"/>
    <w:rsid w:val="00381537"/>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4EFF"/>
    <w:rsid w:val="00386092"/>
    <w:rsid w:val="00386891"/>
    <w:rsid w:val="00386A21"/>
    <w:rsid w:val="0038735C"/>
    <w:rsid w:val="003874B4"/>
    <w:rsid w:val="00387631"/>
    <w:rsid w:val="00387823"/>
    <w:rsid w:val="00387C8E"/>
    <w:rsid w:val="00390044"/>
    <w:rsid w:val="00390095"/>
    <w:rsid w:val="003903FB"/>
    <w:rsid w:val="00390644"/>
    <w:rsid w:val="0039066F"/>
    <w:rsid w:val="00390D50"/>
    <w:rsid w:val="00390E26"/>
    <w:rsid w:val="00390EAD"/>
    <w:rsid w:val="00390EAF"/>
    <w:rsid w:val="00391CBB"/>
    <w:rsid w:val="00391D90"/>
    <w:rsid w:val="00391DDE"/>
    <w:rsid w:val="0039208E"/>
    <w:rsid w:val="003923A6"/>
    <w:rsid w:val="0039257A"/>
    <w:rsid w:val="00393231"/>
    <w:rsid w:val="0039372B"/>
    <w:rsid w:val="0039383D"/>
    <w:rsid w:val="00393906"/>
    <w:rsid w:val="00394FE8"/>
    <w:rsid w:val="00395069"/>
    <w:rsid w:val="003955AD"/>
    <w:rsid w:val="00395A0A"/>
    <w:rsid w:val="00396C46"/>
    <w:rsid w:val="00397BF1"/>
    <w:rsid w:val="003A0A67"/>
    <w:rsid w:val="003A1071"/>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6562"/>
    <w:rsid w:val="003A701E"/>
    <w:rsid w:val="003A7161"/>
    <w:rsid w:val="003A7200"/>
    <w:rsid w:val="003A75C6"/>
    <w:rsid w:val="003A79FF"/>
    <w:rsid w:val="003A7DFF"/>
    <w:rsid w:val="003B00E9"/>
    <w:rsid w:val="003B02DF"/>
    <w:rsid w:val="003B0A8B"/>
    <w:rsid w:val="003B106D"/>
    <w:rsid w:val="003B1083"/>
    <w:rsid w:val="003B12DB"/>
    <w:rsid w:val="003B13AB"/>
    <w:rsid w:val="003B1C5D"/>
    <w:rsid w:val="003B1EAD"/>
    <w:rsid w:val="003B1F1C"/>
    <w:rsid w:val="003B23A8"/>
    <w:rsid w:val="003B3822"/>
    <w:rsid w:val="003B3BAD"/>
    <w:rsid w:val="003B3F02"/>
    <w:rsid w:val="003B3F64"/>
    <w:rsid w:val="003B4644"/>
    <w:rsid w:val="003B4B26"/>
    <w:rsid w:val="003B4E29"/>
    <w:rsid w:val="003B5306"/>
    <w:rsid w:val="003B5757"/>
    <w:rsid w:val="003B5DAC"/>
    <w:rsid w:val="003B6179"/>
    <w:rsid w:val="003B6302"/>
    <w:rsid w:val="003B69D0"/>
    <w:rsid w:val="003B7B4D"/>
    <w:rsid w:val="003C00A2"/>
    <w:rsid w:val="003C00D4"/>
    <w:rsid w:val="003C0125"/>
    <w:rsid w:val="003C03F7"/>
    <w:rsid w:val="003C05CD"/>
    <w:rsid w:val="003C0FE5"/>
    <w:rsid w:val="003C12F6"/>
    <w:rsid w:val="003C1CAF"/>
    <w:rsid w:val="003C22D4"/>
    <w:rsid w:val="003C29AF"/>
    <w:rsid w:val="003C2C17"/>
    <w:rsid w:val="003C3209"/>
    <w:rsid w:val="003C3215"/>
    <w:rsid w:val="003C3F73"/>
    <w:rsid w:val="003C40A2"/>
    <w:rsid w:val="003C48FA"/>
    <w:rsid w:val="003C5519"/>
    <w:rsid w:val="003C5A97"/>
    <w:rsid w:val="003C616B"/>
    <w:rsid w:val="003C6434"/>
    <w:rsid w:val="003C681D"/>
    <w:rsid w:val="003C69CF"/>
    <w:rsid w:val="003C6BED"/>
    <w:rsid w:val="003C7855"/>
    <w:rsid w:val="003C7965"/>
    <w:rsid w:val="003C7D06"/>
    <w:rsid w:val="003C7EF7"/>
    <w:rsid w:val="003D0E1F"/>
    <w:rsid w:val="003D1182"/>
    <w:rsid w:val="003D1AE0"/>
    <w:rsid w:val="003D22DA"/>
    <w:rsid w:val="003D3779"/>
    <w:rsid w:val="003D425A"/>
    <w:rsid w:val="003D4866"/>
    <w:rsid w:val="003D4ADC"/>
    <w:rsid w:val="003D507A"/>
    <w:rsid w:val="003D53FE"/>
    <w:rsid w:val="003D6280"/>
    <w:rsid w:val="003D66CB"/>
    <w:rsid w:val="003D687A"/>
    <w:rsid w:val="003D6E45"/>
    <w:rsid w:val="003D6F19"/>
    <w:rsid w:val="003D79B8"/>
    <w:rsid w:val="003D7A2D"/>
    <w:rsid w:val="003D7C91"/>
    <w:rsid w:val="003E043F"/>
    <w:rsid w:val="003E07F1"/>
    <w:rsid w:val="003E0E8C"/>
    <w:rsid w:val="003E113F"/>
    <w:rsid w:val="003E1320"/>
    <w:rsid w:val="003E1418"/>
    <w:rsid w:val="003E2F08"/>
    <w:rsid w:val="003E3DA0"/>
    <w:rsid w:val="003E45F2"/>
    <w:rsid w:val="003E4979"/>
    <w:rsid w:val="003E4B79"/>
    <w:rsid w:val="003E4B85"/>
    <w:rsid w:val="003E581F"/>
    <w:rsid w:val="003E5F16"/>
    <w:rsid w:val="003E634D"/>
    <w:rsid w:val="003E64A3"/>
    <w:rsid w:val="003E64BB"/>
    <w:rsid w:val="003E6AC1"/>
    <w:rsid w:val="003E6B60"/>
    <w:rsid w:val="003E7EEA"/>
    <w:rsid w:val="003F01E7"/>
    <w:rsid w:val="003F040D"/>
    <w:rsid w:val="003F18CF"/>
    <w:rsid w:val="003F2BFE"/>
    <w:rsid w:val="003F2C80"/>
    <w:rsid w:val="003F3112"/>
    <w:rsid w:val="003F3A44"/>
    <w:rsid w:val="003F3DC1"/>
    <w:rsid w:val="003F58FE"/>
    <w:rsid w:val="003F5F0A"/>
    <w:rsid w:val="003F697A"/>
    <w:rsid w:val="003F6DF4"/>
    <w:rsid w:val="003F7022"/>
    <w:rsid w:val="003F7263"/>
    <w:rsid w:val="003F7B82"/>
    <w:rsid w:val="003F7D77"/>
    <w:rsid w:val="0040046F"/>
    <w:rsid w:val="00400A5E"/>
    <w:rsid w:val="004015B0"/>
    <w:rsid w:val="004016AD"/>
    <w:rsid w:val="00401A15"/>
    <w:rsid w:val="00401C5B"/>
    <w:rsid w:val="00401DB1"/>
    <w:rsid w:val="004020FB"/>
    <w:rsid w:val="0040230D"/>
    <w:rsid w:val="004028D0"/>
    <w:rsid w:val="00402940"/>
    <w:rsid w:val="00403226"/>
    <w:rsid w:val="00403827"/>
    <w:rsid w:val="00403BA6"/>
    <w:rsid w:val="00403E68"/>
    <w:rsid w:val="004040E3"/>
    <w:rsid w:val="00404D4D"/>
    <w:rsid w:val="00406A35"/>
    <w:rsid w:val="0040743C"/>
    <w:rsid w:val="004078A4"/>
    <w:rsid w:val="00407CDA"/>
    <w:rsid w:val="004100FD"/>
    <w:rsid w:val="0041029D"/>
    <w:rsid w:val="00410347"/>
    <w:rsid w:val="004104BF"/>
    <w:rsid w:val="0041068A"/>
    <w:rsid w:val="00410DEC"/>
    <w:rsid w:val="0041138F"/>
    <w:rsid w:val="004118D5"/>
    <w:rsid w:val="004119D9"/>
    <w:rsid w:val="00412E11"/>
    <w:rsid w:val="00412EF3"/>
    <w:rsid w:val="004133CD"/>
    <w:rsid w:val="00413549"/>
    <w:rsid w:val="00414080"/>
    <w:rsid w:val="00414538"/>
    <w:rsid w:val="0041479C"/>
    <w:rsid w:val="00415643"/>
    <w:rsid w:val="00416787"/>
    <w:rsid w:val="00416D2E"/>
    <w:rsid w:val="004203CA"/>
    <w:rsid w:val="004208D7"/>
    <w:rsid w:val="00420CA2"/>
    <w:rsid w:val="00420CBA"/>
    <w:rsid w:val="00421878"/>
    <w:rsid w:val="004228EE"/>
    <w:rsid w:val="00422BB1"/>
    <w:rsid w:val="00422D87"/>
    <w:rsid w:val="0042325A"/>
    <w:rsid w:val="0042336F"/>
    <w:rsid w:val="004234EF"/>
    <w:rsid w:val="00423E81"/>
    <w:rsid w:val="004242F2"/>
    <w:rsid w:val="004249DB"/>
    <w:rsid w:val="00424A55"/>
    <w:rsid w:val="00424C76"/>
    <w:rsid w:val="00425286"/>
    <w:rsid w:val="00425554"/>
    <w:rsid w:val="0042556A"/>
    <w:rsid w:val="00425B68"/>
    <w:rsid w:val="00425C9F"/>
    <w:rsid w:val="004268A5"/>
    <w:rsid w:val="00426B99"/>
    <w:rsid w:val="004300E1"/>
    <w:rsid w:val="00430294"/>
    <w:rsid w:val="004309CF"/>
    <w:rsid w:val="00430B44"/>
    <w:rsid w:val="00430F27"/>
    <w:rsid w:val="0043104B"/>
    <w:rsid w:val="0043181D"/>
    <w:rsid w:val="004328E4"/>
    <w:rsid w:val="00432937"/>
    <w:rsid w:val="00432ED6"/>
    <w:rsid w:val="00432FCB"/>
    <w:rsid w:val="00433460"/>
    <w:rsid w:val="00433D87"/>
    <w:rsid w:val="00433ECE"/>
    <w:rsid w:val="004347A7"/>
    <w:rsid w:val="00434800"/>
    <w:rsid w:val="00434F9C"/>
    <w:rsid w:val="00435F09"/>
    <w:rsid w:val="00435F6F"/>
    <w:rsid w:val="00436548"/>
    <w:rsid w:val="00436C20"/>
    <w:rsid w:val="004373A1"/>
    <w:rsid w:val="00440392"/>
    <w:rsid w:val="00440502"/>
    <w:rsid w:val="00440E8F"/>
    <w:rsid w:val="004412E5"/>
    <w:rsid w:val="004415FC"/>
    <w:rsid w:val="00441989"/>
    <w:rsid w:val="00442112"/>
    <w:rsid w:val="00442822"/>
    <w:rsid w:val="00442E14"/>
    <w:rsid w:val="00442EA1"/>
    <w:rsid w:val="00443766"/>
    <w:rsid w:val="004437F3"/>
    <w:rsid w:val="00443A3A"/>
    <w:rsid w:val="00443AE0"/>
    <w:rsid w:val="00443D1A"/>
    <w:rsid w:val="004442B1"/>
    <w:rsid w:val="004443FB"/>
    <w:rsid w:val="0044476D"/>
    <w:rsid w:val="00444DA1"/>
    <w:rsid w:val="00445064"/>
    <w:rsid w:val="00445172"/>
    <w:rsid w:val="004461DF"/>
    <w:rsid w:val="00446929"/>
    <w:rsid w:val="00447603"/>
    <w:rsid w:val="00447999"/>
    <w:rsid w:val="00447AC5"/>
    <w:rsid w:val="00447EAD"/>
    <w:rsid w:val="004504A7"/>
    <w:rsid w:val="00450899"/>
    <w:rsid w:val="004508B7"/>
    <w:rsid w:val="00450FE9"/>
    <w:rsid w:val="00451A7B"/>
    <w:rsid w:val="004522A6"/>
    <w:rsid w:val="004529D7"/>
    <w:rsid w:val="00452A11"/>
    <w:rsid w:val="00453BF4"/>
    <w:rsid w:val="00453D19"/>
    <w:rsid w:val="00454571"/>
    <w:rsid w:val="004551E8"/>
    <w:rsid w:val="00455AFA"/>
    <w:rsid w:val="00456308"/>
    <w:rsid w:val="004566BE"/>
    <w:rsid w:val="0045682E"/>
    <w:rsid w:val="004568B4"/>
    <w:rsid w:val="00456A0C"/>
    <w:rsid w:val="00457142"/>
    <w:rsid w:val="004573A4"/>
    <w:rsid w:val="00457493"/>
    <w:rsid w:val="00457958"/>
    <w:rsid w:val="00457B1E"/>
    <w:rsid w:val="0046115F"/>
    <w:rsid w:val="0046148D"/>
    <w:rsid w:val="00461535"/>
    <w:rsid w:val="00462745"/>
    <w:rsid w:val="004627CF"/>
    <w:rsid w:val="00462977"/>
    <w:rsid w:val="00462DBA"/>
    <w:rsid w:val="004635B7"/>
    <w:rsid w:val="00464027"/>
    <w:rsid w:val="004641CB"/>
    <w:rsid w:val="0046443B"/>
    <w:rsid w:val="00464BC7"/>
    <w:rsid w:val="004651B8"/>
    <w:rsid w:val="00465580"/>
    <w:rsid w:val="00465972"/>
    <w:rsid w:val="00465B78"/>
    <w:rsid w:val="00465E7E"/>
    <w:rsid w:val="00466001"/>
    <w:rsid w:val="00466BB5"/>
    <w:rsid w:val="004672E8"/>
    <w:rsid w:val="004677E9"/>
    <w:rsid w:val="004679F2"/>
    <w:rsid w:val="00470535"/>
    <w:rsid w:val="00471183"/>
    <w:rsid w:val="0047123C"/>
    <w:rsid w:val="004714F6"/>
    <w:rsid w:val="00471948"/>
    <w:rsid w:val="0047289C"/>
    <w:rsid w:val="00472E22"/>
    <w:rsid w:val="00472F67"/>
    <w:rsid w:val="00473948"/>
    <w:rsid w:val="004739A1"/>
    <w:rsid w:val="0047430D"/>
    <w:rsid w:val="00474FDF"/>
    <w:rsid w:val="004750E3"/>
    <w:rsid w:val="00475688"/>
    <w:rsid w:val="004758F6"/>
    <w:rsid w:val="004759E3"/>
    <w:rsid w:val="00475C51"/>
    <w:rsid w:val="004760EC"/>
    <w:rsid w:val="00476161"/>
    <w:rsid w:val="0047664F"/>
    <w:rsid w:val="00476658"/>
    <w:rsid w:val="00476E34"/>
    <w:rsid w:val="00476EE1"/>
    <w:rsid w:val="00477163"/>
    <w:rsid w:val="00477B0E"/>
    <w:rsid w:val="00477DA0"/>
    <w:rsid w:val="00481688"/>
    <w:rsid w:val="004820E0"/>
    <w:rsid w:val="004822CA"/>
    <w:rsid w:val="004825A0"/>
    <w:rsid w:val="00482E54"/>
    <w:rsid w:val="004831A1"/>
    <w:rsid w:val="00483F95"/>
    <w:rsid w:val="004842A2"/>
    <w:rsid w:val="00484D20"/>
    <w:rsid w:val="004850C1"/>
    <w:rsid w:val="004851F7"/>
    <w:rsid w:val="00485565"/>
    <w:rsid w:val="00486F54"/>
    <w:rsid w:val="004871B4"/>
    <w:rsid w:val="00487374"/>
    <w:rsid w:val="004876DD"/>
    <w:rsid w:val="00487DD2"/>
    <w:rsid w:val="00490357"/>
    <w:rsid w:val="0049066D"/>
    <w:rsid w:val="0049178A"/>
    <w:rsid w:val="00491C1D"/>
    <w:rsid w:val="00491DF1"/>
    <w:rsid w:val="00492535"/>
    <w:rsid w:val="00493435"/>
    <w:rsid w:val="00494B28"/>
    <w:rsid w:val="00495FFF"/>
    <w:rsid w:val="00496811"/>
    <w:rsid w:val="00496A37"/>
    <w:rsid w:val="00496A9F"/>
    <w:rsid w:val="00497358"/>
    <w:rsid w:val="00497B27"/>
    <w:rsid w:val="00497B80"/>
    <w:rsid w:val="00497C8C"/>
    <w:rsid w:val="00497FA5"/>
    <w:rsid w:val="004A03B3"/>
    <w:rsid w:val="004A04D5"/>
    <w:rsid w:val="004A0698"/>
    <w:rsid w:val="004A17BD"/>
    <w:rsid w:val="004A1B07"/>
    <w:rsid w:val="004A1C7F"/>
    <w:rsid w:val="004A2E04"/>
    <w:rsid w:val="004A3226"/>
    <w:rsid w:val="004A399F"/>
    <w:rsid w:val="004A405B"/>
    <w:rsid w:val="004A4096"/>
    <w:rsid w:val="004A4516"/>
    <w:rsid w:val="004A4692"/>
    <w:rsid w:val="004A5912"/>
    <w:rsid w:val="004A669F"/>
    <w:rsid w:val="004A6842"/>
    <w:rsid w:val="004A718C"/>
    <w:rsid w:val="004A71C1"/>
    <w:rsid w:val="004A722D"/>
    <w:rsid w:val="004A7DBE"/>
    <w:rsid w:val="004A7E0C"/>
    <w:rsid w:val="004A7F94"/>
    <w:rsid w:val="004B08AC"/>
    <w:rsid w:val="004B0D88"/>
    <w:rsid w:val="004B19FD"/>
    <w:rsid w:val="004B1C0D"/>
    <w:rsid w:val="004B206E"/>
    <w:rsid w:val="004B229E"/>
    <w:rsid w:val="004B29C2"/>
    <w:rsid w:val="004B29E1"/>
    <w:rsid w:val="004B2C52"/>
    <w:rsid w:val="004B2F46"/>
    <w:rsid w:val="004B395D"/>
    <w:rsid w:val="004B4194"/>
    <w:rsid w:val="004B457E"/>
    <w:rsid w:val="004B55F0"/>
    <w:rsid w:val="004B56C3"/>
    <w:rsid w:val="004B6928"/>
    <w:rsid w:val="004B6DD8"/>
    <w:rsid w:val="004B71F5"/>
    <w:rsid w:val="004B79FA"/>
    <w:rsid w:val="004B7D94"/>
    <w:rsid w:val="004C0FB7"/>
    <w:rsid w:val="004C104B"/>
    <w:rsid w:val="004C164A"/>
    <w:rsid w:val="004C2E14"/>
    <w:rsid w:val="004C2FE3"/>
    <w:rsid w:val="004C305A"/>
    <w:rsid w:val="004C35EF"/>
    <w:rsid w:val="004C3BCF"/>
    <w:rsid w:val="004C4829"/>
    <w:rsid w:val="004C49F8"/>
    <w:rsid w:val="004C4D30"/>
    <w:rsid w:val="004C4EAB"/>
    <w:rsid w:val="004C5570"/>
    <w:rsid w:val="004C5BD0"/>
    <w:rsid w:val="004C5D52"/>
    <w:rsid w:val="004C5DB0"/>
    <w:rsid w:val="004C60D8"/>
    <w:rsid w:val="004C62EE"/>
    <w:rsid w:val="004C6A0D"/>
    <w:rsid w:val="004C6A26"/>
    <w:rsid w:val="004C6B4B"/>
    <w:rsid w:val="004C7B72"/>
    <w:rsid w:val="004D1000"/>
    <w:rsid w:val="004D1144"/>
    <w:rsid w:val="004D1D27"/>
    <w:rsid w:val="004D2EC3"/>
    <w:rsid w:val="004D2FF6"/>
    <w:rsid w:val="004D3FD6"/>
    <w:rsid w:val="004D405F"/>
    <w:rsid w:val="004D4987"/>
    <w:rsid w:val="004D55CA"/>
    <w:rsid w:val="004D5A27"/>
    <w:rsid w:val="004D5F0E"/>
    <w:rsid w:val="004D6626"/>
    <w:rsid w:val="004D6758"/>
    <w:rsid w:val="004D7966"/>
    <w:rsid w:val="004D7B1A"/>
    <w:rsid w:val="004E01E8"/>
    <w:rsid w:val="004E0830"/>
    <w:rsid w:val="004E169C"/>
    <w:rsid w:val="004E1BF0"/>
    <w:rsid w:val="004E1E6A"/>
    <w:rsid w:val="004E28E1"/>
    <w:rsid w:val="004E2B01"/>
    <w:rsid w:val="004E34C7"/>
    <w:rsid w:val="004E356A"/>
    <w:rsid w:val="004E375D"/>
    <w:rsid w:val="004E3850"/>
    <w:rsid w:val="004E3FC1"/>
    <w:rsid w:val="004E58EA"/>
    <w:rsid w:val="004E5B75"/>
    <w:rsid w:val="004E5F65"/>
    <w:rsid w:val="004E6806"/>
    <w:rsid w:val="004E6C7A"/>
    <w:rsid w:val="004E7615"/>
    <w:rsid w:val="004E7CDF"/>
    <w:rsid w:val="004F078C"/>
    <w:rsid w:val="004F1324"/>
    <w:rsid w:val="004F19F6"/>
    <w:rsid w:val="004F1C7D"/>
    <w:rsid w:val="004F1D24"/>
    <w:rsid w:val="004F21D2"/>
    <w:rsid w:val="004F2641"/>
    <w:rsid w:val="004F27F3"/>
    <w:rsid w:val="004F29B9"/>
    <w:rsid w:val="004F2B8E"/>
    <w:rsid w:val="004F2C85"/>
    <w:rsid w:val="004F32BF"/>
    <w:rsid w:val="004F3E6A"/>
    <w:rsid w:val="004F469D"/>
    <w:rsid w:val="004F5346"/>
    <w:rsid w:val="004F54CA"/>
    <w:rsid w:val="004F56A5"/>
    <w:rsid w:val="004F5C09"/>
    <w:rsid w:val="004F5E4E"/>
    <w:rsid w:val="004F61F6"/>
    <w:rsid w:val="004F63CC"/>
    <w:rsid w:val="004F6678"/>
    <w:rsid w:val="004F6937"/>
    <w:rsid w:val="004F6B28"/>
    <w:rsid w:val="004F6C65"/>
    <w:rsid w:val="004F6D2E"/>
    <w:rsid w:val="004F7F0F"/>
    <w:rsid w:val="004F7FBC"/>
    <w:rsid w:val="005001AE"/>
    <w:rsid w:val="00500292"/>
    <w:rsid w:val="005007E7"/>
    <w:rsid w:val="00501141"/>
    <w:rsid w:val="005012FC"/>
    <w:rsid w:val="00501938"/>
    <w:rsid w:val="00501C30"/>
    <w:rsid w:val="00501EBE"/>
    <w:rsid w:val="005020EB"/>
    <w:rsid w:val="00503551"/>
    <w:rsid w:val="00503821"/>
    <w:rsid w:val="00503F38"/>
    <w:rsid w:val="005043FC"/>
    <w:rsid w:val="00504A55"/>
    <w:rsid w:val="00505F08"/>
    <w:rsid w:val="00506610"/>
    <w:rsid w:val="0050671D"/>
    <w:rsid w:val="0050672C"/>
    <w:rsid w:val="00506C4C"/>
    <w:rsid w:val="0050700E"/>
    <w:rsid w:val="005075DC"/>
    <w:rsid w:val="005075EB"/>
    <w:rsid w:val="005079D7"/>
    <w:rsid w:val="00507B2A"/>
    <w:rsid w:val="005105F5"/>
    <w:rsid w:val="00510892"/>
    <w:rsid w:val="00510A22"/>
    <w:rsid w:val="00510BEA"/>
    <w:rsid w:val="00510D8A"/>
    <w:rsid w:val="00511EBC"/>
    <w:rsid w:val="005125D5"/>
    <w:rsid w:val="00512D51"/>
    <w:rsid w:val="00512E95"/>
    <w:rsid w:val="00514674"/>
    <w:rsid w:val="0051477F"/>
    <w:rsid w:val="00514C46"/>
    <w:rsid w:val="00515BCF"/>
    <w:rsid w:val="00516083"/>
    <w:rsid w:val="00516196"/>
    <w:rsid w:val="0051635A"/>
    <w:rsid w:val="0051646E"/>
    <w:rsid w:val="005166C3"/>
    <w:rsid w:val="00516EA5"/>
    <w:rsid w:val="005179DA"/>
    <w:rsid w:val="00517E2A"/>
    <w:rsid w:val="00520C1C"/>
    <w:rsid w:val="0052117B"/>
    <w:rsid w:val="00521439"/>
    <w:rsid w:val="005217DF"/>
    <w:rsid w:val="00522133"/>
    <w:rsid w:val="0052292E"/>
    <w:rsid w:val="005232E0"/>
    <w:rsid w:val="0052373B"/>
    <w:rsid w:val="00523900"/>
    <w:rsid w:val="00523D70"/>
    <w:rsid w:val="00523E00"/>
    <w:rsid w:val="0052439F"/>
    <w:rsid w:val="005243EB"/>
    <w:rsid w:val="00524FC0"/>
    <w:rsid w:val="00525789"/>
    <w:rsid w:val="00525890"/>
    <w:rsid w:val="00525C4D"/>
    <w:rsid w:val="005260BC"/>
    <w:rsid w:val="00526452"/>
    <w:rsid w:val="00526816"/>
    <w:rsid w:val="00526AE3"/>
    <w:rsid w:val="00526F09"/>
    <w:rsid w:val="00527B9D"/>
    <w:rsid w:val="00527F3A"/>
    <w:rsid w:val="00527F4F"/>
    <w:rsid w:val="00530512"/>
    <w:rsid w:val="00530799"/>
    <w:rsid w:val="00530F0B"/>
    <w:rsid w:val="0053109F"/>
    <w:rsid w:val="005311E8"/>
    <w:rsid w:val="005312C3"/>
    <w:rsid w:val="005312C4"/>
    <w:rsid w:val="0053133A"/>
    <w:rsid w:val="00531822"/>
    <w:rsid w:val="005326D0"/>
    <w:rsid w:val="005327CB"/>
    <w:rsid w:val="00532800"/>
    <w:rsid w:val="00532A80"/>
    <w:rsid w:val="00532DE3"/>
    <w:rsid w:val="00532FDA"/>
    <w:rsid w:val="005331F3"/>
    <w:rsid w:val="00533EE8"/>
    <w:rsid w:val="0053417D"/>
    <w:rsid w:val="00534689"/>
    <w:rsid w:val="00534821"/>
    <w:rsid w:val="0053490C"/>
    <w:rsid w:val="00535585"/>
    <w:rsid w:val="0053608F"/>
    <w:rsid w:val="00536A08"/>
    <w:rsid w:val="00536A58"/>
    <w:rsid w:val="00536AB4"/>
    <w:rsid w:val="00537127"/>
    <w:rsid w:val="0053764B"/>
    <w:rsid w:val="0054069F"/>
    <w:rsid w:val="00541307"/>
    <w:rsid w:val="00541B60"/>
    <w:rsid w:val="00541DB8"/>
    <w:rsid w:val="00541F9A"/>
    <w:rsid w:val="00542599"/>
    <w:rsid w:val="00542EB4"/>
    <w:rsid w:val="00543C95"/>
    <w:rsid w:val="00544320"/>
    <w:rsid w:val="0054460B"/>
    <w:rsid w:val="005448B9"/>
    <w:rsid w:val="00545136"/>
    <w:rsid w:val="005452C1"/>
    <w:rsid w:val="005452CD"/>
    <w:rsid w:val="00545B42"/>
    <w:rsid w:val="0054612B"/>
    <w:rsid w:val="00547753"/>
    <w:rsid w:val="00547906"/>
    <w:rsid w:val="005479F5"/>
    <w:rsid w:val="00547D90"/>
    <w:rsid w:val="005508EF"/>
    <w:rsid w:val="005510E3"/>
    <w:rsid w:val="0055173F"/>
    <w:rsid w:val="00551AE8"/>
    <w:rsid w:val="00551D57"/>
    <w:rsid w:val="00552C69"/>
    <w:rsid w:val="00552E11"/>
    <w:rsid w:val="00552FEB"/>
    <w:rsid w:val="00553115"/>
    <w:rsid w:val="0055326B"/>
    <w:rsid w:val="005532A3"/>
    <w:rsid w:val="00553395"/>
    <w:rsid w:val="00553567"/>
    <w:rsid w:val="005538EF"/>
    <w:rsid w:val="00553B76"/>
    <w:rsid w:val="0055400F"/>
    <w:rsid w:val="00554034"/>
    <w:rsid w:val="005548DD"/>
    <w:rsid w:val="005552D3"/>
    <w:rsid w:val="00555500"/>
    <w:rsid w:val="005556AC"/>
    <w:rsid w:val="00555FC3"/>
    <w:rsid w:val="00556027"/>
    <w:rsid w:val="00556506"/>
    <w:rsid w:val="0055659A"/>
    <w:rsid w:val="00556731"/>
    <w:rsid w:val="00557401"/>
    <w:rsid w:val="0055747C"/>
    <w:rsid w:val="00557D41"/>
    <w:rsid w:val="00557F5B"/>
    <w:rsid w:val="00557FE2"/>
    <w:rsid w:val="005603DA"/>
    <w:rsid w:val="00560729"/>
    <w:rsid w:val="00560A86"/>
    <w:rsid w:val="00560EFC"/>
    <w:rsid w:val="00560F1B"/>
    <w:rsid w:val="00561C64"/>
    <w:rsid w:val="0056218D"/>
    <w:rsid w:val="00562EAD"/>
    <w:rsid w:val="00563222"/>
    <w:rsid w:val="00563AEB"/>
    <w:rsid w:val="00564775"/>
    <w:rsid w:val="0056557E"/>
    <w:rsid w:val="00566473"/>
    <w:rsid w:val="00566C28"/>
    <w:rsid w:val="00566EBC"/>
    <w:rsid w:val="00567500"/>
    <w:rsid w:val="0056753D"/>
    <w:rsid w:val="00567811"/>
    <w:rsid w:val="00567CDA"/>
    <w:rsid w:val="00570163"/>
    <w:rsid w:val="005701B3"/>
    <w:rsid w:val="005702BD"/>
    <w:rsid w:val="005704B1"/>
    <w:rsid w:val="0057096F"/>
    <w:rsid w:val="00571D81"/>
    <w:rsid w:val="00572749"/>
    <w:rsid w:val="0057373F"/>
    <w:rsid w:val="005739A1"/>
    <w:rsid w:val="005739F4"/>
    <w:rsid w:val="00573A7F"/>
    <w:rsid w:val="00573EE1"/>
    <w:rsid w:val="0057406C"/>
    <w:rsid w:val="00574434"/>
    <w:rsid w:val="0057470D"/>
    <w:rsid w:val="00574DD0"/>
    <w:rsid w:val="00575051"/>
    <w:rsid w:val="005758E3"/>
    <w:rsid w:val="00576D35"/>
    <w:rsid w:val="005777C8"/>
    <w:rsid w:val="00577AD5"/>
    <w:rsid w:val="00577F23"/>
    <w:rsid w:val="0058080C"/>
    <w:rsid w:val="00580A72"/>
    <w:rsid w:val="0058107B"/>
    <w:rsid w:val="0058149F"/>
    <w:rsid w:val="0058161B"/>
    <w:rsid w:val="005817A5"/>
    <w:rsid w:val="00581DF3"/>
    <w:rsid w:val="00581E5D"/>
    <w:rsid w:val="00582853"/>
    <w:rsid w:val="00582893"/>
    <w:rsid w:val="00582C76"/>
    <w:rsid w:val="005833DB"/>
    <w:rsid w:val="00583A87"/>
    <w:rsid w:val="0058403B"/>
    <w:rsid w:val="005842BA"/>
    <w:rsid w:val="005843E6"/>
    <w:rsid w:val="005845FA"/>
    <w:rsid w:val="00584AC0"/>
    <w:rsid w:val="00585C21"/>
    <w:rsid w:val="005874CD"/>
    <w:rsid w:val="00587597"/>
    <w:rsid w:val="00590D18"/>
    <w:rsid w:val="00590E42"/>
    <w:rsid w:val="00590EDD"/>
    <w:rsid w:val="00591988"/>
    <w:rsid w:val="005921C8"/>
    <w:rsid w:val="005922A3"/>
    <w:rsid w:val="0059239E"/>
    <w:rsid w:val="005924DB"/>
    <w:rsid w:val="005929E8"/>
    <w:rsid w:val="00592A2E"/>
    <w:rsid w:val="00593155"/>
    <w:rsid w:val="0059353B"/>
    <w:rsid w:val="005938DB"/>
    <w:rsid w:val="00593F5A"/>
    <w:rsid w:val="005949FB"/>
    <w:rsid w:val="00594C1A"/>
    <w:rsid w:val="00595106"/>
    <w:rsid w:val="00595692"/>
    <w:rsid w:val="00595B7B"/>
    <w:rsid w:val="00596020"/>
    <w:rsid w:val="0059632F"/>
    <w:rsid w:val="00597651"/>
    <w:rsid w:val="00597799"/>
    <w:rsid w:val="005977F9"/>
    <w:rsid w:val="00597BA8"/>
    <w:rsid w:val="005A01E7"/>
    <w:rsid w:val="005A02C8"/>
    <w:rsid w:val="005A09E5"/>
    <w:rsid w:val="005A1473"/>
    <w:rsid w:val="005A1923"/>
    <w:rsid w:val="005A19FF"/>
    <w:rsid w:val="005A2074"/>
    <w:rsid w:val="005A21E0"/>
    <w:rsid w:val="005A24AE"/>
    <w:rsid w:val="005A3394"/>
    <w:rsid w:val="005A403A"/>
    <w:rsid w:val="005A41EB"/>
    <w:rsid w:val="005A43BE"/>
    <w:rsid w:val="005A4624"/>
    <w:rsid w:val="005A5011"/>
    <w:rsid w:val="005A508D"/>
    <w:rsid w:val="005A60BA"/>
    <w:rsid w:val="005A761B"/>
    <w:rsid w:val="005B096F"/>
    <w:rsid w:val="005B0987"/>
    <w:rsid w:val="005B0FB5"/>
    <w:rsid w:val="005B1191"/>
    <w:rsid w:val="005B1205"/>
    <w:rsid w:val="005B1D3B"/>
    <w:rsid w:val="005B2088"/>
    <w:rsid w:val="005B2466"/>
    <w:rsid w:val="005B2607"/>
    <w:rsid w:val="005B2BBB"/>
    <w:rsid w:val="005B2BF5"/>
    <w:rsid w:val="005B2FD3"/>
    <w:rsid w:val="005B41B3"/>
    <w:rsid w:val="005B4289"/>
    <w:rsid w:val="005B5926"/>
    <w:rsid w:val="005B5A74"/>
    <w:rsid w:val="005B5DBE"/>
    <w:rsid w:val="005B66DA"/>
    <w:rsid w:val="005B6927"/>
    <w:rsid w:val="005B698D"/>
    <w:rsid w:val="005B6B33"/>
    <w:rsid w:val="005B6B72"/>
    <w:rsid w:val="005B6BFD"/>
    <w:rsid w:val="005B7331"/>
    <w:rsid w:val="005B75A5"/>
    <w:rsid w:val="005B75B6"/>
    <w:rsid w:val="005B7909"/>
    <w:rsid w:val="005B7F6E"/>
    <w:rsid w:val="005C05F1"/>
    <w:rsid w:val="005C12AC"/>
    <w:rsid w:val="005C13A3"/>
    <w:rsid w:val="005C18A6"/>
    <w:rsid w:val="005C1C90"/>
    <w:rsid w:val="005C1CEF"/>
    <w:rsid w:val="005C1F6E"/>
    <w:rsid w:val="005C241D"/>
    <w:rsid w:val="005C2BF1"/>
    <w:rsid w:val="005C3964"/>
    <w:rsid w:val="005C3D1F"/>
    <w:rsid w:val="005C417A"/>
    <w:rsid w:val="005C428A"/>
    <w:rsid w:val="005C4330"/>
    <w:rsid w:val="005C4787"/>
    <w:rsid w:val="005C487C"/>
    <w:rsid w:val="005C5113"/>
    <w:rsid w:val="005C54B8"/>
    <w:rsid w:val="005C557C"/>
    <w:rsid w:val="005C56B7"/>
    <w:rsid w:val="005C5CDF"/>
    <w:rsid w:val="005C677E"/>
    <w:rsid w:val="005C6A82"/>
    <w:rsid w:val="005C6B0C"/>
    <w:rsid w:val="005C6BD2"/>
    <w:rsid w:val="005C6CD0"/>
    <w:rsid w:val="005C7072"/>
    <w:rsid w:val="005C785E"/>
    <w:rsid w:val="005C78D5"/>
    <w:rsid w:val="005D00B6"/>
    <w:rsid w:val="005D101F"/>
    <w:rsid w:val="005D1247"/>
    <w:rsid w:val="005D19D4"/>
    <w:rsid w:val="005D1A10"/>
    <w:rsid w:val="005D1D60"/>
    <w:rsid w:val="005D205D"/>
    <w:rsid w:val="005D2F54"/>
    <w:rsid w:val="005D3370"/>
    <w:rsid w:val="005D33D2"/>
    <w:rsid w:val="005D353D"/>
    <w:rsid w:val="005D3FD5"/>
    <w:rsid w:val="005D463B"/>
    <w:rsid w:val="005D4E2C"/>
    <w:rsid w:val="005D593D"/>
    <w:rsid w:val="005D6377"/>
    <w:rsid w:val="005D63A5"/>
    <w:rsid w:val="005D69A4"/>
    <w:rsid w:val="005D6B95"/>
    <w:rsid w:val="005D79B5"/>
    <w:rsid w:val="005D7BDA"/>
    <w:rsid w:val="005D7E90"/>
    <w:rsid w:val="005D7FED"/>
    <w:rsid w:val="005E04E3"/>
    <w:rsid w:val="005E0A1F"/>
    <w:rsid w:val="005E0DEA"/>
    <w:rsid w:val="005E1667"/>
    <w:rsid w:val="005E17B3"/>
    <w:rsid w:val="005E1BB5"/>
    <w:rsid w:val="005E1BD6"/>
    <w:rsid w:val="005E20D0"/>
    <w:rsid w:val="005E2793"/>
    <w:rsid w:val="005E2A79"/>
    <w:rsid w:val="005E2D15"/>
    <w:rsid w:val="005E2EDB"/>
    <w:rsid w:val="005E2FB1"/>
    <w:rsid w:val="005E3485"/>
    <w:rsid w:val="005E3850"/>
    <w:rsid w:val="005E3EB4"/>
    <w:rsid w:val="005E40C8"/>
    <w:rsid w:val="005E43DF"/>
    <w:rsid w:val="005E48DE"/>
    <w:rsid w:val="005E4F3B"/>
    <w:rsid w:val="005E566F"/>
    <w:rsid w:val="005E57C0"/>
    <w:rsid w:val="005E64AF"/>
    <w:rsid w:val="005E6B2D"/>
    <w:rsid w:val="005E6BE9"/>
    <w:rsid w:val="005E71A5"/>
    <w:rsid w:val="005E73EC"/>
    <w:rsid w:val="005E777B"/>
    <w:rsid w:val="005F03D5"/>
    <w:rsid w:val="005F0860"/>
    <w:rsid w:val="005F14A7"/>
    <w:rsid w:val="005F1B20"/>
    <w:rsid w:val="005F1E18"/>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7608"/>
    <w:rsid w:val="005F764A"/>
    <w:rsid w:val="005F7895"/>
    <w:rsid w:val="0060008E"/>
    <w:rsid w:val="006005C1"/>
    <w:rsid w:val="00600661"/>
    <w:rsid w:val="00600A23"/>
    <w:rsid w:val="006011A0"/>
    <w:rsid w:val="00602475"/>
    <w:rsid w:val="00602A78"/>
    <w:rsid w:val="00602BCA"/>
    <w:rsid w:val="0060305F"/>
    <w:rsid w:val="006034C7"/>
    <w:rsid w:val="00604617"/>
    <w:rsid w:val="00604710"/>
    <w:rsid w:val="00604730"/>
    <w:rsid w:val="006049CE"/>
    <w:rsid w:val="00604AE3"/>
    <w:rsid w:val="00604D1B"/>
    <w:rsid w:val="00604F7C"/>
    <w:rsid w:val="006052A3"/>
    <w:rsid w:val="006052DE"/>
    <w:rsid w:val="006053D8"/>
    <w:rsid w:val="006057CF"/>
    <w:rsid w:val="006059A0"/>
    <w:rsid w:val="00605A1A"/>
    <w:rsid w:val="00606054"/>
    <w:rsid w:val="0060611E"/>
    <w:rsid w:val="006063E0"/>
    <w:rsid w:val="00606906"/>
    <w:rsid w:val="00606EE7"/>
    <w:rsid w:val="00606FAA"/>
    <w:rsid w:val="00607C10"/>
    <w:rsid w:val="00610C37"/>
    <w:rsid w:val="00611BA6"/>
    <w:rsid w:val="00612D19"/>
    <w:rsid w:val="0061330F"/>
    <w:rsid w:val="00613641"/>
    <w:rsid w:val="00614139"/>
    <w:rsid w:val="00614483"/>
    <w:rsid w:val="0061478C"/>
    <w:rsid w:val="0061516E"/>
    <w:rsid w:val="006151BC"/>
    <w:rsid w:val="00615204"/>
    <w:rsid w:val="006154F0"/>
    <w:rsid w:val="00615E77"/>
    <w:rsid w:val="006162A3"/>
    <w:rsid w:val="00616B8A"/>
    <w:rsid w:val="00616C7D"/>
    <w:rsid w:val="0061735F"/>
    <w:rsid w:val="00617A80"/>
    <w:rsid w:val="00617F9A"/>
    <w:rsid w:val="006205E1"/>
    <w:rsid w:val="006208EE"/>
    <w:rsid w:val="0062091D"/>
    <w:rsid w:val="00620C44"/>
    <w:rsid w:val="0062100E"/>
    <w:rsid w:val="006211A5"/>
    <w:rsid w:val="006219BC"/>
    <w:rsid w:val="00622789"/>
    <w:rsid w:val="00622F8E"/>
    <w:rsid w:val="006233C1"/>
    <w:rsid w:val="0062359C"/>
    <w:rsid w:val="00624649"/>
    <w:rsid w:val="0062469E"/>
    <w:rsid w:val="006249A7"/>
    <w:rsid w:val="006249D1"/>
    <w:rsid w:val="00624D4F"/>
    <w:rsid w:val="00625713"/>
    <w:rsid w:val="00625B22"/>
    <w:rsid w:val="00625C53"/>
    <w:rsid w:val="00626203"/>
    <w:rsid w:val="00626415"/>
    <w:rsid w:val="0062768B"/>
    <w:rsid w:val="00627A49"/>
    <w:rsid w:val="00627D60"/>
    <w:rsid w:val="00627E30"/>
    <w:rsid w:val="006303FC"/>
    <w:rsid w:val="006309D1"/>
    <w:rsid w:val="00631716"/>
    <w:rsid w:val="0063179F"/>
    <w:rsid w:val="006317A4"/>
    <w:rsid w:val="00632259"/>
    <w:rsid w:val="00632765"/>
    <w:rsid w:val="00632DD8"/>
    <w:rsid w:val="006338DA"/>
    <w:rsid w:val="0063390C"/>
    <w:rsid w:val="00633A5E"/>
    <w:rsid w:val="00633C32"/>
    <w:rsid w:val="00633F74"/>
    <w:rsid w:val="006349B7"/>
    <w:rsid w:val="00635009"/>
    <w:rsid w:val="006357F2"/>
    <w:rsid w:val="00635AEB"/>
    <w:rsid w:val="00636EF8"/>
    <w:rsid w:val="00636FEF"/>
    <w:rsid w:val="0063715F"/>
    <w:rsid w:val="006377DB"/>
    <w:rsid w:val="00637E6F"/>
    <w:rsid w:val="006405A2"/>
    <w:rsid w:val="00640699"/>
    <w:rsid w:val="006407E0"/>
    <w:rsid w:val="0064096C"/>
    <w:rsid w:val="00640C0B"/>
    <w:rsid w:val="006417E0"/>
    <w:rsid w:val="006418D2"/>
    <w:rsid w:val="006419D4"/>
    <w:rsid w:val="00641E1E"/>
    <w:rsid w:val="00642453"/>
    <w:rsid w:val="00642588"/>
    <w:rsid w:val="00642702"/>
    <w:rsid w:val="006443B2"/>
    <w:rsid w:val="00644746"/>
    <w:rsid w:val="00645210"/>
    <w:rsid w:val="00645933"/>
    <w:rsid w:val="006459B3"/>
    <w:rsid w:val="00645D57"/>
    <w:rsid w:val="00646970"/>
    <w:rsid w:val="00646FDD"/>
    <w:rsid w:val="00647C38"/>
    <w:rsid w:val="00647D39"/>
    <w:rsid w:val="006500A2"/>
    <w:rsid w:val="0065058D"/>
    <w:rsid w:val="00650709"/>
    <w:rsid w:val="00650C5E"/>
    <w:rsid w:val="006510C9"/>
    <w:rsid w:val="00651147"/>
    <w:rsid w:val="0065131D"/>
    <w:rsid w:val="00651DC1"/>
    <w:rsid w:val="00651FD6"/>
    <w:rsid w:val="0065234B"/>
    <w:rsid w:val="0065252C"/>
    <w:rsid w:val="00653AC4"/>
    <w:rsid w:val="00653C52"/>
    <w:rsid w:val="006540C1"/>
    <w:rsid w:val="00654642"/>
    <w:rsid w:val="00654AF4"/>
    <w:rsid w:val="00654CB8"/>
    <w:rsid w:val="0065561D"/>
    <w:rsid w:val="006556D9"/>
    <w:rsid w:val="00655F61"/>
    <w:rsid w:val="006562F3"/>
    <w:rsid w:val="006565D3"/>
    <w:rsid w:val="00656F87"/>
    <w:rsid w:val="00656FC3"/>
    <w:rsid w:val="00657081"/>
    <w:rsid w:val="00657693"/>
    <w:rsid w:val="00657861"/>
    <w:rsid w:val="00657B97"/>
    <w:rsid w:val="00660010"/>
    <w:rsid w:val="00660083"/>
    <w:rsid w:val="0066026B"/>
    <w:rsid w:val="00660680"/>
    <w:rsid w:val="00660BFB"/>
    <w:rsid w:val="00660E23"/>
    <w:rsid w:val="00662155"/>
    <w:rsid w:val="00662A70"/>
    <w:rsid w:val="00662AF9"/>
    <w:rsid w:val="00662C14"/>
    <w:rsid w:val="00662C97"/>
    <w:rsid w:val="00662CBB"/>
    <w:rsid w:val="00662F3E"/>
    <w:rsid w:val="006630C6"/>
    <w:rsid w:val="00663688"/>
    <w:rsid w:val="0066398B"/>
    <w:rsid w:val="00663F53"/>
    <w:rsid w:val="0066486A"/>
    <w:rsid w:val="006650D6"/>
    <w:rsid w:val="0066527F"/>
    <w:rsid w:val="00666754"/>
    <w:rsid w:val="00666AEA"/>
    <w:rsid w:val="00667025"/>
    <w:rsid w:val="00667FB2"/>
    <w:rsid w:val="00670009"/>
    <w:rsid w:val="006702EB"/>
    <w:rsid w:val="00670D2E"/>
    <w:rsid w:val="0067269F"/>
    <w:rsid w:val="006726CB"/>
    <w:rsid w:val="0067272F"/>
    <w:rsid w:val="0067385F"/>
    <w:rsid w:val="00673BA4"/>
    <w:rsid w:val="00674C5D"/>
    <w:rsid w:val="00674ED8"/>
    <w:rsid w:val="006755B4"/>
    <w:rsid w:val="00675793"/>
    <w:rsid w:val="00675AD4"/>
    <w:rsid w:val="00675C5E"/>
    <w:rsid w:val="00676F0B"/>
    <w:rsid w:val="006773D1"/>
    <w:rsid w:val="006801BB"/>
    <w:rsid w:val="006802E3"/>
    <w:rsid w:val="00680CC6"/>
    <w:rsid w:val="00681FF0"/>
    <w:rsid w:val="0068223D"/>
    <w:rsid w:val="0068241B"/>
    <w:rsid w:val="00683889"/>
    <w:rsid w:val="006842A2"/>
    <w:rsid w:val="006848BB"/>
    <w:rsid w:val="00685075"/>
    <w:rsid w:val="006850E0"/>
    <w:rsid w:val="00685339"/>
    <w:rsid w:val="00685597"/>
    <w:rsid w:val="00686338"/>
    <w:rsid w:val="006869CB"/>
    <w:rsid w:val="00686F56"/>
    <w:rsid w:val="0068731C"/>
    <w:rsid w:val="006904AD"/>
    <w:rsid w:val="006905F1"/>
    <w:rsid w:val="006912E6"/>
    <w:rsid w:val="006914E9"/>
    <w:rsid w:val="006915F9"/>
    <w:rsid w:val="00691815"/>
    <w:rsid w:val="00691E51"/>
    <w:rsid w:val="006920CA"/>
    <w:rsid w:val="006927F0"/>
    <w:rsid w:val="00692C4E"/>
    <w:rsid w:val="006936DB"/>
    <w:rsid w:val="00693801"/>
    <w:rsid w:val="00694042"/>
    <w:rsid w:val="006944B8"/>
    <w:rsid w:val="00694706"/>
    <w:rsid w:val="00694DF8"/>
    <w:rsid w:val="006952E1"/>
    <w:rsid w:val="006956E0"/>
    <w:rsid w:val="00695D95"/>
    <w:rsid w:val="00695DDA"/>
    <w:rsid w:val="00696136"/>
    <w:rsid w:val="00696243"/>
    <w:rsid w:val="006962E6"/>
    <w:rsid w:val="0069657D"/>
    <w:rsid w:val="00696A8E"/>
    <w:rsid w:val="0069703E"/>
    <w:rsid w:val="006970B4"/>
    <w:rsid w:val="00697208"/>
    <w:rsid w:val="006972BF"/>
    <w:rsid w:val="006973DE"/>
    <w:rsid w:val="006975B8"/>
    <w:rsid w:val="00697A32"/>
    <w:rsid w:val="006A06E3"/>
    <w:rsid w:val="006A0844"/>
    <w:rsid w:val="006A0B03"/>
    <w:rsid w:val="006A0ECA"/>
    <w:rsid w:val="006A11F4"/>
    <w:rsid w:val="006A1307"/>
    <w:rsid w:val="006A14A8"/>
    <w:rsid w:val="006A182D"/>
    <w:rsid w:val="006A1ADF"/>
    <w:rsid w:val="006A23AC"/>
    <w:rsid w:val="006A2835"/>
    <w:rsid w:val="006A2BDE"/>
    <w:rsid w:val="006A322C"/>
    <w:rsid w:val="006A3999"/>
    <w:rsid w:val="006A3A19"/>
    <w:rsid w:val="006A3B9E"/>
    <w:rsid w:val="006A3D6D"/>
    <w:rsid w:val="006A3D73"/>
    <w:rsid w:val="006A43EA"/>
    <w:rsid w:val="006A471A"/>
    <w:rsid w:val="006A5290"/>
    <w:rsid w:val="006A641C"/>
    <w:rsid w:val="006A69DB"/>
    <w:rsid w:val="006A69F5"/>
    <w:rsid w:val="006A6EA6"/>
    <w:rsid w:val="006A777A"/>
    <w:rsid w:val="006A7AE9"/>
    <w:rsid w:val="006A7C9D"/>
    <w:rsid w:val="006B020E"/>
    <w:rsid w:val="006B0264"/>
    <w:rsid w:val="006B10D9"/>
    <w:rsid w:val="006B1245"/>
    <w:rsid w:val="006B1546"/>
    <w:rsid w:val="006B17D8"/>
    <w:rsid w:val="006B1E59"/>
    <w:rsid w:val="006B2995"/>
    <w:rsid w:val="006B2F13"/>
    <w:rsid w:val="006B3EFD"/>
    <w:rsid w:val="006B40C8"/>
    <w:rsid w:val="006B465A"/>
    <w:rsid w:val="006B472A"/>
    <w:rsid w:val="006B5182"/>
    <w:rsid w:val="006B53FC"/>
    <w:rsid w:val="006B549F"/>
    <w:rsid w:val="006B65CB"/>
    <w:rsid w:val="006B765D"/>
    <w:rsid w:val="006C0867"/>
    <w:rsid w:val="006C12F3"/>
    <w:rsid w:val="006C215A"/>
    <w:rsid w:val="006C24C7"/>
    <w:rsid w:val="006C273C"/>
    <w:rsid w:val="006C374A"/>
    <w:rsid w:val="006C3A0F"/>
    <w:rsid w:val="006C479E"/>
    <w:rsid w:val="006C5713"/>
    <w:rsid w:val="006C57FE"/>
    <w:rsid w:val="006C5AB5"/>
    <w:rsid w:val="006C6E36"/>
    <w:rsid w:val="006C705E"/>
    <w:rsid w:val="006C7216"/>
    <w:rsid w:val="006C7266"/>
    <w:rsid w:val="006D021E"/>
    <w:rsid w:val="006D045E"/>
    <w:rsid w:val="006D0B6D"/>
    <w:rsid w:val="006D1549"/>
    <w:rsid w:val="006D1A55"/>
    <w:rsid w:val="006D1A5F"/>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21"/>
    <w:rsid w:val="006E1390"/>
    <w:rsid w:val="006E171B"/>
    <w:rsid w:val="006E1C11"/>
    <w:rsid w:val="006E2C6D"/>
    <w:rsid w:val="006E3237"/>
    <w:rsid w:val="006E33D2"/>
    <w:rsid w:val="006E374B"/>
    <w:rsid w:val="006E3B50"/>
    <w:rsid w:val="006E3FE7"/>
    <w:rsid w:val="006E44D3"/>
    <w:rsid w:val="006E4705"/>
    <w:rsid w:val="006E470D"/>
    <w:rsid w:val="006E49DF"/>
    <w:rsid w:val="006E4E81"/>
    <w:rsid w:val="006E510A"/>
    <w:rsid w:val="006E58CF"/>
    <w:rsid w:val="006E6241"/>
    <w:rsid w:val="006E645F"/>
    <w:rsid w:val="006E6647"/>
    <w:rsid w:val="006E6F3D"/>
    <w:rsid w:val="006F117D"/>
    <w:rsid w:val="006F1195"/>
    <w:rsid w:val="006F13F3"/>
    <w:rsid w:val="006F1DBD"/>
    <w:rsid w:val="006F1E00"/>
    <w:rsid w:val="006F1F53"/>
    <w:rsid w:val="006F301F"/>
    <w:rsid w:val="006F4C71"/>
    <w:rsid w:val="006F5847"/>
    <w:rsid w:val="006F5B1A"/>
    <w:rsid w:val="006F5F76"/>
    <w:rsid w:val="006F6790"/>
    <w:rsid w:val="006F7C26"/>
    <w:rsid w:val="00700408"/>
    <w:rsid w:val="00700821"/>
    <w:rsid w:val="007010A7"/>
    <w:rsid w:val="007011D1"/>
    <w:rsid w:val="007011D8"/>
    <w:rsid w:val="00702723"/>
    <w:rsid w:val="0070303A"/>
    <w:rsid w:val="00703050"/>
    <w:rsid w:val="0070328F"/>
    <w:rsid w:val="007037D6"/>
    <w:rsid w:val="00704346"/>
    <w:rsid w:val="00704464"/>
    <w:rsid w:val="00704527"/>
    <w:rsid w:val="0070522E"/>
    <w:rsid w:val="00705BD7"/>
    <w:rsid w:val="007061EC"/>
    <w:rsid w:val="00706461"/>
    <w:rsid w:val="007068C5"/>
    <w:rsid w:val="00706995"/>
    <w:rsid w:val="00706C3A"/>
    <w:rsid w:val="00706E1E"/>
    <w:rsid w:val="007071D4"/>
    <w:rsid w:val="00707C37"/>
    <w:rsid w:val="00710164"/>
    <w:rsid w:val="00710167"/>
    <w:rsid w:val="00710595"/>
    <w:rsid w:val="00710870"/>
    <w:rsid w:val="007110B3"/>
    <w:rsid w:val="00711C0F"/>
    <w:rsid w:val="00712020"/>
    <w:rsid w:val="00712026"/>
    <w:rsid w:val="007121C0"/>
    <w:rsid w:val="00712638"/>
    <w:rsid w:val="00712685"/>
    <w:rsid w:val="0071276A"/>
    <w:rsid w:val="00712B22"/>
    <w:rsid w:val="00712D93"/>
    <w:rsid w:val="007139BF"/>
    <w:rsid w:val="00713C11"/>
    <w:rsid w:val="00714A38"/>
    <w:rsid w:val="00714B10"/>
    <w:rsid w:val="00714B64"/>
    <w:rsid w:val="00714BA7"/>
    <w:rsid w:val="00714F03"/>
    <w:rsid w:val="00715703"/>
    <w:rsid w:val="00715C06"/>
    <w:rsid w:val="00716A6C"/>
    <w:rsid w:val="00716D4E"/>
    <w:rsid w:val="0071717E"/>
    <w:rsid w:val="00717F58"/>
    <w:rsid w:val="00720A2C"/>
    <w:rsid w:val="00720B85"/>
    <w:rsid w:val="00720C22"/>
    <w:rsid w:val="00720C6E"/>
    <w:rsid w:val="00720E58"/>
    <w:rsid w:val="00720E79"/>
    <w:rsid w:val="00721989"/>
    <w:rsid w:val="00722BE6"/>
    <w:rsid w:val="00722CD9"/>
    <w:rsid w:val="00722EF9"/>
    <w:rsid w:val="007232F1"/>
    <w:rsid w:val="00723F60"/>
    <w:rsid w:val="007242AA"/>
    <w:rsid w:val="0072454A"/>
    <w:rsid w:val="007245B1"/>
    <w:rsid w:val="00724952"/>
    <w:rsid w:val="00724CD4"/>
    <w:rsid w:val="00725D1A"/>
    <w:rsid w:val="00725DF3"/>
    <w:rsid w:val="00726451"/>
    <w:rsid w:val="00726AD6"/>
    <w:rsid w:val="00726B7D"/>
    <w:rsid w:val="00726B8C"/>
    <w:rsid w:val="00727285"/>
    <w:rsid w:val="00727380"/>
    <w:rsid w:val="00727D91"/>
    <w:rsid w:val="00727E44"/>
    <w:rsid w:val="007300E1"/>
    <w:rsid w:val="00730152"/>
    <w:rsid w:val="007301B7"/>
    <w:rsid w:val="0073071A"/>
    <w:rsid w:val="00730DD2"/>
    <w:rsid w:val="007310E4"/>
    <w:rsid w:val="00731129"/>
    <w:rsid w:val="007312BF"/>
    <w:rsid w:val="007313E8"/>
    <w:rsid w:val="00732121"/>
    <w:rsid w:val="00732732"/>
    <w:rsid w:val="0073397C"/>
    <w:rsid w:val="00734051"/>
    <w:rsid w:val="00734519"/>
    <w:rsid w:val="0073458B"/>
    <w:rsid w:val="00734B84"/>
    <w:rsid w:val="0073570D"/>
    <w:rsid w:val="00735EBF"/>
    <w:rsid w:val="007365ED"/>
    <w:rsid w:val="00736927"/>
    <w:rsid w:val="00736A93"/>
    <w:rsid w:val="00736D31"/>
    <w:rsid w:val="00737A4B"/>
    <w:rsid w:val="00740008"/>
    <w:rsid w:val="00741355"/>
    <w:rsid w:val="007415A1"/>
    <w:rsid w:val="00741C56"/>
    <w:rsid w:val="00741C83"/>
    <w:rsid w:val="00741E9A"/>
    <w:rsid w:val="00742891"/>
    <w:rsid w:val="00742C3D"/>
    <w:rsid w:val="00742DAD"/>
    <w:rsid w:val="00743455"/>
    <w:rsid w:val="007435B8"/>
    <w:rsid w:val="00743B39"/>
    <w:rsid w:val="007444AE"/>
    <w:rsid w:val="007447C6"/>
    <w:rsid w:val="007449FE"/>
    <w:rsid w:val="00744CEC"/>
    <w:rsid w:val="00745A05"/>
    <w:rsid w:val="00745F8E"/>
    <w:rsid w:val="00746564"/>
    <w:rsid w:val="00746721"/>
    <w:rsid w:val="007469D0"/>
    <w:rsid w:val="00747741"/>
    <w:rsid w:val="007505F4"/>
    <w:rsid w:val="00750979"/>
    <w:rsid w:val="00751313"/>
    <w:rsid w:val="007514AA"/>
    <w:rsid w:val="00751760"/>
    <w:rsid w:val="007518C9"/>
    <w:rsid w:val="0075218A"/>
    <w:rsid w:val="00752238"/>
    <w:rsid w:val="00752DE0"/>
    <w:rsid w:val="00752E14"/>
    <w:rsid w:val="00753DA5"/>
    <w:rsid w:val="0075432D"/>
    <w:rsid w:val="00754E53"/>
    <w:rsid w:val="0075502B"/>
    <w:rsid w:val="0075532D"/>
    <w:rsid w:val="00755633"/>
    <w:rsid w:val="00755B6F"/>
    <w:rsid w:val="00756A17"/>
    <w:rsid w:val="00756B41"/>
    <w:rsid w:val="007574CC"/>
    <w:rsid w:val="007576EC"/>
    <w:rsid w:val="00757957"/>
    <w:rsid w:val="00757C3A"/>
    <w:rsid w:val="00760518"/>
    <w:rsid w:val="00760978"/>
    <w:rsid w:val="00760981"/>
    <w:rsid w:val="00760D42"/>
    <w:rsid w:val="00761EE2"/>
    <w:rsid w:val="00762390"/>
    <w:rsid w:val="007623B0"/>
    <w:rsid w:val="0076299D"/>
    <w:rsid w:val="00762A7D"/>
    <w:rsid w:val="007636CB"/>
    <w:rsid w:val="00763B9E"/>
    <w:rsid w:val="00764588"/>
    <w:rsid w:val="007648FE"/>
    <w:rsid w:val="00764B39"/>
    <w:rsid w:val="00764CA2"/>
    <w:rsid w:val="00764DE6"/>
    <w:rsid w:val="00765FAC"/>
    <w:rsid w:val="007664EA"/>
    <w:rsid w:val="007667C4"/>
    <w:rsid w:val="007670FC"/>
    <w:rsid w:val="00767282"/>
    <w:rsid w:val="007678B9"/>
    <w:rsid w:val="00767DDD"/>
    <w:rsid w:val="00767F7F"/>
    <w:rsid w:val="007701BE"/>
    <w:rsid w:val="007703EA"/>
    <w:rsid w:val="00770C49"/>
    <w:rsid w:val="0077130E"/>
    <w:rsid w:val="007713D7"/>
    <w:rsid w:val="00771BF6"/>
    <w:rsid w:val="0077249A"/>
    <w:rsid w:val="0077262C"/>
    <w:rsid w:val="00772A29"/>
    <w:rsid w:val="007733E9"/>
    <w:rsid w:val="00773B3E"/>
    <w:rsid w:val="00773E65"/>
    <w:rsid w:val="007741B0"/>
    <w:rsid w:val="007741F9"/>
    <w:rsid w:val="007745D3"/>
    <w:rsid w:val="007746DC"/>
    <w:rsid w:val="0077558B"/>
    <w:rsid w:val="007756E4"/>
    <w:rsid w:val="00776874"/>
    <w:rsid w:val="0077726C"/>
    <w:rsid w:val="00777AAB"/>
    <w:rsid w:val="00780747"/>
    <w:rsid w:val="00780FF9"/>
    <w:rsid w:val="0078285C"/>
    <w:rsid w:val="00782B30"/>
    <w:rsid w:val="00783952"/>
    <w:rsid w:val="00783A36"/>
    <w:rsid w:val="007845D4"/>
    <w:rsid w:val="00784DF0"/>
    <w:rsid w:val="00785A38"/>
    <w:rsid w:val="00785C2A"/>
    <w:rsid w:val="0078668F"/>
    <w:rsid w:val="00786706"/>
    <w:rsid w:val="0078700E"/>
    <w:rsid w:val="00787339"/>
    <w:rsid w:val="00787B59"/>
    <w:rsid w:val="007900A9"/>
    <w:rsid w:val="00791033"/>
    <w:rsid w:val="007910C3"/>
    <w:rsid w:val="00791110"/>
    <w:rsid w:val="00791250"/>
    <w:rsid w:val="0079150D"/>
    <w:rsid w:val="00791DE1"/>
    <w:rsid w:val="00793181"/>
    <w:rsid w:val="007936BD"/>
    <w:rsid w:val="007936C1"/>
    <w:rsid w:val="0079385B"/>
    <w:rsid w:val="00793D45"/>
    <w:rsid w:val="00795051"/>
    <w:rsid w:val="007952E6"/>
    <w:rsid w:val="007953F4"/>
    <w:rsid w:val="00795E20"/>
    <w:rsid w:val="00796787"/>
    <w:rsid w:val="007975BD"/>
    <w:rsid w:val="00797B7E"/>
    <w:rsid w:val="007A03CF"/>
    <w:rsid w:val="007A05A2"/>
    <w:rsid w:val="007A10D6"/>
    <w:rsid w:val="007A12EE"/>
    <w:rsid w:val="007A138C"/>
    <w:rsid w:val="007A1834"/>
    <w:rsid w:val="007A1856"/>
    <w:rsid w:val="007A1B6B"/>
    <w:rsid w:val="007A1E52"/>
    <w:rsid w:val="007A1FBE"/>
    <w:rsid w:val="007A2A4D"/>
    <w:rsid w:val="007A31B2"/>
    <w:rsid w:val="007A3629"/>
    <w:rsid w:val="007A385C"/>
    <w:rsid w:val="007A38F5"/>
    <w:rsid w:val="007A3D24"/>
    <w:rsid w:val="007A3D38"/>
    <w:rsid w:val="007A4860"/>
    <w:rsid w:val="007A4CAF"/>
    <w:rsid w:val="007A4F73"/>
    <w:rsid w:val="007A4F7B"/>
    <w:rsid w:val="007A5823"/>
    <w:rsid w:val="007A61E4"/>
    <w:rsid w:val="007A704A"/>
    <w:rsid w:val="007A7242"/>
    <w:rsid w:val="007B12B0"/>
    <w:rsid w:val="007B1392"/>
    <w:rsid w:val="007B1785"/>
    <w:rsid w:val="007B215A"/>
    <w:rsid w:val="007B22D2"/>
    <w:rsid w:val="007B22DC"/>
    <w:rsid w:val="007B24F0"/>
    <w:rsid w:val="007B2E1A"/>
    <w:rsid w:val="007B2F48"/>
    <w:rsid w:val="007B34DC"/>
    <w:rsid w:val="007B3748"/>
    <w:rsid w:val="007B3795"/>
    <w:rsid w:val="007B3A98"/>
    <w:rsid w:val="007B4008"/>
    <w:rsid w:val="007B49C4"/>
    <w:rsid w:val="007B4D74"/>
    <w:rsid w:val="007B4DC6"/>
    <w:rsid w:val="007B5132"/>
    <w:rsid w:val="007B69E8"/>
    <w:rsid w:val="007B6B45"/>
    <w:rsid w:val="007B6C17"/>
    <w:rsid w:val="007B743C"/>
    <w:rsid w:val="007C0165"/>
    <w:rsid w:val="007C048B"/>
    <w:rsid w:val="007C0508"/>
    <w:rsid w:val="007C057E"/>
    <w:rsid w:val="007C1541"/>
    <w:rsid w:val="007C19DF"/>
    <w:rsid w:val="007C25F8"/>
    <w:rsid w:val="007C29E0"/>
    <w:rsid w:val="007C31FA"/>
    <w:rsid w:val="007C3BAD"/>
    <w:rsid w:val="007C44DC"/>
    <w:rsid w:val="007C4545"/>
    <w:rsid w:val="007C455D"/>
    <w:rsid w:val="007C45F7"/>
    <w:rsid w:val="007C46D1"/>
    <w:rsid w:val="007C47C2"/>
    <w:rsid w:val="007C4822"/>
    <w:rsid w:val="007C4DEF"/>
    <w:rsid w:val="007C5468"/>
    <w:rsid w:val="007C55F1"/>
    <w:rsid w:val="007C58AB"/>
    <w:rsid w:val="007C5D6B"/>
    <w:rsid w:val="007C6148"/>
    <w:rsid w:val="007C63B7"/>
    <w:rsid w:val="007C6900"/>
    <w:rsid w:val="007C69A9"/>
    <w:rsid w:val="007C6C60"/>
    <w:rsid w:val="007C6D07"/>
    <w:rsid w:val="007C745C"/>
    <w:rsid w:val="007C7578"/>
    <w:rsid w:val="007C7E7C"/>
    <w:rsid w:val="007C7F4C"/>
    <w:rsid w:val="007D0507"/>
    <w:rsid w:val="007D065E"/>
    <w:rsid w:val="007D0A94"/>
    <w:rsid w:val="007D0B22"/>
    <w:rsid w:val="007D0BD6"/>
    <w:rsid w:val="007D0D5B"/>
    <w:rsid w:val="007D143D"/>
    <w:rsid w:val="007D1964"/>
    <w:rsid w:val="007D2553"/>
    <w:rsid w:val="007D25B9"/>
    <w:rsid w:val="007D2BE8"/>
    <w:rsid w:val="007D3066"/>
    <w:rsid w:val="007D338B"/>
    <w:rsid w:val="007D3B0F"/>
    <w:rsid w:val="007D40D9"/>
    <w:rsid w:val="007D421B"/>
    <w:rsid w:val="007D4490"/>
    <w:rsid w:val="007D4579"/>
    <w:rsid w:val="007D51EB"/>
    <w:rsid w:val="007D52F0"/>
    <w:rsid w:val="007D58BB"/>
    <w:rsid w:val="007D6835"/>
    <w:rsid w:val="007D6A93"/>
    <w:rsid w:val="007D6EED"/>
    <w:rsid w:val="007D795B"/>
    <w:rsid w:val="007D7CDE"/>
    <w:rsid w:val="007D7DC7"/>
    <w:rsid w:val="007E01AF"/>
    <w:rsid w:val="007E0772"/>
    <w:rsid w:val="007E0906"/>
    <w:rsid w:val="007E0A12"/>
    <w:rsid w:val="007E0D31"/>
    <w:rsid w:val="007E0E04"/>
    <w:rsid w:val="007E0EF9"/>
    <w:rsid w:val="007E0FD3"/>
    <w:rsid w:val="007E21D9"/>
    <w:rsid w:val="007E2BDD"/>
    <w:rsid w:val="007E45CA"/>
    <w:rsid w:val="007E48C0"/>
    <w:rsid w:val="007E5885"/>
    <w:rsid w:val="007E61B7"/>
    <w:rsid w:val="007E64FF"/>
    <w:rsid w:val="007E6F62"/>
    <w:rsid w:val="007E6FEA"/>
    <w:rsid w:val="007E7C7B"/>
    <w:rsid w:val="007E7E0F"/>
    <w:rsid w:val="007E7F8F"/>
    <w:rsid w:val="007F015E"/>
    <w:rsid w:val="007F075B"/>
    <w:rsid w:val="007F081A"/>
    <w:rsid w:val="007F1160"/>
    <w:rsid w:val="007F12D1"/>
    <w:rsid w:val="007F1F3B"/>
    <w:rsid w:val="007F21B0"/>
    <w:rsid w:val="007F2DE9"/>
    <w:rsid w:val="007F3223"/>
    <w:rsid w:val="007F341B"/>
    <w:rsid w:val="007F3682"/>
    <w:rsid w:val="007F3A0C"/>
    <w:rsid w:val="007F3AA2"/>
    <w:rsid w:val="007F3B45"/>
    <w:rsid w:val="007F3E3E"/>
    <w:rsid w:val="007F4A9E"/>
    <w:rsid w:val="007F4ABC"/>
    <w:rsid w:val="007F4D45"/>
    <w:rsid w:val="007F510F"/>
    <w:rsid w:val="007F5206"/>
    <w:rsid w:val="007F545B"/>
    <w:rsid w:val="007F59B2"/>
    <w:rsid w:val="007F5A1A"/>
    <w:rsid w:val="007F6607"/>
    <w:rsid w:val="007F7865"/>
    <w:rsid w:val="007F7BB4"/>
    <w:rsid w:val="007F7FB3"/>
    <w:rsid w:val="0080026A"/>
    <w:rsid w:val="00800340"/>
    <w:rsid w:val="00800821"/>
    <w:rsid w:val="00800953"/>
    <w:rsid w:val="00801255"/>
    <w:rsid w:val="0080197B"/>
    <w:rsid w:val="00801AE1"/>
    <w:rsid w:val="00801C1F"/>
    <w:rsid w:val="008021D3"/>
    <w:rsid w:val="00802849"/>
    <w:rsid w:val="00802971"/>
    <w:rsid w:val="008038E3"/>
    <w:rsid w:val="008038F6"/>
    <w:rsid w:val="00804558"/>
    <w:rsid w:val="008047AE"/>
    <w:rsid w:val="00804A0C"/>
    <w:rsid w:val="00804B21"/>
    <w:rsid w:val="00805483"/>
    <w:rsid w:val="0080585D"/>
    <w:rsid w:val="00806273"/>
    <w:rsid w:val="0080661F"/>
    <w:rsid w:val="008067A0"/>
    <w:rsid w:val="00806EFD"/>
    <w:rsid w:val="00807074"/>
    <w:rsid w:val="008073AA"/>
    <w:rsid w:val="00807E43"/>
    <w:rsid w:val="00807F69"/>
    <w:rsid w:val="00810368"/>
    <w:rsid w:val="008108B5"/>
    <w:rsid w:val="00810BE7"/>
    <w:rsid w:val="008111E3"/>
    <w:rsid w:val="00811336"/>
    <w:rsid w:val="0081165D"/>
    <w:rsid w:val="00811A5A"/>
    <w:rsid w:val="00811B28"/>
    <w:rsid w:val="00811E2C"/>
    <w:rsid w:val="00812156"/>
    <w:rsid w:val="00812862"/>
    <w:rsid w:val="00812A7A"/>
    <w:rsid w:val="0081362B"/>
    <w:rsid w:val="008136E0"/>
    <w:rsid w:val="00813A49"/>
    <w:rsid w:val="00814257"/>
    <w:rsid w:val="0081450B"/>
    <w:rsid w:val="0081467F"/>
    <w:rsid w:val="00814EF5"/>
    <w:rsid w:val="00815339"/>
    <w:rsid w:val="0081591F"/>
    <w:rsid w:val="00815A99"/>
    <w:rsid w:val="00815E5B"/>
    <w:rsid w:val="008160D1"/>
    <w:rsid w:val="008162B3"/>
    <w:rsid w:val="0081640D"/>
    <w:rsid w:val="008165F6"/>
    <w:rsid w:val="0081687A"/>
    <w:rsid w:val="008169A1"/>
    <w:rsid w:val="00820160"/>
    <w:rsid w:val="0082022B"/>
    <w:rsid w:val="00820E0E"/>
    <w:rsid w:val="00821237"/>
    <w:rsid w:val="008216DA"/>
    <w:rsid w:val="008217C3"/>
    <w:rsid w:val="00821868"/>
    <w:rsid w:val="008219B8"/>
    <w:rsid w:val="00821C0D"/>
    <w:rsid w:val="00821ECA"/>
    <w:rsid w:val="00822414"/>
    <w:rsid w:val="00822CB9"/>
    <w:rsid w:val="00822E2C"/>
    <w:rsid w:val="00823116"/>
    <w:rsid w:val="0082350E"/>
    <w:rsid w:val="00823658"/>
    <w:rsid w:val="008239BF"/>
    <w:rsid w:val="00823B36"/>
    <w:rsid w:val="0082401B"/>
    <w:rsid w:val="0082488C"/>
    <w:rsid w:val="008251E7"/>
    <w:rsid w:val="00825417"/>
    <w:rsid w:val="008262BC"/>
    <w:rsid w:val="008262DB"/>
    <w:rsid w:val="008266A2"/>
    <w:rsid w:val="008267AE"/>
    <w:rsid w:val="008267E2"/>
    <w:rsid w:val="008305E4"/>
    <w:rsid w:val="00830B33"/>
    <w:rsid w:val="0083118A"/>
    <w:rsid w:val="00831784"/>
    <w:rsid w:val="00832727"/>
    <w:rsid w:val="00833643"/>
    <w:rsid w:val="008337C1"/>
    <w:rsid w:val="00833FE9"/>
    <w:rsid w:val="00834E39"/>
    <w:rsid w:val="00834F23"/>
    <w:rsid w:val="008353B6"/>
    <w:rsid w:val="00836A67"/>
    <w:rsid w:val="00836CEB"/>
    <w:rsid w:val="0083797B"/>
    <w:rsid w:val="00840EAF"/>
    <w:rsid w:val="008416BF"/>
    <w:rsid w:val="008416FD"/>
    <w:rsid w:val="0084188F"/>
    <w:rsid w:val="008423D2"/>
    <w:rsid w:val="00842408"/>
    <w:rsid w:val="00842659"/>
    <w:rsid w:val="0084293A"/>
    <w:rsid w:val="0084354C"/>
    <w:rsid w:val="0084375D"/>
    <w:rsid w:val="0084416F"/>
    <w:rsid w:val="00844462"/>
    <w:rsid w:val="008449FE"/>
    <w:rsid w:val="0084542F"/>
    <w:rsid w:val="00845515"/>
    <w:rsid w:val="00845520"/>
    <w:rsid w:val="00845B02"/>
    <w:rsid w:val="00845FC4"/>
    <w:rsid w:val="008461B0"/>
    <w:rsid w:val="00846C9F"/>
    <w:rsid w:val="00846D16"/>
    <w:rsid w:val="00846F4C"/>
    <w:rsid w:val="00847C35"/>
    <w:rsid w:val="0085044B"/>
    <w:rsid w:val="008506DC"/>
    <w:rsid w:val="008509F1"/>
    <w:rsid w:val="00850EE1"/>
    <w:rsid w:val="0085108A"/>
    <w:rsid w:val="008515AC"/>
    <w:rsid w:val="0085165B"/>
    <w:rsid w:val="0085179C"/>
    <w:rsid w:val="008518FA"/>
    <w:rsid w:val="00851903"/>
    <w:rsid w:val="00851B3F"/>
    <w:rsid w:val="00851DCB"/>
    <w:rsid w:val="00851E0C"/>
    <w:rsid w:val="00851F5F"/>
    <w:rsid w:val="00852142"/>
    <w:rsid w:val="008528CF"/>
    <w:rsid w:val="0085311F"/>
    <w:rsid w:val="00853334"/>
    <w:rsid w:val="00853510"/>
    <w:rsid w:val="00853B22"/>
    <w:rsid w:val="00853E5B"/>
    <w:rsid w:val="00854123"/>
    <w:rsid w:val="008542D1"/>
    <w:rsid w:val="00854465"/>
    <w:rsid w:val="008544BD"/>
    <w:rsid w:val="00854946"/>
    <w:rsid w:val="00854B62"/>
    <w:rsid w:val="00854B77"/>
    <w:rsid w:val="00854E58"/>
    <w:rsid w:val="008558ED"/>
    <w:rsid w:val="00855B02"/>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1E"/>
    <w:rsid w:val="0086264B"/>
    <w:rsid w:val="008626E9"/>
    <w:rsid w:val="008626EB"/>
    <w:rsid w:val="008627BF"/>
    <w:rsid w:val="00862EFD"/>
    <w:rsid w:val="008638FB"/>
    <w:rsid w:val="0086444C"/>
    <w:rsid w:val="008644B1"/>
    <w:rsid w:val="00864768"/>
    <w:rsid w:val="008651B3"/>
    <w:rsid w:val="008653FC"/>
    <w:rsid w:val="008654B5"/>
    <w:rsid w:val="008658AB"/>
    <w:rsid w:val="00865B18"/>
    <w:rsid w:val="00866000"/>
    <w:rsid w:val="0086672E"/>
    <w:rsid w:val="00866CF2"/>
    <w:rsid w:val="008675EC"/>
    <w:rsid w:val="008679CE"/>
    <w:rsid w:val="00867DA7"/>
    <w:rsid w:val="0087018F"/>
    <w:rsid w:val="008705A8"/>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4E3"/>
    <w:rsid w:val="00874521"/>
    <w:rsid w:val="00874C1F"/>
    <w:rsid w:val="00874C66"/>
    <w:rsid w:val="00874F67"/>
    <w:rsid w:val="00875356"/>
    <w:rsid w:val="00875F4F"/>
    <w:rsid w:val="008760D6"/>
    <w:rsid w:val="008762D8"/>
    <w:rsid w:val="008772D9"/>
    <w:rsid w:val="00877B29"/>
    <w:rsid w:val="008808B9"/>
    <w:rsid w:val="00880B30"/>
    <w:rsid w:val="00880F1D"/>
    <w:rsid w:val="0088172A"/>
    <w:rsid w:val="00881F90"/>
    <w:rsid w:val="00882798"/>
    <w:rsid w:val="00882988"/>
    <w:rsid w:val="00884EB1"/>
    <w:rsid w:val="008851C4"/>
    <w:rsid w:val="00885696"/>
    <w:rsid w:val="0088570A"/>
    <w:rsid w:val="00885E9D"/>
    <w:rsid w:val="0088636E"/>
    <w:rsid w:val="008864A7"/>
    <w:rsid w:val="0088666A"/>
    <w:rsid w:val="0088678F"/>
    <w:rsid w:val="0088688A"/>
    <w:rsid w:val="00886A9E"/>
    <w:rsid w:val="00886DC9"/>
    <w:rsid w:val="00886EC7"/>
    <w:rsid w:val="008870E1"/>
    <w:rsid w:val="00887184"/>
    <w:rsid w:val="008879EA"/>
    <w:rsid w:val="00890139"/>
    <w:rsid w:val="008915A3"/>
    <w:rsid w:val="0089160E"/>
    <w:rsid w:val="00891D7D"/>
    <w:rsid w:val="008921B1"/>
    <w:rsid w:val="00892687"/>
    <w:rsid w:val="00893386"/>
    <w:rsid w:val="0089363C"/>
    <w:rsid w:val="00893657"/>
    <w:rsid w:val="00893671"/>
    <w:rsid w:val="008941FB"/>
    <w:rsid w:val="00894565"/>
    <w:rsid w:val="008950D6"/>
    <w:rsid w:val="00895B46"/>
    <w:rsid w:val="00896474"/>
    <w:rsid w:val="00896DBC"/>
    <w:rsid w:val="00897B59"/>
    <w:rsid w:val="00897C6C"/>
    <w:rsid w:val="00897D1A"/>
    <w:rsid w:val="008A0905"/>
    <w:rsid w:val="008A0B02"/>
    <w:rsid w:val="008A0E0D"/>
    <w:rsid w:val="008A155C"/>
    <w:rsid w:val="008A180E"/>
    <w:rsid w:val="008A197C"/>
    <w:rsid w:val="008A2545"/>
    <w:rsid w:val="008A2636"/>
    <w:rsid w:val="008A279E"/>
    <w:rsid w:val="008A35DB"/>
    <w:rsid w:val="008A3AF9"/>
    <w:rsid w:val="008A3FBE"/>
    <w:rsid w:val="008A4013"/>
    <w:rsid w:val="008A4C9C"/>
    <w:rsid w:val="008A6041"/>
    <w:rsid w:val="008A60F8"/>
    <w:rsid w:val="008A62A8"/>
    <w:rsid w:val="008A69FE"/>
    <w:rsid w:val="008A6EC7"/>
    <w:rsid w:val="008A6F36"/>
    <w:rsid w:val="008A7286"/>
    <w:rsid w:val="008A7B50"/>
    <w:rsid w:val="008B0641"/>
    <w:rsid w:val="008B0EB7"/>
    <w:rsid w:val="008B138E"/>
    <w:rsid w:val="008B19AB"/>
    <w:rsid w:val="008B1C78"/>
    <w:rsid w:val="008B1F87"/>
    <w:rsid w:val="008B28BD"/>
    <w:rsid w:val="008B2AA1"/>
    <w:rsid w:val="008B2AC0"/>
    <w:rsid w:val="008B2E96"/>
    <w:rsid w:val="008B2F53"/>
    <w:rsid w:val="008B3006"/>
    <w:rsid w:val="008B3139"/>
    <w:rsid w:val="008B3B50"/>
    <w:rsid w:val="008B3D47"/>
    <w:rsid w:val="008B44CB"/>
    <w:rsid w:val="008B46D2"/>
    <w:rsid w:val="008B5253"/>
    <w:rsid w:val="008B53D8"/>
    <w:rsid w:val="008B55F6"/>
    <w:rsid w:val="008B63BE"/>
    <w:rsid w:val="008B640E"/>
    <w:rsid w:val="008B6505"/>
    <w:rsid w:val="008B688D"/>
    <w:rsid w:val="008B6E18"/>
    <w:rsid w:val="008B70EE"/>
    <w:rsid w:val="008B715C"/>
    <w:rsid w:val="008B74BA"/>
    <w:rsid w:val="008B75B8"/>
    <w:rsid w:val="008C0782"/>
    <w:rsid w:val="008C0EAD"/>
    <w:rsid w:val="008C1442"/>
    <w:rsid w:val="008C1693"/>
    <w:rsid w:val="008C19D9"/>
    <w:rsid w:val="008C1A5E"/>
    <w:rsid w:val="008C1A81"/>
    <w:rsid w:val="008C2855"/>
    <w:rsid w:val="008C29FE"/>
    <w:rsid w:val="008C32CA"/>
    <w:rsid w:val="008C361C"/>
    <w:rsid w:val="008C3967"/>
    <w:rsid w:val="008C431E"/>
    <w:rsid w:val="008C4759"/>
    <w:rsid w:val="008C4C5B"/>
    <w:rsid w:val="008C54BD"/>
    <w:rsid w:val="008C54C4"/>
    <w:rsid w:val="008C5798"/>
    <w:rsid w:val="008C6056"/>
    <w:rsid w:val="008C6628"/>
    <w:rsid w:val="008C69C9"/>
    <w:rsid w:val="008C6E38"/>
    <w:rsid w:val="008C6F75"/>
    <w:rsid w:val="008C7C18"/>
    <w:rsid w:val="008C7CC4"/>
    <w:rsid w:val="008C7D56"/>
    <w:rsid w:val="008D047D"/>
    <w:rsid w:val="008D0B4C"/>
    <w:rsid w:val="008D0ED5"/>
    <w:rsid w:val="008D14C4"/>
    <w:rsid w:val="008D1964"/>
    <w:rsid w:val="008D221A"/>
    <w:rsid w:val="008D24D6"/>
    <w:rsid w:val="008D24E1"/>
    <w:rsid w:val="008D3E6A"/>
    <w:rsid w:val="008D53E2"/>
    <w:rsid w:val="008D5908"/>
    <w:rsid w:val="008D5AF1"/>
    <w:rsid w:val="008D61E4"/>
    <w:rsid w:val="008D6A6E"/>
    <w:rsid w:val="008D781F"/>
    <w:rsid w:val="008D7DBE"/>
    <w:rsid w:val="008E00F3"/>
    <w:rsid w:val="008E02B7"/>
    <w:rsid w:val="008E1354"/>
    <w:rsid w:val="008E15B0"/>
    <w:rsid w:val="008E20BE"/>
    <w:rsid w:val="008E22F8"/>
    <w:rsid w:val="008E2317"/>
    <w:rsid w:val="008E241B"/>
    <w:rsid w:val="008E269F"/>
    <w:rsid w:val="008E2DBD"/>
    <w:rsid w:val="008E3096"/>
    <w:rsid w:val="008E330C"/>
    <w:rsid w:val="008E332F"/>
    <w:rsid w:val="008E4114"/>
    <w:rsid w:val="008E45EA"/>
    <w:rsid w:val="008E4A1A"/>
    <w:rsid w:val="008E4EF4"/>
    <w:rsid w:val="008E5E01"/>
    <w:rsid w:val="008E69A3"/>
    <w:rsid w:val="008E7CC9"/>
    <w:rsid w:val="008F02A1"/>
    <w:rsid w:val="008F0E69"/>
    <w:rsid w:val="008F12FF"/>
    <w:rsid w:val="008F2504"/>
    <w:rsid w:val="008F3D3E"/>
    <w:rsid w:val="008F3F31"/>
    <w:rsid w:val="008F4655"/>
    <w:rsid w:val="008F4779"/>
    <w:rsid w:val="008F542B"/>
    <w:rsid w:val="008F5670"/>
    <w:rsid w:val="008F599F"/>
    <w:rsid w:val="008F63DF"/>
    <w:rsid w:val="008F64E5"/>
    <w:rsid w:val="008F66F2"/>
    <w:rsid w:val="008F677E"/>
    <w:rsid w:val="008F6B6E"/>
    <w:rsid w:val="008F7C28"/>
    <w:rsid w:val="00900072"/>
    <w:rsid w:val="0090007F"/>
    <w:rsid w:val="0090034D"/>
    <w:rsid w:val="00900B43"/>
    <w:rsid w:val="00900EC7"/>
    <w:rsid w:val="00900FFC"/>
    <w:rsid w:val="009011F9"/>
    <w:rsid w:val="00901244"/>
    <w:rsid w:val="00901570"/>
    <w:rsid w:val="00901979"/>
    <w:rsid w:val="00901F0B"/>
    <w:rsid w:val="00902357"/>
    <w:rsid w:val="0090242A"/>
    <w:rsid w:val="00902C85"/>
    <w:rsid w:val="009030F7"/>
    <w:rsid w:val="009034D9"/>
    <w:rsid w:val="00903FEA"/>
    <w:rsid w:val="009046C9"/>
    <w:rsid w:val="009046F1"/>
    <w:rsid w:val="009046FB"/>
    <w:rsid w:val="00904883"/>
    <w:rsid w:val="00904B0A"/>
    <w:rsid w:val="00904F84"/>
    <w:rsid w:val="009055DD"/>
    <w:rsid w:val="0090616A"/>
    <w:rsid w:val="00906527"/>
    <w:rsid w:val="00906BD9"/>
    <w:rsid w:val="00906EA0"/>
    <w:rsid w:val="009071AF"/>
    <w:rsid w:val="00907F4C"/>
    <w:rsid w:val="0091006A"/>
    <w:rsid w:val="00910B57"/>
    <w:rsid w:val="00911058"/>
    <w:rsid w:val="0091148A"/>
    <w:rsid w:val="00911985"/>
    <w:rsid w:val="00912347"/>
    <w:rsid w:val="0091268D"/>
    <w:rsid w:val="009129C1"/>
    <w:rsid w:val="00912A7C"/>
    <w:rsid w:val="009134D1"/>
    <w:rsid w:val="00913B74"/>
    <w:rsid w:val="00913EBB"/>
    <w:rsid w:val="009141BB"/>
    <w:rsid w:val="00914B55"/>
    <w:rsid w:val="00914DC4"/>
    <w:rsid w:val="00915329"/>
    <w:rsid w:val="0091588C"/>
    <w:rsid w:val="00915DB5"/>
    <w:rsid w:val="00915DF4"/>
    <w:rsid w:val="00916068"/>
    <w:rsid w:val="00916194"/>
    <w:rsid w:val="00916BF5"/>
    <w:rsid w:val="00916CCB"/>
    <w:rsid w:val="00916FF2"/>
    <w:rsid w:val="00917175"/>
    <w:rsid w:val="00917DB8"/>
    <w:rsid w:val="00920EC8"/>
    <w:rsid w:val="00921102"/>
    <w:rsid w:val="00921305"/>
    <w:rsid w:val="00921783"/>
    <w:rsid w:val="009217D9"/>
    <w:rsid w:val="00921AC8"/>
    <w:rsid w:val="00921AD2"/>
    <w:rsid w:val="0092206F"/>
    <w:rsid w:val="00922482"/>
    <w:rsid w:val="00922A2B"/>
    <w:rsid w:val="0092489D"/>
    <w:rsid w:val="00924A6C"/>
    <w:rsid w:val="00924ED4"/>
    <w:rsid w:val="00924F63"/>
    <w:rsid w:val="0092524C"/>
    <w:rsid w:val="0092560C"/>
    <w:rsid w:val="009267DA"/>
    <w:rsid w:val="00926906"/>
    <w:rsid w:val="009271AB"/>
    <w:rsid w:val="00927281"/>
    <w:rsid w:val="009273B8"/>
    <w:rsid w:val="00927A20"/>
    <w:rsid w:val="00927B80"/>
    <w:rsid w:val="00930298"/>
    <w:rsid w:val="009302A6"/>
    <w:rsid w:val="00931325"/>
    <w:rsid w:val="009319DC"/>
    <w:rsid w:val="00931AAD"/>
    <w:rsid w:val="00931E6D"/>
    <w:rsid w:val="00932D04"/>
    <w:rsid w:val="00932E9E"/>
    <w:rsid w:val="00933B8A"/>
    <w:rsid w:val="00934141"/>
    <w:rsid w:val="009341AA"/>
    <w:rsid w:val="0093429A"/>
    <w:rsid w:val="009352D3"/>
    <w:rsid w:val="009354C0"/>
    <w:rsid w:val="009355BB"/>
    <w:rsid w:val="00935789"/>
    <w:rsid w:val="009359C5"/>
    <w:rsid w:val="00935CFA"/>
    <w:rsid w:val="009361E8"/>
    <w:rsid w:val="00936247"/>
    <w:rsid w:val="00936501"/>
    <w:rsid w:val="009366AD"/>
    <w:rsid w:val="00936782"/>
    <w:rsid w:val="00936EE8"/>
    <w:rsid w:val="009377A1"/>
    <w:rsid w:val="00940850"/>
    <w:rsid w:val="00940B1D"/>
    <w:rsid w:val="00940E71"/>
    <w:rsid w:val="0094243B"/>
    <w:rsid w:val="009425EB"/>
    <w:rsid w:val="009428A4"/>
    <w:rsid w:val="00943157"/>
    <w:rsid w:val="0094368C"/>
    <w:rsid w:val="00943893"/>
    <w:rsid w:val="009440E8"/>
    <w:rsid w:val="00944312"/>
    <w:rsid w:val="009443DC"/>
    <w:rsid w:val="0094474A"/>
    <w:rsid w:val="00944AE2"/>
    <w:rsid w:val="0094526B"/>
    <w:rsid w:val="009456EB"/>
    <w:rsid w:val="00945E7E"/>
    <w:rsid w:val="00945E8F"/>
    <w:rsid w:val="009463FD"/>
    <w:rsid w:val="009467FD"/>
    <w:rsid w:val="00946D2E"/>
    <w:rsid w:val="00946E64"/>
    <w:rsid w:val="009472F6"/>
    <w:rsid w:val="00947804"/>
    <w:rsid w:val="0094783F"/>
    <w:rsid w:val="00950327"/>
    <w:rsid w:val="00950B18"/>
    <w:rsid w:val="00950C55"/>
    <w:rsid w:val="00950CB3"/>
    <w:rsid w:val="0095267E"/>
    <w:rsid w:val="00952EBB"/>
    <w:rsid w:val="00952F24"/>
    <w:rsid w:val="0095332D"/>
    <w:rsid w:val="0095370E"/>
    <w:rsid w:val="00953B5D"/>
    <w:rsid w:val="00953D3D"/>
    <w:rsid w:val="00953F68"/>
    <w:rsid w:val="009543D8"/>
    <w:rsid w:val="009545D6"/>
    <w:rsid w:val="00954E64"/>
    <w:rsid w:val="00954F67"/>
    <w:rsid w:val="00955AA9"/>
    <w:rsid w:val="00955AB2"/>
    <w:rsid w:val="00955E60"/>
    <w:rsid w:val="00955EC8"/>
    <w:rsid w:val="0095699A"/>
    <w:rsid w:val="00956B34"/>
    <w:rsid w:val="00956C33"/>
    <w:rsid w:val="0095702D"/>
    <w:rsid w:val="009571A6"/>
    <w:rsid w:val="009571CB"/>
    <w:rsid w:val="0095752A"/>
    <w:rsid w:val="009577C1"/>
    <w:rsid w:val="009602BA"/>
    <w:rsid w:val="009609CA"/>
    <w:rsid w:val="009615D7"/>
    <w:rsid w:val="00961B0E"/>
    <w:rsid w:val="00962D17"/>
    <w:rsid w:val="00963D17"/>
    <w:rsid w:val="00963D45"/>
    <w:rsid w:val="009640B5"/>
    <w:rsid w:val="00964459"/>
    <w:rsid w:val="009645EC"/>
    <w:rsid w:val="009657D5"/>
    <w:rsid w:val="00965F9F"/>
    <w:rsid w:val="00966141"/>
    <w:rsid w:val="009662EC"/>
    <w:rsid w:val="00966611"/>
    <w:rsid w:val="009669CC"/>
    <w:rsid w:val="00967655"/>
    <w:rsid w:val="00967C10"/>
    <w:rsid w:val="00970F12"/>
    <w:rsid w:val="009710BF"/>
    <w:rsid w:val="00971874"/>
    <w:rsid w:val="00971D9E"/>
    <w:rsid w:val="00971F83"/>
    <w:rsid w:val="00972061"/>
    <w:rsid w:val="0097245C"/>
    <w:rsid w:val="009725FE"/>
    <w:rsid w:val="0097282B"/>
    <w:rsid w:val="00972DAC"/>
    <w:rsid w:val="00973A35"/>
    <w:rsid w:val="009741F3"/>
    <w:rsid w:val="00974630"/>
    <w:rsid w:val="00974A1E"/>
    <w:rsid w:val="00975110"/>
    <w:rsid w:val="0097559A"/>
    <w:rsid w:val="00975D48"/>
    <w:rsid w:val="00975D68"/>
    <w:rsid w:val="00976546"/>
    <w:rsid w:val="00976FCF"/>
    <w:rsid w:val="0097768A"/>
    <w:rsid w:val="00980BAC"/>
    <w:rsid w:val="00980DF0"/>
    <w:rsid w:val="00980F3F"/>
    <w:rsid w:val="00981424"/>
    <w:rsid w:val="00981D1C"/>
    <w:rsid w:val="00982214"/>
    <w:rsid w:val="009823D4"/>
    <w:rsid w:val="00982474"/>
    <w:rsid w:val="00983285"/>
    <w:rsid w:val="0098334A"/>
    <w:rsid w:val="0098385E"/>
    <w:rsid w:val="00984672"/>
    <w:rsid w:val="00984F97"/>
    <w:rsid w:val="0098569D"/>
    <w:rsid w:val="00985A09"/>
    <w:rsid w:val="00985D8C"/>
    <w:rsid w:val="00986277"/>
    <w:rsid w:val="00986339"/>
    <w:rsid w:val="009866A3"/>
    <w:rsid w:val="009867D2"/>
    <w:rsid w:val="00986837"/>
    <w:rsid w:val="0098693D"/>
    <w:rsid w:val="00990343"/>
    <w:rsid w:val="009905E1"/>
    <w:rsid w:val="0099064C"/>
    <w:rsid w:val="0099078A"/>
    <w:rsid w:val="009907C4"/>
    <w:rsid w:val="0099097F"/>
    <w:rsid w:val="00992097"/>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7258"/>
    <w:rsid w:val="00997C19"/>
    <w:rsid w:val="009A0415"/>
    <w:rsid w:val="009A04CD"/>
    <w:rsid w:val="009A0A3A"/>
    <w:rsid w:val="009A0DFE"/>
    <w:rsid w:val="009A177E"/>
    <w:rsid w:val="009A1AE9"/>
    <w:rsid w:val="009A22E6"/>
    <w:rsid w:val="009A2486"/>
    <w:rsid w:val="009A2690"/>
    <w:rsid w:val="009A3307"/>
    <w:rsid w:val="009A33B5"/>
    <w:rsid w:val="009A3520"/>
    <w:rsid w:val="009A3547"/>
    <w:rsid w:val="009A39FF"/>
    <w:rsid w:val="009A3CB5"/>
    <w:rsid w:val="009A3EAF"/>
    <w:rsid w:val="009A3F33"/>
    <w:rsid w:val="009A5501"/>
    <w:rsid w:val="009A5928"/>
    <w:rsid w:val="009A5AE0"/>
    <w:rsid w:val="009A6621"/>
    <w:rsid w:val="009A6AEA"/>
    <w:rsid w:val="009A6CC5"/>
    <w:rsid w:val="009A6F64"/>
    <w:rsid w:val="009B1F3A"/>
    <w:rsid w:val="009B21F9"/>
    <w:rsid w:val="009B26B1"/>
    <w:rsid w:val="009B2766"/>
    <w:rsid w:val="009B3248"/>
    <w:rsid w:val="009B32F0"/>
    <w:rsid w:val="009B368F"/>
    <w:rsid w:val="009B3EB4"/>
    <w:rsid w:val="009B3F21"/>
    <w:rsid w:val="009B42BE"/>
    <w:rsid w:val="009B5973"/>
    <w:rsid w:val="009B5B48"/>
    <w:rsid w:val="009B62E6"/>
    <w:rsid w:val="009B66EB"/>
    <w:rsid w:val="009B67C4"/>
    <w:rsid w:val="009B68B1"/>
    <w:rsid w:val="009B6A3F"/>
    <w:rsid w:val="009B6C5A"/>
    <w:rsid w:val="009B71E1"/>
    <w:rsid w:val="009C0448"/>
    <w:rsid w:val="009C0615"/>
    <w:rsid w:val="009C0CF8"/>
    <w:rsid w:val="009C0D49"/>
    <w:rsid w:val="009C0E2D"/>
    <w:rsid w:val="009C125A"/>
    <w:rsid w:val="009C1EB2"/>
    <w:rsid w:val="009C2675"/>
    <w:rsid w:val="009C2839"/>
    <w:rsid w:val="009C2DC4"/>
    <w:rsid w:val="009C3007"/>
    <w:rsid w:val="009C3042"/>
    <w:rsid w:val="009C386A"/>
    <w:rsid w:val="009C3B59"/>
    <w:rsid w:val="009C3E9C"/>
    <w:rsid w:val="009C4598"/>
    <w:rsid w:val="009C4A32"/>
    <w:rsid w:val="009C4B90"/>
    <w:rsid w:val="009C589E"/>
    <w:rsid w:val="009C63AB"/>
    <w:rsid w:val="009C69D0"/>
    <w:rsid w:val="009C69F4"/>
    <w:rsid w:val="009C6B18"/>
    <w:rsid w:val="009C7163"/>
    <w:rsid w:val="009C77A3"/>
    <w:rsid w:val="009C7F92"/>
    <w:rsid w:val="009D1082"/>
    <w:rsid w:val="009D20AC"/>
    <w:rsid w:val="009D20C9"/>
    <w:rsid w:val="009D21C8"/>
    <w:rsid w:val="009D26D8"/>
    <w:rsid w:val="009D305B"/>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5D71"/>
    <w:rsid w:val="009D66B9"/>
    <w:rsid w:val="009D6B77"/>
    <w:rsid w:val="009D6CE1"/>
    <w:rsid w:val="009E14B2"/>
    <w:rsid w:val="009E155E"/>
    <w:rsid w:val="009E1D15"/>
    <w:rsid w:val="009E1DFA"/>
    <w:rsid w:val="009E23ED"/>
    <w:rsid w:val="009E26BC"/>
    <w:rsid w:val="009E322C"/>
    <w:rsid w:val="009E3352"/>
    <w:rsid w:val="009E3479"/>
    <w:rsid w:val="009E387D"/>
    <w:rsid w:val="009E453D"/>
    <w:rsid w:val="009E4B72"/>
    <w:rsid w:val="009E5013"/>
    <w:rsid w:val="009E5292"/>
    <w:rsid w:val="009E56B0"/>
    <w:rsid w:val="009E5917"/>
    <w:rsid w:val="009E6223"/>
    <w:rsid w:val="009E725F"/>
    <w:rsid w:val="009E79CF"/>
    <w:rsid w:val="009E7E3B"/>
    <w:rsid w:val="009E7F2E"/>
    <w:rsid w:val="009F009C"/>
    <w:rsid w:val="009F0345"/>
    <w:rsid w:val="009F04F2"/>
    <w:rsid w:val="009F0A8F"/>
    <w:rsid w:val="009F1ACA"/>
    <w:rsid w:val="009F231C"/>
    <w:rsid w:val="009F2512"/>
    <w:rsid w:val="009F2C7D"/>
    <w:rsid w:val="009F336F"/>
    <w:rsid w:val="009F3E13"/>
    <w:rsid w:val="009F40CE"/>
    <w:rsid w:val="009F4CDA"/>
    <w:rsid w:val="009F59BF"/>
    <w:rsid w:val="009F5F68"/>
    <w:rsid w:val="009F6051"/>
    <w:rsid w:val="009F776E"/>
    <w:rsid w:val="00A00E51"/>
    <w:rsid w:val="00A00F42"/>
    <w:rsid w:val="00A01519"/>
    <w:rsid w:val="00A0195A"/>
    <w:rsid w:val="00A02D3C"/>
    <w:rsid w:val="00A032EA"/>
    <w:rsid w:val="00A0408F"/>
    <w:rsid w:val="00A0431E"/>
    <w:rsid w:val="00A04E68"/>
    <w:rsid w:val="00A05155"/>
    <w:rsid w:val="00A05975"/>
    <w:rsid w:val="00A05EAA"/>
    <w:rsid w:val="00A0605F"/>
    <w:rsid w:val="00A0608D"/>
    <w:rsid w:val="00A060BE"/>
    <w:rsid w:val="00A0695E"/>
    <w:rsid w:val="00A0708B"/>
    <w:rsid w:val="00A07D26"/>
    <w:rsid w:val="00A1036E"/>
    <w:rsid w:val="00A104A1"/>
    <w:rsid w:val="00A10896"/>
    <w:rsid w:val="00A10D11"/>
    <w:rsid w:val="00A10D80"/>
    <w:rsid w:val="00A10FC7"/>
    <w:rsid w:val="00A11671"/>
    <w:rsid w:val="00A1187C"/>
    <w:rsid w:val="00A11D21"/>
    <w:rsid w:val="00A12CCC"/>
    <w:rsid w:val="00A12D1A"/>
    <w:rsid w:val="00A12E07"/>
    <w:rsid w:val="00A12F3D"/>
    <w:rsid w:val="00A13A4E"/>
    <w:rsid w:val="00A142FE"/>
    <w:rsid w:val="00A15479"/>
    <w:rsid w:val="00A15566"/>
    <w:rsid w:val="00A15B2D"/>
    <w:rsid w:val="00A163CD"/>
    <w:rsid w:val="00A16778"/>
    <w:rsid w:val="00A16B57"/>
    <w:rsid w:val="00A20224"/>
    <w:rsid w:val="00A207CF"/>
    <w:rsid w:val="00A20BF9"/>
    <w:rsid w:val="00A21424"/>
    <w:rsid w:val="00A21997"/>
    <w:rsid w:val="00A23A98"/>
    <w:rsid w:val="00A24200"/>
    <w:rsid w:val="00A24217"/>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3BB4"/>
    <w:rsid w:val="00A33CCF"/>
    <w:rsid w:val="00A35D65"/>
    <w:rsid w:val="00A36CF6"/>
    <w:rsid w:val="00A36EC5"/>
    <w:rsid w:val="00A37EDA"/>
    <w:rsid w:val="00A4035D"/>
    <w:rsid w:val="00A403FC"/>
    <w:rsid w:val="00A413A3"/>
    <w:rsid w:val="00A41DB1"/>
    <w:rsid w:val="00A43270"/>
    <w:rsid w:val="00A436CD"/>
    <w:rsid w:val="00A44299"/>
    <w:rsid w:val="00A4539E"/>
    <w:rsid w:val="00A46080"/>
    <w:rsid w:val="00A461CB"/>
    <w:rsid w:val="00A46C6C"/>
    <w:rsid w:val="00A46EB1"/>
    <w:rsid w:val="00A47523"/>
    <w:rsid w:val="00A47A54"/>
    <w:rsid w:val="00A47C59"/>
    <w:rsid w:val="00A50CB6"/>
    <w:rsid w:val="00A50FEC"/>
    <w:rsid w:val="00A51FC3"/>
    <w:rsid w:val="00A5237D"/>
    <w:rsid w:val="00A532FC"/>
    <w:rsid w:val="00A53624"/>
    <w:rsid w:val="00A54F72"/>
    <w:rsid w:val="00A554CC"/>
    <w:rsid w:val="00A5579B"/>
    <w:rsid w:val="00A56560"/>
    <w:rsid w:val="00A565B6"/>
    <w:rsid w:val="00A567E2"/>
    <w:rsid w:val="00A56806"/>
    <w:rsid w:val="00A57F15"/>
    <w:rsid w:val="00A60066"/>
    <w:rsid w:val="00A60179"/>
    <w:rsid w:val="00A613B7"/>
    <w:rsid w:val="00A61782"/>
    <w:rsid w:val="00A61FDA"/>
    <w:rsid w:val="00A63850"/>
    <w:rsid w:val="00A63B0C"/>
    <w:rsid w:val="00A64787"/>
    <w:rsid w:val="00A648E9"/>
    <w:rsid w:val="00A64ED1"/>
    <w:rsid w:val="00A65B7D"/>
    <w:rsid w:val="00A6654A"/>
    <w:rsid w:val="00A66C0D"/>
    <w:rsid w:val="00A6704E"/>
    <w:rsid w:val="00A6764D"/>
    <w:rsid w:val="00A67934"/>
    <w:rsid w:val="00A67D4A"/>
    <w:rsid w:val="00A70230"/>
    <w:rsid w:val="00A703AE"/>
    <w:rsid w:val="00A703F0"/>
    <w:rsid w:val="00A70415"/>
    <w:rsid w:val="00A709AE"/>
    <w:rsid w:val="00A70AFB"/>
    <w:rsid w:val="00A70DCB"/>
    <w:rsid w:val="00A70E5B"/>
    <w:rsid w:val="00A71FD1"/>
    <w:rsid w:val="00A720C2"/>
    <w:rsid w:val="00A7248F"/>
    <w:rsid w:val="00A72733"/>
    <w:rsid w:val="00A72BC8"/>
    <w:rsid w:val="00A72C04"/>
    <w:rsid w:val="00A72FE2"/>
    <w:rsid w:val="00A73341"/>
    <w:rsid w:val="00A748ED"/>
    <w:rsid w:val="00A74BF9"/>
    <w:rsid w:val="00A752D3"/>
    <w:rsid w:val="00A75386"/>
    <w:rsid w:val="00A7593A"/>
    <w:rsid w:val="00A7597F"/>
    <w:rsid w:val="00A75B02"/>
    <w:rsid w:val="00A75D3F"/>
    <w:rsid w:val="00A7664B"/>
    <w:rsid w:val="00A768C8"/>
    <w:rsid w:val="00A76C21"/>
    <w:rsid w:val="00A77727"/>
    <w:rsid w:val="00A81251"/>
    <w:rsid w:val="00A81951"/>
    <w:rsid w:val="00A8226A"/>
    <w:rsid w:val="00A82941"/>
    <w:rsid w:val="00A834D6"/>
    <w:rsid w:val="00A83A31"/>
    <w:rsid w:val="00A83A61"/>
    <w:rsid w:val="00A83DBC"/>
    <w:rsid w:val="00A84746"/>
    <w:rsid w:val="00A847AE"/>
    <w:rsid w:val="00A84D2C"/>
    <w:rsid w:val="00A84D86"/>
    <w:rsid w:val="00A85084"/>
    <w:rsid w:val="00A855FE"/>
    <w:rsid w:val="00A856A1"/>
    <w:rsid w:val="00A857FC"/>
    <w:rsid w:val="00A85836"/>
    <w:rsid w:val="00A85E79"/>
    <w:rsid w:val="00A85F29"/>
    <w:rsid w:val="00A8613B"/>
    <w:rsid w:val="00A86203"/>
    <w:rsid w:val="00A86D62"/>
    <w:rsid w:val="00A8775F"/>
    <w:rsid w:val="00A87982"/>
    <w:rsid w:val="00A87C2F"/>
    <w:rsid w:val="00A904F2"/>
    <w:rsid w:val="00A90A9D"/>
    <w:rsid w:val="00A911A0"/>
    <w:rsid w:val="00A91363"/>
    <w:rsid w:val="00A91450"/>
    <w:rsid w:val="00A91B63"/>
    <w:rsid w:val="00A91D8C"/>
    <w:rsid w:val="00A91F0C"/>
    <w:rsid w:val="00A920B1"/>
    <w:rsid w:val="00A92564"/>
    <w:rsid w:val="00A92DB9"/>
    <w:rsid w:val="00A934BF"/>
    <w:rsid w:val="00A93738"/>
    <w:rsid w:val="00A939AD"/>
    <w:rsid w:val="00A94084"/>
    <w:rsid w:val="00A9446E"/>
    <w:rsid w:val="00A952EF"/>
    <w:rsid w:val="00A96484"/>
    <w:rsid w:val="00A96790"/>
    <w:rsid w:val="00A96852"/>
    <w:rsid w:val="00A96C21"/>
    <w:rsid w:val="00A9791D"/>
    <w:rsid w:val="00A97D4A"/>
    <w:rsid w:val="00A97DB8"/>
    <w:rsid w:val="00AA0209"/>
    <w:rsid w:val="00AA03A6"/>
    <w:rsid w:val="00AA050F"/>
    <w:rsid w:val="00AA1128"/>
    <w:rsid w:val="00AA1337"/>
    <w:rsid w:val="00AA1A7C"/>
    <w:rsid w:val="00AA1ADA"/>
    <w:rsid w:val="00AA20B3"/>
    <w:rsid w:val="00AA2A7D"/>
    <w:rsid w:val="00AA2A95"/>
    <w:rsid w:val="00AA2ECC"/>
    <w:rsid w:val="00AA3A3E"/>
    <w:rsid w:val="00AA3B94"/>
    <w:rsid w:val="00AA3C94"/>
    <w:rsid w:val="00AA41D4"/>
    <w:rsid w:val="00AA4203"/>
    <w:rsid w:val="00AA4303"/>
    <w:rsid w:val="00AA4775"/>
    <w:rsid w:val="00AA47D3"/>
    <w:rsid w:val="00AA488F"/>
    <w:rsid w:val="00AA4A80"/>
    <w:rsid w:val="00AA5515"/>
    <w:rsid w:val="00AA567F"/>
    <w:rsid w:val="00AA583C"/>
    <w:rsid w:val="00AA5CFE"/>
    <w:rsid w:val="00AA65CF"/>
    <w:rsid w:val="00AA6A88"/>
    <w:rsid w:val="00AA768F"/>
    <w:rsid w:val="00AB02DD"/>
    <w:rsid w:val="00AB045C"/>
    <w:rsid w:val="00AB05BB"/>
    <w:rsid w:val="00AB090C"/>
    <w:rsid w:val="00AB0F9A"/>
    <w:rsid w:val="00AB1160"/>
    <w:rsid w:val="00AB1411"/>
    <w:rsid w:val="00AB142E"/>
    <w:rsid w:val="00AB1C10"/>
    <w:rsid w:val="00AB212D"/>
    <w:rsid w:val="00AB32C1"/>
    <w:rsid w:val="00AB3552"/>
    <w:rsid w:val="00AB3CC9"/>
    <w:rsid w:val="00AB49C3"/>
    <w:rsid w:val="00AB55F8"/>
    <w:rsid w:val="00AB5DF2"/>
    <w:rsid w:val="00AB6C4D"/>
    <w:rsid w:val="00AB7866"/>
    <w:rsid w:val="00AC1D3B"/>
    <w:rsid w:val="00AC2035"/>
    <w:rsid w:val="00AC226A"/>
    <w:rsid w:val="00AC246C"/>
    <w:rsid w:val="00AC2A38"/>
    <w:rsid w:val="00AC2FB2"/>
    <w:rsid w:val="00AC32FB"/>
    <w:rsid w:val="00AC3ADE"/>
    <w:rsid w:val="00AC3F58"/>
    <w:rsid w:val="00AC4C92"/>
    <w:rsid w:val="00AC4E28"/>
    <w:rsid w:val="00AC4E71"/>
    <w:rsid w:val="00AC4F7E"/>
    <w:rsid w:val="00AC56D6"/>
    <w:rsid w:val="00AC5700"/>
    <w:rsid w:val="00AC5A64"/>
    <w:rsid w:val="00AC6E75"/>
    <w:rsid w:val="00AC7042"/>
    <w:rsid w:val="00AC70B8"/>
    <w:rsid w:val="00AC752F"/>
    <w:rsid w:val="00AC7B8D"/>
    <w:rsid w:val="00AC7E49"/>
    <w:rsid w:val="00AD099F"/>
    <w:rsid w:val="00AD1C10"/>
    <w:rsid w:val="00AD1D3D"/>
    <w:rsid w:val="00AD215C"/>
    <w:rsid w:val="00AD28FC"/>
    <w:rsid w:val="00AD2E7B"/>
    <w:rsid w:val="00AD2F8F"/>
    <w:rsid w:val="00AD330B"/>
    <w:rsid w:val="00AD3685"/>
    <w:rsid w:val="00AD3F4F"/>
    <w:rsid w:val="00AD403C"/>
    <w:rsid w:val="00AD4153"/>
    <w:rsid w:val="00AD4838"/>
    <w:rsid w:val="00AD5420"/>
    <w:rsid w:val="00AD56CF"/>
    <w:rsid w:val="00AD5B1E"/>
    <w:rsid w:val="00AD5DDB"/>
    <w:rsid w:val="00AD5E3E"/>
    <w:rsid w:val="00AD60B8"/>
    <w:rsid w:val="00AD60EF"/>
    <w:rsid w:val="00AD612C"/>
    <w:rsid w:val="00AD6E5A"/>
    <w:rsid w:val="00AD734C"/>
    <w:rsid w:val="00AD7922"/>
    <w:rsid w:val="00AE0413"/>
    <w:rsid w:val="00AE05BF"/>
    <w:rsid w:val="00AE0D8D"/>
    <w:rsid w:val="00AE23C8"/>
    <w:rsid w:val="00AE265A"/>
    <w:rsid w:val="00AE2968"/>
    <w:rsid w:val="00AE308D"/>
    <w:rsid w:val="00AE36D1"/>
    <w:rsid w:val="00AE3DDB"/>
    <w:rsid w:val="00AE4A64"/>
    <w:rsid w:val="00AE5771"/>
    <w:rsid w:val="00AE58F3"/>
    <w:rsid w:val="00AE59FC"/>
    <w:rsid w:val="00AE6AAF"/>
    <w:rsid w:val="00AE6B87"/>
    <w:rsid w:val="00AE6E97"/>
    <w:rsid w:val="00AE6F35"/>
    <w:rsid w:val="00AE758E"/>
    <w:rsid w:val="00AF059D"/>
    <w:rsid w:val="00AF077D"/>
    <w:rsid w:val="00AF0992"/>
    <w:rsid w:val="00AF0C7C"/>
    <w:rsid w:val="00AF0D62"/>
    <w:rsid w:val="00AF0EB3"/>
    <w:rsid w:val="00AF0EF3"/>
    <w:rsid w:val="00AF1144"/>
    <w:rsid w:val="00AF1281"/>
    <w:rsid w:val="00AF14C8"/>
    <w:rsid w:val="00AF1A33"/>
    <w:rsid w:val="00AF23D9"/>
    <w:rsid w:val="00AF290E"/>
    <w:rsid w:val="00AF29FA"/>
    <w:rsid w:val="00AF37D5"/>
    <w:rsid w:val="00AF381B"/>
    <w:rsid w:val="00AF3F63"/>
    <w:rsid w:val="00AF4326"/>
    <w:rsid w:val="00AF4345"/>
    <w:rsid w:val="00AF463B"/>
    <w:rsid w:val="00AF4CC5"/>
    <w:rsid w:val="00AF5319"/>
    <w:rsid w:val="00AF5E57"/>
    <w:rsid w:val="00AF608B"/>
    <w:rsid w:val="00AF6A59"/>
    <w:rsid w:val="00AF7A12"/>
    <w:rsid w:val="00AF7BDD"/>
    <w:rsid w:val="00B00F8C"/>
    <w:rsid w:val="00B00FEC"/>
    <w:rsid w:val="00B0164A"/>
    <w:rsid w:val="00B02145"/>
    <w:rsid w:val="00B02F0C"/>
    <w:rsid w:val="00B03776"/>
    <w:rsid w:val="00B03ED8"/>
    <w:rsid w:val="00B0401D"/>
    <w:rsid w:val="00B042D2"/>
    <w:rsid w:val="00B0477D"/>
    <w:rsid w:val="00B04E8D"/>
    <w:rsid w:val="00B04F50"/>
    <w:rsid w:val="00B04F6D"/>
    <w:rsid w:val="00B0542F"/>
    <w:rsid w:val="00B05A05"/>
    <w:rsid w:val="00B062CF"/>
    <w:rsid w:val="00B06495"/>
    <w:rsid w:val="00B064F1"/>
    <w:rsid w:val="00B06DA3"/>
    <w:rsid w:val="00B109DF"/>
    <w:rsid w:val="00B118E1"/>
    <w:rsid w:val="00B11A39"/>
    <w:rsid w:val="00B11A5F"/>
    <w:rsid w:val="00B11A9A"/>
    <w:rsid w:val="00B12065"/>
    <w:rsid w:val="00B120CF"/>
    <w:rsid w:val="00B1210E"/>
    <w:rsid w:val="00B1243E"/>
    <w:rsid w:val="00B129BD"/>
    <w:rsid w:val="00B12BDA"/>
    <w:rsid w:val="00B131C5"/>
    <w:rsid w:val="00B13D2B"/>
    <w:rsid w:val="00B13D4A"/>
    <w:rsid w:val="00B13F2E"/>
    <w:rsid w:val="00B14011"/>
    <w:rsid w:val="00B14793"/>
    <w:rsid w:val="00B15075"/>
    <w:rsid w:val="00B15774"/>
    <w:rsid w:val="00B15DB9"/>
    <w:rsid w:val="00B1780E"/>
    <w:rsid w:val="00B200D3"/>
    <w:rsid w:val="00B2060E"/>
    <w:rsid w:val="00B20DCF"/>
    <w:rsid w:val="00B20F8A"/>
    <w:rsid w:val="00B215EB"/>
    <w:rsid w:val="00B21852"/>
    <w:rsid w:val="00B22522"/>
    <w:rsid w:val="00B2288A"/>
    <w:rsid w:val="00B24781"/>
    <w:rsid w:val="00B24D66"/>
    <w:rsid w:val="00B258AF"/>
    <w:rsid w:val="00B26218"/>
    <w:rsid w:val="00B264B0"/>
    <w:rsid w:val="00B26CDB"/>
    <w:rsid w:val="00B26ECF"/>
    <w:rsid w:val="00B27444"/>
    <w:rsid w:val="00B27734"/>
    <w:rsid w:val="00B27771"/>
    <w:rsid w:val="00B27787"/>
    <w:rsid w:val="00B278D7"/>
    <w:rsid w:val="00B3091E"/>
    <w:rsid w:val="00B31602"/>
    <w:rsid w:val="00B319FE"/>
    <w:rsid w:val="00B3232C"/>
    <w:rsid w:val="00B331B8"/>
    <w:rsid w:val="00B33786"/>
    <w:rsid w:val="00B337A4"/>
    <w:rsid w:val="00B34725"/>
    <w:rsid w:val="00B3503A"/>
    <w:rsid w:val="00B355F0"/>
    <w:rsid w:val="00B3578C"/>
    <w:rsid w:val="00B36759"/>
    <w:rsid w:val="00B369B6"/>
    <w:rsid w:val="00B36D9E"/>
    <w:rsid w:val="00B372C8"/>
    <w:rsid w:val="00B37311"/>
    <w:rsid w:val="00B373FB"/>
    <w:rsid w:val="00B37975"/>
    <w:rsid w:val="00B37D5F"/>
    <w:rsid w:val="00B40098"/>
    <w:rsid w:val="00B400A4"/>
    <w:rsid w:val="00B4106F"/>
    <w:rsid w:val="00B414F1"/>
    <w:rsid w:val="00B41BE7"/>
    <w:rsid w:val="00B424F7"/>
    <w:rsid w:val="00B42568"/>
    <w:rsid w:val="00B4316E"/>
    <w:rsid w:val="00B4339F"/>
    <w:rsid w:val="00B4381B"/>
    <w:rsid w:val="00B4383C"/>
    <w:rsid w:val="00B4403D"/>
    <w:rsid w:val="00B456F7"/>
    <w:rsid w:val="00B45847"/>
    <w:rsid w:val="00B46022"/>
    <w:rsid w:val="00B460A1"/>
    <w:rsid w:val="00B46275"/>
    <w:rsid w:val="00B464C7"/>
    <w:rsid w:val="00B4658A"/>
    <w:rsid w:val="00B46AEE"/>
    <w:rsid w:val="00B46C49"/>
    <w:rsid w:val="00B4733F"/>
    <w:rsid w:val="00B4758E"/>
    <w:rsid w:val="00B47CBB"/>
    <w:rsid w:val="00B50165"/>
    <w:rsid w:val="00B5083E"/>
    <w:rsid w:val="00B50ADB"/>
    <w:rsid w:val="00B51163"/>
    <w:rsid w:val="00B51604"/>
    <w:rsid w:val="00B51D47"/>
    <w:rsid w:val="00B51F1C"/>
    <w:rsid w:val="00B51F64"/>
    <w:rsid w:val="00B53B4E"/>
    <w:rsid w:val="00B53C5F"/>
    <w:rsid w:val="00B54245"/>
    <w:rsid w:val="00B54A24"/>
    <w:rsid w:val="00B54BD8"/>
    <w:rsid w:val="00B554AF"/>
    <w:rsid w:val="00B5596C"/>
    <w:rsid w:val="00B565B5"/>
    <w:rsid w:val="00B569B2"/>
    <w:rsid w:val="00B56FBD"/>
    <w:rsid w:val="00B5715A"/>
    <w:rsid w:val="00B57327"/>
    <w:rsid w:val="00B6002D"/>
    <w:rsid w:val="00B6010B"/>
    <w:rsid w:val="00B61262"/>
    <w:rsid w:val="00B61960"/>
    <w:rsid w:val="00B6210A"/>
    <w:rsid w:val="00B6220A"/>
    <w:rsid w:val="00B629F3"/>
    <w:rsid w:val="00B640CF"/>
    <w:rsid w:val="00B650C5"/>
    <w:rsid w:val="00B65828"/>
    <w:rsid w:val="00B658E9"/>
    <w:rsid w:val="00B65E01"/>
    <w:rsid w:val="00B665BB"/>
    <w:rsid w:val="00B66800"/>
    <w:rsid w:val="00B668CA"/>
    <w:rsid w:val="00B66939"/>
    <w:rsid w:val="00B66AB0"/>
    <w:rsid w:val="00B66CEA"/>
    <w:rsid w:val="00B66F00"/>
    <w:rsid w:val="00B67043"/>
    <w:rsid w:val="00B677D7"/>
    <w:rsid w:val="00B7095E"/>
    <w:rsid w:val="00B70C27"/>
    <w:rsid w:val="00B70ED8"/>
    <w:rsid w:val="00B710E0"/>
    <w:rsid w:val="00B7162D"/>
    <w:rsid w:val="00B71D76"/>
    <w:rsid w:val="00B71E56"/>
    <w:rsid w:val="00B727DF"/>
    <w:rsid w:val="00B72B57"/>
    <w:rsid w:val="00B72CF9"/>
    <w:rsid w:val="00B72EE9"/>
    <w:rsid w:val="00B73637"/>
    <w:rsid w:val="00B73D34"/>
    <w:rsid w:val="00B742C1"/>
    <w:rsid w:val="00B74720"/>
    <w:rsid w:val="00B74C99"/>
    <w:rsid w:val="00B74CFE"/>
    <w:rsid w:val="00B75032"/>
    <w:rsid w:val="00B750D5"/>
    <w:rsid w:val="00B7591C"/>
    <w:rsid w:val="00B75AD9"/>
    <w:rsid w:val="00B75D1D"/>
    <w:rsid w:val="00B75E98"/>
    <w:rsid w:val="00B76A3F"/>
    <w:rsid w:val="00B76A7D"/>
    <w:rsid w:val="00B76CE1"/>
    <w:rsid w:val="00B776D5"/>
    <w:rsid w:val="00B77B7E"/>
    <w:rsid w:val="00B80744"/>
    <w:rsid w:val="00B80979"/>
    <w:rsid w:val="00B8123C"/>
    <w:rsid w:val="00B818AA"/>
    <w:rsid w:val="00B81B66"/>
    <w:rsid w:val="00B81BC2"/>
    <w:rsid w:val="00B81C75"/>
    <w:rsid w:val="00B81D8F"/>
    <w:rsid w:val="00B81EEF"/>
    <w:rsid w:val="00B81F26"/>
    <w:rsid w:val="00B840BB"/>
    <w:rsid w:val="00B84C9F"/>
    <w:rsid w:val="00B8525F"/>
    <w:rsid w:val="00B85302"/>
    <w:rsid w:val="00B856E9"/>
    <w:rsid w:val="00B85774"/>
    <w:rsid w:val="00B86197"/>
    <w:rsid w:val="00B86429"/>
    <w:rsid w:val="00B8648F"/>
    <w:rsid w:val="00B866C7"/>
    <w:rsid w:val="00B86EFB"/>
    <w:rsid w:val="00B87563"/>
    <w:rsid w:val="00B87EBC"/>
    <w:rsid w:val="00B87FF0"/>
    <w:rsid w:val="00B90825"/>
    <w:rsid w:val="00B9084F"/>
    <w:rsid w:val="00B90862"/>
    <w:rsid w:val="00B90B81"/>
    <w:rsid w:val="00B90B93"/>
    <w:rsid w:val="00B90DD5"/>
    <w:rsid w:val="00B912EC"/>
    <w:rsid w:val="00B917AC"/>
    <w:rsid w:val="00B91F77"/>
    <w:rsid w:val="00B926AC"/>
    <w:rsid w:val="00B92B3A"/>
    <w:rsid w:val="00B92E6B"/>
    <w:rsid w:val="00B93043"/>
    <w:rsid w:val="00B93431"/>
    <w:rsid w:val="00B93500"/>
    <w:rsid w:val="00B93D97"/>
    <w:rsid w:val="00B94046"/>
    <w:rsid w:val="00B94392"/>
    <w:rsid w:val="00B94CDE"/>
    <w:rsid w:val="00B955F5"/>
    <w:rsid w:val="00B95663"/>
    <w:rsid w:val="00B95A36"/>
    <w:rsid w:val="00B95CCC"/>
    <w:rsid w:val="00B95F44"/>
    <w:rsid w:val="00B96765"/>
    <w:rsid w:val="00B96D3C"/>
    <w:rsid w:val="00B97577"/>
    <w:rsid w:val="00B97F5F"/>
    <w:rsid w:val="00BA00EA"/>
    <w:rsid w:val="00BA041F"/>
    <w:rsid w:val="00BA0FE9"/>
    <w:rsid w:val="00BA139F"/>
    <w:rsid w:val="00BA1A0B"/>
    <w:rsid w:val="00BA1E85"/>
    <w:rsid w:val="00BA27F0"/>
    <w:rsid w:val="00BA2DCE"/>
    <w:rsid w:val="00BA359B"/>
    <w:rsid w:val="00BA3611"/>
    <w:rsid w:val="00BA3A93"/>
    <w:rsid w:val="00BA4D05"/>
    <w:rsid w:val="00BA5165"/>
    <w:rsid w:val="00BA5599"/>
    <w:rsid w:val="00BA5A40"/>
    <w:rsid w:val="00BA5FD5"/>
    <w:rsid w:val="00BA62AB"/>
    <w:rsid w:val="00BA7E0B"/>
    <w:rsid w:val="00BB0DE3"/>
    <w:rsid w:val="00BB0EA0"/>
    <w:rsid w:val="00BB10CD"/>
    <w:rsid w:val="00BB10F0"/>
    <w:rsid w:val="00BB122E"/>
    <w:rsid w:val="00BB1CE7"/>
    <w:rsid w:val="00BB25BB"/>
    <w:rsid w:val="00BB4A6F"/>
    <w:rsid w:val="00BB56B1"/>
    <w:rsid w:val="00BB5759"/>
    <w:rsid w:val="00BB5A30"/>
    <w:rsid w:val="00BB5B98"/>
    <w:rsid w:val="00BB5E0C"/>
    <w:rsid w:val="00BB7393"/>
    <w:rsid w:val="00BB7BAC"/>
    <w:rsid w:val="00BB7BCF"/>
    <w:rsid w:val="00BC08D8"/>
    <w:rsid w:val="00BC08FC"/>
    <w:rsid w:val="00BC202D"/>
    <w:rsid w:val="00BC213B"/>
    <w:rsid w:val="00BC2651"/>
    <w:rsid w:val="00BC2964"/>
    <w:rsid w:val="00BC2DDF"/>
    <w:rsid w:val="00BC3112"/>
    <w:rsid w:val="00BC340B"/>
    <w:rsid w:val="00BC3776"/>
    <w:rsid w:val="00BC3B17"/>
    <w:rsid w:val="00BC3D8E"/>
    <w:rsid w:val="00BC3E7F"/>
    <w:rsid w:val="00BC41B5"/>
    <w:rsid w:val="00BC42AB"/>
    <w:rsid w:val="00BC4C63"/>
    <w:rsid w:val="00BC54D1"/>
    <w:rsid w:val="00BC6145"/>
    <w:rsid w:val="00BC6308"/>
    <w:rsid w:val="00BC63FE"/>
    <w:rsid w:val="00BC666D"/>
    <w:rsid w:val="00BC67A4"/>
    <w:rsid w:val="00BC6B4D"/>
    <w:rsid w:val="00BC6C4F"/>
    <w:rsid w:val="00BC76AA"/>
    <w:rsid w:val="00BC7987"/>
    <w:rsid w:val="00BD005C"/>
    <w:rsid w:val="00BD1290"/>
    <w:rsid w:val="00BD17E7"/>
    <w:rsid w:val="00BD1CFB"/>
    <w:rsid w:val="00BD2921"/>
    <w:rsid w:val="00BD2B8F"/>
    <w:rsid w:val="00BD35B9"/>
    <w:rsid w:val="00BD36EC"/>
    <w:rsid w:val="00BD4A52"/>
    <w:rsid w:val="00BD51CA"/>
    <w:rsid w:val="00BD5CD2"/>
    <w:rsid w:val="00BD77DE"/>
    <w:rsid w:val="00BD79C2"/>
    <w:rsid w:val="00BE1436"/>
    <w:rsid w:val="00BE1F2E"/>
    <w:rsid w:val="00BE1FA7"/>
    <w:rsid w:val="00BE222B"/>
    <w:rsid w:val="00BE2AD7"/>
    <w:rsid w:val="00BE2BAA"/>
    <w:rsid w:val="00BE35FC"/>
    <w:rsid w:val="00BE4F8D"/>
    <w:rsid w:val="00BE590A"/>
    <w:rsid w:val="00BE644A"/>
    <w:rsid w:val="00BE770F"/>
    <w:rsid w:val="00BE778C"/>
    <w:rsid w:val="00BF01D4"/>
    <w:rsid w:val="00BF025E"/>
    <w:rsid w:val="00BF0536"/>
    <w:rsid w:val="00BF0E2E"/>
    <w:rsid w:val="00BF1001"/>
    <w:rsid w:val="00BF20FB"/>
    <w:rsid w:val="00BF28FB"/>
    <w:rsid w:val="00BF2997"/>
    <w:rsid w:val="00BF4C22"/>
    <w:rsid w:val="00BF4CD1"/>
    <w:rsid w:val="00BF4DD7"/>
    <w:rsid w:val="00BF51E4"/>
    <w:rsid w:val="00BF6043"/>
    <w:rsid w:val="00BF76ED"/>
    <w:rsid w:val="00C00156"/>
    <w:rsid w:val="00C003C3"/>
    <w:rsid w:val="00C00550"/>
    <w:rsid w:val="00C00696"/>
    <w:rsid w:val="00C006F6"/>
    <w:rsid w:val="00C00838"/>
    <w:rsid w:val="00C008C4"/>
    <w:rsid w:val="00C008C6"/>
    <w:rsid w:val="00C00BE6"/>
    <w:rsid w:val="00C00CE6"/>
    <w:rsid w:val="00C00F80"/>
    <w:rsid w:val="00C01250"/>
    <w:rsid w:val="00C01619"/>
    <w:rsid w:val="00C02098"/>
    <w:rsid w:val="00C03041"/>
    <w:rsid w:val="00C03447"/>
    <w:rsid w:val="00C03815"/>
    <w:rsid w:val="00C041F4"/>
    <w:rsid w:val="00C04248"/>
    <w:rsid w:val="00C04A0D"/>
    <w:rsid w:val="00C04C59"/>
    <w:rsid w:val="00C0524E"/>
    <w:rsid w:val="00C05428"/>
    <w:rsid w:val="00C058A3"/>
    <w:rsid w:val="00C05E05"/>
    <w:rsid w:val="00C069CA"/>
    <w:rsid w:val="00C0711F"/>
    <w:rsid w:val="00C077E1"/>
    <w:rsid w:val="00C10633"/>
    <w:rsid w:val="00C107BE"/>
    <w:rsid w:val="00C10BD0"/>
    <w:rsid w:val="00C10C03"/>
    <w:rsid w:val="00C112F7"/>
    <w:rsid w:val="00C1161D"/>
    <w:rsid w:val="00C12CC4"/>
    <w:rsid w:val="00C12CE6"/>
    <w:rsid w:val="00C12D9C"/>
    <w:rsid w:val="00C13208"/>
    <w:rsid w:val="00C133F5"/>
    <w:rsid w:val="00C1360E"/>
    <w:rsid w:val="00C13819"/>
    <w:rsid w:val="00C13CCA"/>
    <w:rsid w:val="00C142EA"/>
    <w:rsid w:val="00C14AD2"/>
    <w:rsid w:val="00C14AFE"/>
    <w:rsid w:val="00C14CA5"/>
    <w:rsid w:val="00C153A7"/>
    <w:rsid w:val="00C15BE1"/>
    <w:rsid w:val="00C160D9"/>
    <w:rsid w:val="00C16B32"/>
    <w:rsid w:val="00C16FF1"/>
    <w:rsid w:val="00C17089"/>
    <w:rsid w:val="00C1715B"/>
    <w:rsid w:val="00C1757F"/>
    <w:rsid w:val="00C17B74"/>
    <w:rsid w:val="00C17BCC"/>
    <w:rsid w:val="00C2026D"/>
    <w:rsid w:val="00C20358"/>
    <w:rsid w:val="00C20A09"/>
    <w:rsid w:val="00C20AEB"/>
    <w:rsid w:val="00C20F22"/>
    <w:rsid w:val="00C21FF8"/>
    <w:rsid w:val="00C220F2"/>
    <w:rsid w:val="00C223A0"/>
    <w:rsid w:val="00C23BBD"/>
    <w:rsid w:val="00C2455C"/>
    <w:rsid w:val="00C24638"/>
    <w:rsid w:val="00C2472D"/>
    <w:rsid w:val="00C25DE4"/>
    <w:rsid w:val="00C26495"/>
    <w:rsid w:val="00C273ED"/>
    <w:rsid w:val="00C27447"/>
    <w:rsid w:val="00C27891"/>
    <w:rsid w:val="00C27D45"/>
    <w:rsid w:val="00C300F5"/>
    <w:rsid w:val="00C30AED"/>
    <w:rsid w:val="00C31073"/>
    <w:rsid w:val="00C314B5"/>
    <w:rsid w:val="00C323E5"/>
    <w:rsid w:val="00C32570"/>
    <w:rsid w:val="00C32C1E"/>
    <w:rsid w:val="00C32D53"/>
    <w:rsid w:val="00C32F69"/>
    <w:rsid w:val="00C3312E"/>
    <w:rsid w:val="00C33CD5"/>
    <w:rsid w:val="00C33D0A"/>
    <w:rsid w:val="00C340CF"/>
    <w:rsid w:val="00C34101"/>
    <w:rsid w:val="00C34796"/>
    <w:rsid w:val="00C348FE"/>
    <w:rsid w:val="00C34FBC"/>
    <w:rsid w:val="00C35087"/>
    <w:rsid w:val="00C3523B"/>
    <w:rsid w:val="00C35947"/>
    <w:rsid w:val="00C36B3D"/>
    <w:rsid w:val="00C36FFE"/>
    <w:rsid w:val="00C37913"/>
    <w:rsid w:val="00C37C02"/>
    <w:rsid w:val="00C40174"/>
    <w:rsid w:val="00C40A83"/>
    <w:rsid w:val="00C40D37"/>
    <w:rsid w:val="00C412E1"/>
    <w:rsid w:val="00C4151E"/>
    <w:rsid w:val="00C416FD"/>
    <w:rsid w:val="00C41E73"/>
    <w:rsid w:val="00C41FA0"/>
    <w:rsid w:val="00C42143"/>
    <w:rsid w:val="00C4271F"/>
    <w:rsid w:val="00C42A6C"/>
    <w:rsid w:val="00C42B60"/>
    <w:rsid w:val="00C43E4A"/>
    <w:rsid w:val="00C43FD4"/>
    <w:rsid w:val="00C4445E"/>
    <w:rsid w:val="00C44846"/>
    <w:rsid w:val="00C45A51"/>
    <w:rsid w:val="00C469E3"/>
    <w:rsid w:val="00C47155"/>
    <w:rsid w:val="00C47987"/>
    <w:rsid w:val="00C47CD2"/>
    <w:rsid w:val="00C47D56"/>
    <w:rsid w:val="00C510DE"/>
    <w:rsid w:val="00C529C6"/>
    <w:rsid w:val="00C52D66"/>
    <w:rsid w:val="00C536E4"/>
    <w:rsid w:val="00C538AE"/>
    <w:rsid w:val="00C53C32"/>
    <w:rsid w:val="00C53E7A"/>
    <w:rsid w:val="00C5418B"/>
    <w:rsid w:val="00C54481"/>
    <w:rsid w:val="00C54492"/>
    <w:rsid w:val="00C544B6"/>
    <w:rsid w:val="00C54601"/>
    <w:rsid w:val="00C54799"/>
    <w:rsid w:val="00C54E26"/>
    <w:rsid w:val="00C56A84"/>
    <w:rsid w:val="00C575E8"/>
    <w:rsid w:val="00C5777E"/>
    <w:rsid w:val="00C57909"/>
    <w:rsid w:val="00C57EB0"/>
    <w:rsid w:val="00C60984"/>
    <w:rsid w:val="00C60E33"/>
    <w:rsid w:val="00C610C7"/>
    <w:rsid w:val="00C6111A"/>
    <w:rsid w:val="00C61801"/>
    <w:rsid w:val="00C618DF"/>
    <w:rsid w:val="00C62338"/>
    <w:rsid w:val="00C62F26"/>
    <w:rsid w:val="00C6318D"/>
    <w:rsid w:val="00C65030"/>
    <w:rsid w:val="00C6527B"/>
    <w:rsid w:val="00C652A1"/>
    <w:rsid w:val="00C655E4"/>
    <w:rsid w:val="00C65613"/>
    <w:rsid w:val="00C65738"/>
    <w:rsid w:val="00C6590A"/>
    <w:rsid w:val="00C65FFB"/>
    <w:rsid w:val="00C66613"/>
    <w:rsid w:val="00C66663"/>
    <w:rsid w:val="00C667A9"/>
    <w:rsid w:val="00C668D8"/>
    <w:rsid w:val="00C66A49"/>
    <w:rsid w:val="00C66BCD"/>
    <w:rsid w:val="00C66E74"/>
    <w:rsid w:val="00C67029"/>
    <w:rsid w:val="00C67A4B"/>
    <w:rsid w:val="00C70A17"/>
    <w:rsid w:val="00C70B38"/>
    <w:rsid w:val="00C70B43"/>
    <w:rsid w:val="00C71A56"/>
    <w:rsid w:val="00C724BD"/>
    <w:rsid w:val="00C730CC"/>
    <w:rsid w:val="00C7382E"/>
    <w:rsid w:val="00C7532A"/>
    <w:rsid w:val="00C75721"/>
    <w:rsid w:val="00C7587A"/>
    <w:rsid w:val="00C760A6"/>
    <w:rsid w:val="00C762B7"/>
    <w:rsid w:val="00C76825"/>
    <w:rsid w:val="00C77C4B"/>
    <w:rsid w:val="00C77D50"/>
    <w:rsid w:val="00C806F5"/>
    <w:rsid w:val="00C80DC6"/>
    <w:rsid w:val="00C815E4"/>
    <w:rsid w:val="00C817F9"/>
    <w:rsid w:val="00C81C15"/>
    <w:rsid w:val="00C82276"/>
    <w:rsid w:val="00C8290C"/>
    <w:rsid w:val="00C833A2"/>
    <w:rsid w:val="00C84375"/>
    <w:rsid w:val="00C84D89"/>
    <w:rsid w:val="00C8512B"/>
    <w:rsid w:val="00C858C8"/>
    <w:rsid w:val="00C85A79"/>
    <w:rsid w:val="00C86242"/>
    <w:rsid w:val="00C86D64"/>
    <w:rsid w:val="00C875B5"/>
    <w:rsid w:val="00C87CDD"/>
    <w:rsid w:val="00C909EE"/>
    <w:rsid w:val="00C90A93"/>
    <w:rsid w:val="00C90E27"/>
    <w:rsid w:val="00C910ED"/>
    <w:rsid w:val="00C914C9"/>
    <w:rsid w:val="00C9156F"/>
    <w:rsid w:val="00C917AA"/>
    <w:rsid w:val="00C91E57"/>
    <w:rsid w:val="00C922E8"/>
    <w:rsid w:val="00C93188"/>
    <w:rsid w:val="00C93538"/>
    <w:rsid w:val="00C94EF3"/>
    <w:rsid w:val="00C952A9"/>
    <w:rsid w:val="00C9534F"/>
    <w:rsid w:val="00C95E98"/>
    <w:rsid w:val="00C95F67"/>
    <w:rsid w:val="00C961C0"/>
    <w:rsid w:val="00C965E4"/>
    <w:rsid w:val="00C9675B"/>
    <w:rsid w:val="00C96B69"/>
    <w:rsid w:val="00C9739A"/>
    <w:rsid w:val="00CA13BF"/>
    <w:rsid w:val="00CA13F7"/>
    <w:rsid w:val="00CA1463"/>
    <w:rsid w:val="00CA14DE"/>
    <w:rsid w:val="00CA2A57"/>
    <w:rsid w:val="00CA2C4B"/>
    <w:rsid w:val="00CA30A9"/>
    <w:rsid w:val="00CA35EC"/>
    <w:rsid w:val="00CA3D36"/>
    <w:rsid w:val="00CA3EC4"/>
    <w:rsid w:val="00CA40AF"/>
    <w:rsid w:val="00CA4249"/>
    <w:rsid w:val="00CA4EF3"/>
    <w:rsid w:val="00CA530C"/>
    <w:rsid w:val="00CA575F"/>
    <w:rsid w:val="00CA6F7C"/>
    <w:rsid w:val="00CB0652"/>
    <w:rsid w:val="00CB0A8A"/>
    <w:rsid w:val="00CB12EC"/>
    <w:rsid w:val="00CB138C"/>
    <w:rsid w:val="00CB1BD3"/>
    <w:rsid w:val="00CB1DA2"/>
    <w:rsid w:val="00CB21EF"/>
    <w:rsid w:val="00CB26B1"/>
    <w:rsid w:val="00CB2714"/>
    <w:rsid w:val="00CB2824"/>
    <w:rsid w:val="00CB2958"/>
    <w:rsid w:val="00CB2C75"/>
    <w:rsid w:val="00CB2F95"/>
    <w:rsid w:val="00CB30E7"/>
    <w:rsid w:val="00CB3270"/>
    <w:rsid w:val="00CB45BA"/>
    <w:rsid w:val="00CB4DA4"/>
    <w:rsid w:val="00CB557A"/>
    <w:rsid w:val="00CB6108"/>
    <w:rsid w:val="00CB644A"/>
    <w:rsid w:val="00CB6F20"/>
    <w:rsid w:val="00CB7071"/>
    <w:rsid w:val="00CB75F9"/>
    <w:rsid w:val="00CB7D14"/>
    <w:rsid w:val="00CB7D9F"/>
    <w:rsid w:val="00CC07A1"/>
    <w:rsid w:val="00CC0824"/>
    <w:rsid w:val="00CC08D7"/>
    <w:rsid w:val="00CC0A9A"/>
    <w:rsid w:val="00CC0AB5"/>
    <w:rsid w:val="00CC0EA3"/>
    <w:rsid w:val="00CC156F"/>
    <w:rsid w:val="00CC26E2"/>
    <w:rsid w:val="00CC2B9C"/>
    <w:rsid w:val="00CC326E"/>
    <w:rsid w:val="00CC38EE"/>
    <w:rsid w:val="00CC46F6"/>
    <w:rsid w:val="00CC566D"/>
    <w:rsid w:val="00CC6AA6"/>
    <w:rsid w:val="00CC6ACF"/>
    <w:rsid w:val="00CC6B13"/>
    <w:rsid w:val="00CC722F"/>
    <w:rsid w:val="00CC726E"/>
    <w:rsid w:val="00CC7476"/>
    <w:rsid w:val="00CC75EE"/>
    <w:rsid w:val="00CD0B6A"/>
    <w:rsid w:val="00CD0BAE"/>
    <w:rsid w:val="00CD0D3E"/>
    <w:rsid w:val="00CD1017"/>
    <w:rsid w:val="00CD129C"/>
    <w:rsid w:val="00CD12BA"/>
    <w:rsid w:val="00CD181E"/>
    <w:rsid w:val="00CD22AB"/>
    <w:rsid w:val="00CD2C45"/>
    <w:rsid w:val="00CD387C"/>
    <w:rsid w:val="00CD4727"/>
    <w:rsid w:val="00CD473F"/>
    <w:rsid w:val="00CD474C"/>
    <w:rsid w:val="00CD47B8"/>
    <w:rsid w:val="00CD5589"/>
    <w:rsid w:val="00CD5CCC"/>
    <w:rsid w:val="00CD6B16"/>
    <w:rsid w:val="00CD6B5E"/>
    <w:rsid w:val="00CD7422"/>
    <w:rsid w:val="00CD7642"/>
    <w:rsid w:val="00CD7A3E"/>
    <w:rsid w:val="00CE01E2"/>
    <w:rsid w:val="00CE0950"/>
    <w:rsid w:val="00CE0FC5"/>
    <w:rsid w:val="00CE118A"/>
    <w:rsid w:val="00CE11D8"/>
    <w:rsid w:val="00CE1648"/>
    <w:rsid w:val="00CE1A90"/>
    <w:rsid w:val="00CE1C5C"/>
    <w:rsid w:val="00CE1CA9"/>
    <w:rsid w:val="00CE1E07"/>
    <w:rsid w:val="00CE2567"/>
    <w:rsid w:val="00CE2A65"/>
    <w:rsid w:val="00CE3037"/>
    <w:rsid w:val="00CE32AD"/>
    <w:rsid w:val="00CE3361"/>
    <w:rsid w:val="00CE36F5"/>
    <w:rsid w:val="00CE3F49"/>
    <w:rsid w:val="00CE49B0"/>
    <w:rsid w:val="00CE4EA8"/>
    <w:rsid w:val="00CE5261"/>
    <w:rsid w:val="00CE584B"/>
    <w:rsid w:val="00CE5A0A"/>
    <w:rsid w:val="00CE5E50"/>
    <w:rsid w:val="00CE6C5C"/>
    <w:rsid w:val="00CE72F6"/>
    <w:rsid w:val="00CE7FF2"/>
    <w:rsid w:val="00CF0E8B"/>
    <w:rsid w:val="00CF1090"/>
    <w:rsid w:val="00CF12DA"/>
    <w:rsid w:val="00CF1AB9"/>
    <w:rsid w:val="00CF1B03"/>
    <w:rsid w:val="00CF1B1E"/>
    <w:rsid w:val="00CF1E58"/>
    <w:rsid w:val="00CF1F79"/>
    <w:rsid w:val="00CF2B1C"/>
    <w:rsid w:val="00CF2B8E"/>
    <w:rsid w:val="00CF2E64"/>
    <w:rsid w:val="00CF39B2"/>
    <w:rsid w:val="00CF3E3D"/>
    <w:rsid w:val="00CF4060"/>
    <w:rsid w:val="00CF4077"/>
    <w:rsid w:val="00CF52EB"/>
    <w:rsid w:val="00CF585D"/>
    <w:rsid w:val="00CF5CA8"/>
    <w:rsid w:val="00CF6343"/>
    <w:rsid w:val="00CF72BD"/>
    <w:rsid w:val="00CF767E"/>
    <w:rsid w:val="00CF78C0"/>
    <w:rsid w:val="00D015A8"/>
    <w:rsid w:val="00D024F9"/>
    <w:rsid w:val="00D027F9"/>
    <w:rsid w:val="00D032AA"/>
    <w:rsid w:val="00D03835"/>
    <w:rsid w:val="00D03A3E"/>
    <w:rsid w:val="00D03B1A"/>
    <w:rsid w:val="00D03D48"/>
    <w:rsid w:val="00D03E97"/>
    <w:rsid w:val="00D040BB"/>
    <w:rsid w:val="00D05695"/>
    <w:rsid w:val="00D056E9"/>
    <w:rsid w:val="00D0572A"/>
    <w:rsid w:val="00D05CB6"/>
    <w:rsid w:val="00D06325"/>
    <w:rsid w:val="00D06858"/>
    <w:rsid w:val="00D07684"/>
    <w:rsid w:val="00D076A6"/>
    <w:rsid w:val="00D07F59"/>
    <w:rsid w:val="00D104B2"/>
    <w:rsid w:val="00D10986"/>
    <w:rsid w:val="00D10FAC"/>
    <w:rsid w:val="00D11BB2"/>
    <w:rsid w:val="00D128F7"/>
    <w:rsid w:val="00D12AF0"/>
    <w:rsid w:val="00D12F1F"/>
    <w:rsid w:val="00D131E0"/>
    <w:rsid w:val="00D13207"/>
    <w:rsid w:val="00D13358"/>
    <w:rsid w:val="00D1342C"/>
    <w:rsid w:val="00D142FA"/>
    <w:rsid w:val="00D14873"/>
    <w:rsid w:val="00D14C06"/>
    <w:rsid w:val="00D14CF2"/>
    <w:rsid w:val="00D14DAF"/>
    <w:rsid w:val="00D1564A"/>
    <w:rsid w:val="00D156E5"/>
    <w:rsid w:val="00D15AF0"/>
    <w:rsid w:val="00D16747"/>
    <w:rsid w:val="00D175C7"/>
    <w:rsid w:val="00D17E09"/>
    <w:rsid w:val="00D20150"/>
    <w:rsid w:val="00D2059E"/>
    <w:rsid w:val="00D20886"/>
    <w:rsid w:val="00D2276B"/>
    <w:rsid w:val="00D22E00"/>
    <w:rsid w:val="00D23172"/>
    <w:rsid w:val="00D23E97"/>
    <w:rsid w:val="00D24347"/>
    <w:rsid w:val="00D251E6"/>
    <w:rsid w:val="00D259B0"/>
    <w:rsid w:val="00D26097"/>
    <w:rsid w:val="00D261C5"/>
    <w:rsid w:val="00D26391"/>
    <w:rsid w:val="00D2699D"/>
    <w:rsid w:val="00D26D50"/>
    <w:rsid w:val="00D27747"/>
    <w:rsid w:val="00D27BF7"/>
    <w:rsid w:val="00D30729"/>
    <w:rsid w:val="00D30EAF"/>
    <w:rsid w:val="00D314F6"/>
    <w:rsid w:val="00D31A4F"/>
    <w:rsid w:val="00D31D6C"/>
    <w:rsid w:val="00D31D99"/>
    <w:rsid w:val="00D32CDD"/>
    <w:rsid w:val="00D32E0D"/>
    <w:rsid w:val="00D3326D"/>
    <w:rsid w:val="00D33977"/>
    <w:rsid w:val="00D33B19"/>
    <w:rsid w:val="00D34097"/>
    <w:rsid w:val="00D34236"/>
    <w:rsid w:val="00D3544C"/>
    <w:rsid w:val="00D3719F"/>
    <w:rsid w:val="00D371C8"/>
    <w:rsid w:val="00D4061B"/>
    <w:rsid w:val="00D420B2"/>
    <w:rsid w:val="00D42AB0"/>
    <w:rsid w:val="00D431DA"/>
    <w:rsid w:val="00D43450"/>
    <w:rsid w:val="00D43D75"/>
    <w:rsid w:val="00D43F48"/>
    <w:rsid w:val="00D43F90"/>
    <w:rsid w:val="00D44156"/>
    <w:rsid w:val="00D44198"/>
    <w:rsid w:val="00D44361"/>
    <w:rsid w:val="00D445B3"/>
    <w:rsid w:val="00D453B5"/>
    <w:rsid w:val="00D4565D"/>
    <w:rsid w:val="00D45977"/>
    <w:rsid w:val="00D46DBF"/>
    <w:rsid w:val="00D46F26"/>
    <w:rsid w:val="00D47591"/>
    <w:rsid w:val="00D50C90"/>
    <w:rsid w:val="00D50F4A"/>
    <w:rsid w:val="00D51089"/>
    <w:rsid w:val="00D5228C"/>
    <w:rsid w:val="00D5238C"/>
    <w:rsid w:val="00D52E06"/>
    <w:rsid w:val="00D53650"/>
    <w:rsid w:val="00D54ECE"/>
    <w:rsid w:val="00D553C7"/>
    <w:rsid w:val="00D5648F"/>
    <w:rsid w:val="00D5651D"/>
    <w:rsid w:val="00D57B21"/>
    <w:rsid w:val="00D57B9A"/>
    <w:rsid w:val="00D60190"/>
    <w:rsid w:val="00D602D3"/>
    <w:rsid w:val="00D60414"/>
    <w:rsid w:val="00D605A5"/>
    <w:rsid w:val="00D606A0"/>
    <w:rsid w:val="00D60959"/>
    <w:rsid w:val="00D60A2F"/>
    <w:rsid w:val="00D60DAB"/>
    <w:rsid w:val="00D61A8A"/>
    <w:rsid w:val="00D61DB9"/>
    <w:rsid w:val="00D62369"/>
    <w:rsid w:val="00D623AA"/>
    <w:rsid w:val="00D62A24"/>
    <w:rsid w:val="00D62FAC"/>
    <w:rsid w:val="00D635B0"/>
    <w:rsid w:val="00D637A9"/>
    <w:rsid w:val="00D63BE1"/>
    <w:rsid w:val="00D65280"/>
    <w:rsid w:val="00D65487"/>
    <w:rsid w:val="00D6616F"/>
    <w:rsid w:val="00D6699B"/>
    <w:rsid w:val="00D66AB6"/>
    <w:rsid w:val="00D66C6E"/>
    <w:rsid w:val="00D67363"/>
    <w:rsid w:val="00D675C0"/>
    <w:rsid w:val="00D7009E"/>
    <w:rsid w:val="00D70C63"/>
    <w:rsid w:val="00D710C5"/>
    <w:rsid w:val="00D712F9"/>
    <w:rsid w:val="00D71491"/>
    <w:rsid w:val="00D715E4"/>
    <w:rsid w:val="00D71705"/>
    <w:rsid w:val="00D7173A"/>
    <w:rsid w:val="00D71888"/>
    <w:rsid w:val="00D71B45"/>
    <w:rsid w:val="00D722C1"/>
    <w:rsid w:val="00D72437"/>
    <w:rsid w:val="00D726A5"/>
    <w:rsid w:val="00D727AC"/>
    <w:rsid w:val="00D7290B"/>
    <w:rsid w:val="00D72AC2"/>
    <w:rsid w:val="00D72CAE"/>
    <w:rsid w:val="00D730C7"/>
    <w:rsid w:val="00D733B8"/>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3449"/>
    <w:rsid w:val="00D835FA"/>
    <w:rsid w:val="00D83C63"/>
    <w:rsid w:val="00D843D6"/>
    <w:rsid w:val="00D84878"/>
    <w:rsid w:val="00D84E79"/>
    <w:rsid w:val="00D85237"/>
    <w:rsid w:val="00D85475"/>
    <w:rsid w:val="00D85A2F"/>
    <w:rsid w:val="00D86605"/>
    <w:rsid w:val="00D87BDC"/>
    <w:rsid w:val="00D9096B"/>
    <w:rsid w:val="00D90D1C"/>
    <w:rsid w:val="00D90D5C"/>
    <w:rsid w:val="00D90ED4"/>
    <w:rsid w:val="00D90FF0"/>
    <w:rsid w:val="00D91838"/>
    <w:rsid w:val="00D920E8"/>
    <w:rsid w:val="00D92722"/>
    <w:rsid w:val="00D92BF2"/>
    <w:rsid w:val="00D93295"/>
    <w:rsid w:val="00D9335B"/>
    <w:rsid w:val="00D93C52"/>
    <w:rsid w:val="00D93DAF"/>
    <w:rsid w:val="00D941AE"/>
    <w:rsid w:val="00D948F8"/>
    <w:rsid w:val="00D94E5E"/>
    <w:rsid w:val="00D94F2C"/>
    <w:rsid w:val="00D96138"/>
    <w:rsid w:val="00D965AB"/>
    <w:rsid w:val="00D96739"/>
    <w:rsid w:val="00D96B07"/>
    <w:rsid w:val="00D96BD2"/>
    <w:rsid w:val="00D974EC"/>
    <w:rsid w:val="00D97594"/>
    <w:rsid w:val="00D977BF"/>
    <w:rsid w:val="00DA002B"/>
    <w:rsid w:val="00DA0351"/>
    <w:rsid w:val="00DA0417"/>
    <w:rsid w:val="00DA059A"/>
    <w:rsid w:val="00DA0676"/>
    <w:rsid w:val="00DA08F0"/>
    <w:rsid w:val="00DA0C97"/>
    <w:rsid w:val="00DA0F27"/>
    <w:rsid w:val="00DA156A"/>
    <w:rsid w:val="00DA1D9A"/>
    <w:rsid w:val="00DA1DA8"/>
    <w:rsid w:val="00DA22C1"/>
    <w:rsid w:val="00DA24B0"/>
    <w:rsid w:val="00DA2582"/>
    <w:rsid w:val="00DA2694"/>
    <w:rsid w:val="00DA3CF1"/>
    <w:rsid w:val="00DA405C"/>
    <w:rsid w:val="00DA4B0E"/>
    <w:rsid w:val="00DA50E4"/>
    <w:rsid w:val="00DA5BEB"/>
    <w:rsid w:val="00DA5F82"/>
    <w:rsid w:val="00DA6BFD"/>
    <w:rsid w:val="00DA7645"/>
    <w:rsid w:val="00DA7E15"/>
    <w:rsid w:val="00DA7E1B"/>
    <w:rsid w:val="00DA7FC8"/>
    <w:rsid w:val="00DB02FF"/>
    <w:rsid w:val="00DB10BD"/>
    <w:rsid w:val="00DB1433"/>
    <w:rsid w:val="00DB197C"/>
    <w:rsid w:val="00DB1AAF"/>
    <w:rsid w:val="00DB2464"/>
    <w:rsid w:val="00DB26B5"/>
    <w:rsid w:val="00DB3AA0"/>
    <w:rsid w:val="00DB3C49"/>
    <w:rsid w:val="00DB40EA"/>
    <w:rsid w:val="00DB41B9"/>
    <w:rsid w:val="00DB42C2"/>
    <w:rsid w:val="00DB444B"/>
    <w:rsid w:val="00DB4628"/>
    <w:rsid w:val="00DB4700"/>
    <w:rsid w:val="00DB4714"/>
    <w:rsid w:val="00DB4788"/>
    <w:rsid w:val="00DB4D04"/>
    <w:rsid w:val="00DB4E50"/>
    <w:rsid w:val="00DB510A"/>
    <w:rsid w:val="00DB5178"/>
    <w:rsid w:val="00DB5386"/>
    <w:rsid w:val="00DB5690"/>
    <w:rsid w:val="00DB5ABE"/>
    <w:rsid w:val="00DB6292"/>
    <w:rsid w:val="00DB658C"/>
    <w:rsid w:val="00DB67E7"/>
    <w:rsid w:val="00DB68BB"/>
    <w:rsid w:val="00DB7F10"/>
    <w:rsid w:val="00DC1524"/>
    <w:rsid w:val="00DC1889"/>
    <w:rsid w:val="00DC1CA3"/>
    <w:rsid w:val="00DC2225"/>
    <w:rsid w:val="00DC225A"/>
    <w:rsid w:val="00DC28CD"/>
    <w:rsid w:val="00DC2A33"/>
    <w:rsid w:val="00DC3214"/>
    <w:rsid w:val="00DC3579"/>
    <w:rsid w:val="00DC3E0F"/>
    <w:rsid w:val="00DC43AE"/>
    <w:rsid w:val="00DC466F"/>
    <w:rsid w:val="00DC4841"/>
    <w:rsid w:val="00DC4912"/>
    <w:rsid w:val="00DC51EE"/>
    <w:rsid w:val="00DC5533"/>
    <w:rsid w:val="00DC5770"/>
    <w:rsid w:val="00DC59D7"/>
    <w:rsid w:val="00DC5EDB"/>
    <w:rsid w:val="00DC63DA"/>
    <w:rsid w:val="00DC6981"/>
    <w:rsid w:val="00DC6BB0"/>
    <w:rsid w:val="00DC6E13"/>
    <w:rsid w:val="00DC6E1B"/>
    <w:rsid w:val="00DC7EBE"/>
    <w:rsid w:val="00DD12EF"/>
    <w:rsid w:val="00DD158F"/>
    <w:rsid w:val="00DD16FB"/>
    <w:rsid w:val="00DD235A"/>
    <w:rsid w:val="00DD2381"/>
    <w:rsid w:val="00DD2B1D"/>
    <w:rsid w:val="00DD3108"/>
    <w:rsid w:val="00DD3821"/>
    <w:rsid w:val="00DD391B"/>
    <w:rsid w:val="00DD3A61"/>
    <w:rsid w:val="00DD45D3"/>
    <w:rsid w:val="00DD48F3"/>
    <w:rsid w:val="00DD4E0C"/>
    <w:rsid w:val="00DD5A2A"/>
    <w:rsid w:val="00DD61CE"/>
    <w:rsid w:val="00DD61EE"/>
    <w:rsid w:val="00DD662B"/>
    <w:rsid w:val="00DD6698"/>
    <w:rsid w:val="00DD6C92"/>
    <w:rsid w:val="00DE01AB"/>
    <w:rsid w:val="00DE0B85"/>
    <w:rsid w:val="00DE12BD"/>
    <w:rsid w:val="00DE1532"/>
    <w:rsid w:val="00DE179B"/>
    <w:rsid w:val="00DE1840"/>
    <w:rsid w:val="00DE1EEE"/>
    <w:rsid w:val="00DE201E"/>
    <w:rsid w:val="00DE292D"/>
    <w:rsid w:val="00DE2AA3"/>
    <w:rsid w:val="00DE30D1"/>
    <w:rsid w:val="00DE3B74"/>
    <w:rsid w:val="00DE40F7"/>
    <w:rsid w:val="00DE47DF"/>
    <w:rsid w:val="00DE4D21"/>
    <w:rsid w:val="00DE53D4"/>
    <w:rsid w:val="00DE5661"/>
    <w:rsid w:val="00DE5BB0"/>
    <w:rsid w:val="00DE5EA6"/>
    <w:rsid w:val="00DE5F41"/>
    <w:rsid w:val="00DE61FB"/>
    <w:rsid w:val="00DE66BE"/>
    <w:rsid w:val="00DE6B6A"/>
    <w:rsid w:val="00DE7185"/>
    <w:rsid w:val="00DE730F"/>
    <w:rsid w:val="00DE731D"/>
    <w:rsid w:val="00DE7A1D"/>
    <w:rsid w:val="00DF0A8D"/>
    <w:rsid w:val="00DF0E97"/>
    <w:rsid w:val="00DF11F0"/>
    <w:rsid w:val="00DF1795"/>
    <w:rsid w:val="00DF1956"/>
    <w:rsid w:val="00DF1AD2"/>
    <w:rsid w:val="00DF1D62"/>
    <w:rsid w:val="00DF2170"/>
    <w:rsid w:val="00DF2F5E"/>
    <w:rsid w:val="00DF2FC2"/>
    <w:rsid w:val="00DF381B"/>
    <w:rsid w:val="00DF3D62"/>
    <w:rsid w:val="00DF572E"/>
    <w:rsid w:val="00DF596A"/>
    <w:rsid w:val="00DF6559"/>
    <w:rsid w:val="00DF6DA6"/>
    <w:rsid w:val="00DF708D"/>
    <w:rsid w:val="00DF7EB8"/>
    <w:rsid w:val="00E0031E"/>
    <w:rsid w:val="00E00FD5"/>
    <w:rsid w:val="00E01956"/>
    <w:rsid w:val="00E02047"/>
    <w:rsid w:val="00E023E5"/>
    <w:rsid w:val="00E02837"/>
    <w:rsid w:val="00E0443C"/>
    <w:rsid w:val="00E04B4F"/>
    <w:rsid w:val="00E06FD6"/>
    <w:rsid w:val="00E074C1"/>
    <w:rsid w:val="00E07B79"/>
    <w:rsid w:val="00E07CDC"/>
    <w:rsid w:val="00E07DEE"/>
    <w:rsid w:val="00E1006A"/>
    <w:rsid w:val="00E105B9"/>
    <w:rsid w:val="00E1079E"/>
    <w:rsid w:val="00E10F6A"/>
    <w:rsid w:val="00E112FA"/>
    <w:rsid w:val="00E11F4F"/>
    <w:rsid w:val="00E12CED"/>
    <w:rsid w:val="00E13D2C"/>
    <w:rsid w:val="00E13EE3"/>
    <w:rsid w:val="00E148CD"/>
    <w:rsid w:val="00E14E22"/>
    <w:rsid w:val="00E14FF5"/>
    <w:rsid w:val="00E15713"/>
    <w:rsid w:val="00E15E72"/>
    <w:rsid w:val="00E16682"/>
    <w:rsid w:val="00E1678A"/>
    <w:rsid w:val="00E174AB"/>
    <w:rsid w:val="00E17549"/>
    <w:rsid w:val="00E17BAE"/>
    <w:rsid w:val="00E17E85"/>
    <w:rsid w:val="00E17E99"/>
    <w:rsid w:val="00E17F83"/>
    <w:rsid w:val="00E2002A"/>
    <w:rsid w:val="00E2055A"/>
    <w:rsid w:val="00E20ACE"/>
    <w:rsid w:val="00E21171"/>
    <w:rsid w:val="00E216B3"/>
    <w:rsid w:val="00E21F2D"/>
    <w:rsid w:val="00E226D2"/>
    <w:rsid w:val="00E22A26"/>
    <w:rsid w:val="00E22DD9"/>
    <w:rsid w:val="00E2336E"/>
    <w:rsid w:val="00E23655"/>
    <w:rsid w:val="00E23AB9"/>
    <w:rsid w:val="00E23AC4"/>
    <w:rsid w:val="00E23ED2"/>
    <w:rsid w:val="00E256F7"/>
    <w:rsid w:val="00E25995"/>
    <w:rsid w:val="00E25D57"/>
    <w:rsid w:val="00E26257"/>
    <w:rsid w:val="00E264AD"/>
    <w:rsid w:val="00E26500"/>
    <w:rsid w:val="00E27074"/>
    <w:rsid w:val="00E27E1C"/>
    <w:rsid w:val="00E300F2"/>
    <w:rsid w:val="00E31966"/>
    <w:rsid w:val="00E3203D"/>
    <w:rsid w:val="00E32AE4"/>
    <w:rsid w:val="00E32D6A"/>
    <w:rsid w:val="00E33396"/>
    <w:rsid w:val="00E335C5"/>
    <w:rsid w:val="00E33D24"/>
    <w:rsid w:val="00E33E8E"/>
    <w:rsid w:val="00E33FF9"/>
    <w:rsid w:val="00E34706"/>
    <w:rsid w:val="00E34ED4"/>
    <w:rsid w:val="00E35580"/>
    <w:rsid w:val="00E35ED5"/>
    <w:rsid w:val="00E36636"/>
    <w:rsid w:val="00E36DD5"/>
    <w:rsid w:val="00E3751A"/>
    <w:rsid w:val="00E377A6"/>
    <w:rsid w:val="00E4005E"/>
    <w:rsid w:val="00E40A1E"/>
    <w:rsid w:val="00E417A9"/>
    <w:rsid w:val="00E41CF2"/>
    <w:rsid w:val="00E41D23"/>
    <w:rsid w:val="00E4297F"/>
    <w:rsid w:val="00E42A75"/>
    <w:rsid w:val="00E42AC9"/>
    <w:rsid w:val="00E438F7"/>
    <w:rsid w:val="00E43E29"/>
    <w:rsid w:val="00E43EE5"/>
    <w:rsid w:val="00E44ACD"/>
    <w:rsid w:val="00E44CB9"/>
    <w:rsid w:val="00E45343"/>
    <w:rsid w:val="00E45B97"/>
    <w:rsid w:val="00E463F2"/>
    <w:rsid w:val="00E465AD"/>
    <w:rsid w:val="00E46852"/>
    <w:rsid w:val="00E46AB1"/>
    <w:rsid w:val="00E479FF"/>
    <w:rsid w:val="00E51392"/>
    <w:rsid w:val="00E51512"/>
    <w:rsid w:val="00E515B1"/>
    <w:rsid w:val="00E51662"/>
    <w:rsid w:val="00E518CE"/>
    <w:rsid w:val="00E5269A"/>
    <w:rsid w:val="00E528E6"/>
    <w:rsid w:val="00E535D1"/>
    <w:rsid w:val="00E536FC"/>
    <w:rsid w:val="00E53AA6"/>
    <w:rsid w:val="00E53C6C"/>
    <w:rsid w:val="00E53CB2"/>
    <w:rsid w:val="00E53D6A"/>
    <w:rsid w:val="00E54898"/>
    <w:rsid w:val="00E55558"/>
    <w:rsid w:val="00E55BB8"/>
    <w:rsid w:val="00E56344"/>
    <w:rsid w:val="00E56C07"/>
    <w:rsid w:val="00E57E87"/>
    <w:rsid w:val="00E60138"/>
    <w:rsid w:val="00E60DE1"/>
    <w:rsid w:val="00E61076"/>
    <w:rsid w:val="00E61347"/>
    <w:rsid w:val="00E6137B"/>
    <w:rsid w:val="00E61812"/>
    <w:rsid w:val="00E61A51"/>
    <w:rsid w:val="00E62CC5"/>
    <w:rsid w:val="00E62CF0"/>
    <w:rsid w:val="00E62E5D"/>
    <w:rsid w:val="00E6450D"/>
    <w:rsid w:val="00E64F58"/>
    <w:rsid w:val="00E65073"/>
    <w:rsid w:val="00E659FF"/>
    <w:rsid w:val="00E65AD7"/>
    <w:rsid w:val="00E65E8C"/>
    <w:rsid w:val="00E66152"/>
    <w:rsid w:val="00E66800"/>
    <w:rsid w:val="00E66D78"/>
    <w:rsid w:val="00E673C1"/>
    <w:rsid w:val="00E67C5C"/>
    <w:rsid w:val="00E67E55"/>
    <w:rsid w:val="00E70504"/>
    <w:rsid w:val="00E70E30"/>
    <w:rsid w:val="00E71198"/>
    <w:rsid w:val="00E71D9F"/>
    <w:rsid w:val="00E71E4F"/>
    <w:rsid w:val="00E72486"/>
    <w:rsid w:val="00E724EF"/>
    <w:rsid w:val="00E7264E"/>
    <w:rsid w:val="00E72651"/>
    <w:rsid w:val="00E734F5"/>
    <w:rsid w:val="00E735A7"/>
    <w:rsid w:val="00E73957"/>
    <w:rsid w:val="00E73C90"/>
    <w:rsid w:val="00E73D3A"/>
    <w:rsid w:val="00E7412C"/>
    <w:rsid w:val="00E743A1"/>
    <w:rsid w:val="00E74AA1"/>
    <w:rsid w:val="00E74BC5"/>
    <w:rsid w:val="00E74F05"/>
    <w:rsid w:val="00E7518B"/>
    <w:rsid w:val="00E7593F"/>
    <w:rsid w:val="00E76497"/>
    <w:rsid w:val="00E76C33"/>
    <w:rsid w:val="00E80081"/>
    <w:rsid w:val="00E8011B"/>
    <w:rsid w:val="00E801FE"/>
    <w:rsid w:val="00E80768"/>
    <w:rsid w:val="00E80E1E"/>
    <w:rsid w:val="00E82135"/>
    <w:rsid w:val="00E82258"/>
    <w:rsid w:val="00E82862"/>
    <w:rsid w:val="00E82CA0"/>
    <w:rsid w:val="00E82E17"/>
    <w:rsid w:val="00E845DF"/>
    <w:rsid w:val="00E84AD4"/>
    <w:rsid w:val="00E8534F"/>
    <w:rsid w:val="00E854EA"/>
    <w:rsid w:val="00E85EC9"/>
    <w:rsid w:val="00E86B37"/>
    <w:rsid w:val="00E86BAE"/>
    <w:rsid w:val="00E876A3"/>
    <w:rsid w:val="00E87DC5"/>
    <w:rsid w:val="00E903A5"/>
    <w:rsid w:val="00E90A19"/>
    <w:rsid w:val="00E90D69"/>
    <w:rsid w:val="00E9106B"/>
    <w:rsid w:val="00E91460"/>
    <w:rsid w:val="00E915F1"/>
    <w:rsid w:val="00E91C42"/>
    <w:rsid w:val="00E92341"/>
    <w:rsid w:val="00E92A08"/>
    <w:rsid w:val="00E92D87"/>
    <w:rsid w:val="00E93635"/>
    <w:rsid w:val="00E93F9A"/>
    <w:rsid w:val="00E94F06"/>
    <w:rsid w:val="00E95243"/>
    <w:rsid w:val="00E956CB"/>
    <w:rsid w:val="00E960B8"/>
    <w:rsid w:val="00E96AEE"/>
    <w:rsid w:val="00E96D1C"/>
    <w:rsid w:val="00E977CB"/>
    <w:rsid w:val="00E977CE"/>
    <w:rsid w:val="00E97990"/>
    <w:rsid w:val="00E97D2F"/>
    <w:rsid w:val="00E97EA7"/>
    <w:rsid w:val="00E97FB1"/>
    <w:rsid w:val="00EA0474"/>
    <w:rsid w:val="00EA08E1"/>
    <w:rsid w:val="00EA1514"/>
    <w:rsid w:val="00EA16E1"/>
    <w:rsid w:val="00EA1767"/>
    <w:rsid w:val="00EA1F8E"/>
    <w:rsid w:val="00EA210F"/>
    <w:rsid w:val="00EA2360"/>
    <w:rsid w:val="00EA272B"/>
    <w:rsid w:val="00EA2747"/>
    <w:rsid w:val="00EA2AFA"/>
    <w:rsid w:val="00EA2F02"/>
    <w:rsid w:val="00EA2F5D"/>
    <w:rsid w:val="00EA301E"/>
    <w:rsid w:val="00EA3186"/>
    <w:rsid w:val="00EA3BA1"/>
    <w:rsid w:val="00EA449C"/>
    <w:rsid w:val="00EA4F1E"/>
    <w:rsid w:val="00EA4F7D"/>
    <w:rsid w:val="00EA5053"/>
    <w:rsid w:val="00EA5F9C"/>
    <w:rsid w:val="00EA633B"/>
    <w:rsid w:val="00EA659C"/>
    <w:rsid w:val="00EA7206"/>
    <w:rsid w:val="00EB0A68"/>
    <w:rsid w:val="00EB0E6A"/>
    <w:rsid w:val="00EB0FE6"/>
    <w:rsid w:val="00EB16EB"/>
    <w:rsid w:val="00EB182C"/>
    <w:rsid w:val="00EB19D9"/>
    <w:rsid w:val="00EB1B6F"/>
    <w:rsid w:val="00EB2287"/>
    <w:rsid w:val="00EB269D"/>
    <w:rsid w:val="00EB2A08"/>
    <w:rsid w:val="00EB30E8"/>
    <w:rsid w:val="00EB344E"/>
    <w:rsid w:val="00EB41F5"/>
    <w:rsid w:val="00EB457D"/>
    <w:rsid w:val="00EB45D7"/>
    <w:rsid w:val="00EB47B3"/>
    <w:rsid w:val="00EB4926"/>
    <w:rsid w:val="00EB4B58"/>
    <w:rsid w:val="00EB4E5F"/>
    <w:rsid w:val="00EB5197"/>
    <w:rsid w:val="00EB5629"/>
    <w:rsid w:val="00EB5734"/>
    <w:rsid w:val="00EB75EB"/>
    <w:rsid w:val="00EB7605"/>
    <w:rsid w:val="00EB76CB"/>
    <w:rsid w:val="00EC089D"/>
    <w:rsid w:val="00EC0D7B"/>
    <w:rsid w:val="00EC0DD3"/>
    <w:rsid w:val="00EC101A"/>
    <w:rsid w:val="00EC1394"/>
    <w:rsid w:val="00EC20D7"/>
    <w:rsid w:val="00EC226A"/>
    <w:rsid w:val="00EC229B"/>
    <w:rsid w:val="00EC28DD"/>
    <w:rsid w:val="00EC2EE6"/>
    <w:rsid w:val="00EC3012"/>
    <w:rsid w:val="00EC3713"/>
    <w:rsid w:val="00EC37A0"/>
    <w:rsid w:val="00EC3E18"/>
    <w:rsid w:val="00EC3FA5"/>
    <w:rsid w:val="00EC4396"/>
    <w:rsid w:val="00EC4789"/>
    <w:rsid w:val="00EC51BC"/>
    <w:rsid w:val="00EC552D"/>
    <w:rsid w:val="00EC5B93"/>
    <w:rsid w:val="00EC5D93"/>
    <w:rsid w:val="00EC70AF"/>
    <w:rsid w:val="00EC760B"/>
    <w:rsid w:val="00EC774B"/>
    <w:rsid w:val="00ED0129"/>
    <w:rsid w:val="00ED0F15"/>
    <w:rsid w:val="00ED1112"/>
    <w:rsid w:val="00ED13EB"/>
    <w:rsid w:val="00ED1462"/>
    <w:rsid w:val="00ED14A1"/>
    <w:rsid w:val="00ED17FA"/>
    <w:rsid w:val="00ED1856"/>
    <w:rsid w:val="00ED1B45"/>
    <w:rsid w:val="00ED24B6"/>
    <w:rsid w:val="00ED25D2"/>
    <w:rsid w:val="00ED2EB1"/>
    <w:rsid w:val="00ED35C0"/>
    <w:rsid w:val="00ED3F38"/>
    <w:rsid w:val="00ED4124"/>
    <w:rsid w:val="00ED48F8"/>
    <w:rsid w:val="00ED49E2"/>
    <w:rsid w:val="00ED5030"/>
    <w:rsid w:val="00ED547D"/>
    <w:rsid w:val="00ED596C"/>
    <w:rsid w:val="00ED5ACF"/>
    <w:rsid w:val="00EE0174"/>
    <w:rsid w:val="00EE01D1"/>
    <w:rsid w:val="00EE083C"/>
    <w:rsid w:val="00EE0CFF"/>
    <w:rsid w:val="00EE0D6A"/>
    <w:rsid w:val="00EE12E9"/>
    <w:rsid w:val="00EE13A7"/>
    <w:rsid w:val="00EE2B55"/>
    <w:rsid w:val="00EE3341"/>
    <w:rsid w:val="00EE3445"/>
    <w:rsid w:val="00EE4436"/>
    <w:rsid w:val="00EE489E"/>
    <w:rsid w:val="00EE4ACE"/>
    <w:rsid w:val="00EE4BBE"/>
    <w:rsid w:val="00EE546C"/>
    <w:rsid w:val="00EE563D"/>
    <w:rsid w:val="00EE5DFC"/>
    <w:rsid w:val="00EE60E7"/>
    <w:rsid w:val="00EE6106"/>
    <w:rsid w:val="00EE6940"/>
    <w:rsid w:val="00EE6A20"/>
    <w:rsid w:val="00EE7503"/>
    <w:rsid w:val="00EE7636"/>
    <w:rsid w:val="00EE7F14"/>
    <w:rsid w:val="00EE7F43"/>
    <w:rsid w:val="00EF00A8"/>
    <w:rsid w:val="00EF02E6"/>
    <w:rsid w:val="00EF045D"/>
    <w:rsid w:val="00EF0908"/>
    <w:rsid w:val="00EF0983"/>
    <w:rsid w:val="00EF0B47"/>
    <w:rsid w:val="00EF0C8C"/>
    <w:rsid w:val="00EF0E21"/>
    <w:rsid w:val="00EF0E72"/>
    <w:rsid w:val="00EF138D"/>
    <w:rsid w:val="00EF1821"/>
    <w:rsid w:val="00EF1D2F"/>
    <w:rsid w:val="00EF20C3"/>
    <w:rsid w:val="00EF231B"/>
    <w:rsid w:val="00EF2449"/>
    <w:rsid w:val="00EF2467"/>
    <w:rsid w:val="00EF256C"/>
    <w:rsid w:val="00EF3393"/>
    <w:rsid w:val="00EF347C"/>
    <w:rsid w:val="00EF3C6A"/>
    <w:rsid w:val="00EF3F1A"/>
    <w:rsid w:val="00EF463E"/>
    <w:rsid w:val="00EF541D"/>
    <w:rsid w:val="00EF571F"/>
    <w:rsid w:val="00EF579C"/>
    <w:rsid w:val="00EF57BB"/>
    <w:rsid w:val="00EF585C"/>
    <w:rsid w:val="00EF5B95"/>
    <w:rsid w:val="00EF60B7"/>
    <w:rsid w:val="00EF613D"/>
    <w:rsid w:val="00EF6606"/>
    <w:rsid w:val="00EF7102"/>
    <w:rsid w:val="00F0076C"/>
    <w:rsid w:val="00F00922"/>
    <w:rsid w:val="00F00AB8"/>
    <w:rsid w:val="00F0102C"/>
    <w:rsid w:val="00F0106B"/>
    <w:rsid w:val="00F0137B"/>
    <w:rsid w:val="00F0139C"/>
    <w:rsid w:val="00F01591"/>
    <w:rsid w:val="00F020E1"/>
    <w:rsid w:val="00F0221D"/>
    <w:rsid w:val="00F02DE5"/>
    <w:rsid w:val="00F0324F"/>
    <w:rsid w:val="00F03AA2"/>
    <w:rsid w:val="00F043F9"/>
    <w:rsid w:val="00F04E02"/>
    <w:rsid w:val="00F05558"/>
    <w:rsid w:val="00F0595E"/>
    <w:rsid w:val="00F05A7B"/>
    <w:rsid w:val="00F05E0E"/>
    <w:rsid w:val="00F06454"/>
    <w:rsid w:val="00F06554"/>
    <w:rsid w:val="00F06671"/>
    <w:rsid w:val="00F069A7"/>
    <w:rsid w:val="00F06CB2"/>
    <w:rsid w:val="00F06E72"/>
    <w:rsid w:val="00F07C8A"/>
    <w:rsid w:val="00F07D8B"/>
    <w:rsid w:val="00F104D0"/>
    <w:rsid w:val="00F10840"/>
    <w:rsid w:val="00F1089C"/>
    <w:rsid w:val="00F108B8"/>
    <w:rsid w:val="00F111FB"/>
    <w:rsid w:val="00F116E1"/>
    <w:rsid w:val="00F11E4F"/>
    <w:rsid w:val="00F1272B"/>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85E"/>
    <w:rsid w:val="00F179EF"/>
    <w:rsid w:val="00F17E02"/>
    <w:rsid w:val="00F17E22"/>
    <w:rsid w:val="00F20017"/>
    <w:rsid w:val="00F20776"/>
    <w:rsid w:val="00F21051"/>
    <w:rsid w:val="00F2106E"/>
    <w:rsid w:val="00F21514"/>
    <w:rsid w:val="00F21AE7"/>
    <w:rsid w:val="00F21B8E"/>
    <w:rsid w:val="00F21CAF"/>
    <w:rsid w:val="00F221B6"/>
    <w:rsid w:val="00F223BD"/>
    <w:rsid w:val="00F223EA"/>
    <w:rsid w:val="00F22EE2"/>
    <w:rsid w:val="00F232DA"/>
    <w:rsid w:val="00F243E0"/>
    <w:rsid w:val="00F24874"/>
    <w:rsid w:val="00F24980"/>
    <w:rsid w:val="00F24B20"/>
    <w:rsid w:val="00F24EF6"/>
    <w:rsid w:val="00F25C36"/>
    <w:rsid w:val="00F26145"/>
    <w:rsid w:val="00F26345"/>
    <w:rsid w:val="00F2634C"/>
    <w:rsid w:val="00F26D6D"/>
    <w:rsid w:val="00F27B88"/>
    <w:rsid w:val="00F304BB"/>
    <w:rsid w:val="00F30616"/>
    <w:rsid w:val="00F30C57"/>
    <w:rsid w:val="00F319F9"/>
    <w:rsid w:val="00F32AF9"/>
    <w:rsid w:val="00F336C3"/>
    <w:rsid w:val="00F33B96"/>
    <w:rsid w:val="00F346B1"/>
    <w:rsid w:val="00F3484E"/>
    <w:rsid w:val="00F34B77"/>
    <w:rsid w:val="00F34E84"/>
    <w:rsid w:val="00F34FB3"/>
    <w:rsid w:val="00F36323"/>
    <w:rsid w:val="00F36F16"/>
    <w:rsid w:val="00F37507"/>
    <w:rsid w:val="00F37763"/>
    <w:rsid w:val="00F40042"/>
    <w:rsid w:val="00F415F2"/>
    <w:rsid w:val="00F42037"/>
    <w:rsid w:val="00F423F6"/>
    <w:rsid w:val="00F42415"/>
    <w:rsid w:val="00F424D3"/>
    <w:rsid w:val="00F4284C"/>
    <w:rsid w:val="00F43AB8"/>
    <w:rsid w:val="00F443B0"/>
    <w:rsid w:val="00F444E7"/>
    <w:rsid w:val="00F44725"/>
    <w:rsid w:val="00F447EA"/>
    <w:rsid w:val="00F44943"/>
    <w:rsid w:val="00F453DF"/>
    <w:rsid w:val="00F4737E"/>
    <w:rsid w:val="00F47D5F"/>
    <w:rsid w:val="00F47E5F"/>
    <w:rsid w:val="00F50623"/>
    <w:rsid w:val="00F507D7"/>
    <w:rsid w:val="00F50CE9"/>
    <w:rsid w:val="00F511EE"/>
    <w:rsid w:val="00F515B1"/>
    <w:rsid w:val="00F51D28"/>
    <w:rsid w:val="00F51E4D"/>
    <w:rsid w:val="00F52365"/>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2F7"/>
    <w:rsid w:val="00F626F5"/>
    <w:rsid w:val="00F629DE"/>
    <w:rsid w:val="00F63358"/>
    <w:rsid w:val="00F638B4"/>
    <w:rsid w:val="00F6394E"/>
    <w:rsid w:val="00F643C2"/>
    <w:rsid w:val="00F64A0B"/>
    <w:rsid w:val="00F64D38"/>
    <w:rsid w:val="00F6557B"/>
    <w:rsid w:val="00F6574E"/>
    <w:rsid w:val="00F65F2E"/>
    <w:rsid w:val="00F66191"/>
    <w:rsid w:val="00F666B5"/>
    <w:rsid w:val="00F66951"/>
    <w:rsid w:val="00F67275"/>
    <w:rsid w:val="00F672C3"/>
    <w:rsid w:val="00F67EF9"/>
    <w:rsid w:val="00F713E2"/>
    <w:rsid w:val="00F7187B"/>
    <w:rsid w:val="00F718A4"/>
    <w:rsid w:val="00F72698"/>
    <w:rsid w:val="00F728AA"/>
    <w:rsid w:val="00F72AD3"/>
    <w:rsid w:val="00F72C8A"/>
    <w:rsid w:val="00F72CA8"/>
    <w:rsid w:val="00F72D90"/>
    <w:rsid w:val="00F7366E"/>
    <w:rsid w:val="00F74153"/>
    <w:rsid w:val="00F741FA"/>
    <w:rsid w:val="00F7420B"/>
    <w:rsid w:val="00F7430B"/>
    <w:rsid w:val="00F745D9"/>
    <w:rsid w:val="00F74BA5"/>
    <w:rsid w:val="00F7523E"/>
    <w:rsid w:val="00F759D7"/>
    <w:rsid w:val="00F7609A"/>
    <w:rsid w:val="00F7667C"/>
    <w:rsid w:val="00F76924"/>
    <w:rsid w:val="00F76FD6"/>
    <w:rsid w:val="00F77293"/>
    <w:rsid w:val="00F77C33"/>
    <w:rsid w:val="00F77D71"/>
    <w:rsid w:val="00F808F0"/>
    <w:rsid w:val="00F80927"/>
    <w:rsid w:val="00F81011"/>
    <w:rsid w:val="00F819E1"/>
    <w:rsid w:val="00F822A0"/>
    <w:rsid w:val="00F82D33"/>
    <w:rsid w:val="00F83A8B"/>
    <w:rsid w:val="00F83B2E"/>
    <w:rsid w:val="00F84099"/>
    <w:rsid w:val="00F8412E"/>
    <w:rsid w:val="00F843F7"/>
    <w:rsid w:val="00F8476D"/>
    <w:rsid w:val="00F848B5"/>
    <w:rsid w:val="00F84E68"/>
    <w:rsid w:val="00F85501"/>
    <w:rsid w:val="00F856DE"/>
    <w:rsid w:val="00F85851"/>
    <w:rsid w:val="00F8636A"/>
    <w:rsid w:val="00F86769"/>
    <w:rsid w:val="00F8676D"/>
    <w:rsid w:val="00F86A1E"/>
    <w:rsid w:val="00F86C16"/>
    <w:rsid w:val="00F8798B"/>
    <w:rsid w:val="00F9034D"/>
    <w:rsid w:val="00F90624"/>
    <w:rsid w:val="00F907AF"/>
    <w:rsid w:val="00F90C72"/>
    <w:rsid w:val="00F90E09"/>
    <w:rsid w:val="00F91052"/>
    <w:rsid w:val="00F91CBC"/>
    <w:rsid w:val="00F91E36"/>
    <w:rsid w:val="00F922ED"/>
    <w:rsid w:val="00F93A0A"/>
    <w:rsid w:val="00F941F2"/>
    <w:rsid w:val="00F943F8"/>
    <w:rsid w:val="00F949E9"/>
    <w:rsid w:val="00F94A71"/>
    <w:rsid w:val="00F94CCA"/>
    <w:rsid w:val="00F9535C"/>
    <w:rsid w:val="00F95780"/>
    <w:rsid w:val="00F95EFB"/>
    <w:rsid w:val="00F9624E"/>
    <w:rsid w:val="00F96923"/>
    <w:rsid w:val="00F96E26"/>
    <w:rsid w:val="00F970DB"/>
    <w:rsid w:val="00F9766C"/>
    <w:rsid w:val="00FA008C"/>
    <w:rsid w:val="00FA0431"/>
    <w:rsid w:val="00FA0577"/>
    <w:rsid w:val="00FA086C"/>
    <w:rsid w:val="00FA0870"/>
    <w:rsid w:val="00FA0FFB"/>
    <w:rsid w:val="00FA1441"/>
    <w:rsid w:val="00FA1662"/>
    <w:rsid w:val="00FA203F"/>
    <w:rsid w:val="00FA2099"/>
    <w:rsid w:val="00FA2393"/>
    <w:rsid w:val="00FA38A1"/>
    <w:rsid w:val="00FA3C01"/>
    <w:rsid w:val="00FA3F41"/>
    <w:rsid w:val="00FA45F7"/>
    <w:rsid w:val="00FA4A3B"/>
    <w:rsid w:val="00FA62C1"/>
    <w:rsid w:val="00FA6B17"/>
    <w:rsid w:val="00FA7860"/>
    <w:rsid w:val="00FB0060"/>
    <w:rsid w:val="00FB012F"/>
    <w:rsid w:val="00FB0504"/>
    <w:rsid w:val="00FB0A08"/>
    <w:rsid w:val="00FB0AD3"/>
    <w:rsid w:val="00FB0D58"/>
    <w:rsid w:val="00FB185F"/>
    <w:rsid w:val="00FB2009"/>
    <w:rsid w:val="00FB21EE"/>
    <w:rsid w:val="00FB2506"/>
    <w:rsid w:val="00FB2927"/>
    <w:rsid w:val="00FB306B"/>
    <w:rsid w:val="00FB3784"/>
    <w:rsid w:val="00FB3916"/>
    <w:rsid w:val="00FB50C2"/>
    <w:rsid w:val="00FB529D"/>
    <w:rsid w:val="00FB56C5"/>
    <w:rsid w:val="00FB57EF"/>
    <w:rsid w:val="00FB59E5"/>
    <w:rsid w:val="00FB5E78"/>
    <w:rsid w:val="00FB5FB0"/>
    <w:rsid w:val="00FB6F0E"/>
    <w:rsid w:val="00FB7F29"/>
    <w:rsid w:val="00FC0690"/>
    <w:rsid w:val="00FC06BF"/>
    <w:rsid w:val="00FC0AE4"/>
    <w:rsid w:val="00FC0E21"/>
    <w:rsid w:val="00FC1694"/>
    <w:rsid w:val="00FC1CF2"/>
    <w:rsid w:val="00FC2124"/>
    <w:rsid w:val="00FC2576"/>
    <w:rsid w:val="00FC2A8A"/>
    <w:rsid w:val="00FC2E45"/>
    <w:rsid w:val="00FC351E"/>
    <w:rsid w:val="00FC35DE"/>
    <w:rsid w:val="00FC3EF7"/>
    <w:rsid w:val="00FC4398"/>
    <w:rsid w:val="00FC4B62"/>
    <w:rsid w:val="00FC4BA2"/>
    <w:rsid w:val="00FC4FF3"/>
    <w:rsid w:val="00FC503B"/>
    <w:rsid w:val="00FC5301"/>
    <w:rsid w:val="00FC588B"/>
    <w:rsid w:val="00FC59C8"/>
    <w:rsid w:val="00FC5B26"/>
    <w:rsid w:val="00FC5F5C"/>
    <w:rsid w:val="00FC6028"/>
    <w:rsid w:val="00FC635D"/>
    <w:rsid w:val="00FC66B8"/>
    <w:rsid w:val="00FC6947"/>
    <w:rsid w:val="00FC6E6C"/>
    <w:rsid w:val="00FC6E74"/>
    <w:rsid w:val="00FC7186"/>
    <w:rsid w:val="00FC742F"/>
    <w:rsid w:val="00FC7C89"/>
    <w:rsid w:val="00FD0BFB"/>
    <w:rsid w:val="00FD0F61"/>
    <w:rsid w:val="00FD1280"/>
    <w:rsid w:val="00FD143C"/>
    <w:rsid w:val="00FD15D0"/>
    <w:rsid w:val="00FD1946"/>
    <w:rsid w:val="00FD2965"/>
    <w:rsid w:val="00FD2A64"/>
    <w:rsid w:val="00FD2CC3"/>
    <w:rsid w:val="00FD3D61"/>
    <w:rsid w:val="00FD436D"/>
    <w:rsid w:val="00FD491D"/>
    <w:rsid w:val="00FD49DB"/>
    <w:rsid w:val="00FD5062"/>
    <w:rsid w:val="00FD6669"/>
    <w:rsid w:val="00FD6BDA"/>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3E04"/>
    <w:rsid w:val="00FE3FC5"/>
    <w:rsid w:val="00FE4037"/>
    <w:rsid w:val="00FE4608"/>
    <w:rsid w:val="00FE465A"/>
    <w:rsid w:val="00FE4826"/>
    <w:rsid w:val="00FE559F"/>
    <w:rsid w:val="00FE5DD2"/>
    <w:rsid w:val="00FE66DF"/>
    <w:rsid w:val="00FE6845"/>
    <w:rsid w:val="00FE6AD1"/>
    <w:rsid w:val="00FE7344"/>
    <w:rsid w:val="00FE78FD"/>
    <w:rsid w:val="00FE7BA2"/>
    <w:rsid w:val="00FE7E13"/>
    <w:rsid w:val="00FF0586"/>
    <w:rsid w:val="00FF09BD"/>
    <w:rsid w:val="00FF13EB"/>
    <w:rsid w:val="00FF1653"/>
    <w:rsid w:val="00FF1744"/>
    <w:rsid w:val="00FF2265"/>
    <w:rsid w:val="00FF2877"/>
    <w:rsid w:val="00FF3496"/>
    <w:rsid w:val="00FF3CA1"/>
    <w:rsid w:val="00FF4177"/>
    <w:rsid w:val="00FF4675"/>
    <w:rsid w:val="00FF48C8"/>
    <w:rsid w:val="00FF6024"/>
    <w:rsid w:val="00FF7692"/>
    <w:rsid w:val="00FF79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92177E"/>
  <w15:docId w15:val="{BA7E6B5A-ABD8-48B4-8A05-03C26BC8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uiPriority w:val="99"/>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link w:val="bulletCar"/>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uiPriority w:val="3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1"/>
    <w:next w:val="p0"/>
    <w:rsid w:val="0082401B"/>
    <w:pPr>
      <w:keepLines/>
      <w:spacing w:before="240"/>
      <w:jc w:val="both"/>
    </w:pPr>
    <w:rPr>
      <w:rFonts w:ascii="Univers" w:hAnsi="Univers"/>
      <w:color w:val="0000FF"/>
      <w:sz w:val="24"/>
    </w:rPr>
  </w:style>
  <w:style w:type="paragraph" w:customStyle="1" w:styleId="p02">
    <w:name w:val="p02"/>
    <w:basedOn w:val="Normal"/>
    <w:next w:val="p0"/>
    <w:rsid w:val="001F1169"/>
    <w:pPr>
      <w:keepLines/>
      <w:spacing w:before="240"/>
      <w:ind w:right="11"/>
    </w:pPr>
    <w:rPr>
      <w:rFonts w:ascii="Univers" w:hAnsi="Univers" w:cs="Times New Roman"/>
      <w:color w:val="0000FF"/>
      <w:szCs w:val="20"/>
    </w:rPr>
  </w:style>
  <w:style w:type="paragraph" w:customStyle="1" w:styleId="parr2">
    <w:name w:val="parr2"/>
    <w:basedOn w:val="Normal"/>
    <w:rsid w:val="00B36759"/>
    <w:pPr>
      <w:spacing w:before="600"/>
      <w:ind w:left="567" w:right="15"/>
    </w:pPr>
    <w:rPr>
      <w:rFonts w:eastAsiaTheme="minorHAnsi"/>
      <w:lang w:val="es-MX"/>
    </w:rPr>
  </w:style>
  <w:style w:type="character" w:customStyle="1" w:styleId="Mencinsinresolver1">
    <w:name w:val="Mención sin resolver1"/>
    <w:basedOn w:val="Fuentedeprrafopredeter"/>
    <w:uiPriority w:val="99"/>
    <w:semiHidden/>
    <w:unhideWhenUsed/>
    <w:rsid w:val="00A74BF9"/>
    <w:rPr>
      <w:color w:val="605E5C"/>
      <w:shd w:val="clear" w:color="auto" w:fill="E1DFDD"/>
    </w:rPr>
  </w:style>
  <w:style w:type="character" w:customStyle="1" w:styleId="Mencinsinresolver2">
    <w:name w:val="Mención sin resolver2"/>
    <w:basedOn w:val="Fuentedeprrafopredeter"/>
    <w:uiPriority w:val="99"/>
    <w:semiHidden/>
    <w:unhideWhenUsed/>
    <w:rsid w:val="00350636"/>
    <w:rPr>
      <w:color w:val="605E5C"/>
      <w:shd w:val="clear" w:color="auto" w:fill="E1DFDD"/>
    </w:rPr>
  </w:style>
  <w:style w:type="paragraph" w:customStyle="1" w:styleId="parrafo1">
    <w:name w:val="parrafo1"/>
    <w:basedOn w:val="p0"/>
    <w:rsid w:val="005D6B95"/>
    <w:pPr>
      <w:keepLines w:val="0"/>
      <w:widowControl/>
      <w:spacing w:before="480"/>
      <w:ind w:left="426" w:right="443"/>
    </w:pPr>
    <w:rPr>
      <w:rFonts w:ascii="Arial" w:hAnsi="Arial" w:cs="Times New Roman"/>
      <w:snapToGrid/>
      <w:color w:val="auto"/>
      <w:szCs w:val="20"/>
    </w:rPr>
  </w:style>
  <w:style w:type="character" w:customStyle="1" w:styleId="SubttuloCar">
    <w:name w:val="Subtítulo Car"/>
    <w:basedOn w:val="Fuentedeprrafopredeter"/>
    <w:link w:val="Subttulo"/>
    <w:uiPriority w:val="99"/>
    <w:rsid w:val="00911985"/>
    <w:rPr>
      <w:rFonts w:ascii="Arial" w:hAnsi="Arial" w:cs="Arial"/>
      <w:b/>
      <w:bCs/>
      <w:sz w:val="24"/>
      <w:szCs w:val="24"/>
      <w:lang w:val="es-ES_tradnl" w:eastAsia="es-ES"/>
    </w:rPr>
  </w:style>
  <w:style w:type="paragraph" w:styleId="Sinespaciado">
    <w:name w:val="No Spacing"/>
    <w:uiPriority w:val="1"/>
    <w:qFormat/>
    <w:rsid w:val="00911985"/>
    <w:rPr>
      <w:rFonts w:asciiTheme="minorHAnsi" w:eastAsiaTheme="minorHAnsi" w:hAnsiTheme="minorHAnsi" w:cstheme="minorBidi"/>
      <w:sz w:val="22"/>
      <w:szCs w:val="22"/>
      <w:lang w:eastAsia="en-US"/>
    </w:rPr>
  </w:style>
  <w:style w:type="paragraph" w:customStyle="1" w:styleId="Titcuadrograf">
    <w:name w:val="Tit cuadro graf"/>
    <w:basedOn w:val="Normal"/>
    <w:link w:val="TitcuadrografCar"/>
    <w:qFormat/>
    <w:rsid w:val="004C6A26"/>
    <w:pPr>
      <w:ind w:left="-567"/>
      <w:jc w:val="center"/>
    </w:pPr>
    <w:rPr>
      <w:b/>
      <w:smallCaps/>
      <w:lang w:val="es-MX"/>
    </w:rPr>
  </w:style>
  <w:style w:type="paragraph" w:customStyle="1" w:styleId="pie">
    <w:name w:val="pie"/>
    <w:basedOn w:val="Textonotapie"/>
    <w:link w:val="pieCar"/>
    <w:qFormat/>
    <w:rsid w:val="004C6A26"/>
    <w:pPr>
      <w:spacing w:after="60"/>
      <w:ind w:left="284" w:hanging="284"/>
    </w:pPr>
    <w:rPr>
      <w:sz w:val="16"/>
      <w:szCs w:val="16"/>
      <w:lang w:val="en-US"/>
    </w:rPr>
  </w:style>
  <w:style w:type="character" w:customStyle="1" w:styleId="bulletCar">
    <w:name w:val="bullet Car"/>
    <w:basedOn w:val="Fuentedeprrafopredeter"/>
    <w:link w:val="bullet"/>
    <w:rsid w:val="007A1B6B"/>
    <w:rPr>
      <w:rFonts w:ascii="Arial" w:hAnsi="Arial"/>
      <w:b/>
      <w:color w:val="0000FF"/>
      <w:spacing w:val="10"/>
      <w:sz w:val="24"/>
      <w:lang w:eastAsia="es-ES"/>
    </w:rPr>
  </w:style>
  <w:style w:type="character" w:customStyle="1" w:styleId="TitcuadrografCar">
    <w:name w:val="Tit cuadro graf Car"/>
    <w:basedOn w:val="bulletCar"/>
    <w:link w:val="Titcuadrograf"/>
    <w:rsid w:val="004C6A26"/>
    <w:rPr>
      <w:rFonts w:ascii="Arial" w:hAnsi="Arial" w:cs="Arial"/>
      <w:b/>
      <w:smallCaps/>
      <w:color w:val="0000FF"/>
      <w:spacing w:val="10"/>
      <w:sz w:val="24"/>
      <w:szCs w:val="24"/>
      <w:lang w:eastAsia="es-ES"/>
    </w:rPr>
  </w:style>
  <w:style w:type="character" w:styleId="Textoennegrita">
    <w:name w:val="Strong"/>
    <w:basedOn w:val="Fuentedeprrafopredeter"/>
    <w:qFormat/>
    <w:rsid w:val="00C54799"/>
    <w:rPr>
      <w:b/>
      <w:bCs/>
    </w:rPr>
  </w:style>
  <w:style w:type="character" w:customStyle="1" w:styleId="pieCar">
    <w:name w:val="pie Car"/>
    <w:basedOn w:val="TextonotapieCar"/>
    <w:link w:val="pie"/>
    <w:rsid w:val="004C6A26"/>
    <w:rPr>
      <w:rFonts w:ascii="Arial" w:hAnsi="Arial" w:cs="Arial"/>
      <w:sz w:val="16"/>
      <w:szCs w:val="16"/>
      <w:lang w:val="en-US" w:eastAsia="es-ES"/>
    </w:rPr>
  </w:style>
  <w:style w:type="table" w:styleId="Tablaconcuadrcula1clara">
    <w:name w:val="Grid Table 1 Light"/>
    <w:basedOn w:val="Tablanormal"/>
    <w:uiPriority w:val="46"/>
    <w:rsid w:val="00A752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Refdecomentario">
    <w:name w:val="annotation reference"/>
    <w:basedOn w:val="Fuentedeprrafopredeter"/>
    <w:semiHidden/>
    <w:unhideWhenUsed/>
    <w:rsid w:val="00547906"/>
    <w:rPr>
      <w:sz w:val="16"/>
      <w:szCs w:val="16"/>
    </w:rPr>
  </w:style>
  <w:style w:type="paragraph" w:styleId="Asuntodelcomentario">
    <w:name w:val="annotation subject"/>
    <w:basedOn w:val="Textocomentario"/>
    <w:next w:val="Textocomentario"/>
    <w:link w:val="AsuntodelcomentarioCar"/>
    <w:semiHidden/>
    <w:unhideWhenUsed/>
    <w:rsid w:val="00547906"/>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547906"/>
    <w:rPr>
      <w:rFonts w:ascii="Arial" w:hAnsi="Arial" w:cs="Arial"/>
      <w:b/>
      <w:bCs/>
      <w:lang w:val="es-ES_tradnl" w:eastAsia="es-ES"/>
    </w:rPr>
  </w:style>
  <w:style w:type="character" w:customStyle="1" w:styleId="PiedepginaCar">
    <w:name w:val="Pie de página Car"/>
    <w:basedOn w:val="Fuentedeprrafopredeter"/>
    <w:link w:val="Piedepgina"/>
    <w:uiPriority w:val="99"/>
    <w:rsid w:val="001F5EF4"/>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58830">
      <w:bodyDiv w:val="1"/>
      <w:marLeft w:val="0"/>
      <w:marRight w:val="0"/>
      <w:marTop w:val="0"/>
      <w:marBottom w:val="0"/>
      <w:divBdr>
        <w:top w:val="none" w:sz="0" w:space="0" w:color="auto"/>
        <w:left w:val="none" w:sz="0" w:space="0" w:color="auto"/>
        <w:bottom w:val="none" w:sz="0" w:space="0" w:color="auto"/>
        <w:right w:val="none" w:sz="0" w:space="0" w:color="auto"/>
      </w:divBdr>
    </w:div>
    <w:div w:id="104811786">
      <w:bodyDiv w:val="1"/>
      <w:marLeft w:val="0"/>
      <w:marRight w:val="0"/>
      <w:marTop w:val="0"/>
      <w:marBottom w:val="0"/>
      <w:divBdr>
        <w:top w:val="none" w:sz="0" w:space="0" w:color="auto"/>
        <w:left w:val="none" w:sz="0" w:space="0" w:color="auto"/>
        <w:bottom w:val="none" w:sz="0" w:space="0" w:color="auto"/>
        <w:right w:val="none" w:sz="0" w:space="0" w:color="auto"/>
      </w:divBdr>
    </w:div>
    <w:div w:id="227033628">
      <w:bodyDiv w:val="1"/>
      <w:marLeft w:val="0"/>
      <w:marRight w:val="0"/>
      <w:marTop w:val="0"/>
      <w:marBottom w:val="0"/>
      <w:divBdr>
        <w:top w:val="none" w:sz="0" w:space="0" w:color="auto"/>
        <w:left w:val="none" w:sz="0" w:space="0" w:color="auto"/>
        <w:bottom w:val="none" w:sz="0" w:space="0" w:color="auto"/>
        <w:right w:val="none" w:sz="0" w:space="0" w:color="auto"/>
      </w:divBdr>
    </w:div>
    <w:div w:id="38039850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33557728">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5733360">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80438723">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7938085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7199933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49682224">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68374311">
      <w:bodyDiv w:val="1"/>
      <w:marLeft w:val="0"/>
      <w:marRight w:val="0"/>
      <w:marTop w:val="0"/>
      <w:marBottom w:val="0"/>
      <w:divBdr>
        <w:top w:val="none" w:sz="0" w:space="0" w:color="auto"/>
        <w:left w:val="none" w:sz="0" w:space="0" w:color="auto"/>
        <w:bottom w:val="none" w:sz="0" w:space="0" w:color="auto"/>
        <w:right w:val="none" w:sz="0" w:space="0" w:color="auto"/>
      </w:divBdr>
    </w:div>
    <w:div w:id="1578518864">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6511322">
      <w:bodyDiv w:val="1"/>
      <w:marLeft w:val="0"/>
      <w:marRight w:val="0"/>
      <w:marTop w:val="0"/>
      <w:marBottom w:val="0"/>
      <w:divBdr>
        <w:top w:val="none" w:sz="0" w:space="0" w:color="auto"/>
        <w:left w:val="none" w:sz="0" w:space="0" w:color="auto"/>
        <w:bottom w:val="none" w:sz="0" w:space="0" w:color="auto"/>
        <w:right w:val="none" w:sz="0" w:space="0" w:color="auto"/>
      </w:divBdr>
    </w:div>
    <w:div w:id="1788700111">
      <w:bodyDiv w:val="1"/>
      <w:marLeft w:val="0"/>
      <w:marRight w:val="0"/>
      <w:marTop w:val="0"/>
      <w:marBottom w:val="0"/>
      <w:divBdr>
        <w:top w:val="none" w:sz="0" w:space="0" w:color="auto"/>
        <w:left w:val="none" w:sz="0" w:space="0" w:color="auto"/>
        <w:bottom w:val="none" w:sz="0" w:space="0" w:color="auto"/>
        <w:right w:val="none" w:sz="0" w:space="0" w:color="auto"/>
      </w:divBdr>
    </w:div>
    <w:div w:id="1801681231">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hyperlink" Target="http://www.inegi.org.mx/" TargetMode="External"/><Relationship Id="rId26" Type="http://schemas.openxmlformats.org/officeDocument/2006/relationships/hyperlink" Target="http://www.inegi.org.mx/investigacion/ioae/" TargetMode="Externa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5.jpeg"/><Relationship Id="rId25" Type="http://schemas.openxmlformats.org/officeDocument/2006/relationships/hyperlink" Target="https://www.inegi.org.mx/investigacion/ioae/" TargetMode="Externa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chart" Target="charts/chart1.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chart" Target="charts/chart4.xml"/><Relationship Id="rId28" Type="http://schemas.openxmlformats.org/officeDocument/2006/relationships/header" Target="header2.xml"/><Relationship Id="rId10" Type="http://schemas.openxmlformats.org/officeDocument/2006/relationships/hyperlink" Target="https://www.facebook.com/INEGIInforma/" TargetMode="External"/><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twitter.com/INEGI_INFORMA" TargetMode="External"/><Relationship Id="rId22" Type="http://schemas.openxmlformats.org/officeDocument/2006/relationships/chart" Target="charts/chart3.xml"/><Relationship Id="rId27" Type="http://schemas.openxmlformats.org/officeDocument/2006/relationships/hyperlink" Target="http://www.inegi.org.mx"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oleObject" Target="file:///D:\Proyectos%20Investigacion\Proyectos%202020\BD_nowcasting\Textos-difusion\julio-2021\Graficos_Nowcasts_IGA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ikox\Desktop\Graficos_Nowcasts_IGA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Proyectos%20Investigacion\Proyectos%202020\BD_nowcasting\Textos-difusion\julio-2021\Graficos_Nowcasts_IGA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Proyectos%20Investigacion\Proyectos%202020\BD_nowcasting\Textos-difusion\julio-2021\Graficos_Nowcasts_IGA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Proyectos%20Investigacion\Proyectos%202020\BD_nowcasting\Textos-difusion\julio-2021\Graficos_Nowcasts_IGAE.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970167507394636E-2"/>
          <c:y val="4.3650793650793648E-2"/>
          <c:w val="0.92590995289058031"/>
          <c:h val="0.73756095185759696"/>
        </c:manualLayout>
      </c:layout>
      <c:lineChart>
        <c:grouping val="standard"/>
        <c:varyColors val="0"/>
        <c:ser>
          <c:idx val="0"/>
          <c:order val="0"/>
          <c:tx>
            <c:strRef>
              <c:f>IGAE!$D$1</c:f>
              <c:strCache>
                <c:ptCount val="1"/>
                <c:pt idx="0">
                  <c:v>IGAE</c:v>
                </c:pt>
              </c:strCache>
            </c:strRef>
          </c:tx>
          <c:spPr>
            <a:ln w="28575" cap="rnd">
              <a:solidFill>
                <a:schemeClr val="accent1"/>
              </a:solidFill>
              <a:round/>
            </a:ln>
            <a:effectLst/>
          </c:spPr>
          <c:marker>
            <c:symbol val="none"/>
          </c:marker>
          <c:cat>
            <c:multiLvlStrRef>
              <c:f>IGAE!$B$2:$C$43</c:f>
              <c:multiLvlStrCache>
                <c:ptCount val="4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lvl>
                <c:lvl>
                  <c:pt idx="0">
                    <c:v>2018</c:v>
                  </c:pt>
                  <c:pt idx="12">
                    <c:v>2019</c:v>
                  </c:pt>
                  <c:pt idx="24">
                    <c:v>2020</c:v>
                  </c:pt>
                  <c:pt idx="36">
                    <c:v>2021</c:v>
                  </c:pt>
                </c:lvl>
              </c:multiLvlStrCache>
            </c:multiLvlStrRef>
          </c:cat>
          <c:val>
            <c:numRef>
              <c:f>IGAE!$D$2:$D$43</c:f>
              <c:numCache>
                <c:formatCode>General</c:formatCode>
                <c:ptCount val="42"/>
                <c:pt idx="0">
                  <c:v>1.19211635475244</c:v>
                </c:pt>
                <c:pt idx="1">
                  <c:v>2.2179723380581602</c:v>
                </c:pt>
                <c:pt idx="2">
                  <c:v>2.5868069899783102</c:v>
                </c:pt>
                <c:pt idx="3">
                  <c:v>2.0930487172522199</c:v>
                </c:pt>
                <c:pt idx="4">
                  <c:v>3.1581441014658198</c:v>
                </c:pt>
                <c:pt idx="5">
                  <c:v>1.9038752510769501</c:v>
                </c:pt>
                <c:pt idx="6">
                  <c:v>3.1114349458802901</c:v>
                </c:pt>
                <c:pt idx="7">
                  <c:v>2.3077520996769501</c:v>
                </c:pt>
                <c:pt idx="8">
                  <c:v>3.2615300460753098</c:v>
                </c:pt>
                <c:pt idx="9">
                  <c:v>1.72487361924087</c:v>
                </c:pt>
                <c:pt idx="10">
                  <c:v>1.18874858204427</c:v>
                </c:pt>
                <c:pt idx="11">
                  <c:v>-0.508876330696168</c:v>
                </c:pt>
                <c:pt idx="12">
                  <c:v>1.2694018559332201</c:v>
                </c:pt>
                <c:pt idx="13">
                  <c:v>0.88440094657346402</c:v>
                </c:pt>
                <c:pt idx="14">
                  <c:v>-0.71371733324105002</c:v>
                </c:pt>
                <c:pt idx="15">
                  <c:v>0.1376233947354</c:v>
                </c:pt>
                <c:pt idx="16">
                  <c:v>-0.29773033920859898</c:v>
                </c:pt>
                <c:pt idx="17">
                  <c:v>-0.112945857007276</c:v>
                </c:pt>
                <c:pt idx="18">
                  <c:v>-0.31449667285112098</c:v>
                </c:pt>
                <c:pt idx="19">
                  <c:v>-0.46304057919897401</c:v>
                </c:pt>
                <c:pt idx="20">
                  <c:v>-0.44676650820868202</c:v>
                </c:pt>
                <c:pt idx="21">
                  <c:v>-0.56469682160830803</c:v>
                </c:pt>
                <c:pt idx="22">
                  <c:v>-1.0312224681889299</c:v>
                </c:pt>
                <c:pt idx="23">
                  <c:v>-0.444372315033846</c:v>
                </c:pt>
                <c:pt idx="24">
                  <c:v>-0.53221696961868803</c:v>
                </c:pt>
                <c:pt idx="25">
                  <c:v>-1.71764039933583</c:v>
                </c:pt>
                <c:pt idx="26">
                  <c:v>-2.6187715166346801</c:v>
                </c:pt>
                <c:pt idx="27">
                  <c:v>-19.871699983702499</c:v>
                </c:pt>
                <c:pt idx="28">
                  <c:v>-21.457450909577801</c:v>
                </c:pt>
                <c:pt idx="29">
                  <c:v>-14.574679070287299</c:v>
                </c:pt>
                <c:pt idx="30">
                  <c:v>-9.9546327087393802</c:v>
                </c:pt>
                <c:pt idx="31">
                  <c:v>-8.4075909517610494</c:v>
                </c:pt>
                <c:pt idx="32">
                  <c:v>-6.8476261269540801</c:v>
                </c:pt>
                <c:pt idx="33">
                  <c:v>-4.88927155996676</c:v>
                </c:pt>
                <c:pt idx="34">
                  <c:v>-3.7462433017088901</c:v>
                </c:pt>
                <c:pt idx="35">
                  <c:v>-3.9340101783864898</c:v>
                </c:pt>
                <c:pt idx="36">
                  <c:v>-4.2081619927872698</c:v>
                </c:pt>
                <c:pt idx="37">
                  <c:v>-3.77365383144397</c:v>
                </c:pt>
                <c:pt idx="38">
                  <c:v>0.52410081008950704</c:v>
                </c:pt>
                <c:pt idx="39">
                  <c:v>21.383846438108002</c:v>
                </c:pt>
              </c:numCache>
            </c:numRef>
          </c:val>
          <c:smooth val="0"/>
          <c:extLst>
            <c:ext xmlns:c16="http://schemas.microsoft.com/office/drawing/2014/chart" uri="{C3380CC4-5D6E-409C-BE32-E72D297353CC}">
              <c16:uniqueId val="{00000000-597F-472E-B973-A3D13BA5EC32}"/>
            </c:ext>
          </c:extLst>
        </c:ser>
        <c:ser>
          <c:idx val="1"/>
          <c:order val="1"/>
          <c:tx>
            <c:strRef>
              <c:f>IGAE!$E$1</c:f>
              <c:strCache>
                <c:ptCount val="1"/>
                <c:pt idx="0">
                  <c:v>Ajuste</c:v>
                </c:pt>
              </c:strCache>
            </c:strRef>
          </c:tx>
          <c:spPr>
            <a:ln w="19050" cap="rnd">
              <a:solidFill>
                <a:schemeClr val="tx1"/>
              </a:solidFill>
              <a:prstDash val="sysDash"/>
              <a:round/>
            </a:ln>
            <a:effectLst/>
          </c:spPr>
          <c:marker>
            <c:symbol val="none"/>
          </c:marker>
          <c:cat>
            <c:multiLvlStrRef>
              <c:f>IGAE!$B$2:$C$43</c:f>
              <c:multiLvlStrCache>
                <c:ptCount val="4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lvl>
                <c:lvl>
                  <c:pt idx="0">
                    <c:v>2018</c:v>
                  </c:pt>
                  <c:pt idx="12">
                    <c:v>2019</c:v>
                  </c:pt>
                  <c:pt idx="24">
                    <c:v>2020</c:v>
                  </c:pt>
                  <c:pt idx="36">
                    <c:v>2021</c:v>
                  </c:pt>
                </c:lvl>
              </c:multiLvlStrCache>
            </c:multiLvlStrRef>
          </c:cat>
          <c:val>
            <c:numRef>
              <c:f>IGAE!$E$2:$E$43</c:f>
              <c:numCache>
                <c:formatCode>General</c:formatCode>
                <c:ptCount val="42"/>
                <c:pt idx="0">
                  <c:v>2.2416585869659098</c:v>
                </c:pt>
                <c:pt idx="1">
                  <c:v>1.72756163203302</c:v>
                </c:pt>
                <c:pt idx="2">
                  <c:v>2.70766712195825</c:v>
                </c:pt>
                <c:pt idx="3">
                  <c:v>2.1840660251458801</c:v>
                </c:pt>
                <c:pt idx="4">
                  <c:v>2.3931348337628102</c:v>
                </c:pt>
                <c:pt idx="5">
                  <c:v>2.2895187195918201</c:v>
                </c:pt>
                <c:pt idx="6">
                  <c:v>2.8789399281269801</c:v>
                </c:pt>
                <c:pt idx="7">
                  <c:v>2.68742550624285</c:v>
                </c:pt>
                <c:pt idx="8">
                  <c:v>3.1932425938410498</c:v>
                </c:pt>
                <c:pt idx="9">
                  <c:v>2.2424487041170602</c:v>
                </c:pt>
                <c:pt idx="10">
                  <c:v>1.5442043258689899</c:v>
                </c:pt>
                <c:pt idx="11">
                  <c:v>0.27375627268524899</c:v>
                </c:pt>
                <c:pt idx="12">
                  <c:v>1.1919047932729101</c:v>
                </c:pt>
                <c:pt idx="13">
                  <c:v>1.3555039531344499</c:v>
                </c:pt>
                <c:pt idx="14">
                  <c:v>0.38699485093917402</c:v>
                </c:pt>
                <c:pt idx="15">
                  <c:v>0.36692323253878201</c:v>
                </c:pt>
                <c:pt idx="16">
                  <c:v>2.4927708842378E-2</c:v>
                </c:pt>
                <c:pt idx="17">
                  <c:v>-0.13036353428495601</c:v>
                </c:pt>
                <c:pt idx="18">
                  <c:v>-1.03433454682703</c:v>
                </c:pt>
                <c:pt idx="19">
                  <c:v>-0.56218389838989402</c:v>
                </c:pt>
                <c:pt idx="20">
                  <c:v>-1.0690207613360001</c:v>
                </c:pt>
                <c:pt idx="21">
                  <c:v>-0.91574234018706702</c:v>
                </c:pt>
                <c:pt idx="22">
                  <c:v>5.5263667563357301E-2</c:v>
                </c:pt>
                <c:pt idx="23">
                  <c:v>0.52135091701902303</c:v>
                </c:pt>
                <c:pt idx="24">
                  <c:v>-0.26857005056790001</c:v>
                </c:pt>
                <c:pt idx="25">
                  <c:v>-1.2933622337027799</c:v>
                </c:pt>
                <c:pt idx="26">
                  <c:v>-5.61023579448955</c:v>
                </c:pt>
                <c:pt idx="27">
                  <c:v>-18.339204988935901</c:v>
                </c:pt>
                <c:pt idx="28">
                  <c:v>-21.877624529851399</c:v>
                </c:pt>
                <c:pt idx="29">
                  <c:v>-14.5578395445489</c:v>
                </c:pt>
                <c:pt idx="30">
                  <c:v>-10.478909934675199</c:v>
                </c:pt>
                <c:pt idx="31">
                  <c:v>-7.7445792526793102</c:v>
                </c:pt>
                <c:pt idx="32">
                  <c:v>-6.8416816176033199</c:v>
                </c:pt>
                <c:pt idx="33">
                  <c:v>-4.6424555282548097</c:v>
                </c:pt>
                <c:pt idx="34">
                  <c:v>-4.29846664639265</c:v>
                </c:pt>
                <c:pt idx="35">
                  <c:v>-3.5986562498594798</c:v>
                </c:pt>
                <c:pt idx="36">
                  <c:v>-4.4427630665112998</c:v>
                </c:pt>
                <c:pt idx="37">
                  <c:v>-3.0335854476505002</c:v>
                </c:pt>
                <c:pt idx="38">
                  <c:v>2.5389318632607498</c:v>
                </c:pt>
                <c:pt idx="39">
                  <c:v>20.868081142073201</c:v>
                </c:pt>
              </c:numCache>
            </c:numRef>
          </c:val>
          <c:smooth val="0"/>
          <c:extLst>
            <c:ext xmlns:c16="http://schemas.microsoft.com/office/drawing/2014/chart" uri="{C3380CC4-5D6E-409C-BE32-E72D297353CC}">
              <c16:uniqueId val="{00000001-597F-472E-B973-A3D13BA5EC32}"/>
            </c:ext>
          </c:extLst>
        </c:ser>
        <c:ser>
          <c:idx val="2"/>
          <c:order val="2"/>
          <c:tx>
            <c:strRef>
              <c:f>IGAE!$F$1</c:f>
              <c:strCache>
                <c:ptCount val="1"/>
                <c:pt idx="0">
                  <c:v>Nowcasts</c:v>
                </c:pt>
              </c:strCache>
            </c:strRef>
          </c:tx>
          <c:spPr>
            <a:ln w="28575" cap="rnd">
              <a:solidFill>
                <a:srgbClr val="C00000"/>
              </a:solidFill>
              <a:round/>
            </a:ln>
            <a:effectLst/>
          </c:spPr>
          <c:marker>
            <c:symbol val="none"/>
          </c:marker>
          <c:cat>
            <c:multiLvlStrRef>
              <c:f>IGAE!$B$2:$C$43</c:f>
              <c:multiLvlStrCache>
                <c:ptCount val="4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lvl>
                <c:lvl>
                  <c:pt idx="0">
                    <c:v>2018</c:v>
                  </c:pt>
                  <c:pt idx="12">
                    <c:v>2019</c:v>
                  </c:pt>
                  <c:pt idx="24">
                    <c:v>2020</c:v>
                  </c:pt>
                  <c:pt idx="36">
                    <c:v>2021</c:v>
                  </c:pt>
                </c:lvl>
              </c:multiLvlStrCache>
            </c:multiLvlStrRef>
          </c:cat>
          <c:val>
            <c:numRef>
              <c:f>IGAE!$F$2:$F$43</c:f>
              <c:numCache>
                <c:formatCode>General</c:formatCode>
                <c:ptCount val="42"/>
                <c:pt idx="39">
                  <c:v>21.383846438108002</c:v>
                </c:pt>
                <c:pt idx="40">
                  <c:v>24.543511965589499</c:v>
                </c:pt>
                <c:pt idx="41">
                  <c:v>14.7280658808894</c:v>
                </c:pt>
              </c:numCache>
            </c:numRef>
          </c:val>
          <c:smooth val="0"/>
          <c:extLst>
            <c:ext xmlns:c16="http://schemas.microsoft.com/office/drawing/2014/chart" uri="{C3380CC4-5D6E-409C-BE32-E72D297353CC}">
              <c16:uniqueId val="{00000002-597F-472E-B973-A3D13BA5EC32}"/>
            </c:ext>
          </c:extLst>
        </c:ser>
        <c:ser>
          <c:idx val="3"/>
          <c:order val="3"/>
          <c:tx>
            <c:strRef>
              <c:f>IGAE!$G$1</c:f>
              <c:strCache>
                <c:ptCount val="1"/>
                <c:pt idx="0">
                  <c:v>Inferior</c:v>
                </c:pt>
              </c:strCache>
            </c:strRef>
          </c:tx>
          <c:spPr>
            <a:ln w="19050" cap="rnd">
              <a:solidFill>
                <a:srgbClr val="00B050"/>
              </a:solidFill>
              <a:prstDash val="sysDash"/>
              <a:round/>
            </a:ln>
            <a:effectLst/>
          </c:spPr>
          <c:marker>
            <c:symbol val="none"/>
          </c:marker>
          <c:dPt>
            <c:idx val="34"/>
            <c:marker>
              <c:symbol val="none"/>
            </c:marker>
            <c:bubble3D val="0"/>
            <c:extLst>
              <c:ext xmlns:c16="http://schemas.microsoft.com/office/drawing/2014/chart" uri="{C3380CC4-5D6E-409C-BE32-E72D297353CC}">
                <c16:uniqueId val="{00000003-597F-472E-B973-A3D13BA5EC32}"/>
              </c:ext>
            </c:extLst>
          </c:dPt>
          <c:dPt>
            <c:idx val="35"/>
            <c:marker>
              <c:symbol val="none"/>
            </c:marker>
            <c:bubble3D val="0"/>
            <c:extLst>
              <c:ext xmlns:c16="http://schemas.microsoft.com/office/drawing/2014/chart" uri="{C3380CC4-5D6E-409C-BE32-E72D297353CC}">
                <c16:uniqueId val="{00000004-597F-472E-B973-A3D13BA5EC32}"/>
              </c:ext>
            </c:extLst>
          </c:dPt>
          <c:cat>
            <c:multiLvlStrRef>
              <c:f>IGAE!$B$2:$C$43</c:f>
              <c:multiLvlStrCache>
                <c:ptCount val="4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lvl>
                <c:lvl>
                  <c:pt idx="0">
                    <c:v>2018</c:v>
                  </c:pt>
                  <c:pt idx="12">
                    <c:v>2019</c:v>
                  </c:pt>
                  <c:pt idx="24">
                    <c:v>2020</c:v>
                  </c:pt>
                  <c:pt idx="36">
                    <c:v>2021</c:v>
                  </c:pt>
                </c:lvl>
              </c:multiLvlStrCache>
            </c:multiLvlStrRef>
          </c:cat>
          <c:val>
            <c:numRef>
              <c:f>IGAE!$G$2:$G$43</c:f>
              <c:numCache>
                <c:formatCode>General</c:formatCode>
                <c:ptCount val="42"/>
                <c:pt idx="39">
                  <c:v>21.383846438108002</c:v>
                </c:pt>
                <c:pt idx="40">
                  <c:v>23.162107303287002</c:v>
                </c:pt>
                <c:pt idx="41">
                  <c:v>13.399067034032599</c:v>
                </c:pt>
              </c:numCache>
            </c:numRef>
          </c:val>
          <c:smooth val="0"/>
          <c:extLst>
            <c:ext xmlns:c16="http://schemas.microsoft.com/office/drawing/2014/chart" uri="{C3380CC4-5D6E-409C-BE32-E72D297353CC}">
              <c16:uniqueId val="{00000005-597F-472E-B973-A3D13BA5EC32}"/>
            </c:ext>
          </c:extLst>
        </c:ser>
        <c:ser>
          <c:idx val="4"/>
          <c:order val="4"/>
          <c:tx>
            <c:strRef>
              <c:f>IGAE!$H$1</c:f>
              <c:strCache>
                <c:ptCount val="1"/>
                <c:pt idx="0">
                  <c:v>Superior</c:v>
                </c:pt>
              </c:strCache>
            </c:strRef>
          </c:tx>
          <c:spPr>
            <a:ln w="12700" cap="rnd">
              <a:solidFill>
                <a:srgbClr val="00B050"/>
              </a:solidFill>
              <a:prstDash val="sysDash"/>
              <a:round/>
            </a:ln>
            <a:effectLst/>
          </c:spPr>
          <c:marker>
            <c:symbol val="none"/>
          </c:marker>
          <c:dPt>
            <c:idx val="34"/>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7-597F-472E-B973-A3D13BA5EC32}"/>
              </c:ext>
            </c:extLst>
          </c:dPt>
          <c:dPt>
            <c:idx val="35"/>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9-597F-472E-B973-A3D13BA5EC32}"/>
              </c:ext>
            </c:extLst>
          </c:dPt>
          <c:dPt>
            <c:idx val="41"/>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B-597F-472E-B973-A3D13BA5EC32}"/>
              </c:ext>
            </c:extLst>
          </c:dPt>
          <c:cat>
            <c:multiLvlStrRef>
              <c:f>IGAE!$B$2:$C$43</c:f>
              <c:multiLvlStrCache>
                <c:ptCount val="4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lvl>
                <c:lvl>
                  <c:pt idx="0">
                    <c:v>2018</c:v>
                  </c:pt>
                  <c:pt idx="12">
                    <c:v>2019</c:v>
                  </c:pt>
                  <c:pt idx="24">
                    <c:v>2020</c:v>
                  </c:pt>
                  <c:pt idx="36">
                    <c:v>2021</c:v>
                  </c:pt>
                </c:lvl>
              </c:multiLvlStrCache>
            </c:multiLvlStrRef>
          </c:cat>
          <c:val>
            <c:numRef>
              <c:f>IGAE!$H$2:$H$43</c:f>
              <c:numCache>
                <c:formatCode>General</c:formatCode>
                <c:ptCount val="42"/>
                <c:pt idx="39">
                  <c:v>21.383846438108002</c:v>
                </c:pt>
                <c:pt idx="40">
                  <c:v>25.924367271914601</c:v>
                </c:pt>
                <c:pt idx="41">
                  <c:v>16.071969490800999</c:v>
                </c:pt>
              </c:numCache>
            </c:numRef>
          </c:val>
          <c:smooth val="0"/>
          <c:extLst>
            <c:ext xmlns:c16="http://schemas.microsoft.com/office/drawing/2014/chart" uri="{C3380CC4-5D6E-409C-BE32-E72D297353CC}">
              <c16:uniqueId val="{0000000C-597F-472E-B973-A3D13BA5EC32}"/>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490943808"/>
        <c:crosses val="autoZero"/>
        <c:auto val="1"/>
        <c:lblAlgn val="ctr"/>
        <c:lblOffset val="100"/>
        <c:noMultiLvlLbl val="0"/>
      </c:catAx>
      <c:valAx>
        <c:axId val="490943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490947416"/>
        <c:crosses val="autoZero"/>
        <c:crossBetween val="between"/>
      </c:valAx>
      <c:spPr>
        <a:noFill/>
        <a:ln>
          <a:solidFill>
            <a:sysClr val="windowText" lastClr="000000"/>
          </a:solidFill>
        </a:ln>
        <a:effectLst/>
      </c:spPr>
    </c:plotArea>
    <c:legend>
      <c:legendPos val="b"/>
      <c:layout>
        <c:manualLayout>
          <c:xMode val="edge"/>
          <c:yMode val="edge"/>
          <c:x val="0.13799229359175863"/>
          <c:y val="0.92426526346498106"/>
          <c:w val="0.72611013825449111"/>
          <c:h val="6.6964775329576107E-2"/>
        </c:manualLayout>
      </c:layout>
      <c:overlay val="0"/>
      <c:spPr>
        <a:noFill/>
        <a:ln w="25400" cap="rnd">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ysClr val="windowText" lastClr="000000"/>
      </a:solidFill>
      <a:round/>
    </a:ln>
    <a:effectLst/>
  </c:spPr>
  <c:txPr>
    <a:bodyPr/>
    <a:lstStyle/>
    <a:p>
      <a:pPr>
        <a:defRPr>
          <a:latin typeface="Arial" panose="020B0604020202020204" pitchFamily="34" charset="0"/>
          <a:cs typeface="Arial" panose="020B0604020202020204" pitchFamily="34" charset="0"/>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9930893164015462E-2"/>
          <c:y val="4.3650793650793648E-2"/>
          <c:w val="0.92177465375148482"/>
          <c:h val="0.74644231971003627"/>
        </c:manualLayout>
      </c:layout>
      <c:lineChart>
        <c:grouping val="standard"/>
        <c:varyColors val="0"/>
        <c:ser>
          <c:idx val="0"/>
          <c:order val="0"/>
          <c:tx>
            <c:strRef>
              <c:f>'GA2'!$D$1</c:f>
              <c:strCache>
                <c:ptCount val="1"/>
                <c:pt idx="0">
                  <c:v>IGAE</c:v>
                </c:pt>
              </c:strCache>
            </c:strRef>
          </c:tx>
          <c:spPr>
            <a:ln w="28575" cap="rnd">
              <a:solidFill>
                <a:schemeClr val="accent1"/>
              </a:solidFill>
              <a:round/>
            </a:ln>
            <a:effectLst/>
          </c:spPr>
          <c:marker>
            <c:symbol val="none"/>
          </c:marker>
          <c:cat>
            <c:multiLvlStrRef>
              <c:f>'GA2'!$B$2:$C$43</c:f>
              <c:multiLvlStrCache>
                <c:ptCount val="4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lvl>
                <c:lvl>
                  <c:pt idx="0">
                    <c:v>2018</c:v>
                  </c:pt>
                  <c:pt idx="12">
                    <c:v>2019</c:v>
                  </c:pt>
                  <c:pt idx="24">
                    <c:v>2020</c:v>
                  </c:pt>
                  <c:pt idx="36">
                    <c:v>2021</c:v>
                  </c:pt>
                </c:lvl>
              </c:multiLvlStrCache>
            </c:multiLvlStrRef>
          </c:cat>
          <c:val>
            <c:numRef>
              <c:f>'GA2'!$D$2:$D$43</c:f>
              <c:numCache>
                <c:formatCode>General</c:formatCode>
                <c:ptCount val="42"/>
                <c:pt idx="0">
                  <c:v>-7.0575359146971606E-2</c:v>
                </c:pt>
                <c:pt idx="1">
                  <c:v>0.63644251928462803</c:v>
                </c:pt>
                <c:pt idx="2">
                  <c:v>0.111636492662683</c:v>
                </c:pt>
                <c:pt idx="3">
                  <c:v>0.45905137131157397</c:v>
                </c:pt>
                <c:pt idx="4">
                  <c:v>1.90856626104949</c:v>
                </c:pt>
                <c:pt idx="5">
                  <c:v>1.0387916706958</c:v>
                </c:pt>
                <c:pt idx="6">
                  <c:v>1.77991006671209</c:v>
                </c:pt>
                <c:pt idx="7">
                  <c:v>0.29787913461075299</c:v>
                </c:pt>
                <c:pt idx="8">
                  <c:v>2.4969858829469702</c:v>
                </c:pt>
                <c:pt idx="9">
                  <c:v>-0.33673429504393898</c:v>
                </c:pt>
                <c:pt idx="10">
                  <c:v>-1.0303607103709</c:v>
                </c:pt>
                <c:pt idx="11">
                  <c:v>-2.8659176066818</c:v>
                </c:pt>
                <c:pt idx="12">
                  <c:v>-0.95343626661599501</c:v>
                </c:pt>
                <c:pt idx="13">
                  <c:v>-0.2576577251603</c:v>
                </c:pt>
                <c:pt idx="14">
                  <c:v>-2.6144200135819902</c:v>
                </c:pt>
                <c:pt idx="15">
                  <c:v>-0.786194849216585</c:v>
                </c:pt>
                <c:pt idx="16">
                  <c:v>-3.3084115476614802</c:v>
                </c:pt>
                <c:pt idx="17">
                  <c:v>-2.1622464023108301</c:v>
                </c:pt>
                <c:pt idx="18">
                  <c:v>-2.23560921861041</c:v>
                </c:pt>
                <c:pt idx="19">
                  <c:v>-1.2024644369458</c:v>
                </c:pt>
                <c:pt idx="20">
                  <c:v>-2.1276712401512401</c:v>
                </c:pt>
                <c:pt idx="21">
                  <c:v>-3.5492179528876302</c:v>
                </c:pt>
                <c:pt idx="22">
                  <c:v>-1.76663817902367</c:v>
                </c:pt>
                <c:pt idx="23">
                  <c:v>-0.89127414305566799</c:v>
                </c:pt>
                <c:pt idx="24">
                  <c:v>-1.4276702650308299</c:v>
                </c:pt>
                <c:pt idx="25">
                  <c:v>-2.8586687839906899</c:v>
                </c:pt>
                <c:pt idx="26">
                  <c:v>-4.5923753229539797</c:v>
                </c:pt>
                <c:pt idx="27">
                  <c:v>-29.8609348370967</c:v>
                </c:pt>
                <c:pt idx="28">
                  <c:v>-29.348805027915802</c:v>
                </c:pt>
                <c:pt idx="29">
                  <c:v>-16.9254587270695</c:v>
                </c:pt>
                <c:pt idx="30">
                  <c:v>-11.0288861813662</c:v>
                </c:pt>
                <c:pt idx="31">
                  <c:v>-8.1695741549224206</c:v>
                </c:pt>
                <c:pt idx="32">
                  <c:v>-7.0862400668361403</c:v>
                </c:pt>
                <c:pt idx="33">
                  <c:v>-3.2741747211857</c:v>
                </c:pt>
                <c:pt idx="34">
                  <c:v>-3.5494226022878101</c:v>
                </c:pt>
                <c:pt idx="35">
                  <c:v>-3.2853845408317</c:v>
                </c:pt>
                <c:pt idx="36">
                  <c:v>-3.8361871063947302</c:v>
                </c:pt>
                <c:pt idx="37">
                  <c:v>-3.1043337706650602</c:v>
                </c:pt>
                <c:pt idx="38">
                  <c:v>1.4563396417541801</c:v>
                </c:pt>
                <c:pt idx="39">
                  <c:v>35.747867485110397</c:v>
                </c:pt>
                <c:pt idx="40">
                  <c:v>36.564378266528202</c:v>
                </c:pt>
              </c:numCache>
            </c:numRef>
          </c:val>
          <c:smooth val="0"/>
          <c:extLst>
            <c:ext xmlns:c16="http://schemas.microsoft.com/office/drawing/2014/chart" uri="{C3380CC4-5D6E-409C-BE32-E72D297353CC}">
              <c16:uniqueId val="{00000000-880A-4652-9EA9-4025B6BA5964}"/>
            </c:ext>
          </c:extLst>
        </c:ser>
        <c:ser>
          <c:idx val="1"/>
          <c:order val="1"/>
          <c:tx>
            <c:strRef>
              <c:f>'GA2'!$E$1</c:f>
              <c:strCache>
                <c:ptCount val="1"/>
                <c:pt idx="0">
                  <c:v>Ajuste</c:v>
                </c:pt>
              </c:strCache>
            </c:strRef>
          </c:tx>
          <c:spPr>
            <a:ln w="19050" cap="rnd">
              <a:solidFill>
                <a:schemeClr val="bg2">
                  <a:lumMod val="50000"/>
                </a:schemeClr>
              </a:solidFill>
              <a:prstDash val="sysDash"/>
              <a:round/>
            </a:ln>
            <a:effectLst/>
          </c:spPr>
          <c:marker>
            <c:symbol val="none"/>
          </c:marker>
          <c:cat>
            <c:multiLvlStrRef>
              <c:f>'GA2'!$B$2:$C$43</c:f>
              <c:multiLvlStrCache>
                <c:ptCount val="4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lvl>
                <c:lvl>
                  <c:pt idx="0">
                    <c:v>2018</c:v>
                  </c:pt>
                  <c:pt idx="12">
                    <c:v>2019</c:v>
                  </c:pt>
                  <c:pt idx="24">
                    <c:v>2020</c:v>
                  </c:pt>
                  <c:pt idx="36">
                    <c:v>2021</c:v>
                  </c:pt>
                </c:lvl>
              </c:multiLvlStrCache>
            </c:multiLvlStrRef>
          </c:cat>
          <c:val>
            <c:numRef>
              <c:f>'GA2'!$E$2:$E$43</c:f>
              <c:numCache>
                <c:formatCode>General</c:formatCode>
                <c:ptCount val="42"/>
                <c:pt idx="0">
                  <c:v>0.192007906343654</c:v>
                </c:pt>
                <c:pt idx="1">
                  <c:v>1.2891302703049199</c:v>
                </c:pt>
                <c:pt idx="2">
                  <c:v>0.70718289933204503</c:v>
                </c:pt>
                <c:pt idx="3">
                  <c:v>0.63600717455486899</c:v>
                </c:pt>
                <c:pt idx="4">
                  <c:v>-0.16283187044251099</c:v>
                </c:pt>
                <c:pt idx="5">
                  <c:v>0.230494000374588</c:v>
                </c:pt>
                <c:pt idx="6">
                  <c:v>1.78817838169481</c:v>
                </c:pt>
                <c:pt idx="7">
                  <c:v>1.7536368024148199</c:v>
                </c:pt>
                <c:pt idx="8">
                  <c:v>2.40389855887851</c:v>
                </c:pt>
                <c:pt idx="9">
                  <c:v>0.329137015309169</c:v>
                </c:pt>
                <c:pt idx="10">
                  <c:v>-0.92937868187707595</c:v>
                </c:pt>
                <c:pt idx="11">
                  <c:v>-2.7574182974897301</c:v>
                </c:pt>
                <c:pt idx="12">
                  <c:v>-0.38663165349524298</c:v>
                </c:pt>
                <c:pt idx="13">
                  <c:v>-0.38879208621802602</c:v>
                </c:pt>
                <c:pt idx="14">
                  <c:v>-0.91302540165530199</c:v>
                </c:pt>
                <c:pt idx="15">
                  <c:v>-1.33195743804016</c:v>
                </c:pt>
                <c:pt idx="16">
                  <c:v>-1.49941560700666</c:v>
                </c:pt>
                <c:pt idx="17">
                  <c:v>-2.2381052239324299</c:v>
                </c:pt>
                <c:pt idx="18">
                  <c:v>-3.3852648518125701</c:v>
                </c:pt>
                <c:pt idx="19">
                  <c:v>-2.0024662305863301</c:v>
                </c:pt>
                <c:pt idx="20">
                  <c:v>-3.0952499425382398</c:v>
                </c:pt>
                <c:pt idx="21">
                  <c:v>-1.93149442918918</c:v>
                </c:pt>
                <c:pt idx="22">
                  <c:v>-2.8454939330900699</c:v>
                </c:pt>
                <c:pt idx="23">
                  <c:v>-0.68407952971268204</c:v>
                </c:pt>
                <c:pt idx="24">
                  <c:v>-1.1413365260333601</c:v>
                </c:pt>
                <c:pt idx="25">
                  <c:v>-2.98087196613251</c:v>
                </c:pt>
                <c:pt idx="26">
                  <c:v>-7.9683361758187203</c:v>
                </c:pt>
                <c:pt idx="27">
                  <c:v>-25.8886978089295</c:v>
                </c:pt>
                <c:pt idx="28">
                  <c:v>-26.956998891079699</c:v>
                </c:pt>
                <c:pt idx="29">
                  <c:v>-19.372970655006998</c:v>
                </c:pt>
                <c:pt idx="30">
                  <c:v>-12.323702692580699</c:v>
                </c:pt>
                <c:pt idx="31">
                  <c:v>-9.9511336195521505</c:v>
                </c:pt>
                <c:pt idx="32">
                  <c:v>-6.7656427581712801</c:v>
                </c:pt>
                <c:pt idx="33">
                  <c:v>-4.9765537541862299</c:v>
                </c:pt>
                <c:pt idx="34">
                  <c:v>-2.4950079287323899</c:v>
                </c:pt>
                <c:pt idx="35">
                  <c:v>-3.0480705601385898</c:v>
                </c:pt>
                <c:pt idx="36">
                  <c:v>-5.1766544697237098</c:v>
                </c:pt>
                <c:pt idx="37">
                  <c:v>-3.2004478888848999</c:v>
                </c:pt>
                <c:pt idx="38">
                  <c:v>5.4200257597724404</c:v>
                </c:pt>
                <c:pt idx="39">
                  <c:v>34.973860050784197</c:v>
                </c:pt>
                <c:pt idx="40">
                  <c:v>39.271915613126097</c:v>
                </c:pt>
              </c:numCache>
            </c:numRef>
          </c:val>
          <c:smooth val="0"/>
          <c:extLst>
            <c:ext xmlns:c16="http://schemas.microsoft.com/office/drawing/2014/chart" uri="{C3380CC4-5D6E-409C-BE32-E72D297353CC}">
              <c16:uniqueId val="{00000001-880A-4652-9EA9-4025B6BA5964}"/>
            </c:ext>
          </c:extLst>
        </c:ser>
        <c:ser>
          <c:idx val="2"/>
          <c:order val="2"/>
          <c:tx>
            <c:strRef>
              <c:f>'GA2'!$F$1</c:f>
              <c:strCache>
                <c:ptCount val="1"/>
                <c:pt idx="0">
                  <c:v>Nowcasts</c:v>
                </c:pt>
              </c:strCache>
            </c:strRef>
          </c:tx>
          <c:spPr>
            <a:ln w="28575" cap="rnd">
              <a:solidFill>
                <a:srgbClr val="C00000"/>
              </a:solidFill>
              <a:round/>
            </a:ln>
            <a:effectLst/>
          </c:spPr>
          <c:marker>
            <c:symbol val="none"/>
          </c:marker>
          <c:cat>
            <c:multiLvlStrRef>
              <c:f>'GA2'!$B$2:$C$43</c:f>
              <c:multiLvlStrCache>
                <c:ptCount val="4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lvl>
                <c:lvl>
                  <c:pt idx="0">
                    <c:v>2018</c:v>
                  </c:pt>
                  <c:pt idx="12">
                    <c:v>2019</c:v>
                  </c:pt>
                  <c:pt idx="24">
                    <c:v>2020</c:v>
                  </c:pt>
                  <c:pt idx="36">
                    <c:v>2021</c:v>
                  </c:pt>
                </c:lvl>
              </c:multiLvlStrCache>
            </c:multiLvlStrRef>
          </c:cat>
          <c:val>
            <c:numRef>
              <c:f>'GA2'!$F$2:$F$43</c:f>
              <c:numCache>
                <c:formatCode>General</c:formatCode>
                <c:ptCount val="42"/>
                <c:pt idx="40">
                  <c:v>36.564378266528202</c:v>
                </c:pt>
                <c:pt idx="41">
                  <c:v>14.4113608219499</c:v>
                </c:pt>
              </c:numCache>
            </c:numRef>
          </c:val>
          <c:smooth val="0"/>
          <c:extLst>
            <c:ext xmlns:c16="http://schemas.microsoft.com/office/drawing/2014/chart" uri="{C3380CC4-5D6E-409C-BE32-E72D297353CC}">
              <c16:uniqueId val="{00000002-880A-4652-9EA9-4025B6BA5964}"/>
            </c:ext>
          </c:extLst>
        </c:ser>
        <c:ser>
          <c:idx val="3"/>
          <c:order val="3"/>
          <c:tx>
            <c:strRef>
              <c:f>'GA2'!$G$1</c:f>
              <c:strCache>
                <c:ptCount val="1"/>
                <c:pt idx="0">
                  <c:v>Inferior</c:v>
                </c:pt>
              </c:strCache>
            </c:strRef>
          </c:tx>
          <c:spPr>
            <a:ln w="19050" cap="rnd">
              <a:solidFill>
                <a:srgbClr val="00B050"/>
              </a:solidFill>
              <a:prstDash val="sysDash"/>
              <a:round/>
            </a:ln>
            <a:effectLst/>
          </c:spPr>
          <c:marker>
            <c:symbol val="none"/>
          </c:marker>
          <c:cat>
            <c:multiLvlStrRef>
              <c:f>'GA2'!$B$2:$C$43</c:f>
              <c:multiLvlStrCache>
                <c:ptCount val="4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lvl>
                <c:lvl>
                  <c:pt idx="0">
                    <c:v>2018</c:v>
                  </c:pt>
                  <c:pt idx="12">
                    <c:v>2019</c:v>
                  </c:pt>
                  <c:pt idx="24">
                    <c:v>2020</c:v>
                  </c:pt>
                  <c:pt idx="36">
                    <c:v>2021</c:v>
                  </c:pt>
                </c:lvl>
              </c:multiLvlStrCache>
            </c:multiLvlStrRef>
          </c:cat>
          <c:val>
            <c:numRef>
              <c:f>'GA2'!$G$2:$G$43</c:f>
              <c:numCache>
                <c:formatCode>General</c:formatCode>
                <c:ptCount val="42"/>
                <c:pt idx="40">
                  <c:v>36.564378266528202</c:v>
                </c:pt>
                <c:pt idx="41">
                  <c:v>11.7217089523315</c:v>
                </c:pt>
              </c:numCache>
            </c:numRef>
          </c:val>
          <c:smooth val="0"/>
          <c:extLst>
            <c:ext xmlns:c16="http://schemas.microsoft.com/office/drawing/2014/chart" uri="{C3380CC4-5D6E-409C-BE32-E72D297353CC}">
              <c16:uniqueId val="{00000003-880A-4652-9EA9-4025B6BA5964}"/>
            </c:ext>
          </c:extLst>
        </c:ser>
        <c:ser>
          <c:idx val="4"/>
          <c:order val="4"/>
          <c:tx>
            <c:strRef>
              <c:f>'GA2'!$H$1</c:f>
              <c:strCache>
                <c:ptCount val="1"/>
                <c:pt idx="0">
                  <c:v>Superior</c:v>
                </c:pt>
              </c:strCache>
            </c:strRef>
          </c:tx>
          <c:spPr>
            <a:ln w="28575" cap="rnd">
              <a:solidFill>
                <a:srgbClr val="00B050"/>
              </a:solidFill>
              <a:prstDash val="sysDash"/>
              <a:round/>
            </a:ln>
            <a:effectLst/>
          </c:spPr>
          <c:marker>
            <c:symbol val="none"/>
          </c:marker>
          <c:dPt>
            <c:idx val="35"/>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5-880A-4652-9EA9-4025B6BA5964}"/>
              </c:ext>
            </c:extLst>
          </c:dPt>
          <c:dPt>
            <c:idx val="41"/>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7-880A-4652-9EA9-4025B6BA5964}"/>
              </c:ext>
            </c:extLst>
          </c:dPt>
          <c:cat>
            <c:multiLvlStrRef>
              <c:f>'GA2'!$B$2:$C$43</c:f>
              <c:multiLvlStrCache>
                <c:ptCount val="4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lvl>
                <c:lvl>
                  <c:pt idx="0">
                    <c:v>2018</c:v>
                  </c:pt>
                  <c:pt idx="12">
                    <c:v>2019</c:v>
                  </c:pt>
                  <c:pt idx="24">
                    <c:v>2020</c:v>
                  </c:pt>
                  <c:pt idx="36">
                    <c:v>2021</c:v>
                  </c:pt>
                </c:lvl>
              </c:multiLvlStrCache>
            </c:multiLvlStrRef>
          </c:cat>
          <c:val>
            <c:numRef>
              <c:f>'GA2'!$H$2:$H$43</c:f>
              <c:numCache>
                <c:formatCode>General</c:formatCode>
                <c:ptCount val="42"/>
                <c:pt idx="40">
                  <c:v>36.564378266528202</c:v>
                </c:pt>
                <c:pt idx="41">
                  <c:v>17.0985523586317</c:v>
                </c:pt>
              </c:numCache>
            </c:numRef>
          </c:val>
          <c:smooth val="0"/>
          <c:extLst>
            <c:ext xmlns:c16="http://schemas.microsoft.com/office/drawing/2014/chart" uri="{C3380CC4-5D6E-409C-BE32-E72D297353CC}">
              <c16:uniqueId val="{00000008-880A-4652-9EA9-4025B6BA5964}"/>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90943808"/>
        <c:crosses val="autoZero"/>
        <c:auto val="1"/>
        <c:lblAlgn val="ctr"/>
        <c:lblOffset val="100"/>
        <c:noMultiLvlLbl val="0"/>
      </c:catAx>
      <c:valAx>
        <c:axId val="490943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90947416"/>
        <c:crosses val="autoZero"/>
        <c:crossBetween val="between"/>
      </c:valAx>
      <c:spPr>
        <a:noFill/>
        <a:ln>
          <a:solidFill>
            <a:sysClr val="windowText" lastClr="000000"/>
          </a:solidFill>
        </a:ln>
        <a:effectLst/>
      </c:spPr>
    </c:plotArea>
    <c:legend>
      <c:legendPos val="b"/>
      <c:layout>
        <c:manualLayout>
          <c:xMode val="edge"/>
          <c:yMode val="edge"/>
          <c:x val="0.13694484923443667"/>
          <c:y val="0.93303524559430073"/>
          <c:w val="0.72611013825449111"/>
          <c:h val="6.696475440569929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489927872546253E-2"/>
          <c:y val="4.3650793650793648E-2"/>
          <c:w val="0.91828869758309761"/>
          <c:h val="0.74644231971003627"/>
        </c:manualLayout>
      </c:layout>
      <c:lineChart>
        <c:grouping val="standard"/>
        <c:varyColors val="0"/>
        <c:ser>
          <c:idx val="0"/>
          <c:order val="0"/>
          <c:tx>
            <c:strRef>
              <c:f>'GA3'!$D$1</c:f>
              <c:strCache>
                <c:ptCount val="1"/>
                <c:pt idx="0">
                  <c:v>IGAE</c:v>
                </c:pt>
              </c:strCache>
            </c:strRef>
          </c:tx>
          <c:spPr>
            <a:ln w="28575" cap="rnd">
              <a:solidFill>
                <a:schemeClr val="accent1"/>
              </a:solidFill>
              <a:round/>
            </a:ln>
            <a:effectLst/>
          </c:spPr>
          <c:marker>
            <c:symbol val="none"/>
          </c:marker>
          <c:cat>
            <c:multiLvlStrRef>
              <c:f>'GA3'!$B$2:$C$43</c:f>
              <c:multiLvlStrCache>
                <c:ptCount val="4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lvl>
                <c:lvl>
                  <c:pt idx="0">
                    <c:v>2018</c:v>
                  </c:pt>
                  <c:pt idx="12">
                    <c:v>2019</c:v>
                  </c:pt>
                  <c:pt idx="24">
                    <c:v>2020</c:v>
                  </c:pt>
                  <c:pt idx="36">
                    <c:v>2021</c:v>
                  </c:pt>
                </c:lvl>
              </c:multiLvlStrCache>
            </c:multiLvlStrRef>
          </c:cat>
          <c:val>
            <c:numRef>
              <c:f>'GA3'!$D$2:$D$43</c:f>
              <c:numCache>
                <c:formatCode>General</c:formatCode>
                <c:ptCount val="42"/>
                <c:pt idx="0">
                  <c:v>1.69506634774035</c:v>
                </c:pt>
                <c:pt idx="1">
                  <c:v>2.7833812468265098</c:v>
                </c:pt>
                <c:pt idx="2">
                  <c:v>3.67418811766002</c:v>
                </c:pt>
                <c:pt idx="3">
                  <c:v>2.7743521781108198</c:v>
                </c:pt>
                <c:pt idx="4">
                  <c:v>3.3666986752786099</c:v>
                </c:pt>
                <c:pt idx="5">
                  <c:v>2.8557031660542802</c:v>
                </c:pt>
                <c:pt idx="6">
                  <c:v>3.9084073207267198</c:v>
                </c:pt>
                <c:pt idx="7">
                  <c:v>3.3212709769054198</c:v>
                </c:pt>
                <c:pt idx="8">
                  <c:v>3.71936794819689</c:v>
                </c:pt>
                <c:pt idx="9">
                  <c:v>2.7901035901928002</c:v>
                </c:pt>
                <c:pt idx="10">
                  <c:v>2.27458862042617</c:v>
                </c:pt>
                <c:pt idx="11">
                  <c:v>0.40710098735945599</c:v>
                </c:pt>
                <c:pt idx="12">
                  <c:v>2.4166737411425898</c:v>
                </c:pt>
                <c:pt idx="13">
                  <c:v>1.3249589623278599</c:v>
                </c:pt>
                <c:pt idx="14">
                  <c:v>0.11434757160601799</c:v>
                </c:pt>
                <c:pt idx="15">
                  <c:v>0.61161172879251102</c:v>
                </c:pt>
                <c:pt idx="16">
                  <c:v>1.2128041589894301</c:v>
                </c:pt>
                <c:pt idx="17">
                  <c:v>0.771902448714059</c:v>
                </c:pt>
                <c:pt idx="18">
                  <c:v>0.66700079037545401</c:v>
                </c:pt>
                <c:pt idx="19">
                  <c:v>1.4347449677416101E-2</c:v>
                </c:pt>
                <c:pt idx="20">
                  <c:v>0.20304519728846099</c:v>
                </c:pt>
                <c:pt idx="21">
                  <c:v>0.26089309591306198</c:v>
                </c:pt>
                <c:pt idx="22">
                  <c:v>-0.41139962496147597</c:v>
                </c:pt>
                <c:pt idx="23">
                  <c:v>5.6872107940407098E-2</c:v>
                </c:pt>
                <c:pt idx="24">
                  <c:v>-5.3067130380455303E-2</c:v>
                </c:pt>
                <c:pt idx="25">
                  <c:v>-0.538413645344477</c:v>
                </c:pt>
                <c:pt idx="26">
                  <c:v>-2.1517404524322798</c:v>
                </c:pt>
                <c:pt idx="27">
                  <c:v>-16.138805937632799</c:v>
                </c:pt>
                <c:pt idx="28">
                  <c:v>-18.771998996056901</c:v>
                </c:pt>
                <c:pt idx="29">
                  <c:v>-13.796478494897199</c:v>
                </c:pt>
                <c:pt idx="30">
                  <c:v>-10.080732660510501</c:v>
                </c:pt>
                <c:pt idx="31">
                  <c:v>-8.9475294110887909</c:v>
                </c:pt>
                <c:pt idx="32">
                  <c:v>-7.0612027093976097</c:v>
                </c:pt>
                <c:pt idx="33">
                  <c:v>-6.1367628880631697</c:v>
                </c:pt>
                <c:pt idx="34">
                  <c:v>-4.6691068714367701</c:v>
                </c:pt>
                <c:pt idx="35">
                  <c:v>-4.3171877848686604</c:v>
                </c:pt>
                <c:pt idx="36">
                  <c:v>-4.6117467122583404</c:v>
                </c:pt>
                <c:pt idx="37">
                  <c:v>-4.8246953652874502</c:v>
                </c:pt>
                <c:pt idx="38">
                  <c:v>1.6392482073840101E-2</c:v>
                </c:pt>
                <c:pt idx="39">
                  <c:v>16.985345656783501</c:v>
                </c:pt>
              </c:numCache>
            </c:numRef>
          </c:val>
          <c:smooth val="0"/>
          <c:extLst>
            <c:ext xmlns:c16="http://schemas.microsoft.com/office/drawing/2014/chart" uri="{C3380CC4-5D6E-409C-BE32-E72D297353CC}">
              <c16:uniqueId val="{00000000-4B5F-45D9-8A3E-B02883E924BF}"/>
            </c:ext>
          </c:extLst>
        </c:ser>
        <c:ser>
          <c:idx val="1"/>
          <c:order val="1"/>
          <c:tx>
            <c:strRef>
              <c:f>'GA3'!$E$1</c:f>
              <c:strCache>
                <c:ptCount val="1"/>
                <c:pt idx="0">
                  <c:v>Ajuste</c:v>
                </c:pt>
              </c:strCache>
            </c:strRef>
          </c:tx>
          <c:spPr>
            <a:ln w="19050" cap="rnd">
              <a:solidFill>
                <a:schemeClr val="bg2">
                  <a:lumMod val="50000"/>
                </a:schemeClr>
              </a:solidFill>
              <a:prstDash val="sysDash"/>
              <a:round/>
            </a:ln>
            <a:effectLst/>
          </c:spPr>
          <c:marker>
            <c:symbol val="none"/>
          </c:marker>
          <c:cat>
            <c:multiLvlStrRef>
              <c:f>'GA3'!$B$2:$C$43</c:f>
              <c:multiLvlStrCache>
                <c:ptCount val="4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lvl>
                <c:lvl>
                  <c:pt idx="0">
                    <c:v>2018</c:v>
                  </c:pt>
                  <c:pt idx="12">
                    <c:v>2019</c:v>
                  </c:pt>
                  <c:pt idx="24">
                    <c:v>2020</c:v>
                  </c:pt>
                  <c:pt idx="36">
                    <c:v>2021</c:v>
                  </c:pt>
                </c:lvl>
              </c:multiLvlStrCache>
            </c:multiLvlStrRef>
          </c:cat>
          <c:val>
            <c:numRef>
              <c:f>'GA3'!$E$2:$E$43</c:f>
              <c:numCache>
                <c:formatCode>General</c:formatCode>
                <c:ptCount val="42"/>
                <c:pt idx="0">
                  <c:v>3.1670871817316799</c:v>
                </c:pt>
                <c:pt idx="1">
                  <c:v>2.3254647072974599</c:v>
                </c:pt>
                <c:pt idx="2">
                  <c:v>3.1119743271717799</c:v>
                </c:pt>
                <c:pt idx="3">
                  <c:v>2.9241593322026702</c:v>
                </c:pt>
                <c:pt idx="4">
                  <c:v>2.6947521906999801</c:v>
                </c:pt>
                <c:pt idx="5">
                  <c:v>2.74989044664061</c:v>
                </c:pt>
                <c:pt idx="6">
                  <c:v>3.1887575898132199</c:v>
                </c:pt>
                <c:pt idx="7">
                  <c:v>3.3400992142207002</c:v>
                </c:pt>
                <c:pt idx="8">
                  <c:v>3.5452733703286299</c:v>
                </c:pt>
                <c:pt idx="9">
                  <c:v>2.9315932389757799</c:v>
                </c:pt>
                <c:pt idx="10">
                  <c:v>2.2265653158758001</c:v>
                </c:pt>
                <c:pt idx="11">
                  <c:v>1.37142281267512</c:v>
                </c:pt>
                <c:pt idx="12">
                  <c:v>1.7906999789818501</c:v>
                </c:pt>
                <c:pt idx="13">
                  <c:v>2.4133096060053201</c:v>
                </c:pt>
                <c:pt idx="14">
                  <c:v>1.2304789266667799</c:v>
                </c:pt>
                <c:pt idx="15">
                  <c:v>1.3235363812718</c:v>
                </c:pt>
                <c:pt idx="16">
                  <c:v>0.68136756041239999</c:v>
                </c:pt>
                <c:pt idx="17">
                  <c:v>1.0878342365120699</c:v>
                </c:pt>
                <c:pt idx="18">
                  <c:v>-5.8741842749627203E-2</c:v>
                </c:pt>
                <c:pt idx="19">
                  <c:v>0.62413469337216199</c:v>
                </c:pt>
                <c:pt idx="20">
                  <c:v>-0.38601359558631099</c:v>
                </c:pt>
                <c:pt idx="21">
                  <c:v>1.2846978822047101E-2</c:v>
                </c:pt>
                <c:pt idx="22">
                  <c:v>0.44733989198458202</c:v>
                </c:pt>
                <c:pt idx="23">
                  <c:v>0.70036035505746497</c:v>
                </c:pt>
                <c:pt idx="24">
                  <c:v>-0.29660289170028498</c:v>
                </c:pt>
                <c:pt idx="25">
                  <c:v>-1.23898032911795</c:v>
                </c:pt>
                <c:pt idx="26">
                  <c:v>-4.99865759795152</c:v>
                </c:pt>
                <c:pt idx="27">
                  <c:v>-15.7136886436639</c:v>
                </c:pt>
                <c:pt idx="28">
                  <c:v>-17.817111466307601</c:v>
                </c:pt>
                <c:pt idx="29">
                  <c:v>-12.608628064385099</c:v>
                </c:pt>
                <c:pt idx="30">
                  <c:v>-10.007809930154799</c:v>
                </c:pt>
                <c:pt idx="31">
                  <c:v>-7.9146271428904598</c:v>
                </c:pt>
                <c:pt idx="32">
                  <c:v>-7.2061273720700196</c:v>
                </c:pt>
                <c:pt idx="33">
                  <c:v>-5.3901023155862502</c:v>
                </c:pt>
                <c:pt idx="34">
                  <c:v>-5.1986464522111202</c:v>
                </c:pt>
                <c:pt idx="35">
                  <c:v>-4.4547196649276097</c:v>
                </c:pt>
                <c:pt idx="36">
                  <c:v>-4.8296437531347101</c:v>
                </c:pt>
                <c:pt idx="37">
                  <c:v>-3.6724035012114902</c:v>
                </c:pt>
                <c:pt idx="38">
                  <c:v>1.1990564416662199</c:v>
                </c:pt>
                <c:pt idx="39">
                  <c:v>15.587246575673699</c:v>
                </c:pt>
              </c:numCache>
            </c:numRef>
          </c:val>
          <c:smooth val="0"/>
          <c:extLst>
            <c:ext xmlns:c16="http://schemas.microsoft.com/office/drawing/2014/chart" uri="{C3380CC4-5D6E-409C-BE32-E72D297353CC}">
              <c16:uniqueId val="{00000001-4B5F-45D9-8A3E-B02883E924BF}"/>
            </c:ext>
          </c:extLst>
        </c:ser>
        <c:ser>
          <c:idx val="2"/>
          <c:order val="2"/>
          <c:tx>
            <c:strRef>
              <c:f>'GA3'!$F$1</c:f>
              <c:strCache>
                <c:ptCount val="1"/>
                <c:pt idx="0">
                  <c:v>Nowcasts</c:v>
                </c:pt>
              </c:strCache>
            </c:strRef>
          </c:tx>
          <c:spPr>
            <a:ln w="28575" cap="rnd">
              <a:solidFill>
                <a:srgbClr val="C00000"/>
              </a:solidFill>
              <a:round/>
            </a:ln>
            <a:effectLst/>
          </c:spPr>
          <c:marker>
            <c:symbol val="none"/>
          </c:marker>
          <c:cat>
            <c:multiLvlStrRef>
              <c:f>'GA3'!$B$2:$C$43</c:f>
              <c:multiLvlStrCache>
                <c:ptCount val="4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lvl>
                <c:lvl>
                  <c:pt idx="0">
                    <c:v>2018</c:v>
                  </c:pt>
                  <c:pt idx="12">
                    <c:v>2019</c:v>
                  </c:pt>
                  <c:pt idx="24">
                    <c:v>2020</c:v>
                  </c:pt>
                  <c:pt idx="36">
                    <c:v>2021</c:v>
                  </c:pt>
                </c:lvl>
              </c:multiLvlStrCache>
            </c:multiLvlStrRef>
          </c:cat>
          <c:val>
            <c:numRef>
              <c:f>'GA3'!$F$2:$F$43</c:f>
              <c:numCache>
                <c:formatCode>General</c:formatCode>
                <c:ptCount val="42"/>
                <c:pt idx="39" formatCode="0.0000000">
                  <c:v>16.985345656783501</c:v>
                </c:pt>
                <c:pt idx="40">
                  <c:v>20.172469705136098</c:v>
                </c:pt>
                <c:pt idx="41">
                  <c:v>13.9725436873078</c:v>
                </c:pt>
              </c:numCache>
            </c:numRef>
          </c:val>
          <c:smooth val="0"/>
          <c:extLst>
            <c:ext xmlns:c16="http://schemas.microsoft.com/office/drawing/2014/chart" uri="{C3380CC4-5D6E-409C-BE32-E72D297353CC}">
              <c16:uniqueId val="{00000002-4B5F-45D9-8A3E-B02883E924BF}"/>
            </c:ext>
          </c:extLst>
        </c:ser>
        <c:ser>
          <c:idx val="3"/>
          <c:order val="3"/>
          <c:tx>
            <c:strRef>
              <c:f>'GA3'!$G$1</c:f>
              <c:strCache>
                <c:ptCount val="1"/>
                <c:pt idx="0">
                  <c:v>Inferior</c:v>
                </c:pt>
              </c:strCache>
            </c:strRef>
          </c:tx>
          <c:spPr>
            <a:ln w="19050" cap="rnd">
              <a:solidFill>
                <a:srgbClr val="00B050"/>
              </a:solidFill>
              <a:prstDash val="sysDash"/>
              <a:round/>
            </a:ln>
            <a:effectLst/>
          </c:spPr>
          <c:marker>
            <c:symbol val="none"/>
          </c:marker>
          <c:cat>
            <c:multiLvlStrRef>
              <c:f>'GA3'!$B$2:$C$43</c:f>
              <c:multiLvlStrCache>
                <c:ptCount val="4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lvl>
                <c:lvl>
                  <c:pt idx="0">
                    <c:v>2018</c:v>
                  </c:pt>
                  <c:pt idx="12">
                    <c:v>2019</c:v>
                  </c:pt>
                  <c:pt idx="24">
                    <c:v>2020</c:v>
                  </c:pt>
                  <c:pt idx="36">
                    <c:v>2021</c:v>
                  </c:pt>
                </c:lvl>
              </c:multiLvlStrCache>
            </c:multiLvlStrRef>
          </c:cat>
          <c:val>
            <c:numRef>
              <c:f>'GA3'!$G$2:$G$43</c:f>
              <c:numCache>
                <c:formatCode>General</c:formatCode>
                <c:ptCount val="42"/>
                <c:pt idx="39" formatCode="0.0000000">
                  <c:v>16.985345656783501</c:v>
                </c:pt>
                <c:pt idx="40">
                  <c:v>18.7749847558125</c:v>
                </c:pt>
                <c:pt idx="41">
                  <c:v>12.602338245558601</c:v>
                </c:pt>
              </c:numCache>
            </c:numRef>
          </c:val>
          <c:smooth val="0"/>
          <c:extLst>
            <c:ext xmlns:c16="http://schemas.microsoft.com/office/drawing/2014/chart" uri="{C3380CC4-5D6E-409C-BE32-E72D297353CC}">
              <c16:uniqueId val="{00000003-4B5F-45D9-8A3E-B02883E924BF}"/>
            </c:ext>
          </c:extLst>
        </c:ser>
        <c:ser>
          <c:idx val="4"/>
          <c:order val="4"/>
          <c:tx>
            <c:strRef>
              <c:f>'GA3'!$H$1</c:f>
              <c:strCache>
                <c:ptCount val="1"/>
                <c:pt idx="0">
                  <c:v>Superior</c:v>
                </c:pt>
              </c:strCache>
            </c:strRef>
          </c:tx>
          <c:spPr>
            <a:ln w="19050" cap="rnd">
              <a:solidFill>
                <a:srgbClr val="00B050"/>
              </a:solidFill>
              <a:prstDash val="sysDash"/>
              <a:round/>
            </a:ln>
            <a:effectLst/>
          </c:spPr>
          <c:marker>
            <c:symbol val="none"/>
          </c:marker>
          <c:cat>
            <c:multiLvlStrRef>
              <c:f>'GA3'!$B$2:$C$43</c:f>
              <c:multiLvlStrCache>
                <c:ptCount val="4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lvl>
                <c:lvl>
                  <c:pt idx="0">
                    <c:v>2018</c:v>
                  </c:pt>
                  <c:pt idx="12">
                    <c:v>2019</c:v>
                  </c:pt>
                  <c:pt idx="24">
                    <c:v>2020</c:v>
                  </c:pt>
                  <c:pt idx="36">
                    <c:v>2021</c:v>
                  </c:pt>
                </c:lvl>
              </c:multiLvlStrCache>
            </c:multiLvlStrRef>
          </c:cat>
          <c:val>
            <c:numRef>
              <c:f>'GA3'!$H$2:$H$43</c:f>
              <c:numCache>
                <c:formatCode>General</c:formatCode>
                <c:ptCount val="42"/>
                <c:pt idx="39" formatCode="0.0000000">
                  <c:v>16.985345656783501</c:v>
                </c:pt>
                <c:pt idx="40">
                  <c:v>21.565894562566701</c:v>
                </c:pt>
                <c:pt idx="41">
                  <c:v>15.342749129056999</c:v>
                </c:pt>
              </c:numCache>
            </c:numRef>
          </c:val>
          <c:smooth val="0"/>
          <c:extLst>
            <c:ext xmlns:c16="http://schemas.microsoft.com/office/drawing/2014/chart" uri="{C3380CC4-5D6E-409C-BE32-E72D297353CC}">
              <c16:uniqueId val="{00000004-4B5F-45D9-8A3E-B02883E924BF}"/>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490943808"/>
        <c:crosses val="autoZero"/>
        <c:auto val="1"/>
        <c:lblAlgn val="ctr"/>
        <c:lblOffset val="100"/>
        <c:noMultiLvlLbl val="0"/>
      </c:catAx>
      <c:valAx>
        <c:axId val="490943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490947416"/>
        <c:crosses val="autoZero"/>
        <c:crossBetween val="between"/>
      </c:valAx>
      <c:spPr>
        <a:noFill/>
        <a:ln>
          <a:solidFill>
            <a:sysClr val="windowText" lastClr="000000"/>
          </a:solidFill>
        </a:ln>
        <a:effectLst/>
      </c:spPr>
    </c:plotArea>
    <c:legend>
      <c:legendPos val="b"/>
      <c:layout>
        <c:manualLayout>
          <c:xMode val="edge"/>
          <c:yMode val="edge"/>
          <c:x val="0.13901846250556163"/>
          <c:y val="0.93303524559430073"/>
          <c:w val="0.72611013825449111"/>
          <c:h val="6.696475440569929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ysClr val="windowText" lastClr="000000"/>
      </a:solidFill>
      <a:round/>
    </a:ln>
    <a:effectLst/>
  </c:spPr>
  <c:txPr>
    <a:bodyPr/>
    <a:lstStyle/>
    <a:p>
      <a:pPr>
        <a:defRPr>
          <a:latin typeface="Arial" panose="020B0604020202020204" pitchFamily="34" charset="0"/>
          <a:cs typeface="Arial" panose="020B0604020202020204" pitchFamily="34" charset="0"/>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53932405732319E-2"/>
          <c:y val="4.3650793650793648E-2"/>
          <c:w val="0.9182984668925106"/>
          <c:h val="0.76968497588484919"/>
        </c:manualLayout>
      </c:layout>
      <c:lineChart>
        <c:grouping val="standard"/>
        <c:varyColors val="0"/>
        <c:ser>
          <c:idx val="0"/>
          <c:order val="0"/>
          <c:tx>
            <c:strRef>
              <c:f>IGAE_vm!$D$1</c:f>
              <c:strCache>
                <c:ptCount val="1"/>
                <c:pt idx="0">
                  <c:v>IGAE</c:v>
                </c:pt>
              </c:strCache>
            </c:strRef>
          </c:tx>
          <c:spPr>
            <a:ln w="28575" cap="rnd">
              <a:solidFill>
                <a:schemeClr val="accent1"/>
              </a:solidFill>
              <a:round/>
            </a:ln>
            <a:effectLst/>
          </c:spPr>
          <c:marker>
            <c:symbol val="none"/>
          </c:marker>
          <c:cat>
            <c:multiLvlStrRef>
              <c:f>IGAE_vm!$B$2:$C$43</c:f>
              <c:multiLvlStrCache>
                <c:ptCount val="4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lvl>
                <c:lvl>
                  <c:pt idx="0">
                    <c:v>2018</c:v>
                  </c:pt>
                  <c:pt idx="12">
                    <c:v>2019</c:v>
                  </c:pt>
                  <c:pt idx="24">
                    <c:v>2020</c:v>
                  </c:pt>
                  <c:pt idx="36">
                    <c:v>2021</c:v>
                  </c:pt>
                </c:lvl>
              </c:multiLvlStrCache>
            </c:multiLvlStrRef>
          </c:cat>
          <c:val>
            <c:numRef>
              <c:f>IGAE_vm!$D$2:$D$43</c:f>
              <c:numCache>
                <c:formatCode>General</c:formatCode>
                <c:ptCount val="42"/>
                <c:pt idx="0">
                  <c:v>-1.04356703960566</c:v>
                </c:pt>
                <c:pt idx="1">
                  <c:v>0.51501018653854702</c:v>
                </c:pt>
                <c:pt idx="2">
                  <c:v>0.86213187336683506</c:v>
                </c:pt>
                <c:pt idx="3">
                  <c:v>-0.36534885410001999</c:v>
                </c:pt>
                <c:pt idx="4">
                  <c:v>0.46390886798444297</c:v>
                </c:pt>
                <c:pt idx="5">
                  <c:v>-0.11517045880368899</c:v>
                </c:pt>
                <c:pt idx="6">
                  <c:v>0.222827230269246</c:v>
                </c:pt>
                <c:pt idx="7">
                  <c:v>2.4737683320537902E-2</c:v>
                </c:pt>
                <c:pt idx="8">
                  <c:v>-0.40667441797292297</c:v>
                </c:pt>
                <c:pt idx="9">
                  <c:v>-0.22367376858026899</c:v>
                </c:pt>
                <c:pt idx="10">
                  <c:v>6.3412431431998997E-2</c:v>
                </c:pt>
                <c:pt idx="11">
                  <c:v>-0.49289153213804598</c:v>
                </c:pt>
                <c:pt idx="12">
                  <c:v>0.72515422587156297</c:v>
                </c:pt>
                <c:pt idx="13">
                  <c:v>0.13287728541628499</c:v>
                </c:pt>
                <c:pt idx="14">
                  <c:v>-0.73563364018618005</c:v>
                </c:pt>
                <c:pt idx="15">
                  <c:v>0.48897899623281699</c:v>
                </c:pt>
                <c:pt idx="16">
                  <c:v>2.7136590297388401E-2</c:v>
                </c:pt>
                <c:pt idx="17">
                  <c:v>6.9952373097066797E-2</c:v>
                </c:pt>
                <c:pt idx="18">
                  <c:v>2.0598895799395198E-2</c:v>
                </c:pt>
                <c:pt idx="19">
                  <c:v>-0.124311724777826</c:v>
                </c:pt>
                <c:pt idx="20">
                  <c:v>-0.39039113124091801</c:v>
                </c:pt>
                <c:pt idx="21">
                  <c:v>-0.341868356637548</c:v>
                </c:pt>
                <c:pt idx="22">
                  <c:v>-0.40606014713385702</c:v>
                </c:pt>
                <c:pt idx="23">
                  <c:v>9.7150734733574495E-2</c:v>
                </c:pt>
                <c:pt idx="24">
                  <c:v>0.63627761902644397</c:v>
                </c:pt>
                <c:pt idx="25">
                  <c:v>-1.0604725129085499</c:v>
                </c:pt>
                <c:pt idx="26">
                  <c:v>-1.6457685792457399</c:v>
                </c:pt>
                <c:pt idx="27">
                  <c:v>-17.314546317137498</c:v>
                </c:pt>
                <c:pt idx="28">
                  <c:v>-1.9524152587803201</c:v>
                </c:pt>
                <c:pt idx="29">
                  <c:v>8.8391947535519506</c:v>
                </c:pt>
                <c:pt idx="30">
                  <c:v>5.4299997500097703</c:v>
                </c:pt>
                <c:pt idx="31">
                  <c:v>1.59162175316487</c:v>
                </c:pt>
                <c:pt idx="32">
                  <c:v>1.3061193947154901</c:v>
                </c:pt>
                <c:pt idx="33">
                  <c:v>1.7532576087746301</c:v>
                </c:pt>
                <c:pt idx="34">
                  <c:v>0.79084675779890301</c:v>
                </c:pt>
                <c:pt idx="35">
                  <c:v>-9.8113637302304796E-2</c:v>
                </c:pt>
                <c:pt idx="36">
                  <c:v>0.34908317950596801</c:v>
                </c:pt>
                <c:pt idx="37">
                  <c:v>-0.61168655090044399</c:v>
                </c:pt>
                <c:pt idx="38">
                  <c:v>2.7470237425428499</c:v>
                </c:pt>
                <c:pt idx="39">
                  <c:v>-0.15649648568152899</c:v>
                </c:pt>
              </c:numCache>
            </c:numRef>
          </c:val>
          <c:smooth val="0"/>
          <c:extLst>
            <c:ext xmlns:c16="http://schemas.microsoft.com/office/drawing/2014/chart" uri="{C3380CC4-5D6E-409C-BE32-E72D297353CC}">
              <c16:uniqueId val="{00000000-7A5C-47FE-ACC6-29FD2DD4EFA0}"/>
            </c:ext>
          </c:extLst>
        </c:ser>
        <c:ser>
          <c:idx val="1"/>
          <c:order val="1"/>
          <c:tx>
            <c:strRef>
              <c:f>IGAE_vm!$E$1</c:f>
              <c:strCache>
                <c:ptCount val="1"/>
                <c:pt idx="0">
                  <c:v>Ajuste</c:v>
                </c:pt>
              </c:strCache>
            </c:strRef>
          </c:tx>
          <c:spPr>
            <a:ln w="19050" cap="rnd">
              <a:solidFill>
                <a:schemeClr val="tx1"/>
              </a:solidFill>
              <a:prstDash val="sysDash"/>
              <a:round/>
            </a:ln>
            <a:effectLst/>
          </c:spPr>
          <c:marker>
            <c:symbol val="none"/>
          </c:marker>
          <c:cat>
            <c:multiLvlStrRef>
              <c:f>IGAE_vm!$B$2:$C$43</c:f>
              <c:multiLvlStrCache>
                <c:ptCount val="4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lvl>
                <c:lvl>
                  <c:pt idx="0">
                    <c:v>2018</c:v>
                  </c:pt>
                  <c:pt idx="12">
                    <c:v>2019</c:v>
                  </c:pt>
                  <c:pt idx="24">
                    <c:v>2020</c:v>
                  </c:pt>
                  <c:pt idx="36">
                    <c:v>2021</c:v>
                  </c:pt>
                </c:lvl>
              </c:multiLvlStrCache>
            </c:multiLvlStrRef>
          </c:cat>
          <c:val>
            <c:numRef>
              <c:f>IGAE_vm!$E$2:$E$43</c:f>
              <c:numCache>
                <c:formatCode>General</c:formatCode>
                <c:ptCount val="42"/>
                <c:pt idx="0">
                  <c:v>-0.90525521763957695</c:v>
                </c:pt>
                <c:pt idx="1">
                  <c:v>0.42226191521056899</c:v>
                </c:pt>
                <c:pt idx="2">
                  <c:v>0.65348630797616003</c:v>
                </c:pt>
                <c:pt idx="3">
                  <c:v>-0.205931760842543</c:v>
                </c:pt>
                <c:pt idx="4">
                  <c:v>-0.182412324126147</c:v>
                </c:pt>
                <c:pt idx="5">
                  <c:v>-0.34362953816513397</c:v>
                </c:pt>
                <c:pt idx="6">
                  <c:v>0.75686166854582604</c:v>
                </c:pt>
                <c:pt idx="7">
                  <c:v>-0.128735106918345</c:v>
                </c:pt>
                <c:pt idx="8">
                  <c:v>-2.0212131881105599E-2</c:v>
                </c:pt>
                <c:pt idx="9">
                  <c:v>-0.27544551545866802</c:v>
                </c:pt>
                <c:pt idx="10">
                  <c:v>-0.63290409825848304</c:v>
                </c:pt>
                <c:pt idx="11">
                  <c:v>-1.0505411365126101</c:v>
                </c:pt>
                <c:pt idx="12">
                  <c:v>0.60592764125299803</c:v>
                </c:pt>
                <c:pt idx="13">
                  <c:v>0.194395841565212</c:v>
                </c:pt>
                <c:pt idx="14">
                  <c:v>-0.10677353031898</c:v>
                </c:pt>
                <c:pt idx="15">
                  <c:v>0.38277553552452998</c:v>
                </c:pt>
                <c:pt idx="16">
                  <c:v>-0.41107485755099599</c:v>
                </c:pt>
                <c:pt idx="17">
                  <c:v>-0.342090259688761</c:v>
                </c:pt>
                <c:pt idx="18">
                  <c:v>-0.60236644690854402</c:v>
                </c:pt>
                <c:pt idx="19">
                  <c:v>-0.34752118490323602</c:v>
                </c:pt>
                <c:pt idx="20">
                  <c:v>-0.50931983598165598</c:v>
                </c:pt>
                <c:pt idx="21">
                  <c:v>-0.81864998189102101</c:v>
                </c:pt>
                <c:pt idx="22">
                  <c:v>3.0511581170741198E-2</c:v>
                </c:pt>
                <c:pt idx="23">
                  <c:v>-3.2335844266653903E-2</c:v>
                </c:pt>
                <c:pt idx="24">
                  <c:v>-0.132117863861961</c:v>
                </c:pt>
                <c:pt idx="25">
                  <c:v>-0.74429800905352905</c:v>
                </c:pt>
                <c:pt idx="26">
                  <c:v>-3.5792440896890101</c:v>
                </c:pt>
                <c:pt idx="27">
                  <c:v>-16.0402299728886</c:v>
                </c:pt>
                <c:pt idx="28">
                  <c:v>-0.97584261645325299</c:v>
                </c:pt>
                <c:pt idx="29">
                  <c:v>9.6516349759399507</c:v>
                </c:pt>
                <c:pt idx="30">
                  <c:v>5.5795308536327601</c:v>
                </c:pt>
                <c:pt idx="31">
                  <c:v>1.61057909701054</c:v>
                </c:pt>
                <c:pt idx="32">
                  <c:v>0.80530946870239595</c:v>
                </c:pt>
                <c:pt idx="33">
                  <c:v>0.80019662318645701</c:v>
                </c:pt>
                <c:pt idx="34">
                  <c:v>0.67399386382428395</c:v>
                </c:pt>
                <c:pt idx="35">
                  <c:v>-2.9921501996052199E-2</c:v>
                </c:pt>
                <c:pt idx="36">
                  <c:v>7.8517394971700599E-2</c:v>
                </c:pt>
                <c:pt idx="37">
                  <c:v>-8.3663025435656596E-2</c:v>
                </c:pt>
                <c:pt idx="38">
                  <c:v>2.6906323597720698</c:v>
                </c:pt>
                <c:pt idx="39">
                  <c:v>0.20882788480918801</c:v>
                </c:pt>
              </c:numCache>
            </c:numRef>
          </c:val>
          <c:smooth val="0"/>
          <c:extLst>
            <c:ext xmlns:c16="http://schemas.microsoft.com/office/drawing/2014/chart" uri="{C3380CC4-5D6E-409C-BE32-E72D297353CC}">
              <c16:uniqueId val="{00000001-7A5C-47FE-ACC6-29FD2DD4EFA0}"/>
            </c:ext>
          </c:extLst>
        </c:ser>
        <c:ser>
          <c:idx val="2"/>
          <c:order val="2"/>
          <c:tx>
            <c:strRef>
              <c:f>IGAE_vm!$F$1</c:f>
              <c:strCache>
                <c:ptCount val="1"/>
                <c:pt idx="0">
                  <c:v>Nowcasts</c:v>
                </c:pt>
              </c:strCache>
            </c:strRef>
          </c:tx>
          <c:spPr>
            <a:ln w="28575" cap="rnd">
              <a:solidFill>
                <a:srgbClr val="C00000"/>
              </a:solidFill>
              <a:round/>
            </a:ln>
            <a:effectLst/>
          </c:spPr>
          <c:marker>
            <c:symbol val="none"/>
          </c:marker>
          <c:cat>
            <c:multiLvlStrRef>
              <c:f>IGAE_vm!$B$2:$C$43</c:f>
              <c:multiLvlStrCache>
                <c:ptCount val="4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lvl>
                <c:lvl>
                  <c:pt idx="0">
                    <c:v>2018</c:v>
                  </c:pt>
                  <c:pt idx="12">
                    <c:v>2019</c:v>
                  </c:pt>
                  <c:pt idx="24">
                    <c:v>2020</c:v>
                  </c:pt>
                  <c:pt idx="36">
                    <c:v>2021</c:v>
                  </c:pt>
                </c:lvl>
              </c:multiLvlStrCache>
            </c:multiLvlStrRef>
          </c:cat>
          <c:val>
            <c:numRef>
              <c:f>IGAE_vm!$F$2:$F$43</c:f>
              <c:numCache>
                <c:formatCode>General</c:formatCode>
                <c:ptCount val="42"/>
                <c:pt idx="39">
                  <c:v>-0.15649648568152899</c:v>
                </c:pt>
                <c:pt idx="40">
                  <c:v>0.59979891674957697</c:v>
                </c:pt>
                <c:pt idx="41">
                  <c:v>0.261427584910436</c:v>
                </c:pt>
              </c:numCache>
            </c:numRef>
          </c:val>
          <c:smooth val="0"/>
          <c:extLst>
            <c:ext xmlns:c16="http://schemas.microsoft.com/office/drawing/2014/chart" uri="{C3380CC4-5D6E-409C-BE32-E72D297353CC}">
              <c16:uniqueId val="{00000002-7A5C-47FE-ACC6-29FD2DD4EFA0}"/>
            </c:ext>
          </c:extLst>
        </c:ser>
        <c:ser>
          <c:idx val="3"/>
          <c:order val="3"/>
          <c:tx>
            <c:strRef>
              <c:f>IGAE_vm!$G$1</c:f>
              <c:strCache>
                <c:ptCount val="1"/>
                <c:pt idx="0">
                  <c:v>Inferior</c:v>
                </c:pt>
              </c:strCache>
            </c:strRef>
          </c:tx>
          <c:spPr>
            <a:ln w="19050" cap="rnd">
              <a:solidFill>
                <a:srgbClr val="00B050"/>
              </a:solidFill>
              <a:prstDash val="sysDash"/>
              <a:round/>
            </a:ln>
            <a:effectLst/>
          </c:spPr>
          <c:marker>
            <c:symbol val="none"/>
          </c:marker>
          <c:dPt>
            <c:idx val="34"/>
            <c:marker>
              <c:symbol val="none"/>
            </c:marker>
            <c:bubble3D val="0"/>
            <c:extLst>
              <c:ext xmlns:c16="http://schemas.microsoft.com/office/drawing/2014/chart" uri="{C3380CC4-5D6E-409C-BE32-E72D297353CC}">
                <c16:uniqueId val="{00000003-7A5C-47FE-ACC6-29FD2DD4EFA0}"/>
              </c:ext>
            </c:extLst>
          </c:dPt>
          <c:dPt>
            <c:idx val="35"/>
            <c:marker>
              <c:symbol val="none"/>
            </c:marker>
            <c:bubble3D val="0"/>
            <c:extLst>
              <c:ext xmlns:c16="http://schemas.microsoft.com/office/drawing/2014/chart" uri="{C3380CC4-5D6E-409C-BE32-E72D297353CC}">
                <c16:uniqueId val="{00000004-7A5C-47FE-ACC6-29FD2DD4EFA0}"/>
              </c:ext>
            </c:extLst>
          </c:dPt>
          <c:cat>
            <c:multiLvlStrRef>
              <c:f>IGAE_vm!$B$2:$C$43</c:f>
              <c:multiLvlStrCache>
                <c:ptCount val="4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lvl>
                <c:lvl>
                  <c:pt idx="0">
                    <c:v>2018</c:v>
                  </c:pt>
                  <c:pt idx="12">
                    <c:v>2019</c:v>
                  </c:pt>
                  <c:pt idx="24">
                    <c:v>2020</c:v>
                  </c:pt>
                  <c:pt idx="36">
                    <c:v>2021</c:v>
                  </c:pt>
                </c:lvl>
              </c:multiLvlStrCache>
            </c:multiLvlStrRef>
          </c:cat>
          <c:val>
            <c:numRef>
              <c:f>IGAE_vm!$G$2:$G$43</c:f>
              <c:numCache>
                <c:formatCode>General</c:formatCode>
                <c:ptCount val="42"/>
                <c:pt idx="39">
                  <c:v>-0.15649648568152899</c:v>
                </c:pt>
                <c:pt idx="40">
                  <c:v>-0.51602822717012498</c:v>
                </c:pt>
                <c:pt idx="41">
                  <c:v>-0.89999111958356104</c:v>
                </c:pt>
              </c:numCache>
            </c:numRef>
          </c:val>
          <c:smooth val="0"/>
          <c:extLst>
            <c:ext xmlns:c16="http://schemas.microsoft.com/office/drawing/2014/chart" uri="{C3380CC4-5D6E-409C-BE32-E72D297353CC}">
              <c16:uniqueId val="{00000005-7A5C-47FE-ACC6-29FD2DD4EFA0}"/>
            </c:ext>
          </c:extLst>
        </c:ser>
        <c:ser>
          <c:idx val="4"/>
          <c:order val="4"/>
          <c:tx>
            <c:strRef>
              <c:f>IGAE_vm!$H$1</c:f>
              <c:strCache>
                <c:ptCount val="1"/>
                <c:pt idx="0">
                  <c:v>Superior</c:v>
                </c:pt>
              </c:strCache>
            </c:strRef>
          </c:tx>
          <c:spPr>
            <a:ln w="12700" cap="rnd">
              <a:solidFill>
                <a:srgbClr val="00B050"/>
              </a:solidFill>
              <a:prstDash val="sysDash"/>
              <a:round/>
            </a:ln>
            <a:effectLst/>
          </c:spPr>
          <c:marker>
            <c:symbol val="none"/>
          </c:marker>
          <c:dPt>
            <c:idx val="34"/>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7-7A5C-47FE-ACC6-29FD2DD4EFA0}"/>
              </c:ext>
            </c:extLst>
          </c:dPt>
          <c:dPt>
            <c:idx val="35"/>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9-7A5C-47FE-ACC6-29FD2DD4EFA0}"/>
              </c:ext>
            </c:extLst>
          </c:dPt>
          <c:dPt>
            <c:idx val="41"/>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B-7A5C-47FE-ACC6-29FD2DD4EFA0}"/>
              </c:ext>
            </c:extLst>
          </c:dPt>
          <c:cat>
            <c:multiLvlStrRef>
              <c:f>IGAE_vm!$B$2:$C$43</c:f>
              <c:multiLvlStrCache>
                <c:ptCount val="4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lvl>
                <c:lvl>
                  <c:pt idx="0">
                    <c:v>2018</c:v>
                  </c:pt>
                  <c:pt idx="12">
                    <c:v>2019</c:v>
                  </c:pt>
                  <c:pt idx="24">
                    <c:v>2020</c:v>
                  </c:pt>
                  <c:pt idx="36">
                    <c:v>2021</c:v>
                  </c:pt>
                </c:lvl>
              </c:multiLvlStrCache>
            </c:multiLvlStrRef>
          </c:cat>
          <c:val>
            <c:numRef>
              <c:f>IGAE_vm!$H$2:$H$43</c:f>
              <c:numCache>
                <c:formatCode>General</c:formatCode>
                <c:ptCount val="42"/>
                <c:pt idx="39">
                  <c:v>-0.15649648568152899</c:v>
                </c:pt>
                <c:pt idx="40">
                  <c:v>1.7151823193614499</c:v>
                </c:pt>
                <c:pt idx="41">
                  <c:v>1.43587163599574</c:v>
                </c:pt>
              </c:numCache>
            </c:numRef>
          </c:val>
          <c:smooth val="0"/>
          <c:extLst>
            <c:ext xmlns:c16="http://schemas.microsoft.com/office/drawing/2014/chart" uri="{C3380CC4-5D6E-409C-BE32-E72D297353CC}">
              <c16:uniqueId val="{0000000C-7A5C-47FE-ACC6-29FD2DD4EFA0}"/>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490943808"/>
        <c:crosses val="autoZero"/>
        <c:auto val="1"/>
        <c:lblAlgn val="ctr"/>
        <c:lblOffset val="100"/>
        <c:noMultiLvlLbl val="0"/>
      </c:catAx>
      <c:valAx>
        <c:axId val="490943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490947416"/>
        <c:crosses val="autoZero"/>
        <c:crossBetween val="between"/>
      </c:valAx>
      <c:spPr>
        <a:noFill/>
        <a:ln>
          <a:solidFill>
            <a:sysClr val="windowText" lastClr="000000"/>
          </a:solidFill>
        </a:ln>
        <a:effectLst/>
      </c:spPr>
    </c:plotArea>
    <c:legend>
      <c:legendPos val="b"/>
      <c:layout>
        <c:manualLayout>
          <c:xMode val="edge"/>
          <c:yMode val="edge"/>
          <c:x val="0.1379923728846672"/>
          <c:y val="0.93223791254550636"/>
          <c:w val="0.72611013825449111"/>
          <c:h val="6.696477532957610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ysClr val="windowText" lastClr="000000"/>
      </a:solidFill>
      <a:round/>
    </a:ln>
    <a:effectLst/>
  </c:spPr>
  <c:txPr>
    <a:bodyPr/>
    <a:lstStyle/>
    <a:p>
      <a:pPr>
        <a:defRPr>
          <a:latin typeface="Arial" panose="020B0604020202020204" pitchFamily="34" charset="0"/>
          <a:cs typeface="Arial" panose="020B0604020202020204" pitchFamily="34" charset="0"/>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451993847251912E-2"/>
          <c:y val="4.3650793650793648E-2"/>
          <c:w val="0.9204115203826061"/>
          <c:h val="0.74795857518570907"/>
        </c:manualLayout>
      </c:layout>
      <c:lineChart>
        <c:grouping val="standard"/>
        <c:varyColors val="0"/>
        <c:ser>
          <c:idx val="0"/>
          <c:order val="0"/>
          <c:tx>
            <c:strRef>
              <c:f>IGAE_lev!$D$1</c:f>
              <c:strCache>
                <c:ptCount val="1"/>
                <c:pt idx="0">
                  <c:v>IGAE</c:v>
                </c:pt>
              </c:strCache>
            </c:strRef>
          </c:tx>
          <c:spPr>
            <a:ln w="28575" cap="rnd">
              <a:solidFill>
                <a:schemeClr val="accent1"/>
              </a:solidFill>
              <a:round/>
            </a:ln>
            <a:effectLst/>
          </c:spPr>
          <c:marker>
            <c:symbol val="none"/>
          </c:marker>
          <c:cat>
            <c:multiLvlStrRef>
              <c:f>IGAE_lev!$B$2:$C$43</c:f>
              <c:multiLvlStrCache>
                <c:ptCount val="4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lvl>
                <c:lvl>
                  <c:pt idx="0">
                    <c:v>2018</c:v>
                  </c:pt>
                  <c:pt idx="12">
                    <c:v>2019</c:v>
                  </c:pt>
                  <c:pt idx="24">
                    <c:v>2020</c:v>
                  </c:pt>
                  <c:pt idx="36">
                    <c:v>2021</c:v>
                  </c:pt>
                </c:lvl>
              </c:multiLvlStrCache>
            </c:multiLvlStrRef>
          </c:cat>
          <c:val>
            <c:numRef>
              <c:f>IGAE_lev!$D$2:$D$43</c:f>
              <c:numCache>
                <c:formatCode>General</c:formatCode>
                <c:ptCount val="42"/>
                <c:pt idx="0">
                  <c:v>111.7167029</c:v>
                </c:pt>
                <c:pt idx="1">
                  <c:v>112.2920553</c:v>
                </c:pt>
                <c:pt idx="2">
                  <c:v>113.2601609</c:v>
                </c:pt>
                <c:pt idx="3">
                  <c:v>112.84636620000001</c:v>
                </c:pt>
                <c:pt idx="4">
                  <c:v>113.3698705</c:v>
                </c:pt>
                <c:pt idx="5">
                  <c:v>113.2393019</c:v>
                </c:pt>
                <c:pt idx="6">
                  <c:v>113.49162990000001</c:v>
                </c:pt>
                <c:pt idx="7">
                  <c:v>113.5197051</c:v>
                </c:pt>
                <c:pt idx="8">
                  <c:v>113.0580495</c:v>
                </c:pt>
                <c:pt idx="9">
                  <c:v>112.80516830000001</c:v>
                </c:pt>
                <c:pt idx="10">
                  <c:v>112.87670079999999</c:v>
                </c:pt>
                <c:pt idx="11">
                  <c:v>112.32034109999999</c:v>
                </c:pt>
                <c:pt idx="12">
                  <c:v>113.1348368</c:v>
                </c:pt>
                <c:pt idx="13">
                  <c:v>113.2851673</c:v>
                </c:pt>
                <c:pt idx="14">
                  <c:v>112.4518035</c:v>
                </c:pt>
                <c:pt idx="15">
                  <c:v>113.00166919999999</c:v>
                </c:pt>
                <c:pt idx="16">
                  <c:v>113.03233400000001</c:v>
                </c:pt>
                <c:pt idx="17">
                  <c:v>113.11140279999999</c:v>
                </c:pt>
                <c:pt idx="18">
                  <c:v>113.1347025</c:v>
                </c:pt>
                <c:pt idx="19">
                  <c:v>112.99406279999999</c:v>
                </c:pt>
                <c:pt idx="20">
                  <c:v>112.552944</c:v>
                </c:pt>
                <c:pt idx="21">
                  <c:v>112.16816110000001</c:v>
                </c:pt>
                <c:pt idx="22">
                  <c:v>111.7126909</c:v>
                </c:pt>
                <c:pt idx="23">
                  <c:v>111.8212206</c:v>
                </c:pt>
                <c:pt idx="24">
                  <c:v>112.532714</c:v>
                </c:pt>
                <c:pt idx="25">
                  <c:v>111.3393355</c:v>
                </c:pt>
                <c:pt idx="26">
                  <c:v>109.5069477</c:v>
                </c:pt>
                <c:pt idx="27">
                  <c:v>90.546316520000005</c:v>
                </c:pt>
                <c:pt idx="28">
                  <c:v>88.778476420000004</c:v>
                </c:pt>
                <c:pt idx="29">
                  <c:v>96.625778850000003</c:v>
                </c:pt>
                <c:pt idx="30">
                  <c:v>101.8725584</c:v>
                </c:pt>
                <c:pt idx="31">
                  <c:v>103.4939842</c:v>
                </c:pt>
                <c:pt idx="32">
                  <c:v>104.8457392</c:v>
                </c:pt>
                <c:pt idx="33">
                  <c:v>106.68395510000001</c:v>
                </c:pt>
                <c:pt idx="34">
                  <c:v>107.5276617</c:v>
                </c:pt>
                <c:pt idx="35">
                  <c:v>107.4221624</c:v>
                </c:pt>
                <c:pt idx="36">
                  <c:v>107.7971551</c:v>
                </c:pt>
                <c:pt idx="37">
                  <c:v>107.1377744</c:v>
                </c:pt>
                <c:pt idx="38">
                  <c:v>110.08087449999999</c:v>
                </c:pt>
                <c:pt idx="39">
                  <c:v>109.9086018</c:v>
                </c:pt>
              </c:numCache>
            </c:numRef>
          </c:val>
          <c:smooth val="0"/>
          <c:extLst>
            <c:ext xmlns:c16="http://schemas.microsoft.com/office/drawing/2014/chart" uri="{C3380CC4-5D6E-409C-BE32-E72D297353CC}">
              <c16:uniqueId val="{00000000-D008-474A-8588-DE8F1B030F17}"/>
            </c:ext>
          </c:extLst>
        </c:ser>
        <c:ser>
          <c:idx val="1"/>
          <c:order val="1"/>
          <c:tx>
            <c:strRef>
              <c:f>IGAE_lev!$E$1</c:f>
              <c:strCache>
                <c:ptCount val="1"/>
                <c:pt idx="0">
                  <c:v>Ajuste</c:v>
                </c:pt>
              </c:strCache>
            </c:strRef>
          </c:tx>
          <c:spPr>
            <a:ln w="19050" cap="rnd">
              <a:solidFill>
                <a:schemeClr val="tx1"/>
              </a:solidFill>
              <a:prstDash val="sysDash"/>
              <a:round/>
            </a:ln>
            <a:effectLst/>
          </c:spPr>
          <c:marker>
            <c:symbol val="none"/>
          </c:marker>
          <c:cat>
            <c:multiLvlStrRef>
              <c:f>IGAE_lev!$B$2:$C$43</c:f>
              <c:multiLvlStrCache>
                <c:ptCount val="4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lvl>
                <c:lvl>
                  <c:pt idx="0">
                    <c:v>2018</c:v>
                  </c:pt>
                  <c:pt idx="12">
                    <c:v>2019</c:v>
                  </c:pt>
                  <c:pt idx="24">
                    <c:v>2020</c:v>
                  </c:pt>
                  <c:pt idx="36">
                    <c:v>2021</c:v>
                  </c:pt>
                </c:lvl>
              </c:multiLvlStrCache>
            </c:multiLvlStrRef>
          </c:cat>
          <c:val>
            <c:numRef>
              <c:f>IGAE_lev!$E$2:$E$43</c:f>
              <c:numCache>
                <c:formatCode>General</c:formatCode>
                <c:ptCount val="42"/>
                <c:pt idx="0">
                  <c:v>112.50087685070299</c:v>
                </c:pt>
                <c:pt idx="1">
                  <c:v>112.736828029669</c:v>
                </c:pt>
                <c:pt idx="2">
                  <c:v>113.09100749026101</c:v>
                </c:pt>
                <c:pt idx="3">
                  <c:v>113.24977687446901</c:v>
                </c:pt>
                <c:pt idx="4">
                  <c:v>113.23873395101199</c:v>
                </c:pt>
                <c:pt idx="5">
                  <c:v>113.870770408813</c:v>
                </c:pt>
                <c:pt idx="6">
                  <c:v>113.972707607109</c:v>
                </c:pt>
                <c:pt idx="7">
                  <c:v>113.84453457405399</c:v>
                </c:pt>
                <c:pt idx="8">
                  <c:v>113.794379295512</c:v>
                </c:pt>
                <c:pt idx="9">
                  <c:v>112.793736031013</c:v>
                </c:pt>
                <c:pt idx="10">
                  <c:v>112.480053889681</c:v>
                </c:pt>
                <c:pt idx="11">
                  <c:v>112.092407797653</c:v>
                </c:pt>
                <c:pt idx="12">
                  <c:v>112.92547526289199</c:v>
                </c:pt>
                <c:pt idx="13">
                  <c:v>113.47982922191601</c:v>
                </c:pt>
                <c:pt idx="14">
                  <c:v>113.488400311044</c:v>
                </c:pt>
                <c:pt idx="15">
                  <c:v>113.46851595733899</c:v>
                </c:pt>
                <c:pt idx="16">
                  <c:v>113.214822870951</c:v>
                </c:pt>
                <c:pt idx="17">
                  <c:v>112.827853958573</c:v>
                </c:pt>
                <c:pt idx="18">
                  <c:v>112.946308892519</c:v>
                </c:pt>
                <c:pt idx="19">
                  <c:v>112.97164399305601</c:v>
                </c:pt>
                <c:pt idx="20">
                  <c:v>112.347970785877</c:v>
                </c:pt>
                <c:pt idx="21">
                  <c:v>111.597047349006</c:v>
                </c:pt>
                <c:pt idx="22">
                  <c:v>112.076949762114</c:v>
                </c:pt>
                <c:pt idx="23">
                  <c:v>112.0769978876</c:v>
                </c:pt>
                <c:pt idx="24">
                  <c:v>112.26729306221399</c:v>
                </c:pt>
                <c:pt idx="25">
                  <c:v>111.22194215165</c:v>
                </c:pt>
                <c:pt idx="26">
                  <c:v>105.852207827981</c:v>
                </c:pt>
                <c:pt idx="27">
                  <c:v>96.148267558552206</c:v>
                </c:pt>
                <c:pt idx="28">
                  <c:v>89.424601275506504</c:v>
                </c:pt>
                <c:pt idx="29">
                  <c:v>96.296681780993296</c:v>
                </c:pt>
                <c:pt idx="30">
                  <c:v>101.987350656323</c:v>
                </c:pt>
                <c:pt idx="31">
                  <c:v>104.447221739998</c:v>
                </c:pt>
                <c:pt idx="32">
                  <c:v>105.784257203449</c:v>
                </c:pt>
                <c:pt idx="33">
                  <c:v>106.497385811464</c:v>
                </c:pt>
                <c:pt idx="34">
                  <c:v>108.217162629022</c:v>
                </c:pt>
                <c:pt idx="35">
                  <c:v>108.72110825139301</c:v>
                </c:pt>
                <c:pt idx="36">
                  <c:v>107.814345306229</c:v>
                </c:pt>
                <c:pt idx="37">
                  <c:v>108.48917401837301</c:v>
                </c:pt>
                <c:pt idx="38">
                  <c:v>111.33741732359501</c:v>
                </c:pt>
                <c:pt idx="39">
                  <c:v>112.04567006539899</c:v>
                </c:pt>
              </c:numCache>
            </c:numRef>
          </c:val>
          <c:smooth val="0"/>
          <c:extLst>
            <c:ext xmlns:c16="http://schemas.microsoft.com/office/drawing/2014/chart" uri="{C3380CC4-5D6E-409C-BE32-E72D297353CC}">
              <c16:uniqueId val="{00000001-D008-474A-8588-DE8F1B030F17}"/>
            </c:ext>
          </c:extLst>
        </c:ser>
        <c:ser>
          <c:idx val="2"/>
          <c:order val="2"/>
          <c:tx>
            <c:strRef>
              <c:f>IGAE_lev!$F$1</c:f>
              <c:strCache>
                <c:ptCount val="1"/>
                <c:pt idx="0">
                  <c:v>Nowcasts</c:v>
                </c:pt>
              </c:strCache>
            </c:strRef>
          </c:tx>
          <c:spPr>
            <a:ln w="28575" cap="rnd">
              <a:solidFill>
                <a:srgbClr val="C00000"/>
              </a:solidFill>
              <a:round/>
            </a:ln>
            <a:effectLst/>
          </c:spPr>
          <c:marker>
            <c:symbol val="none"/>
          </c:marker>
          <c:cat>
            <c:multiLvlStrRef>
              <c:f>IGAE_lev!$B$2:$C$43</c:f>
              <c:multiLvlStrCache>
                <c:ptCount val="4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lvl>
                <c:lvl>
                  <c:pt idx="0">
                    <c:v>2018</c:v>
                  </c:pt>
                  <c:pt idx="12">
                    <c:v>2019</c:v>
                  </c:pt>
                  <c:pt idx="24">
                    <c:v>2020</c:v>
                  </c:pt>
                  <c:pt idx="36">
                    <c:v>2021</c:v>
                  </c:pt>
                </c:lvl>
              </c:multiLvlStrCache>
            </c:multiLvlStrRef>
          </c:cat>
          <c:val>
            <c:numRef>
              <c:f>IGAE_lev!$F$2:$F$43</c:f>
              <c:numCache>
                <c:formatCode>General</c:formatCode>
                <c:ptCount val="42"/>
                <c:pt idx="39">
                  <c:v>109.9086018</c:v>
                </c:pt>
                <c:pt idx="40">
                  <c:v>110.567832403011</c:v>
                </c:pt>
                <c:pt idx="41">
                  <c:v>110.85688721695</c:v>
                </c:pt>
              </c:numCache>
            </c:numRef>
          </c:val>
          <c:smooth val="0"/>
          <c:extLst>
            <c:ext xmlns:c16="http://schemas.microsoft.com/office/drawing/2014/chart" uri="{C3380CC4-5D6E-409C-BE32-E72D297353CC}">
              <c16:uniqueId val="{00000002-D008-474A-8588-DE8F1B030F17}"/>
            </c:ext>
          </c:extLst>
        </c:ser>
        <c:ser>
          <c:idx val="3"/>
          <c:order val="3"/>
          <c:tx>
            <c:strRef>
              <c:f>IGAE_lev!$G$1</c:f>
              <c:strCache>
                <c:ptCount val="1"/>
                <c:pt idx="0">
                  <c:v>Inferior</c:v>
                </c:pt>
              </c:strCache>
            </c:strRef>
          </c:tx>
          <c:spPr>
            <a:ln w="19050" cap="rnd">
              <a:solidFill>
                <a:srgbClr val="00B050"/>
              </a:solidFill>
              <a:prstDash val="sysDash"/>
              <a:round/>
            </a:ln>
            <a:effectLst/>
          </c:spPr>
          <c:marker>
            <c:symbol val="none"/>
          </c:marker>
          <c:dPt>
            <c:idx val="34"/>
            <c:marker>
              <c:symbol val="none"/>
            </c:marker>
            <c:bubble3D val="0"/>
            <c:extLst>
              <c:ext xmlns:c16="http://schemas.microsoft.com/office/drawing/2014/chart" uri="{C3380CC4-5D6E-409C-BE32-E72D297353CC}">
                <c16:uniqueId val="{00000003-D008-474A-8588-DE8F1B030F17}"/>
              </c:ext>
            </c:extLst>
          </c:dPt>
          <c:dPt>
            <c:idx val="35"/>
            <c:marker>
              <c:symbol val="none"/>
            </c:marker>
            <c:bubble3D val="0"/>
            <c:extLst>
              <c:ext xmlns:c16="http://schemas.microsoft.com/office/drawing/2014/chart" uri="{C3380CC4-5D6E-409C-BE32-E72D297353CC}">
                <c16:uniqueId val="{00000004-D008-474A-8588-DE8F1B030F17}"/>
              </c:ext>
            </c:extLst>
          </c:dPt>
          <c:cat>
            <c:multiLvlStrRef>
              <c:f>IGAE_lev!$B$2:$C$43</c:f>
              <c:multiLvlStrCache>
                <c:ptCount val="4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lvl>
                <c:lvl>
                  <c:pt idx="0">
                    <c:v>2018</c:v>
                  </c:pt>
                  <c:pt idx="12">
                    <c:v>2019</c:v>
                  </c:pt>
                  <c:pt idx="24">
                    <c:v>2020</c:v>
                  </c:pt>
                  <c:pt idx="36">
                    <c:v>2021</c:v>
                  </c:pt>
                </c:lvl>
              </c:multiLvlStrCache>
            </c:multiLvlStrRef>
          </c:cat>
          <c:val>
            <c:numRef>
              <c:f>IGAE_lev!$G$2:$G$43</c:f>
              <c:numCache>
                <c:formatCode>General</c:formatCode>
                <c:ptCount val="42"/>
                <c:pt idx="39">
                  <c:v>109.9086018</c:v>
                </c:pt>
                <c:pt idx="40">
                  <c:v>109.341442390624</c:v>
                </c:pt>
                <c:pt idx="41">
                  <c:v>109.572731730268</c:v>
                </c:pt>
              </c:numCache>
            </c:numRef>
          </c:val>
          <c:smooth val="0"/>
          <c:extLst>
            <c:ext xmlns:c16="http://schemas.microsoft.com/office/drawing/2014/chart" uri="{C3380CC4-5D6E-409C-BE32-E72D297353CC}">
              <c16:uniqueId val="{00000005-D008-474A-8588-DE8F1B030F17}"/>
            </c:ext>
          </c:extLst>
        </c:ser>
        <c:ser>
          <c:idx val="4"/>
          <c:order val="4"/>
          <c:tx>
            <c:strRef>
              <c:f>IGAE_lev!$H$1</c:f>
              <c:strCache>
                <c:ptCount val="1"/>
                <c:pt idx="0">
                  <c:v>Superior</c:v>
                </c:pt>
              </c:strCache>
            </c:strRef>
          </c:tx>
          <c:spPr>
            <a:ln w="12700" cap="rnd">
              <a:solidFill>
                <a:srgbClr val="00B050"/>
              </a:solidFill>
              <a:prstDash val="sysDash"/>
              <a:round/>
            </a:ln>
            <a:effectLst/>
          </c:spPr>
          <c:marker>
            <c:symbol val="none"/>
          </c:marker>
          <c:dPt>
            <c:idx val="34"/>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7-D008-474A-8588-DE8F1B030F17}"/>
              </c:ext>
            </c:extLst>
          </c:dPt>
          <c:dPt>
            <c:idx val="35"/>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9-D008-474A-8588-DE8F1B030F17}"/>
              </c:ext>
            </c:extLst>
          </c:dPt>
          <c:dPt>
            <c:idx val="41"/>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B-D008-474A-8588-DE8F1B030F17}"/>
              </c:ext>
            </c:extLst>
          </c:dPt>
          <c:cat>
            <c:multiLvlStrRef>
              <c:f>IGAE_lev!$B$2:$C$43</c:f>
              <c:multiLvlStrCache>
                <c:ptCount val="4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lvl>
                <c:lvl>
                  <c:pt idx="0">
                    <c:v>2018</c:v>
                  </c:pt>
                  <c:pt idx="12">
                    <c:v>2019</c:v>
                  </c:pt>
                  <c:pt idx="24">
                    <c:v>2020</c:v>
                  </c:pt>
                  <c:pt idx="36">
                    <c:v>2021</c:v>
                  </c:pt>
                </c:lvl>
              </c:multiLvlStrCache>
            </c:multiLvlStrRef>
          </c:cat>
          <c:val>
            <c:numRef>
              <c:f>IGAE_lev!$H$2:$H$43</c:f>
              <c:numCache>
                <c:formatCode>General</c:formatCode>
                <c:ptCount val="42"/>
                <c:pt idx="39">
                  <c:v>109.9086018</c:v>
                </c:pt>
                <c:pt idx="40">
                  <c:v>111.79373470553099</c:v>
                </c:pt>
                <c:pt idx="41">
                  <c:v>112.15544454702101</c:v>
                </c:pt>
              </c:numCache>
            </c:numRef>
          </c:val>
          <c:smooth val="0"/>
          <c:extLst>
            <c:ext xmlns:c16="http://schemas.microsoft.com/office/drawing/2014/chart" uri="{C3380CC4-5D6E-409C-BE32-E72D297353CC}">
              <c16:uniqueId val="{0000000C-D008-474A-8588-DE8F1B030F17}"/>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490943808"/>
        <c:crosses val="autoZero"/>
        <c:auto val="1"/>
        <c:lblAlgn val="ctr"/>
        <c:lblOffset val="100"/>
        <c:noMultiLvlLbl val="0"/>
      </c:catAx>
      <c:valAx>
        <c:axId val="490943808"/>
        <c:scaling>
          <c:orientation val="minMax"/>
          <c:min val="8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490947416"/>
        <c:crosses val="autoZero"/>
        <c:crossBetween val="between"/>
      </c:valAx>
      <c:spPr>
        <a:noFill/>
        <a:ln>
          <a:solidFill>
            <a:sysClr val="windowText" lastClr="000000"/>
          </a:solidFill>
        </a:ln>
        <a:effectLst/>
      </c:spPr>
    </c:plotArea>
    <c:legend>
      <c:legendPos val="b"/>
      <c:layout>
        <c:manualLayout>
          <c:xMode val="edge"/>
          <c:yMode val="edge"/>
          <c:x val="0.1379923728846672"/>
          <c:y val="0.93223791254550636"/>
          <c:w val="0.72611013825449111"/>
          <c:h val="6.696477532957610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ysClr val="windowText" lastClr="000000"/>
      </a:solidFill>
      <a:round/>
    </a:ln>
    <a:effectLst/>
  </c:spPr>
  <c:txPr>
    <a:bodyPr/>
    <a:lstStyle/>
    <a:p>
      <a:pPr>
        <a:defRPr>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AFD33-4394-45E6-B01B-6EB937E4D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9</Pages>
  <Words>2151</Words>
  <Characters>11832</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Comunicado de Prensa. Indicador Oportuno de la Actividad Económica</vt:lpstr>
    </vt:vector>
  </TitlesOfParts>
  <Company>INEGI</Company>
  <LinksUpToDate>false</LinksUpToDate>
  <CharactersWithSpaces>13956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Oportuno de la Actividad Económica</dc:title>
  <dc:creator>INEGI</dc:creator>
  <cp:keywords>PEA Ocupación Desocupación Subocupación</cp:keywords>
  <cp:lastModifiedBy>GUILLEN MEDINA MOISES</cp:lastModifiedBy>
  <cp:revision>58</cp:revision>
  <cp:lastPrinted>2020-02-21T18:49:00Z</cp:lastPrinted>
  <dcterms:created xsi:type="dcterms:W3CDTF">2021-06-30T18:14:00Z</dcterms:created>
  <dcterms:modified xsi:type="dcterms:W3CDTF">2021-07-16T22:46:00Z</dcterms:modified>
  <cp:category>Encuesta Nacional de Ocupación y Empleo</cp:category>
  <cp:version>1</cp:version>
</cp:coreProperties>
</file>