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5CA59" w14:textId="77777777" w:rsidR="00856F76" w:rsidRDefault="00856F76" w:rsidP="00856F76">
      <w:pPr>
        <w:tabs>
          <w:tab w:val="left" w:pos="1985"/>
          <w:tab w:val="left" w:pos="8789"/>
        </w:tabs>
        <w:ind w:right="51"/>
        <w:jc w:val="center"/>
        <w:rPr>
          <w:b/>
          <w:sz w:val="28"/>
        </w:rPr>
      </w:pPr>
      <w:bookmarkStart w:id="0" w:name="_Hlk66172215"/>
      <w:bookmarkEnd w:id="0"/>
      <w:r>
        <w:rPr>
          <w:noProof/>
          <w:lang w:val="es-MX" w:eastAsia="es-MX"/>
        </w:rPr>
        <mc:AlternateContent>
          <mc:Choice Requires="wps">
            <w:drawing>
              <wp:anchor distT="45720" distB="45720" distL="114300" distR="114300" simplePos="0" relativeHeight="251659264" behindDoc="0" locked="0" layoutInCell="1" allowOverlap="1" wp14:anchorId="4A69E32F" wp14:editId="5B3D685A">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17C82EF3" w14:textId="77777777" w:rsidR="00856F76" w:rsidRPr="006F6587" w:rsidRDefault="00856F76" w:rsidP="00856F76">
                            <w:pPr>
                              <w:jc w:val="right"/>
                              <w:rPr>
                                <w:rFonts w:ascii="Arial" w:hAnsi="Arial" w:cs="Arial"/>
                                <w:sz w:val="24"/>
                                <w:szCs w:val="24"/>
                              </w:rPr>
                            </w:pPr>
                            <w:r w:rsidRPr="006F6587">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6F6587">
                              <w:rPr>
                                <w:rFonts w:ascii="Arial" w:hAnsi="Arial" w:cs="Arial"/>
                                <w:b/>
                                <w:color w:val="FFFFFF" w:themeColor="background1"/>
                                <w:sz w:val="24"/>
                                <w:szCs w:val="24"/>
                                <w:shd w:val="clear" w:color="auto" w:fill="365F91" w:themeFill="accent1" w:themeFillShade="BF"/>
                                <w:lang w:val="pt-BR"/>
                              </w:rPr>
                              <w:t>publicación</w:t>
                            </w:r>
                            <w:proofErr w:type="spellEnd"/>
                            <w:r w:rsidRPr="006F6587">
                              <w:rPr>
                                <w:rFonts w:ascii="Arial" w:hAnsi="Arial" w:cs="Arial"/>
                                <w:b/>
                                <w:color w:val="FFFFFF" w:themeColor="background1"/>
                                <w:sz w:val="24"/>
                                <w:szCs w:val="24"/>
                                <w:shd w:val="clear" w:color="auto" w:fill="365F91" w:themeFill="accent1" w:themeFillShade="BF"/>
                                <w:lang w:val="pt-BR"/>
                              </w:rPr>
                              <w:t>:  2</w:t>
                            </w:r>
                            <w:r>
                              <w:rPr>
                                <w:rFonts w:ascii="Arial" w:hAnsi="Arial" w:cs="Arial"/>
                                <w:b/>
                                <w:color w:val="FFFFFF" w:themeColor="background1"/>
                                <w:sz w:val="24"/>
                                <w:szCs w:val="24"/>
                                <w:shd w:val="clear" w:color="auto" w:fill="365F91" w:themeFill="accent1" w:themeFillShade="BF"/>
                                <w:lang w:val="pt-BR"/>
                              </w:rPr>
                              <w:t>1</w:t>
                            </w:r>
                            <w:r w:rsidRPr="006F6587">
                              <w:rPr>
                                <w:rFonts w:ascii="Arial" w:hAnsi="Arial" w:cs="Arial"/>
                                <w:b/>
                                <w:color w:val="FFFFFF" w:themeColor="background1"/>
                                <w:sz w:val="24"/>
                                <w:szCs w:val="24"/>
                                <w:shd w:val="clear" w:color="auto" w:fill="365F91" w:themeFill="accent1" w:themeFillShade="BF"/>
                                <w:lang w:val="pt-BR"/>
                              </w:rPr>
                              <w:t xml:space="preserve"> de </w:t>
                            </w:r>
                            <w:proofErr w:type="spellStart"/>
                            <w:r>
                              <w:rPr>
                                <w:rFonts w:ascii="Arial" w:hAnsi="Arial" w:cs="Arial"/>
                                <w:b/>
                                <w:color w:val="FFFFFF" w:themeColor="background1"/>
                                <w:sz w:val="24"/>
                                <w:szCs w:val="24"/>
                                <w:shd w:val="clear" w:color="auto" w:fill="365F91" w:themeFill="accent1" w:themeFillShade="BF"/>
                                <w:lang w:val="pt-BR"/>
                              </w:rPr>
                              <w:t>diciembre</w:t>
                            </w:r>
                            <w:proofErr w:type="spellEnd"/>
                            <w:r>
                              <w:rPr>
                                <w:rFonts w:ascii="Arial" w:hAnsi="Arial" w:cs="Arial"/>
                                <w:b/>
                                <w:color w:val="FFFFFF" w:themeColor="background1"/>
                                <w:sz w:val="24"/>
                                <w:szCs w:val="24"/>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69E32F"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17C82EF3" w14:textId="77777777" w:rsidR="00856F76" w:rsidRPr="006F6587" w:rsidRDefault="00856F76" w:rsidP="00856F76">
                      <w:pPr>
                        <w:jc w:val="right"/>
                        <w:rPr>
                          <w:rFonts w:ascii="Arial" w:hAnsi="Arial" w:cs="Arial"/>
                          <w:sz w:val="24"/>
                          <w:szCs w:val="24"/>
                        </w:rPr>
                      </w:pPr>
                      <w:r w:rsidRPr="006F6587">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6F6587">
                        <w:rPr>
                          <w:rFonts w:ascii="Arial" w:hAnsi="Arial" w:cs="Arial"/>
                          <w:b/>
                          <w:color w:val="FFFFFF" w:themeColor="background1"/>
                          <w:sz w:val="24"/>
                          <w:szCs w:val="24"/>
                          <w:shd w:val="clear" w:color="auto" w:fill="365F91" w:themeFill="accent1" w:themeFillShade="BF"/>
                          <w:lang w:val="pt-BR"/>
                        </w:rPr>
                        <w:t>publicación</w:t>
                      </w:r>
                      <w:proofErr w:type="spellEnd"/>
                      <w:r w:rsidRPr="006F6587">
                        <w:rPr>
                          <w:rFonts w:ascii="Arial" w:hAnsi="Arial" w:cs="Arial"/>
                          <w:b/>
                          <w:color w:val="FFFFFF" w:themeColor="background1"/>
                          <w:sz w:val="24"/>
                          <w:szCs w:val="24"/>
                          <w:shd w:val="clear" w:color="auto" w:fill="365F91" w:themeFill="accent1" w:themeFillShade="BF"/>
                          <w:lang w:val="pt-BR"/>
                        </w:rPr>
                        <w:t>:  2</w:t>
                      </w:r>
                      <w:r>
                        <w:rPr>
                          <w:rFonts w:ascii="Arial" w:hAnsi="Arial" w:cs="Arial"/>
                          <w:b/>
                          <w:color w:val="FFFFFF" w:themeColor="background1"/>
                          <w:sz w:val="24"/>
                          <w:szCs w:val="24"/>
                          <w:shd w:val="clear" w:color="auto" w:fill="365F91" w:themeFill="accent1" w:themeFillShade="BF"/>
                          <w:lang w:val="pt-BR"/>
                        </w:rPr>
                        <w:t>1</w:t>
                      </w:r>
                      <w:r w:rsidRPr="006F6587">
                        <w:rPr>
                          <w:rFonts w:ascii="Arial" w:hAnsi="Arial" w:cs="Arial"/>
                          <w:b/>
                          <w:color w:val="FFFFFF" w:themeColor="background1"/>
                          <w:sz w:val="24"/>
                          <w:szCs w:val="24"/>
                          <w:shd w:val="clear" w:color="auto" w:fill="365F91" w:themeFill="accent1" w:themeFillShade="BF"/>
                          <w:lang w:val="pt-BR"/>
                        </w:rPr>
                        <w:t xml:space="preserve"> de </w:t>
                      </w:r>
                      <w:proofErr w:type="spellStart"/>
                      <w:r>
                        <w:rPr>
                          <w:rFonts w:ascii="Arial" w:hAnsi="Arial" w:cs="Arial"/>
                          <w:b/>
                          <w:color w:val="FFFFFF" w:themeColor="background1"/>
                          <w:sz w:val="24"/>
                          <w:szCs w:val="24"/>
                          <w:shd w:val="clear" w:color="auto" w:fill="365F91" w:themeFill="accent1" w:themeFillShade="BF"/>
                          <w:lang w:val="pt-BR"/>
                        </w:rPr>
                        <w:t>diciembre</w:t>
                      </w:r>
                      <w:proofErr w:type="spellEnd"/>
                      <w:r>
                        <w:rPr>
                          <w:rFonts w:ascii="Arial" w:hAnsi="Arial" w:cs="Arial"/>
                          <w:b/>
                          <w:color w:val="FFFFFF" w:themeColor="background1"/>
                          <w:sz w:val="24"/>
                          <w:szCs w:val="24"/>
                          <w:shd w:val="clear" w:color="auto" w:fill="365F91" w:themeFill="accent1" w:themeFillShade="BF"/>
                          <w:lang w:val="pt-BR"/>
                        </w:rPr>
                        <w:t xml:space="preserve"> </w:t>
                      </w:r>
                    </w:p>
                  </w:txbxContent>
                </v:textbox>
                <w10:wrap type="square"/>
              </v:shape>
            </w:pict>
          </mc:Fallback>
        </mc:AlternateContent>
      </w:r>
    </w:p>
    <w:p w14:paraId="29608330" w14:textId="77777777" w:rsidR="00856F76" w:rsidRDefault="00856F76" w:rsidP="00856F76">
      <w:pPr>
        <w:pStyle w:val="Profesin"/>
        <w:outlineLvl w:val="0"/>
        <w:rPr>
          <w:lang w:val="es-MX"/>
        </w:rPr>
      </w:pPr>
    </w:p>
    <w:p w14:paraId="76958D85" w14:textId="1F4E2166" w:rsidR="00856F76" w:rsidRPr="006B7FB8" w:rsidRDefault="00856F76" w:rsidP="00856F76">
      <w:pPr>
        <w:pStyle w:val="Ttulo2"/>
        <w:ind w:left="-91" w:right="-142"/>
        <w:rPr>
          <w:color w:val="auto"/>
          <w:sz w:val="24"/>
          <w:szCs w:val="24"/>
        </w:rPr>
      </w:pPr>
      <w:bookmarkStart w:id="1" w:name="_GoBack"/>
      <w:bookmarkEnd w:id="1"/>
      <w:r w:rsidRPr="006B7FB8">
        <w:rPr>
          <w:color w:val="auto"/>
          <w:sz w:val="24"/>
          <w:szCs w:val="24"/>
        </w:rPr>
        <w:t xml:space="preserve">INDICADORES TRIMESTRALES DE LA OFERTA Y DEMANDA </w:t>
      </w:r>
    </w:p>
    <w:p w14:paraId="62631349" w14:textId="77777777" w:rsidR="00856F76" w:rsidRPr="006B7FB8" w:rsidRDefault="00856F76" w:rsidP="00856F76">
      <w:pPr>
        <w:pStyle w:val="Ttulo2"/>
        <w:spacing w:before="0"/>
        <w:ind w:left="-91" w:right="-142"/>
        <w:rPr>
          <w:color w:val="auto"/>
          <w:sz w:val="24"/>
          <w:szCs w:val="24"/>
        </w:rPr>
      </w:pPr>
      <w:r w:rsidRPr="006B7FB8">
        <w:rPr>
          <w:color w:val="auto"/>
          <w:sz w:val="24"/>
          <w:szCs w:val="24"/>
        </w:rPr>
        <w:t>Y DEL AHORRO BRUTO</w:t>
      </w:r>
      <w:r w:rsidRPr="006B7FB8">
        <w:rPr>
          <w:sz w:val="24"/>
          <w:szCs w:val="24"/>
          <w:vertAlign w:val="superscript"/>
        </w:rPr>
        <w:footnoteReference w:id="1"/>
      </w:r>
      <w:r w:rsidRPr="006B7FB8">
        <w:rPr>
          <w:color w:val="auto"/>
          <w:sz w:val="24"/>
          <w:szCs w:val="24"/>
        </w:rPr>
        <w:t xml:space="preserve"> </w:t>
      </w:r>
      <w:r w:rsidRPr="006B7FB8">
        <w:rPr>
          <w:color w:val="auto"/>
          <w:sz w:val="24"/>
          <w:szCs w:val="24"/>
        </w:rPr>
        <w:br/>
        <w:t>DURANTE EL SEGUNDO TRIMESTRE DE 2021</w:t>
      </w:r>
    </w:p>
    <w:p w14:paraId="0DE7CDFC" w14:textId="77777777" w:rsidR="00856F76" w:rsidRPr="006B7FB8" w:rsidRDefault="00856F76" w:rsidP="00856F76">
      <w:pPr>
        <w:jc w:val="center"/>
        <w:rPr>
          <w:rFonts w:ascii="Arial" w:hAnsi="Arial" w:cs="Arial"/>
          <w:b/>
          <w:bCs/>
          <w:i/>
          <w:iCs/>
          <w:sz w:val="24"/>
          <w:szCs w:val="24"/>
        </w:rPr>
      </w:pPr>
      <w:r w:rsidRPr="006B7FB8">
        <w:rPr>
          <w:rFonts w:ascii="Arial" w:hAnsi="Arial" w:cs="Arial"/>
          <w:b/>
          <w:bCs/>
          <w:i/>
          <w:iCs/>
          <w:sz w:val="24"/>
          <w:szCs w:val="24"/>
        </w:rPr>
        <w:t>(Cifras desestacionalizadas)</w:t>
      </w:r>
      <w:r w:rsidRPr="006B7FB8">
        <w:rPr>
          <w:color w:val="000000"/>
          <w:sz w:val="24"/>
          <w:szCs w:val="24"/>
          <w:vertAlign w:val="superscript"/>
        </w:rPr>
        <w:t xml:space="preserve"> </w:t>
      </w:r>
      <w:r w:rsidRPr="006B7FB8">
        <w:rPr>
          <w:rFonts w:ascii="Arial" w:hAnsi="Arial" w:cs="Arial"/>
          <w:b/>
          <w:bCs/>
          <w:color w:val="000000"/>
          <w:sz w:val="24"/>
          <w:szCs w:val="24"/>
          <w:vertAlign w:val="superscript"/>
        </w:rPr>
        <w:footnoteReference w:id="2"/>
      </w:r>
    </w:p>
    <w:p w14:paraId="10D5F6B2" w14:textId="77777777" w:rsidR="00856F76" w:rsidRPr="00DC7C3C" w:rsidRDefault="00856F76" w:rsidP="00856F76">
      <w:pPr>
        <w:pStyle w:val="bullet"/>
        <w:spacing w:before="120"/>
        <w:ind w:left="-426" w:right="-547" w:firstLine="0"/>
        <w:jc w:val="both"/>
        <w:rPr>
          <w:b w:val="0"/>
          <w:color w:val="000000"/>
          <w:sz w:val="24"/>
          <w:szCs w:val="24"/>
        </w:rPr>
      </w:pPr>
      <w:r w:rsidRPr="00DC7C3C">
        <w:rPr>
          <w:b w:val="0"/>
          <w:color w:val="000000"/>
          <w:sz w:val="24"/>
          <w:szCs w:val="24"/>
        </w:rPr>
        <w:t>El Instituto Nacional de Estadística y Geografía (INEGI) presenta los resultados trimestrales de la Oferta y Demanda Global de Bienes y Servicios (ODG), así como del Indicador Trimestral del Ahorro Bruto</w:t>
      </w:r>
      <w:r w:rsidRPr="00DC7C3C">
        <w:rPr>
          <w:b w:val="0"/>
          <w:color w:val="000000"/>
          <w:sz w:val="24"/>
          <w:szCs w:val="24"/>
          <w:vertAlign w:val="superscript"/>
        </w:rPr>
        <w:footnoteReference w:id="3"/>
      </w:r>
      <w:r w:rsidRPr="00DC7C3C">
        <w:rPr>
          <w:b w:val="0"/>
          <w:color w:val="000000"/>
          <w:sz w:val="24"/>
          <w:szCs w:val="24"/>
        </w:rPr>
        <w:t xml:space="preserve"> (ITAB).</w:t>
      </w:r>
    </w:p>
    <w:p w14:paraId="7B65BC57" w14:textId="77777777" w:rsidR="00856F76" w:rsidRPr="00DC7C3C" w:rsidRDefault="00856F76" w:rsidP="00856F76">
      <w:pPr>
        <w:pStyle w:val="bullet"/>
        <w:spacing w:before="120"/>
        <w:ind w:left="-426" w:right="-547" w:firstLine="0"/>
        <w:jc w:val="both"/>
        <w:rPr>
          <w:b w:val="0"/>
          <w:color w:val="000000"/>
          <w:sz w:val="24"/>
          <w:szCs w:val="24"/>
        </w:rPr>
      </w:pPr>
      <w:r w:rsidRPr="00DC7C3C">
        <w:rPr>
          <w:b w:val="0"/>
          <w:color w:val="000000"/>
          <w:sz w:val="24"/>
          <w:szCs w:val="24"/>
        </w:rPr>
        <w:t xml:space="preserve">La Oferta Global (igual a la Demanda Global) de Bienes y Servicios aumentó 1.2% en términos reales con series ajustadas estacionalmente en el trimestre abril-junio de 2021 respecto al trimestre inmediato anterior. A su interior, el Producto Interno Bruto creció 1.5% y las Importaciones de Bienes y Servicios 0.2% en igual lapso.  </w:t>
      </w:r>
    </w:p>
    <w:p w14:paraId="08F73FDC" w14:textId="77777777" w:rsidR="00856F76" w:rsidRPr="00DC7C3C" w:rsidRDefault="00856F76" w:rsidP="00856F76">
      <w:pPr>
        <w:pStyle w:val="bullet"/>
        <w:spacing w:before="120"/>
        <w:ind w:left="-426" w:right="-547" w:firstLine="0"/>
        <w:jc w:val="both"/>
        <w:rPr>
          <w:b w:val="0"/>
          <w:color w:val="000000"/>
          <w:sz w:val="24"/>
          <w:szCs w:val="24"/>
        </w:rPr>
      </w:pPr>
      <w:r w:rsidRPr="00DC7C3C">
        <w:rPr>
          <w:b w:val="0"/>
          <w:color w:val="000000"/>
          <w:sz w:val="24"/>
          <w:szCs w:val="24"/>
        </w:rPr>
        <w:t xml:space="preserve">Por su parte, los componentes de la Demanda Global mostraron el siguiente comportamiento en el trimestre de referencia respecto al trimestre anterior: las Exportaciones de Bienes y Servicios avanzaron 2.9%, el Consumo de Gobierno 2.6%, el Consumo Privado 1.9% y la Formación Bruta de Capital Fijo 0.5%, con cifras desestacionalizadas.  </w:t>
      </w:r>
    </w:p>
    <w:p w14:paraId="10597DEB" w14:textId="77777777" w:rsidR="00856F76" w:rsidRDefault="00856F76" w:rsidP="00856F76">
      <w:pPr>
        <w:pStyle w:val="p01"/>
        <w:keepLines w:val="0"/>
        <w:widowControl w:val="0"/>
        <w:spacing w:before="0"/>
        <w:jc w:val="center"/>
        <w:rPr>
          <w:rFonts w:ascii="Arial" w:hAnsi="Arial" w:cs="Arial"/>
          <w:b/>
          <w:smallCaps/>
          <w:color w:val="auto"/>
          <w:sz w:val="22"/>
          <w:szCs w:val="22"/>
        </w:rPr>
      </w:pPr>
    </w:p>
    <w:p w14:paraId="54404D2D" w14:textId="77777777" w:rsidR="00856F76" w:rsidRDefault="00856F76" w:rsidP="00724E19">
      <w:pPr>
        <w:pStyle w:val="p01"/>
        <w:keepLines w:val="0"/>
        <w:widowControl w:val="0"/>
        <w:spacing w:before="120"/>
        <w:jc w:val="center"/>
        <w:rPr>
          <w:rFonts w:ascii="Arial" w:hAnsi="Arial" w:cs="Arial"/>
          <w:b/>
          <w:smallCaps/>
          <w:color w:val="auto"/>
          <w:sz w:val="22"/>
          <w:szCs w:val="22"/>
        </w:rPr>
      </w:pPr>
      <w:r w:rsidRPr="0057593E">
        <w:rPr>
          <w:rFonts w:ascii="Arial" w:hAnsi="Arial" w:cs="Arial"/>
          <w:b/>
          <w:smallCaps/>
          <w:color w:val="auto"/>
          <w:sz w:val="22"/>
          <w:szCs w:val="22"/>
        </w:rPr>
        <w:t>Ofert</w:t>
      </w:r>
      <w:r>
        <w:rPr>
          <w:rFonts w:ascii="Arial" w:hAnsi="Arial" w:cs="Arial"/>
          <w:b/>
          <w:smallCaps/>
          <w:color w:val="auto"/>
          <w:sz w:val="22"/>
          <w:szCs w:val="22"/>
        </w:rPr>
        <w:t xml:space="preserve">a y </w:t>
      </w:r>
      <w:r w:rsidRPr="0057593E">
        <w:rPr>
          <w:rFonts w:ascii="Arial" w:hAnsi="Arial" w:cs="Arial"/>
          <w:b/>
          <w:smallCaps/>
          <w:color w:val="auto"/>
          <w:sz w:val="22"/>
          <w:szCs w:val="22"/>
        </w:rPr>
        <w:t xml:space="preserve">Demanda </w:t>
      </w:r>
      <w:r>
        <w:rPr>
          <w:rFonts w:ascii="Arial" w:hAnsi="Arial" w:cs="Arial"/>
          <w:b/>
          <w:smallCaps/>
          <w:color w:val="auto"/>
          <w:sz w:val="22"/>
          <w:szCs w:val="22"/>
        </w:rPr>
        <w:t xml:space="preserve">Global de Bienes y Servicios por componentes </w:t>
      </w:r>
      <w:r w:rsidRPr="0057593E">
        <w:rPr>
          <w:rFonts w:ascii="Arial" w:hAnsi="Arial" w:cs="Arial"/>
          <w:b/>
          <w:smallCaps/>
          <w:color w:val="auto"/>
          <w:sz w:val="22"/>
          <w:szCs w:val="22"/>
        </w:rPr>
        <w:t xml:space="preserve"> </w:t>
      </w:r>
    </w:p>
    <w:p w14:paraId="41DDA904" w14:textId="77777777" w:rsidR="00856F76" w:rsidRPr="0057593E" w:rsidRDefault="00856F76" w:rsidP="00856F76">
      <w:pPr>
        <w:pStyle w:val="p01"/>
        <w:keepLines w:val="0"/>
        <w:widowControl w:val="0"/>
        <w:spacing w:before="0"/>
        <w:jc w:val="center"/>
        <w:rPr>
          <w:rFonts w:ascii="Arial" w:hAnsi="Arial" w:cs="Arial"/>
          <w:b/>
          <w:smallCaps/>
          <w:color w:val="auto"/>
          <w:sz w:val="22"/>
          <w:szCs w:val="22"/>
        </w:rPr>
      </w:pPr>
      <w:r w:rsidRPr="0057593E">
        <w:rPr>
          <w:rFonts w:ascii="Arial" w:hAnsi="Arial" w:cs="Arial"/>
          <w:b/>
          <w:smallCaps/>
          <w:color w:val="auto"/>
          <w:sz w:val="22"/>
          <w:szCs w:val="22"/>
        </w:rPr>
        <w:t xml:space="preserve">al </w:t>
      </w:r>
      <w:r>
        <w:rPr>
          <w:rFonts w:ascii="Arial" w:hAnsi="Arial" w:cs="Arial"/>
          <w:b/>
          <w:smallCaps/>
          <w:color w:val="auto"/>
          <w:sz w:val="22"/>
          <w:szCs w:val="22"/>
        </w:rPr>
        <w:t>segundo</w:t>
      </w:r>
      <w:r w:rsidRPr="0057593E">
        <w:rPr>
          <w:rFonts w:ascii="Arial" w:hAnsi="Arial" w:cs="Arial"/>
          <w:b/>
          <w:smallCaps/>
          <w:color w:val="auto"/>
          <w:sz w:val="22"/>
          <w:szCs w:val="22"/>
        </w:rPr>
        <w:t xml:space="preserve"> trimestre</w:t>
      </w:r>
      <w:r>
        <w:rPr>
          <w:rFonts w:ascii="Arial" w:hAnsi="Arial" w:cs="Arial"/>
          <w:b/>
          <w:smallCaps/>
          <w:color w:val="auto"/>
          <w:sz w:val="22"/>
          <w:szCs w:val="22"/>
        </w:rPr>
        <w:t xml:space="preserve"> </w:t>
      </w:r>
      <w:r w:rsidRPr="0057593E">
        <w:rPr>
          <w:rFonts w:ascii="Arial" w:hAnsi="Arial" w:cs="Arial"/>
          <w:b/>
          <w:smallCaps/>
          <w:color w:val="auto"/>
          <w:sz w:val="22"/>
          <w:szCs w:val="22"/>
        </w:rPr>
        <w:t>de 202</w:t>
      </w:r>
      <w:r>
        <w:rPr>
          <w:rFonts w:ascii="Arial" w:hAnsi="Arial" w:cs="Arial"/>
          <w:b/>
          <w:smallCaps/>
          <w:color w:val="auto"/>
          <w:sz w:val="22"/>
          <w:szCs w:val="22"/>
        </w:rPr>
        <w:t>1</w:t>
      </w:r>
    </w:p>
    <w:p w14:paraId="6FA9C6FB" w14:textId="77777777" w:rsidR="00856F76" w:rsidRPr="00EF651A" w:rsidRDefault="00856F76" w:rsidP="00856F76">
      <w:pPr>
        <w:pStyle w:val="Textoindependiente"/>
        <w:keepNext/>
        <w:keepLines/>
        <w:spacing w:before="0" w:line="180" w:lineRule="exact"/>
        <w:jc w:val="center"/>
        <w:rPr>
          <w:rFonts w:cs="Arial"/>
          <w:bCs/>
          <w:sz w:val="16"/>
          <w:szCs w:val="16"/>
        </w:rPr>
      </w:pPr>
      <w:r w:rsidRPr="00EF651A">
        <w:rPr>
          <w:rFonts w:cs="Arial"/>
          <w:bCs/>
          <w:sz w:val="18"/>
        </w:rPr>
        <w:t xml:space="preserve">Cifras desestacionalizadas </w:t>
      </w:r>
      <w:r w:rsidRPr="00EF651A">
        <w:rPr>
          <w:rFonts w:cs="Arial"/>
          <w:bCs/>
          <w:sz w:val="16"/>
          <w:szCs w:val="16"/>
          <w:vertAlign w:val="superscript"/>
        </w:rPr>
        <w:t xml:space="preserve"> </w:t>
      </w:r>
    </w:p>
    <w:tbl>
      <w:tblPr>
        <w:tblStyle w:val="Tablaconcuadrcula"/>
        <w:tblW w:w="6789" w:type="dxa"/>
        <w:jc w:val="center"/>
        <w:tblLayout w:type="fixed"/>
        <w:tblLook w:val="04A0" w:firstRow="1" w:lastRow="0" w:firstColumn="1" w:lastColumn="0" w:noHBand="0" w:noVBand="1"/>
      </w:tblPr>
      <w:tblGrid>
        <w:gridCol w:w="3521"/>
        <w:gridCol w:w="1457"/>
        <w:gridCol w:w="1811"/>
      </w:tblGrid>
      <w:tr w:rsidR="00856F76" w14:paraId="4A082495" w14:textId="77777777" w:rsidTr="00856F76">
        <w:trPr>
          <w:trHeight w:val="694"/>
          <w:jc w:val="center"/>
        </w:trPr>
        <w:tc>
          <w:tcPr>
            <w:tcW w:w="3521" w:type="dxa"/>
            <w:tcBorders>
              <w:top w:val="double" w:sz="4" w:space="0" w:color="auto"/>
              <w:left w:val="double" w:sz="4" w:space="0" w:color="auto"/>
              <w:bottom w:val="double" w:sz="4" w:space="0" w:color="auto"/>
              <w:right w:val="single" w:sz="4" w:space="0" w:color="auto"/>
            </w:tcBorders>
            <w:shd w:val="clear" w:color="auto" w:fill="C2D69B" w:themeFill="accent3" w:themeFillTint="99"/>
            <w:vAlign w:val="center"/>
          </w:tcPr>
          <w:p w14:paraId="5F4384CA" w14:textId="77777777" w:rsidR="00856F76" w:rsidRPr="0057593E" w:rsidRDefault="00856F76" w:rsidP="00856F76">
            <w:pPr>
              <w:pStyle w:val="not31"/>
              <w:widowControl w:val="0"/>
              <w:spacing w:before="0" w:line="180" w:lineRule="atLeast"/>
              <w:ind w:left="-262" w:right="0" w:firstLine="310"/>
              <w:jc w:val="center"/>
              <w:rPr>
                <w:rFonts w:cs="Arial"/>
                <w:b/>
                <w:color w:val="auto"/>
                <w:sz w:val="18"/>
                <w:szCs w:val="18"/>
                <w:lang w:val="es-MX" w:eastAsia="es-MX"/>
              </w:rPr>
            </w:pPr>
            <w:r w:rsidRPr="0057593E">
              <w:rPr>
                <w:rFonts w:cs="Arial"/>
                <w:b/>
                <w:color w:val="auto"/>
                <w:sz w:val="18"/>
                <w:szCs w:val="18"/>
                <w:lang w:val="es-MX" w:eastAsia="es-MX"/>
              </w:rPr>
              <w:t>Concepto</w:t>
            </w:r>
          </w:p>
        </w:tc>
        <w:tc>
          <w:tcPr>
            <w:tcW w:w="1457" w:type="dxa"/>
            <w:tcBorders>
              <w:top w:val="double" w:sz="4" w:space="0" w:color="auto"/>
              <w:left w:val="single" w:sz="4" w:space="0" w:color="auto"/>
              <w:bottom w:val="double" w:sz="4" w:space="0" w:color="auto"/>
              <w:right w:val="single" w:sz="4" w:space="0" w:color="auto"/>
            </w:tcBorders>
            <w:shd w:val="clear" w:color="auto" w:fill="C2D69B" w:themeFill="accent3" w:themeFillTint="99"/>
            <w:vAlign w:val="center"/>
          </w:tcPr>
          <w:p w14:paraId="3C4A3218" w14:textId="77777777" w:rsidR="00856F76" w:rsidRPr="0057593E" w:rsidRDefault="00856F76" w:rsidP="00856F76">
            <w:pPr>
              <w:pStyle w:val="not31"/>
              <w:widowControl w:val="0"/>
              <w:spacing w:before="0" w:line="180" w:lineRule="atLeast"/>
              <w:ind w:left="-100" w:right="-72"/>
              <w:jc w:val="center"/>
              <w:rPr>
                <w:rFonts w:cs="Arial"/>
                <w:b/>
                <w:color w:val="auto"/>
                <w:sz w:val="18"/>
                <w:szCs w:val="18"/>
                <w:lang w:val="es-MX" w:eastAsia="es-MX"/>
              </w:rPr>
            </w:pPr>
            <w:r w:rsidRPr="0057593E">
              <w:rPr>
                <w:rFonts w:cs="Arial"/>
                <w:b/>
                <w:color w:val="auto"/>
                <w:sz w:val="18"/>
                <w:szCs w:val="18"/>
                <w:lang w:val="es-MX" w:eastAsia="es-MX"/>
              </w:rPr>
              <w:t>Variación % respecto al trimestre previo</w:t>
            </w:r>
          </w:p>
        </w:tc>
        <w:tc>
          <w:tcPr>
            <w:tcW w:w="1811" w:type="dxa"/>
            <w:tcBorders>
              <w:top w:val="double" w:sz="4" w:space="0" w:color="auto"/>
              <w:left w:val="single" w:sz="4" w:space="0" w:color="auto"/>
              <w:bottom w:val="double" w:sz="4" w:space="0" w:color="auto"/>
              <w:right w:val="double" w:sz="4" w:space="0" w:color="auto"/>
            </w:tcBorders>
            <w:shd w:val="clear" w:color="auto" w:fill="C2D69B" w:themeFill="accent3" w:themeFillTint="99"/>
            <w:vAlign w:val="center"/>
          </w:tcPr>
          <w:p w14:paraId="05708E1A" w14:textId="77777777" w:rsidR="00856F76" w:rsidRPr="0057593E" w:rsidRDefault="00856F76" w:rsidP="00856F76">
            <w:pPr>
              <w:pStyle w:val="not31"/>
              <w:widowControl w:val="0"/>
              <w:spacing w:before="0" w:line="180" w:lineRule="atLeast"/>
              <w:ind w:right="0"/>
              <w:jc w:val="center"/>
              <w:rPr>
                <w:rFonts w:cs="Arial"/>
                <w:b/>
                <w:color w:val="auto"/>
                <w:sz w:val="18"/>
                <w:szCs w:val="18"/>
                <w:lang w:val="es-MX" w:eastAsia="es-MX"/>
              </w:rPr>
            </w:pPr>
            <w:r w:rsidRPr="0057593E">
              <w:rPr>
                <w:rFonts w:cs="Arial"/>
                <w:b/>
                <w:color w:val="auto"/>
                <w:sz w:val="18"/>
                <w:szCs w:val="18"/>
                <w:lang w:val="es-MX" w:eastAsia="es-MX"/>
              </w:rPr>
              <w:t>Variación % respecto a igual trimestre de 20</w:t>
            </w:r>
            <w:r>
              <w:rPr>
                <w:rFonts w:cs="Arial"/>
                <w:b/>
                <w:color w:val="auto"/>
                <w:sz w:val="18"/>
                <w:szCs w:val="18"/>
                <w:lang w:val="es-MX" w:eastAsia="es-MX"/>
              </w:rPr>
              <w:t>20</w:t>
            </w:r>
          </w:p>
        </w:tc>
      </w:tr>
      <w:tr w:rsidR="00856F76" w14:paraId="3CAF7873" w14:textId="77777777" w:rsidTr="00856F76">
        <w:trPr>
          <w:jc w:val="center"/>
        </w:trPr>
        <w:tc>
          <w:tcPr>
            <w:tcW w:w="3521" w:type="dxa"/>
            <w:tcBorders>
              <w:top w:val="double" w:sz="4" w:space="0" w:color="auto"/>
              <w:left w:val="double" w:sz="4" w:space="0" w:color="auto"/>
              <w:bottom w:val="nil"/>
              <w:right w:val="single" w:sz="4" w:space="0" w:color="auto"/>
            </w:tcBorders>
            <w:vAlign w:val="center"/>
          </w:tcPr>
          <w:p w14:paraId="35703741" w14:textId="77777777" w:rsidR="00856F76" w:rsidRPr="0057593E" w:rsidRDefault="00856F76" w:rsidP="00856F76">
            <w:pPr>
              <w:pStyle w:val="not31"/>
              <w:keepLines w:val="0"/>
              <w:widowControl w:val="0"/>
              <w:spacing w:before="20" w:after="20"/>
              <w:ind w:left="48" w:right="-79"/>
              <w:jc w:val="left"/>
              <w:rPr>
                <w:rFonts w:cs="Arial"/>
                <w:color w:val="auto"/>
                <w:sz w:val="18"/>
                <w:szCs w:val="18"/>
                <w:lang w:val="es-MX" w:eastAsia="es-MX"/>
              </w:rPr>
            </w:pPr>
            <w:r>
              <w:rPr>
                <w:rFonts w:cs="Arial"/>
                <w:color w:val="auto"/>
                <w:sz w:val="18"/>
                <w:szCs w:val="18"/>
                <w:lang w:val="es-MX" w:eastAsia="es-MX"/>
              </w:rPr>
              <w:t xml:space="preserve"> </w:t>
            </w:r>
            <w:r w:rsidRPr="0057593E">
              <w:rPr>
                <w:rFonts w:cs="Arial"/>
                <w:color w:val="auto"/>
                <w:sz w:val="18"/>
                <w:szCs w:val="18"/>
                <w:lang w:val="es-MX" w:eastAsia="es-MX"/>
              </w:rPr>
              <w:t>Producto Interno Bruto</w:t>
            </w:r>
          </w:p>
        </w:tc>
        <w:tc>
          <w:tcPr>
            <w:tcW w:w="1457" w:type="dxa"/>
            <w:tcBorders>
              <w:top w:val="double" w:sz="4" w:space="0" w:color="auto"/>
              <w:left w:val="single" w:sz="4" w:space="0" w:color="auto"/>
              <w:bottom w:val="nil"/>
              <w:right w:val="nil"/>
            </w:tcBorders>
            <w:vAlign w:val="bottom"/>
          </w:tcPr>
          <w:p w14:paraId="2D048B43" w14:textId="77777777" w:rsidR="00856F76" w:rsidRPr="0057593E" w:rsidRDefault="00856F76" w:rsidP="00856F76">
            <w:pPr>
              <w:spacing w:before="20" w:after="20"/>
              <w:ind w:right="397"/>
              <w:jc w:val="right"/>
              <w:rPr>
                <w:rFonts w:ascii="Arial" w:hAnsi="Arial" w:cs="Arial"/>
                <w:sz w:val="18"/>
                <w:szCs w:val="18"/>
              </w:rPr>
            </w:pPr>
            <w:r>
              <w:rPr>
                <w:rFonts w:ascii="Arial" w:hAnsi="Arial" w:cs="Arial"/>
                <w:sz w:val="18"/>
                <w:szCs w:val="18"/>
                <w:lang w:eastAsia="es-MX"/>
              </w:rPr>
              <w:t>1.5</w:t>
            </w:r>
          </w:p>
        </w:tc>
        <w:tc>
          <w:tcPr>
            <w:tcW w:w="1811" w:type="dxa"/>
            <w:tcBorders>
              <w:top w:val="double" w:sz="4" w:space="0" w:color="auto"/>
              <w:left w:val="single" w:sz="4" w:space="0" w:color="auto"/>
              <w:bottom w:val="nil"/>
              <w:right w:val="double" w:sz="4" w:space="0" w:color="auto"/>
            </w:tcBorders>
            <w:shd w:val="clear" w:color="auto" w:fill="auto"/>
            <w:vAlign w:val="bottom"/>
          </w:tcPr>
          <w:p w14:paraId="225F4A3B" w14:textId="77777777" w:rsidR="00856F76" w:rsidRPr="0057593E" w:rsidRDefault="00856F76" w:rsidP="00856F76">
            <w:pPr>
              <w:spacing w:before="20" w:after="20"/>
              <w:ind w:right="510"/>
              <w:jc w:val="right"/>
              <w:rPr>
                <w:rFonts w:ascii="Arial" w:hAnsi="Arial" w:cs="Arial"/>
                <w:sz w:val="18"/>
                <w:szCs w:val="18"/>
              </w:rPr>
            </w:pPr>
            <w:r>
              <w:rPr>
                <w:rFonts w:ascii="Arial" w:hAnsi="Arial" w:cs="Arial"/>
                <w:sz w:val="18"/>
                <w:szCs w:val="18"/>
                <w:lang w:eastAsia="es-MX"/>
              </w:rPr>
              <w:t>19.5</w:t>
            </w:r>
          </w:p>
        </w:tc>
      </w:tr>
      <w:tr w:rsidR="00856F76" w14:paraId="26BF86BF" w14:textId="77777777" w:rsidTr="00856F76">
        <w:trPr>
          <w:jc w:val="center"/>
        </w:trPr>
        <w:tc>
          <w:tcPr>
            <w:tcW w:w="3521" w:type="dxa"/>
            <w:tcBorders>
              <w:top w:val="nil"/>
              <w:left w:val="double" w:sz="4" w:space="0" w:color="auto"/>
              <w:bottom w:val="nil"/>
              <w:right w:val="single" w:sz="4" w:space="0" w:color="auto"/>
            </w:tcBorders>
            <w:vAlign w:val="center"/>
          </w:tcPr>
          <w:p w14:paraId="32ACA467" w14:textId="77777777" w:rsidR="00856F76" w:rsidRPr="0057593E" w:rsidRDefault="00856F76" w:rsidP="00856F76">
            <w:pPr>
              <w:pStyle w:val="not31"/>
              <w:keepLines w:val="0"/>
              <w:widowControl w:val="0"/>
              <w:spacing w:before="20" w:after="20"/>
              <w:ind w:left="48" w:right="-79"/>
              <w:jc w:val="left"/>
              <w:rPr>
                <w:rFonts w:cs="Arial"/>
                <w:color w:val="auto"/>
                <w:sz w:val="18"/>
                <w:szCs w:val="18"/>
                <w:lang w:val="es-MX" w:eastAsia="es-MX"/>
              </w:rPr>
            </w:pPr>
            <w:r>
              <w:rPr>
                <w:rFonts w:cs="Arial"/>
                <w:color w:val="auto"/>
                <w:sz w:val="18"/>
                <w:szCs w:val="18"/>
                <w:lang w:val="es-MX" w:eastAsia="es-MX"/>
              </w:rPr>
              <w:t xml:space="preserve"> </w:t>
            </w:r>
            <w:r w:rsidRPr="0057593E">
              <w:rPr>
                <w:rFonts w:cs="Arial"/>
                <w:color w:val="auto"/>
                <w:sz w:val="18"/>
                <w:szCs w:val="18"/>
                <w:lang w:val="es-MX" w:eastAsia="es-MX"/>
              </w:rPr>
              <w:t>Importación de Bienes y Servicios</w:t>
            </w:r>
          </w:p>
        </w:tc>
        <w:tc>
          <w:tcPr>
            <w:tcW w:w="1457" w:type="dxa"/>
            <w:tcBorders>
              <w:top w:val="nil"/>
              <w:left w:val="single" w:sz="4" w:space="0" w:color="auto"/>
              <w:bottom w:val="nil"/>
              <w:right w:val="nil"/>
            </w:tcBorders>
            <w:vAlign w:val="center"/>
          </w:tcPr>
          <w:p w14:paraId="242BC7FB" w14:textId="77777777" w:rsidR="00856F76" w:rsidRPr="0057593E" w:rsidRDefault="00856F76" w:rsidP="00856F76">
            <w:pPr>
              <w:pStyle w:val="not31"/>
              <w:keepLines w:val="0"/>
              <w:widowControl w:val="0"/>
              <w:spacing w:before="20" w:after="20"/>
              <w:ind w:right="397"/>
              <w:jc w:val="right"/>
              <w:rPr>
                <w:rFonts w:cs="Arial"/>
                <w:color w:val="auto"/>
                <w:sz w:val="18"/>
                <w:szCs w:val="18"/>
                <w:lang w:val="es-MX" w:eastAsia="es-MX"/>
              </w:rPr>
            </w:pPr>
            <w:r>
              <w:rPr>
                <w:rFonts w:cs="Arial"/>
                <w:color w:val="auto"/>
                <w:sz w:val="18"/>
                <w:szCs w:val="18"/>
                <w:lang w:val="es-MX" w:eastAsia="es-MX"/>
              </w:rPr>
              <w:t>0.2</w:t>
            </w:r>
          </w:p>
        </w:tc>
        <w:tc>
          <w:tcPr>
            <w:tcW w:w="1811" w:type="dxa"/>
            <w:tcBorders>
              <w:top w:val="nil"/>
              <w:left w:val="single" w:sz="4" w:space="0" w:color="auto"/>
              <w:bottom w:val="nil"/>
              <w:right w:val="double" w:sz="4" w:space="0" w:color="auto"/>
            </w:tcBorders>
            <w:shd w:val="clear" w:color="auto" w:fill="auto"/>
            <w:vAlign w:val="center"/>
          </w:tcPr>
          <w:p w14:paraId="3EA3A361" w14:textId="77777777" w:rsidR="00856F76" w:rsidRPr="0057593E" w:rsidRDefault="00856F76" w:rsidP="00856F76">
            <w:pPr>
              <w:pStyle w:val="not31"/>
              <w:keepLines w:val="0"/>
              <w:widowControl w:val="0"/>
              <w:spacing w:before="20" w:after="20"/>
              <w:ind w:right="510"/>
              <w:jc w:val="right"/>
              <w:rPr>
                <w:rFonts w:cs="Arial"/>
                <w:color w:val="auto"/>
                <w:sz w:val="18"/>
                <w:szCs w:val="18"/>
                <w:lang w:val="es-MX" w:eastAsia="es-MX"/>
              </w:rPr>
            </w:pPr>
            <w:r>
              <w:rPr>
                <w:rFonts w:cs="Arial"/>
                <w:color w:val="auto"/>
                <w:sz w:val="18"/>
                <w:szCs w:val="18"/>
                <w:lang w:val="es-MX" w:eastAsia="es-MX"/>
              </w:rPr>
              <w:t>35.3</w:t>
            </w:r>
          </w:p>
        </w:tc>
      </w:tr>
      <w:tr w:rsidR="00856F76" w14:paraId="582617F9" w14:textId="77777777" w:rsidTr="00856F76">
        <w:trPr>
          <w:jc w:val="center"/>
        </w:trPr>
        <w:tc>
          <w:tcPr>
            <w:tcW w:w="3521" w:type="dxa"/>
            <w:tcBorders>
              <w:top w:val="nil"/>
              <w:left w:val="double" w:sz="4" w:space="0" w:color="auto"/>
              <w:bottom w:val="nil"/>
              <w:right w:val="single" w:sz="4" w:space="0" w:color="auto"/>
            </w:tcBorders>
            <w:vAlign w:val="center"/>
          </w:tcPr>
          <w:p w14:paraId="1CA1244E" w14:textId="77777777" w:rsidR="00856F76" w:rsidRPr="0057593E" w:rsidRDefault="00856F76" w:rsidP="00856F76">
            <w:pPr>
              <w:pStyle w:val="not31"/>
              <w:keepLines w:val="0"/>
              <w:widowControl w:val="0"/>
              <w:spacing w:before="20" w:after="20"/>
              <w:ind w:left="-123" w:right="-79"/>
              <w:jc w:val="left"/>
              <w:rPr>
                <w:rFonts w:cs="Arial"/>
                <w:b/>
                <w:color w:val="auto"/>
                <w:sz w:val="18"/>
                <w:szCs w:val="18"/>
                <w:lang w:val="es-MX" w:eastAsia="es-MX"/>
              </w:rPr>
            </w:pPr>
            <w:r w:rsidRPr="0057593E">
              <w:rPr>
                <w:rFonts w:cs="Arial"/>
                <w:b/>
                <w:color w:val="auto"/>
                <w:sz w:val="18"/>
                <w:szCs w:val="18"/>
                <w:lang w:val="es-MX" w:eastAsia="es-MX"/>
              </w:rPr>
              <w:t xml:space="preserve"> </w:t>
            </w:r>
            <w:r>
              <w:rPr>
                <w:rFonts w:cs="Arial"/>
                <w:b/>
                <w:color w:val="auto"/>
                <w:sz w:val="18"/>
                <w:szCs w:val="18"/>
                <w:lang w:val="es-MX" w:eastAsia="es-MX"/>
              </w:rPr>
              <w:t xml:space="preserve"> </w:t>
            </w:r>
            <w:r w:rsidRPr="0057593E">
              <w:rPr>
                <w:rFonts w:cs="Arial"/>
                <w:b/>
                <w:color w:val="auto"/>
                <w:sz w:val="18"/>
                <w:szCs w:val="18"/>
                <w:lang w:val="es-MX" w:eastAsia="es-MX"/>
              </w:rPr>
              <w:t xml:space="preserve">Oferta </w:t>
            </w:r>
            <w:r>
              <w:rPr>
                <w:rFonts w:cs="Arial"/>
                <w:b/>
                <w:color w:val="auto"/>
                <w:sz w:val="18"/>
                <w:szCs w:val="18"/>
                <w:lang w:val="es-MX" w:eastAsia="es-MX"/>
              </w:rPr>
              <w:t>=</w:t>
            </w:r>
            <w:r w:rsidRPr="0057593E">
              <w:rPr>
                <w:rFonts w:cs="Arial"/>
                <w:b/>
                <w:color w:val="auto"/>
                <w:sz w:val="18"/>
                <w:szCs w:val="18"/>
                <w:lang w:val="es-MX" w:eastAsia="es-MX"/>
              </w:rPr>
              <w:t xml:space="preserve"> Demanda</w:t>
            </w:r>
            <w:r>
              <w:rPr>
                <w:rFonts w:cs="Arial"/>
                <w:b/>
                <w:color w:val="auto"/>
                <w:sz w:val="18"/>
                <w:szCs w:val="18"/>
                <w:lang w:val="es-MX" w:eastAsia="es-MX"/>
              </w:rPr>
              <w:t xml:space="preserve"> </w:t>
            </w:r>
          </w:p>
        </w:tc>
        <w:tc>
          <w:tcPr>
            <w:tcW w:w="1457" w:type="dxa"/>
            <w:tcBorders>
              <w:top w:val="nil"/>
              <w:left w:val="single" w:sz="4" w:space="0" w:color="auto"/>
              <w:bottom w:val="nil"/>
              <w:right w:val="nil"/>
            </w:tcBorders>
            <w:vAlign w:val="bottom"/>
          </w:tcPr>
          <w:p w14:paraId="6CFA92C9" w14:textId="77777777" w:rsidR="00856F76" w:rsidRPr="0057593E" w:rsidRDefault="00856F76" w:rsidP="00856F76">
            <w:pPr>
              <w:pStyle w:val="not31"/>
              <w:keepLines w:val="0"/>
              <w:widowControl w:val="0"/>
              <w:spacing w:before="20" w:after="20"/>
              <w:ind w:right="397"/>
              <w:jc w:val="right"/>
              <w:rPr>
                <w:rFonts w:cs="Arial"/>
                <w:b/>
                <w:color w:val="auto"/>
                <w:sz w:val="18"/>
                <w:szCs w:val="18"/>
                <w:lang w:val="es-MX" w:eastAsia="es-MX"/>
              </w:rPr>
            </w:pPr>
            <w:r>
              <w:rPr>
                <w:rFonts w:cs="Arial"/>
                <w:b/>
                <w:color w:val="auto"/>
                <w:sz w:val="18"/>
                <w:szCs w:val="18"/>
                <w:lang w:val="es-MX" w:eastAsia="es-MX"/>
              </w:rPr>
              <w:t>1.2</w:t>
            </w:r>
          </w:p>
        </w:tc>
        <w:tc>
          <w:tcPr>
            <w:tcW w:w="1811" w:type="dxa"/>
            <w:tcBorders>
              <w:top w:val="nil"/>
              <w:left w:val="single" w:sz="4" w:space="0" w:color="auto"/>
              <w:bottom w:val="nil"/>
              <w:right w:val="double" w:sz="4" w:space="0" w:color="auto"/>
            </w:tcBorders>
            <w:shd w:val="clear" w:color="auto" w:fill="auto"/>
            <w:vAlign w:val="bottom"/>
          </w:tcPr>
          <w:p w14:paraId="63DE09AD" w14:textId="77777777" w:rsidR="00856F76" w:rsidRPr="0057593E" w:rsidRDefault="00856F76" w:rsidP="00856F76">
            <w:pPr>
              <w:pStyle w:val="not31"/>
              <w:keepLines w:val="0"/>
              <w:widowControl w:val="0"/>
              <w:spacing w:before="20" w:after="20"/>
              <w:ind w:right="510"/>
              <w:jc w:val="right"/>
              <w:rPr>
                <w:rFonts w:cs="Arial"/>
                <w:b/>
                <w:color w:val="auto"/>
                <w:sz w:val="18"/>
                <w:szCs w:val="18"/>
                <w:lang w:val="es-MX" w:eastAsia="es-MX"/>
              </w:rPr>
            </w:pPr>
            <w:r>
              <w:rPr>
                <w:rFonts w:cs="Arial"/>
                <w:b/>
                <w:color w:val="auto"/>
                <w:sz w:val="18"/>
                <w:szCs w:val="18"/>
                <w:lang w:val="es-MX" w:eastAsia="es-MX"/>
              </w:rPr>
              <w:t>23.3</w:t>
            </w:r>
          </w:p>
        </w:tc>
      </w:tr>
      <w:tr w:rsidR="00856F76" w14:paraId="7321A1E6" w14:textId="77777777" w:rsidTr="00856F76">
        <w:trPr>
          <w:jc w:val="center"/>
        </w:trPr>
        <w:tc>
          <w:tcPr>
            <w:tcW w:w="3521" w:type="dxa"/>
            <w:tcBorders>
              <w:top w:val="nil"/>
              <w:left w:val="double" w:sz="4" w:space="0" w:color="auto"/>
              <w:bottom w:val="nil"/>
              <w:right w:val="single" w:sz="4" w:space="0" w:color="auto"/>
            </w:tcBorders>
            <w:vAlign w:val="center"/>
          </w:tcPr>
          <w:p w14:paraId="48729B66" w14:textId="77777777" w:rsidR="00856F76" w:rsidRPr="0057593E" w:rsidRDefault="00856F76" w:rsidP="00856F76">
            <w:pPr>
              <w:pStyle w:val="not31"/>
              <w:keepLines w:val="0"/>
              <w:widowControl w:val="0"/>
              <w:spacing w:before="20" w:after="20"/>
              <w:ind w:left="48" w:right="-79"/>
              <w:jc w:val="left"/>
              <w:rPr>
                <w:rFonts w:cs="Arial"/>
                <w:color w:val="auto"/>
                <w:sz w:val="18"/>
                <w:szCs w:val="18"/>
                <w:lang w:val="es-MX" w:eastAsia="es-MX"/>
              </w:rPr>
            </w:pPr>
            <w:r>
              <w:rPr>
                <w:rFonts w:cs="Arial"/>
                <w:color w:val="auto"/>
                <w:sz w:val="18"/>
                <w:szCs w:val="18"/>
                <w:lang w:val="es-MX" w:eastAsia="es-MX"/>
              </w:rPr>
              <w:t xml:space="preserve"> </w:t>
            </w:r>
            <w:r w:rsidRPr="0057593E">
              <w:rPr>
                <w:rFonts w:cs="Arial"/>
                <w:color w:val="auto"/>
                <w:sz w:val="18"/>
                <w:szCs w:val="18"/>
                <w:lang w:val="es-MX" w:eastAsia="es-MX"/>
              </w:rPr>
              <w:t>Consumo Privado</w:t>
            </w:r>
          </w:p>
        </w:tc>
        <w:tc>
          <w:tcPr>
            <w:tcW w:w="1457" w:type="dxa"/>
            <w:tcBorders>
              <w:top w:val="nil"/>
              <w:left w:val="single" w:sz="4" w:space="0" w:color="auto"/>
              <w:bottom w:val="nil"/>
              <w:right w:val="nil"/>
            </w:tcBorders>
            <w:vAlign w:val="bottom"/>
          </w:tcPr>
          <w:p w14:paraId="6FC08021" w14:textId="77777777" w:rsidR="00856F76" w:rsidRPr="0057593E" w:rsidRDefault="00856F76" w:rsidP="00856F76">
            <w:pPr>
              <w:pStyle w:val="not31"/>
              <w:keepLines w:val="0"/>
              <w:widowControl w:val="0"/>
              <w:spacing w:before="20" w:after="20"/>
              <w:ind w:right="397"/>
              <w:jc w:val="right"/>
              <w:rPr>
                <w:rFonts w:cs="Arial"/>
                <w:color w:val="auto"/>
                <w:sz w:val="18"/>
                <w:szCs w:val="18"/>
                <w:lang w:val="es-MX" w:eastAsia="es-MX"/>
              </w:rPr>
            </w:pPr>
            <w:r>
              <w:rPr>
                <w:rFonts w:cs="Arial"/>
                <w:color w:val="auto"/>
                <w:sz w:val="18"/>
                <w:szCs w:val="18"/>
                <w:lang w:val="es-MX" w:eastAsia="es-MX"/>
              </w:rPr>
              <w:t>1.9</w:t>
            </w:r>
          </w:p>
        </w:tc>
        <w:tc>
          <w:tcPr>
            <w:tcW w:w="1811" w:type="dxa"/>
            <w:tcBorders>
              <w:top w:val="nil"/>
              <w:left w:val="single" w:sz="4" w:space="0" w:color="auto"/>
              <w:bottom w:val="nil"/>
              <w:right w:val="double" w:sz="4" w:space="0" w:color="auto"/>
            </w:tcBorders>
            <w:shd w:val="clear" w:color="auto" w:fill="auto"/>
            <w:vAlign w:val="bottom"/>
          </w:tcPr>
          <w:p w14:paraId="4700574B" w14:textId="77777777" w:rsidR="00856F76" w:rsidRPr="0057593E" w:rsidRDefault="00856F76" w:rsidP="00856F76">
            <w:pPr>
              <w:pStyle w:val="not31"/>
              <w:keepLines w:val="0"/>
              <w:widowControl w:val="0"/>
              <w:spacing w:before="20" w:after="20"/>
              <w:ind w:right="510"/>
              <w:jc w:val="right"/>
              <w:rPr>
                <w:rFonts w:cs="Arial"/>
                <w:color w:val="auto"/>
                <w:sz w:val="18"/>
                <w:szCs w:val="18"/>
                <w:lang w:val="es-MX" w:eastAsia="es-MX"/>
              </w:rPr>
            </w:pPr>
            <w:r>
              <w:rPr>
                <w:rFonts w:cs="Arial"/>
                <w:color w:val="auto"/>
                <w:sz w:val="18"/>
                <w:szCs w:val="18"/>
                <w:lang w:val="es-MX" w:eastAsia="es-MX"/>
              </w:rPr>
              <w:t>22.3</w:t>
            </w:r>
          </w:p>
        </w:tc>
      </w:tr>
      <w:tr w:rsidR="00856F76" w14:paraId="5017889B" w14:textId="77777777" w:rsidTr="00856F76">
        <w:trPr>
          <w:jc w:val="center"/>
        </w:trPr>
        <w:tc>
          <w:tcPr>
            <w:tcW w:w="3521" w:type="dxa"/>
            <w:tcBorders>
              <w:top w:val="nil"/>
              <w:left w:val="double" w:sz="4" w:space="0" w:color="auto"/>
              <w:bottom w:val="nil"/>
              <w:right w:val="single" w:sz="4" w:space="0" w:color="auto"/>
            </w:tcBorders>
            <w:vAlign w:val="center"/>
          </w:tcPr>
          <w:p w14:paraId="6C4CE399" w14:textId="77777777" w:rsidR="00856F76" w:rsidRPr="0057593E" w:rsidRDefault="00856F76" w:rsidP="00856F76">
            <w:pPr>
              <w:pStyle w:val="not31"/>
              <w:keepLines w:val="0"/>
              <w:widowControl w:val="0"/>
              <w:spacing w:before="20" w:after="20"/>
              <w:ind w:left="48" w:right="-79"/>
              <w:jc w:val="left"/>
              <w:rPr>
                <w:rFonts w:cs="Arial"/>
                <w:color w:val="auto"/>
                <w:sz w:val="18"/>
                <w:szCs w:val="18"/>
                <w:lang w:val="es-MX" w:eastAsia="es-MX"/>
              </w:rPr>
            </w:pPr>
            <w:r>
              <w:rPr>
                <w:rFonts w:cs="Arial"/>
                <w:color w:val="auto"/>
                <w:sz w:val="18"/>
                <w:szCs w:val="18"/>
                <w:lang w:val="es-MX" w:eastAsia="es-MX"/>
              </w:rPr>
              <w:t xml:space="preserve"> </w:t>
            </w:r>
            <w:r w:rsidRPr="0057593E">
              <w:rPr>
                <w:rFonts w:cs="Arial"/>
                <w:color w:val="auto"/>
                <w:sz w:val="18"/>
                <w:szCs w:val="18"/>
                <w:lang w:val="es-MX" w:eastAsia="es-MX"/>
              </w:rPr>
              <w:t>Consumo de Gobierno</w:t>
            </w:r>
          </w:p>
        </w:tc>
        <w:tc>
          <w:tcPr>
            <w:tcW w:w="1457" w:type="dxa"/>
            <w:tcBorders>
              <w:top w:val="nil"/>
              <w:left w:val="single" w:sz="4" w:space="0" w:color="auto"/>
              <w:bottom w:val="nil"/>
              <w:right w:val="nil"/>
            </w:tcBorders>
            <w:vAlign w:val="bottom"/>
          </w:tcPr>
          <w:p w14:paraId="5CC445EA" w14:textId="77777777" w:rsidR="00856F76" w:rsidRPr="0057593E" w:rsidRDefault="00856F76" w:rsidP="00856F76">
            <w:pPr>
              <w:pStyle w:val="not31"/>
              <w:keepLines w:val="0"/>
              <w:widowControl w:val="0"/>
              <w:spacing w:before="20" w:after="20"/>
              <w:ind w:right="397"/>
              <w:jc w:val="right"/>
              <w:rPr>
                <w:rFonts w:cs="Arial"/>
                <w:color w:val="auto"/>
                <w:sz w:val="18"/>
                <w:szCs w:val="18"/>
                <w:lang w:val="es-MX" w:eastAsia="es-MX"/>
              </w:rPr>
            </w:pPr>
            <w:r>
              <w:rPr>
                <w:rFonts w:cs="Arial"/>
                <w:color w:val="auto"/>
                <w:sz w:val="18"/>
                <w:szCs w:val="18"/>
                <w:lang w:val="es-MX" w:eastAsia="es-MX"/>
              </w:rPr>
              <w:t>2.6</w:t>
            </w:r>
          </w:p>
        </w:tc>
        <w:tc>
          <w:tcPr>
            <w:tcW w:w="1811" w:type="dxa"/>
            <w:tcBorders>
              <w:top w:val="nil"/>
              <w:left w:val="single" w:sz="4" w:space="0" w:color="auto"/>
              <w:bottom w:val="nil"/>
              <w:right w:val="double" w:sz="4" w:space="0" w:color="auto"/>
            </w:tcBorders>
            <w:shd w:val="clear" w:color="auto" w:fill="auto"/>
            <w:vAlign w:val="bottom"/>
          </w:tcPr>
          <w:p w14:paraId="70BAFA0C" w14:textId="77777777" w:rsidR="00856F76" w:rsidRPr="0057593E" w:rsidRDefault="00856F76" w:rsidP="00856F76">
            <w:pPr>
              <w:pStyle w:val="not31"/>
              <w:keepLines w:val="0"/>
              <w:widowControl w:val="0"/>
              <w:spacing w:before="20" w:after="20"/>
              <w:ind w:right="510"/>
              <w:jc w:val="right"/>
              <w:rPr>
                <w:rFonts w:cs="Arial"/>
                <w:color w:val="auto"/>
                <w:sz w:val="18"/>
                <w:szCs w:val="18"/>
                <w:lang w:val="es-MX" w:eastAsia="es-MX"/>
              </w:rPr>
            </w:pPr>
            <w:r>
              <w:rPr>
                <w:rFonts w:cs="Arial"/>
                <w:color w:val="auto"/>
                <w:sz w:val="18"/>
                <w:szCs w:val="18"/>
                <w:lang w:val="es-MX" w:eastAsia="es-MX"/>
              </w:rPr>
              <w:t>3.7</w:t>
            </w:r>
          </w:p>
        </w:tc>
      </w:tr>
      <w:tr w:rsidR="00856F76" w14:paraId="0EEAD38E" w14:textId="77777777" w:rsidTr="00856F76">
        <w:trPr>
          <w:jc w:val="center"/>
        </w:trPr>
        <w:tc>
          <w:tcPr>
            <w:tcW w:w="3521" w:type="dxa"/>
            <w:tcBorders>
              <w:top w:val="nil"/>
              <w:left w:val="double" w:sz="4" w:space="0" w:color="auto"/>
              <w:bottom w:val="nil"/>
              <w:right w:val="single" w:sz="4" w:space="0" w:color="auto"/>
            </w:tcBorders>
            <w:vAlign w:val="center"/>
          </w:tcPr>
          <w:p w14:paraId="31E09207" w14:textId="77777777" w:rsidR="00856F76" w:rsidRPr="0057593E" w:rsidRDefault="00856F76" w:rsidP="00856F76">
            <w:pPr>
              <w:pStyle w:val="not31"/>
              <w:keepLines w:val="0"/>
              <w:widowControl w:val="0"/>
              <w:spacing w:before="20" w:after="20"/>
              <w:ind w:left="48" w:right="-79"/>
              <w:jc w:val="left"/>
              <w:rPr>
                <w:rFonts w:cs="Arial"/>
                <w:color w:val="auto"/>
                <w:sz w:val="18"/>
                <w:szCs w:val="18"/>
                <w:lang w:val="es-MX" w:eastAsia="es-MX"/>
              </w:rPr>
            </w:pPr>
            <w:r>
              <w:rPr>
                <w:rFonts w:cs="Arial"/>
                <w:color w:val="auto"/>
                <w:sz w:val="18"/>
                <w:szCs w:val="18"/>
                <w:lang w:val="es-MX" w:eastAsia="es-MX"/>
              </w:rPr>
              <w:t xml:space="preserve"> </w:t>
            </w:r>
            <w:r w:rsidRPr="0057593E">
              <w:rPr>
                <w:rFonts w:cs="Arial"/>
                <w:color w:val="auto"/>
                <w:sz w:val="18"/>
                <w:szCs w:val="18"/>
                <w:lang w:val="es-MX" w:eastAsia="es-MX"/>
              </w:rPr>
              <w:t>Formación Bruta de Capital Fijo</w:t>
            </w:r>
          </w:p>
        </w:tc>
        <w:tc>
          <w:tcPr>
            <w:tcW w:w="1457" w:type="dxa"/>
            <w:tcBorders>
              <w:top w:val="nil"/>
              <w:left w:val="single" w:sz="4" w:space="0" w:color="auto"/>
              <w:bottom w:val="nil"/>
              <w:right w:val="nil"/>
            </w:tcBorders>
            <w:vAlign w:val="bottom"/>
          </w:tcPr>
          <w:p w14:paraId="0F4EE9B7" w14:textId="77777777" w:rsidR="00856F76" w:rsidRPr="0057593E" w:rsidRDefault="00856F76" w:rsidP="00856F76">
            <w:pPr>
              <w:pStyle w:val="not31"/>
              <w:keepLines w:val="0"/>
              <w:widowControl w:val="0"/>
              <w:spacing w:before="20" w:after="20"/>
              <w:ind w:right="397"/>
              <w:jc w:val="right"/>
              <w:rPr>
                <w:rFonts w:cs="Arial"/>
                <w:color w:val="auto"/>
                <w:sz w:val="18"/>
                <w:szCs w:val="18"/>
                <w:lang w:val="es-MX" w:eastAsia="es-MX"/>
              </w:rPr>
            </w:pPr>
            <w:r>
              <w:rPr>
                <w:rFonts w:cs="Arial"/>
                <w:color w:val="auto"/>
                <w:sz w:val="18"/>
                <w:szCs w:val="18"/>
                <w:lang w:val="es-MX" w:eastAsia="es-MX"/>
              </w:rPr>
              <w:t>0.5</w:t>
            </w:r>
          </w:p>
        </w:tc>
        <w:tc>
          <w:tcPr>
            <w:tcW w:w="1811" w:type="dxa"/>
            <w:tcBorders>
              <w:top w:val="nil"/>
              <w:left w:val="single" w:sz="4" w:space="0" w:color="auto"/>
              <w:bottom w:val="nil"/>
              <w:right w:val="double" w:sz="4" w:space="0" w:color="auto"/>
            </w:tcBorders>
            <w:shd w:val="clear" w:color="auto" w:fill="auto"/>
            <w:vAlign w:val="bottom"/>
          </w:tcPr>
          <w:p w14:paraId="6168DCC8" w14:textId="77777777" w:rsidR="00856F76" w:rsidRPr="0057593E" w:rsidRDefault="00856F76" w:rsidP="00856F76">
            <w:pPr>
              <w:pStyle w:val="not31"/>
              <w:keepLines w:val="0"/>
              <w:widowControl w:val="0"/>
              <w:spacing w:before="20" w:after="20"/>
              <w:ind w:right="510"/>
              <w:jc w:val="right"/>
              <w:rPr>
                <w:rFonts w:cs="Arial"/>
                <w:color w:val="auto"/>
                <w:sz w:val="18"/>
                <w:szCs w:val="18"/>
                <w:lang w:val="es-MX" w:eastAsia="es-MX"/>
              </w:rPr>
            </w:pPr>
            <w:r>
              <w:rPr>
                <w:rFonts w:cs="Arial"/>
                <w:color w:val="auto"/>
                <w:sz w:val="18"/>
                <w:szCs w:val="18"/>
                <w:lang w:val="es-MX" w:eastAsia="es-MX"/>
              </w:rPr>
              <w:t>34.2</w:t>
            </w:r>
          </w:p>
        </w:tc>
      </w:tr>
      <w:tr w:rsidR="00856F76" w14:paraId="7E8B5411" w14:textId="77777777" w:rsidTr="00856F76">
        <w:trPr>
          <w:jc w:val="center"/>
        </w:trPr>
        <w:tc>
          <w:tcPr>
            <w:tcW w:w="3521" w:type="dxa"/>
            <w:tcBorders>
              <w:top w:val="nil"/>
              <w:left w:val="double" w:sz="4" w:space="0" w:color="auto"/>
              <w:bottom w:val="nil"/>
              <w:right w:val="single" w:sz="4" w:space="0" w:color="auto"/>
            </w:tcBorders>
            <w:vAlign w:val="center"/>
          </w:tcPr>
          <w:p w14:paraId="61C29B77" w14:textId="77777777" w:rsidR="00856F76" w:rsidRPr="0057593E" w:rsidRDefault="00856F76" w:rsidP="00856F76">
            <w:pPr>
              <w:pStyle w:val="not31"/>
              <w:keepLines w:val="0"/>
              <w:widowControl w:val="0"/>
              <w:spacing w:before="20" w:after="20"/>
              <w:ind w:left="48" w:right="-79"/>
              <w:jc w:val="left"/>
              <w:rPr>
                <w:rFonts w:cs="Arial"/>
                <w:color w:val="auto"/>
                <w:sz w:val="18"/>
                <w:szCs w:val="18"/>
                <w:lang w:val="es-MX" w:eastAsia="es-MX"/>
              </w:rPr>
            </w:pPr>
            <w:r>
              <w:rPr>
                <w:rFonts w:cs="Arial"/>
                <w:color w:val="auto"/>
                <w:sz w:val="18"/>
                <w:szCs w:val="18"/>
                <w:lang w:val="es-MX" w:eastAsia="es-MX"/>
              </w:rPr>
              <w:t xml:space="preserve"> </w:t>
            </w:r>
            <w:r w:rsidRPr="0057593E">
              <w:rPr>
                <w:rFonts w:cs="Arial"/>
                <w:color w:val="auto"/>
                <w:sz w:val="18"/>
                <w:szCs w:val="18"/>
                <w:lang w:val="es-MX" w:eastAsia="es-MX"/>
              </w:rPr>
              <w:t>Variación de Existencias</w:t>
            </w:r>
          </w:p>
        </w:tc>
        <w:tc>
          <w:tcPr>
            <w:tcW w:w="1457" w:type="dxa"/>
            <w:tcBorders>
              <w:top w:val="nil"/>
              <w:left w:val="single" w:sz="4" w:space="0" w:color="auto"/>
              <w:bottom w:val="nil"/>
              <w:right w:val="nil"/>
            </w:tcBorders>
            <w:vAlign w:val="bottom"/>
          </w:tcPr>
          <w:p w14:paraId="01D31CDE" w14:textId="77777777" w:rsidR="00856F76" w:rsidRPr="0057593E" w:rsidRDefault="00856F76" w:rsidP="00856F76">
            <w:pPr>
              <w:pStyle w:val="not31"/>
              <w:keepLines w:val="0"/>
              <w:widowControl w:val="0"/>
              <w:spacing w:before="20" w:after="20"/>
              <w:ind w:right="397"/>
              <w:jc w:val="right"/>
              <w:rPr>
                <w:rFonts w:cs="Arial"/>
                <w:color w:val="auto"/>
                <w:sz w:val="18"/>
                <w:szCs w:val="18"/>
                <w:lang w:val="es-MX" w:eastAsia="es-MX"/>
              </w:rPr>
            </w:pPr>
            <w:r w:rsidRPr="0057593E">
              <w:rPr>
                <w:rFonts w:cs="Arial"/>
                <w:color w:val="auto"/>
                <w:sz w:val="18"/>
                <w:szCs w:val="18"/>
                <w:lang w:val="es-MX" w:eastAsia="es-MX"/>
              </w:rPr>
              <w:t>N.A</w:t>
            </w:r>
            <w:r>
              <w:rPr>
                <w:rFonts w:cs="Arial"/>
                <w:color w:val="auto"/>
                <w:sz w:val="18"/>
                <w:szCs w:val="18"/>
                <w:lang w:val="es-MX" w:eastAsia="es-MX"/>
              </w:rPr>
              <w:t>.</w:t>
            </w:r>
          </w:p>
        </w:tc>
        <w:tc>
          <w:tcPr>
            <w:tcW w:w="1811" w:type="dxa"/>
            <w:tcBorders>
              <w:top w:val="nil"/>
              <w:left w:val="single" w:sz="4" w:space="0" w:color="auto"/>
              <w:bottom w:val="nil"/>
              <w:right w:val="double" w:sz="4" w:space="0" w:color="auto"/>
            </w:tcBorders>
            <w:shd w:val="clear" w:color="auto" w:fill="auto"/>
            <w:vAlign w:val="bottom"/>
          </w:tcPr>
          <w:p w14:paraId="1B073510" w14:textId="77777777" w:rsidR="00856F76" w:rsidRPr="0057593E" w:rsidRDefault="00856F76" w:rsidP="00856F76">
            <w:pPr>
              <w:pStyle w:val="not31"/>
              <w:keepLines w:val="0"/>
              <w:widowControl w:val="0"/>
              <w:spacing w:before="20" w:after="20"/>
              <w:ind w:right="510"/>
              <w:jc w:val="right"/>
              <w:rPr>
                <w:rFonts w:cs="Arial"/>
                <w:color w:val="auto"/>
                <w:sz w:val="18"/>
                <w:szCs w:val="18"/>
                <w:lang w:val="es-MX" w:eastAsia="es-MX"/>
              </w:rPr>
            </w:pPr>
            <w:r w:rsidRPr="0057593E">
              <w:rPr>
                <w:rFonts w:cs="Arial"/>
                <w:color w:val="auto"/>
                <w:sz w:val="18"/>
                <w:szCs w:val="18"/>
                <w:lang w:val="es-MX" w:eastAsia="es-MX"/>
              </w:rPr>
              <w:t>N.A</w:t>
            </w:r>
            <w:r>
              <w:rPr>
                <w:rFonts w:cs="Arial"/>
                <w:color w:val="auto"/>
                <w:sz w:val="18"/>
                <w:szCs w:val="18"/>
                <w:lang w:val="es-MX" w:eastAsia="es-MX"/>
              </w:rPr>
              <w:t>.</w:t>
            </w:r>
          </w:p>
        </w:tc>
      </w:tr>
      <w:tr w:rsidR="00856F76" w14:paraId="0A97F985" w14:textId="77777777" w:rsidTr="00856F76">
        <w:trPr>
          <w:jc w:val="center"/>
        </w:trPr>
        <w:tc>
          <w:tcPr>
            <w:tcW w:w="3521" w:type="dxa"/>
            <w:tcBorders>
              <w:top w:val="nil"/>
              <w:left w:val="double" w:sz="4" w:space="0" w:color="auto"/>
              <w:bottom w:val="nil"/>
              <w:right w:val="single" w:sz="4" w:space="0" w:color="auto"/>
            </w:tcBorders>
            <w:vAlign w:val="center"/>
          </w:tcPr>
          <w:p w14:paraId="42251C4B" w14:textId="77777777" w:rsidR="00856F76" w:rsidRPr="0057593E" w:rsidRDefault="00856F76" w:rsidP="00856F76">
            <w:pPr>
              <w:pStyle w:val="not31"/>
              <w:keepLines w:val="0"/>
              <w:widowControl w:val="0"/>
              <w:spacing w:before="20" w:after="20"/>
              <w:ind w:left="48" w:right="-79"/>
              <w:jc w:val="left"/>
              <w:rPr>
                <w:rFonts w:cs="Arial"/>
                <w:color w:val="auto"/>
                <w:sz w:val="18"/>
                <w:szCs w:val="18"/>
                <w:lang w:val="es-MX" w:eastAsia="es-MX"/>
              </w:rPr>
            </w:pPr>
            <w:r>
              <w:rPr>
                <w:rFonts w:cs="Arial"/>
                <w:color w:val="auto"/>
                <w:sz w:val="18"/>
                <w:szCs w:val="18"/>
                <w:lang w:val="es-MX" w:eastAsia="es-MX"/>
              </w:rPr>
              <w:t xml:space="preserve"> </w:t>
            </w:r>
            <w:r w:rsidRPr="0057593E">
              <w:rPr>
                <w:rFonts w:cs="Arial"/>
                <w:color w:val="auto"/>
                <w:sz w:val="18"/>
                <w:szCs w:val="18"/>
                <w:lang w:val="es-MX" w:eastAsia="es-MX"/>
              </w:rPr>
              <w:t>Exportación de Bienes y Servicios</w:t>
            </w:r>
          </w:p>
        </w:tc>
        <w:tc>
          <w:tcPr>
            <w:tcW w:w="1457" w:type="dxa"/>
            <w:tcBorders>
              <w:top w:val="nil"/>
              <w:left w:val="single" w:sz="4" w:space="0" w:color="auto"/>
              <w:bottom w:val="nil"/>
              <w:right w:val="nil"/>
            </w:tcBorders>
            <w:vAlign w:val="center"/>
          </w:tcPr>
          <w:p w14:paraId="24BB3680" w14:textId="77777777" w:rsidR="00856F76" w:rsidRPr="0057593E" w:rsidRDefault="00856F76" w:rsidP="00856F76">
            <w:pPr>
              <w:pStyle w:val="not31"/>
              <w:keepLines w:val="0"/>
              <w:widowControl w:val="0"/>
              <w:spacing w:before="20" w:after="20"/>
              <w:ind w:right="397"/>
              <w:jc w:val="right"/>
              <w:rPr>
                <w:rFonts w:cs="Arial"/>
                <w:color w:val="auto"/>
                <w:sz w:val="18"/>
                <w:szCs w:val="18"/>
                <w:lang w:val="es-MX" w:eastAsia="es-MX"/>
              </w:rPr>
            </w:pPr>
            <w:r>
              <w:rPr>
                <w:rFonts w:cs="Arial"/>
                <w:color w:val="auto"/>
                <w:sz w:val="18"/>
                <w:szCs w:val="18"/>
                <w:lang w:val="es-MX" w:eastAsia="es-MX"/>
              </w:rPr>
              <w:t>2.9</w:t>
            </w:r>
          </w:p>
        </w:tc>
        <w:tc>
          <w:tcPr>
            <w:tcW w:w="1811" w:type="dxa"/>
            <w:tcBorders>
              <w:top w:val="nil"/>
              <w:left w:val="single" w:sz="4" w:space="0" w:color="auto"/>
              <w:bottom w:val="nil"/>
              <w:right w:val="double" w:sz="4" w:space="0" w:color="auto"/>
            </w:tcBorders>
            <w:shd w:val="clear" w:color="auto" w:fill="auto"/>
            <w:vAlign w:val="center"/>
          </w:tcPr>
          <w:p w14:paraId="3D268A64" w14:textId="77777777" w:rsidR="00856F76" w:rsidRPr="0057593E" w:rsidRDefault="00856F76" w:rsidP="00856F76">
            <w:pPr>
              <w:pStyle w:val="not31"/>
              <w:keepLines w:val="0"/>
              <w:widowControl w:val="0"/>
              <w:spacing w:before="20" w:after="20"/>
              <w:ind w:right="510"/>
              <w:jc w:val="right"/>
              <w:rPr>
                <w:rFonts w:cs="Arial"/>
                <w:color w:val="auto"/>
                <w:sz w:val="18"/>
                <w:szCs w:val="18"/>
                <w:lang w:val="es-MX" w:eastAsia="es-MX"/>
              </w:rPr>
            </w:pPr>
            <w:r>
              <w:rPr>
                <w:rFonts w:cs="Arial"/>
                <w:color w:val="auto"/>
                <w:sz w:val="18"/>
                <w:szCs w:val="18"/>
                <w:lang w:val="es-MX" w:eastAsia="es-MX"/>
              </w:rPr>
              <w:t>41.8</w:t>
            </w:r>
          </w:p>
        </w:tc>
      </w:tr>
      <w:tr w:rsidR="00856F76" w14:paraId="056E7274" w14:textId="77777777" w:rsidTr="00856F76">
        <w:trPr>
          <w:jc w:val="center"/>
        </w:trPr>
        <w:tc>
          <w:tcPr>
            <w:tcW w:w="3521" w:type="dxa"/>
            <w:tcBorders>
              <w:top w:val="nil"/>
              <w:left w:val="double" w:sz="4" w:space="0" w:color="auto"/>
              <w:bottom w:val="double" w:sz="4" w:space="0" w:color="auto"/>
              <w:right w:val="single" w:sz="4" w:space="0" w:color="auto"/>
            </w:tcBorders>
            <w:vAlign w:val="center"/>
          </w:tcPr>
          <w:p w14:paraId="034C18F8" w14:textId="77777777" w:rsidR="00856F76" w:rsidRPr="0057593E" w:rsidRDefault="00856F76" w:rsidP="00856F76">
            <w:pPr>
              <w:pStyle w:val="not31"/>
              <w:keepLines w:val="0"/>
              <w:widowControl w:val="0"/>
              <w:spacing w:before="20" w:after="20"/>
              <w:ind w:left="48" w:right="-79"/>
              <w:jc w:val="left"/>
              <w:rPr>
                <w:rFonts w:cs="Arial"/>
                <w:color w:val="auto"/>
                <w:sz w:val="18"/>
                <w:szCs w:val="18"/>
                <w:lang w:val="es-MX" w:eastAsia="es-MX"/>
              </w:rPr>
            </w:pPr>
            <w:r>
              <w:rPr>
                <w:rFonts w:cs="Arial"/>
                <w:color w:val="auto"/>
                <w:sz w:val="18"/>
                <w:szCs w:val="18"/>
                <w:lang w:val="es-MX" w:eastAsia="es-MX"/>
              </w:rPr>
              <w:t xml:space="preserve"> </w:t>
            </w:r>
            <w:r w:rsidRPr="0057593E">
              <w:rPr>
                <w:rFonts w:cs="Arial"/>
                <w:color w:val="auto"/>
                <w:sz w:val="18"/>
                <w:szCs w:val="18"/>
                <w:lang w:val="es-MX" w:eastAsia="es-MX"/>
              </w:rPr>
              <w:t>Discrepancia Estadística</w:t>
            </w:r>
          </w:p>
        </w:tc>
        <w:tc>
          <w:tcPr>
            <w:tcW w:w="1457" w:type="dxa"/>
            <w:tcBorders>
              <w:top w:val="nil"/>
              <w:left w:val="single" w:sz="4" w:space="0" w:color="auto"/>
              <w:bottom w:val="double" w:sz="4" w:space="0" w:color="auto"/>
              <w:right w:val="nil"/>
            </w:tcBorders>
            <w:vAlign w:val="center"/>
          </w:tcPr>
          <w:p w14:paraId="196697AC" w14:textId="77777777" w:rsidR="00856F76" w:rsidRPr="0057593E" w:rsidRDefault="00856F76" w:rsidP="00856F76">
            <w:pPr>
              <w:pStyle w:val="not31"/>
              <w:keepLines w:val="0"/>
              <w:widowControl w:val="0"/>
              <w:spacing w:before="20" w:after="20"/>
              <w:ind w:right="397"/>
              <w:jc w:val="right"/>
              <w:rPr>
                <w:rFonts w:cs="Arial"/>
                <w:color w:val="auto"/>
                <w:sz w:val="18"/>
                <w:szCs w:val="18"/>
                <w:lang w:val="es-MX" w:eastAsia="es-MX"/>
              </w:rPr>
            </w:pPr>
            <w:r w:rsidRPr="0057593E">
              <w:rPr>
                <w:rFonts w:cs="Arial"/>
                <w:color w:val="auto"/>
                <w:sz w:val="18"/>
                <w:szCs w:val="18"/>
                <w:lang w:val="es-MX" w:eastAsia="es-MX"/>
              </w:rPr>
              <w:t>N.A</w:t>
            </w:r>
            <w:r>
              <w:rPr>
                <w:rFonts w:cs="Arial"/>
                <w:color w:val="auto"/>
                <w:sz w:val="18"/>
                <w:szCs w:val="18"/>
                <w:lang w:val="es-MX" w:eastAsia="es-MX"/>
              </w:rPr>
              <w:t>.</w:t>
            </w:r>
          </w:p>
        </w:tc>
        <w:tc>
          <w:tcPr>
            <w:tcW w:w="1811" w:type="dxa"/>
            <w:tcBorders>
              <w:top w:val="nil"/>
              <w:left w:val="single" w:sz="4" w:space="0" w:color="auto"/>
              <w:bottom w:val="double" w:sz="4" w:space="0" w:color="auto"/>
              <w:right w:val="double" w:sz="4" w:space="0" w:color="auto"/>
            </w:tcBorders>
            <w:shd w:val="clear" w:color="auto" w:fill="auto"/>
            <w:vAlign w:val="center"/>
          </w:tcPr>
          <w:p w14:paraId="0FD55018" w14:textId="77777777" w:rsidR="00856F76" w:rsidRPr="0057593E" w:rsidRDefault="00856F76" w:rsidP="00856F76">
            <w:pPr>
              <w:pStyle w:val="not31"/>
              <w:keepLines w:val="0"/>
              <w:widowControl w:val="0"/>
              <w:spacing w:before="20" w:after="20"/>
              <w:ind w:right="510"/>
              <w:jc w:val="right"/>
              <w:rPr>
                <w:rFonts w:cs="Arial"/>
                <w:color w:val="auto"/>
                <w:sz w:val="18"/>
                <w:szCs w:val="18"/>
                <w:lang w:val="es-MX" w:eastAsia="es-MX"/>
              </w:rPr>
            </w:pPr>
            <w:r w:rsidRPr="0057593E">
              <w:rPr>
                <w:rFonts w:cs="Arial"/>
                <w:color w:val="auto"/>
                <w:sz w:val="18"/>
                <w:szCs w:val="18"/>
                <w:lang w:val="es-MX" w:eastAsia="es-MX"/>
              </w:rPr>
              <w:t>N.A</w:t>
            </w:r>
            <w:r>
              <w:rPr>
                <w:rFonts w:cs="Arial"/>
                <w:color w:val="auto"/>
                <w:sz w:val="18"/>
                <w:szCs w:val="18"/>
                <w:lang w:val="es-MX" w:eastAsia="es-MX"/>
              </w:rPr>
              <w:t>.</w:t>
            </w:r>
          </w:p>
        </w:tc>
      </w:tr>
    </w:tbl>
    <w:p w14:paraId="7929756C" w14:textId="77777777" w:rsidR="00856F76" w:rsidRPr="00D247C1" w:rsidRDefault="00856F76" w:rsidP="00856F76">
      <w:pPr>
        <w:pStyle w:val="Textoindependiente"/>
        <w:spacing w:before="0"/>
        <w:ind w:left="1560" w:right="1013" w:hanging="426"/>
        <w:rPr>
          <w:rFonts w:cs="Arial"/>
          <w:sz w:val="16"/>
          <w:szCs w:val="16"/>
        </w:rPr>
      </w:pPr>
      <w:r w:rsidRPr="00D247C1">
        <w:rPr>
          <w:rFonts w:cs="Arial"/>
          <w:sz w:val="16"/>
          <w:szCs w:val="16"/>
        </w:rPr>
        <w:t xml:space="preserve">Nota: Las series desestacionalizadas de la Oferta y Demanda Global </w:t>
      </w:r>
      <w:r>
        <w:rPr>
          <w:rFonts w:cs="Arial"/>
          <w:sz w:val="16"/>
          <w:szCs w:val="16"/>
        </w:rPr>
        <w:t xml:space="preserve">de Bienes y Servicios </w:t>
      </w:r>
      <w:r w:rsidRPr="00D247C1">
        <w:rPr>
          <w:rFonts w:cs="Arial"/>
          <w:sz w:val="16"/>
          <w:szCs w:val="16"/>
        </w:rPr>
        <w:t>se calculan de manera independiente a la de sus componentes, por lo que no necesariamente reflejan el comportamiento de dichos componentes.</w:t>
      </w:r>
    </w:p>
    <w:p w14:paraId="468AB3A9" w14:textId="77777777" w:rsidR="00856F76" w:rsidRDefault="00856F76" w:rsidP="00856F76">
      <w:pPr>
        <w:pStyle w:val="bullet"/>
        <w:tabs>
          <w:tab w:val="left" w:pos="709"/>
          <w:tab w:val="left" w:pos="8080"/>
        </w:tabs>
        <w:spacing w:before="0"/>
        <w:ind w:left="1560" w:right="1013" w:hanging="426"/>
        <w:rPr>
          <w:rFonts w:cs="Arial"/>
          <w:b w:val="0"/>
          <w:bCs/>
          <w:sz w:val="16"/>
          <w:szCs w:val="16"/>
        </w:rPr>
      </w:pPr>
      <w:r w:rsidRPr="00BD64BD">
        <w:rPr>
          <w:rFonts w:cs="Arial"/>
          <w:b w:val="0"/>
          <w:bCs/>
          <w:color w:val="auto"/>
          <w:sz w:val="16"/>
          <w:szCs w:val="16"/>
        </w:rPr>
        <w:t>N.A</w:t>
      </w:r>
      <w:r>
        <w:rPr>
          <w:rFonts w:cs="Arial"/>
          <w:b w:val="0"/>
          <w:bCs/>
          <w:color w:val="auto"/>
          <w:sz w:val="16"/>
          <w:szCs w:val="16"/>
        </w:rPr>
        <w:t>.</w:t>
      </w:r>
      <w:r w:rsidRPr="00BD64BD">
        <w:rPr>
          <w:rFonts w:cs="Arial"/>
          <w:b w:val="0"/>
          <w:bCs/>
          <w:color w:val="auto"/>
          <w:sz w:val="16"/>
          <w:szCs w:val="16"/>
        </w:rPr>
        <w:t xml:space="preserve"> No aplica</w:t>
      </w:r>
      <w:r w:rsidRPr="00BD64BD">
        <w:rPr>
          <w:rFonts w:cs="Arial"/>
          <w:b w:val="0"/>
          <w:bCs/>
          <w:sz w:val="16"/>
          <w:szCs w:val="16"/>
        </w:rPr>
        <w:t>.</w:t>
      </w:r>
    </w:p>
    <w:p w14:paraId="521B24F3" w14:textId="77777777" w:rsidR="00856F76" w:rsidRPr="00902F07" w:rsidRDefault="00856F76" w:rsidP="00856F76">
      <w:pPr>
        <w:pStyle w:val="bullet"/>
        <w:tabs>
          <w:tab w:val="left" w:pos="709"/>
          <w:tab w:val="left" w:pos="8080"/>
        </w:tabs>
        <w:spacing w:before="0"/>
        <w:ind w:left="1560" w:right="1013" w:hanging="426"/>
        <w:rPr>
          <w:b w:val="0"/>
          <w:bCs/>
          <w:color w:val="000000"/>
        </w:rPr>
      </w:pPr>
      <w:r w:rsidRPr="00902F07">
        <w:rPr>
          <w:rFonts w:cs="Arial"/>
          <w:b w:val="0"/>
          <w:bCs/>
          <w:color w:val="000000"/>
          <w:sz w:val="16"/>
          <w:szCs w:val="16"/>
        </w:rPr>
        <w:t>Fuente:  INEGI</w:t>
      </w:r>
      <w:r w:rsidRPr="00902F07">
        <w:rPr>
          <w:rFonts w:cs="Arial"/>
          <w:b w:val="0"/>
          <w:bCs/>
          <w:color w:val="000000" w:themeColor="text1"/>
          <w:sz w:val="16"/>
          <w:szCs w:val="16"/>
        </w:rPr>
        <w:t>.</w:t>
      </w:r>
    </w:p>
    <w:p w14:paraId="27687A4A" w14:textId="129B2E3A" w:rsidR="00B72ABB" w:rsidRDefault="00B72ABB">
      <w:pPr>
        <w:widowControl/>
        <w:rPr>
          <w:rFonts w:ascii="Arial" w:hAnsi="Arial"/>
          <w:color w:val="000000"/>
          <w:sz w:val="24"/>
          <w:szCs w:val="24"/>
        </w:rPr>
      </w:pPr>
      <w:r>
        <w:rPr>
          <w:b/>
          <w:color w:val="000000"/>
          <w:sz w:val="24"/>
          <w:szCs w:val="24"/>
        </w:rPr>
        <w:br w:type="page"/>
      </w:r>
    </w:p>
    <w:p w14:paraId="66491141" w14:textId="77777777" w:rsidR="00856F76" w:rsidRPr="005C6030" w:rsidRDefault="00856F76" w:rsidP="00856F76">
      <w:pPr>
        <w:pStyle w:val="bullet"/>
        <w:ind w:left="-426" w:right="-547" w:firstLine="0"/>
        <w:jc w:val="both"/>
        <w:rPr>
          <w:b w:val="0"/>
          <w:color w:val="000000"/>
          <w:sz w:val="24"/>
          <w:szCs w:val="24"/>
        </w:rPr>
      </w:pPr>
    </w:p>
    <w:p w14:paraId="6E28377B" w14:textId="77777777" w:rsidR="00856F76" w:rsidRPr="00881AEC" w:rsidRDefault="00856F76" w:rsidP="00856F76">
      <w:pPr>
        <w:pStyle w:val="bullet"/>
        <w:spacing w:before="120"/>
        <w:ind w:left="-426" w:right="-547" w:firstLine="0"/>
        <w:jc w:val="both"/>
        <w:rPr>
          <w:b w:val="0"/>
          <w:color w:val="000000"/>
          <w:sz w:val="24"/>
          <w:szCs w:val="24"/>
        </w:rPr>
      </w:pPr>
      <w:r w:rsidRPr="00881AEC">
        <w:rPr>
          <w:b w:val="0"/>
          <w:color w:val="000000"/>
          <w:sz w:val="24"/>
          <w:szCs w:val="24"/>
        </w:rPr>
        <w:t>En su comparación anual, la Oferta Global se incrementó 23.3 por ciento. A su interior, el Producto Interno Bruto se elevó 19.5% y las Importaciones de Bienes y Servicios fueron mayores en 35.3 por ciento. Por el lado de la Demanda Global: las Exportaciones de Bienes y Servicios ascendieron 41.8%, la Formación Bruta de Capital Fijo 34.2%, el Consumo Privado 22.3% y el Consumo de Gobierno 3.7% en el segundo trimestre de 2021 con relación a igual trimestre de 2020 con cifras ajustadas por estacionalidad.</w:t>
      </w:r>
    </w:p>
    <w:p w14:paraId="17E55848" w14:textId="77777777" w:rsidR="00856F76" w:rsidRPr="00881AEC" w:rsidRDefault="00856F76" w:rsidP="00856F76">
      <w:pPr>
        <w:pStyle w:val="bullet"/>
        <w:spacing w:after="360"/>
        <w:ind w:left="-426" w:right="-547" w:firstLine="0"/>
        <w:jc w:val="both"/>
        <w:rPr>
          <w:b w:val="0"/>
          <w:i/>
          <w:color w:val="auto"/>
          <w:sz w:val="24"/>
          <w:szCs w:val="24"/>
        </w:rPr>
      </w:pPr>
      <w:r w:rsidRPr="00881AEC">
        <w:rPr>
          <w:b w:val="0"/>
          <w:color w:val="000000"/>
          <w:sz w:val="24"/>
          <w:szCs w:val="24"/>
        </w:rPr>
        <w:t xml:space="preserve">En cuanto al Ahorro Bruto a precios corrientes, éste tuvo un alza de 1.2% en el trimestre abril-junio de este año frente al trimestre previo. A tasa anual, el ITAB avanzó 35.5% con datos desestacionalizados durante el trimestre en cuestión. </w:t>
      </w:r>
    </w:p>
    <w:p w14:paraId="54787987" w14:textId="77777777" w:rsidR="00856F76" w:rsidRPr="00696FDA" w:rsidRDefault="00856F76" w:rsidP="00856F76">
      <w:pPr>
        <w:pStyle w:val="p0"/>
        <w:spacing w:before="480"/>
        <w:ind w:left="-426" w:right="-547"/>
        <w:rPr>
          <w:b/>
          <w:i/>
          <w:color w:val="auto"/>
        </w:rPr>
      </w:pPr>
      <w:r w:rsidRPr="00696FDA">
        <w:rPr>
          <w:b/>
          <w:i/>
          <w:color w:val="auto"/>
        </w:rPr>
        <w:t>Nota al usuario</w:t>
      </w:r>
    </w:p>
    <w:p w14:paraId="2CDB12CD" w14:textId="77777777" w:rsidR="00856F76" w:rsidRPr="00286E80" w:rsidRDefault="00856F76" w:rsidP="00856F76">
      <w:pPr>
        <w:spacing w:before="120"/>
        <w:ind w:left="-426" w:right="-547"/>
        <w:jc w:val="both"/>
        <w:rPr>
          <w:rFonts w:ascii="Arial" w:hAnsi="Arial" w:cs="Arial"/>
          <w:sz w:val="24"/>
          <w:szCs w:val="24"/>
        </w:rPr>
      </w:pPr>
      <w:r w:rsidRPr="00286E80">
        <w:rPr>
          <w:rFonts w:ascii="Arial" w:hAnsi="Arial" w:cs="Arial"/>
          <w:sz w:val="24"/>
          <w:szCs w:val="24"/>
        </w:rPr>
        <w:t xml:space="preserve">Con base en los </w:t>
      </w:r>
      <w:r>
        <w:rPr>
          <w:rFonts w:ascii="Arial" w:hAnsi="Arial" w:cs="Arial"/>
          <w:sz w:val="24"/>
          <w:szCs w:val="24"/>
        </w:rPr>
        <w:t>“</w:t>
      </w:r>
      <w:r w:rsidRPr="00286E80">
        <w:rPr>
          <w:rFonts w:ascii="Arial" w:hAnsi="Arial" w:cs="Arial"/>
          <w:sz w:val="24"/>
          <w:szCs w:val="24"/>
        </w:rPr>
        <w:t>Lineamientos de cambios a la información divulgada en las publicaciones estadísticas y geográficas del INEGI</w:t>
      </w:r>
      <w:r>
        <w:rPr>
          <w:rFonts w:ascii="Arial" w:hAnsi="Arial" w:cs="Arial"/>
          <w:sz w:val="24"/>
          <w:szCs w:val="24"/>
        </w:rPr>
        <w:t>”</w:t>
      </w:r>
      <w:r w:rsidRPr="00286E80">
        <w:rPr>
          <w:rFonts w:ascii="Arial" w:hAnsi="Arial" w:cs="Arial"/>
          <w:sz w:val="24"/>
          <w:szCs w:val="24"/>
        </w:rPr>
        <w:t xml:space="preserve"> que complementan las </w:t>
      </w:r>
      <w:r>
        <w:rPr>
          <w:rFonts w:ascii="Arial" w:hAnsi="Arial" w:cs="Arial"/>
          <w:sz w:val="24"/>
          <w:szCs w:val="24"/>
        </w:rPr>
        <w:t>“</w:t>
      </w:r>
      <w:r w:rsidRPr="00286E80">
        <w:rPr>
          <w:rFonts w:ascii="Arial" w:hAnsi="Arial" w:cs="Arial"/>
          <w:sz w:val="24"/>
          <w:szCs w:val="24"/>
        </w:rPr>
        <w:t>Normas Especiales para la Divulgación de Datos</w:t>
      </w:r>
      <w:r>
        <w:rPr>
          <w:rFonts w:ascii="Arial" w:hAnsi="Arial" w:cs="Arial"/>
          <w:sz w:val="24"/>
          <w:szCs w:val="24"/>
        </w:rPr>
        <w:t>”</w:t>
      </w:r>
      <w:r w:rsidRPr="00286E80">
        <w:rPr>
          <w:rFonts w:ascii="Arial" w:hAnsi="Arial" w:cs="Arial"/>
          <w:sz w:val="24"/>
          <w:szCs w:val="24"/>
        </w:rPr>
        <w:t xml:space="preserve"> del FMI, los resultados de la Oferta y Demanda Global Trimestral (ODGT) y del Indicador Trimestral del Ahorro Bruto (ITAB) incorporan la última información estadística disponible en el año 2021. Como resultado de incorporar dicha información, se identifican diferencias en los niveles de los valores y variaciones que fueron oportunamente publicad</w:t>
      </w:r>
      <w:r>
        <w:rPr>
          <w:rFonts w:ascii="Arial" w:hAnsi="Arial" w:cs="Arial"/>
          <w:sz w:val="24"/>
          <w:szCs w:val="24"/>
        </w:rPr>
        <w:t>o</w:t>
      </w:r>
      <w:r w:rsidRPr="00286E80">
        <w:rPr>
          <w:rFonts w:ascii="Arial" w:hAnsi="Arial" w:cs="Arial"/>
          <w:sz w:val="24"/>
          <w:szCs w:val="24"/>
        </w:rPr>
        <w:t>s.</w:t>
      </w:r>
    </w:p>
    <w:p w14:paraId="6B6D0562" w14:textId="77777777" w:rsidR="00856F76" w:rsidRDefault="00856F76" w:rsidP="00856F76">
      <w:pPr>
        <w:pStyle w:val="p0"/>
        <w:keepLines w:val="0"/>
        <w:spacing w:before="120"/>
        <w:ind w:left="-426" w:right="-547"/>
        <w:rPr>
          <w:color w:val="auto"/>
        </w:rPr>
      </w:pPr>
      <w:r w:rsidRPr="00286E80">
        <w:rPr>
          <w:color w:val="auto"/>
        </w:rPr>
        <w:t>La Tasa de No Respuesta en la captación de las Encuestas Económicas que se consideraron para la integración de la ODGT y del ITAB como son: la Encuesta Nacional de Empresas Constructoras (ENEC)</w:t>
      </w:r>
      <w:r>
        <w:rPr>
          <w:color w:val="auto"/>
        </w:rPr>
        <w:t xml:space="preserve">, </w:t>
      </w:r>
      <w:r w:rsidRPr="00286E80">
        <w:rPr>
          <w:color w:val="auto"/>
        </w:rPr>
        <w:t xml:space="preserve">la Encuesta Mensual de la Industria Manufacturera (EMIM), Encuesta Mensual sobre Empresas Comerciales (EMEC) y Encuesta Mensual de Servicios (EMS) en el segundo trimestre de 2021, registraron porcentajes apropiados de acuerdo con el diseño estadístico de las muestras; así como la captación de la Estadística de la Industria </w:t>
      </w:r>
      <w:proofErr w:type="spellStart"/>
      <w:r w:rsidRPr="00286E80">
        <w:rPr>
          <w:color w:val="auto"/>
        </w:rPr>
        <w:t>Minerometalúrgica</w:t>
      </w:r>
      <w:proofErr w:type="spellEnd"/>
      <w:r>
        <w:rPr>
          <w:color w:val="auto"/>
        </w:rPr>
        <w:t xml:space="preserve"> (EIMM)</w:t>
      </w:r>
      <w:r w:rsidRPr="00286E80">
        <w:rPr>
          <w:color w:val="auto"/>
        </w:rPr>
        <w:t xml:space="preserve">, los </w:t>
      </w:r>
      <w:r>
        <w:rPr>
          <w:color w:val="auto"/>
        </w:rPr>
        <w:t>r</w:t>
      </w:r>
      <w:r w:rsidRPr="00286E80">
        <w:rPr>
          <w:color w:val="auto"/>
        </w:rPr>
        <w:t>egistros administrativos y los datos primarios que divulga el Instituto, lo que permitió la generación de estadísticas con niveles altos de cobertura y precisión estadística</w:t>
      </w:r>
      <w:r>
        <w:rPr>
          <w:color w:val="auto"/>
        </w:rPr>
        <w:t>.</w:t>
      </w:r>
    </w:p>
    <w:p w14:paraId="5074624F" w14:textId="77777777" w:rsidR="00856F76" w:rsidRPr="00286E80" w:rsidRDefault="00856F76" w:rsidP="00856F76">
      <w:pPr>
        <w:pStyle w:val="Default"/>
        <w:spacing w:before="120"/>
        <w:ind w:left="-426" w:right="-547"/>
        <w:jc w:val="both"/>
        <w:rPr>
          <w:color w:val="auto"/>
        </w:rPr>
      </w:pPr>
      <w:r w:rsidRPr="00286E80">
        <w:rPr>
          <w:color w:val="auto"/>
        </w:rPr>
        <w:t>Para las actividades agropecuarias, de servicios financieros</w:t>
      </w:r>
      <w:r>
        <w:rPr>
          <w:color w:val="auto"/>
        </w:rPr>
        <w:t>,</w:t>
      </w:r>
      <w:r w:rsidRPr="00286E80">
        <w:rPr>
          <w:color w:val="auto"/>
        </w:rPr>
        <w:t xml:space="preserve"> del gobierno </w:t>
      </w:r>
      <w:r>
        <w:rPr>
          <w:color w:val="auto"/>
        </w:rPr>
        <w:t xml:space="preserve">y del sector externo </w:t>
      </w:r>
      <w:r w:rsidRPr="00286E80">
        <w:rPr>
          <w:color w:val="auto"/>
        </w:rPr>
        <w:t>se complementa</w:t>
      </w:r>
      <w:r>
        <w:rPr>
          <w:color w:val="auto"/>
        </w:rPr>
        <w:t>ro</w:t>
      </w:r>
      <w:r w:rsidRPr="00286E80">
        <w:rPr>
          <w:color w:val="auto"/>
        </w:rPr>
        <w:t>n con otros registros administrativos</w:t>
      </w:r>
      <w:r>
        <w:rPr>
          <w:color w:val="auto"/>
        </w:rPr>
        <w:t xml:space="preserve"> </w:t>
      </w:r>
      <w:r w:rsidRPr="00286E80">
        <w:rPr>
          <w:color w:val="auto"/>
        </w:rPr>
        <w:t>provenientes de las Unidades del Estado</w:t>
      </w:r>
      <w:r>
        <w:rPr>
          <w:color w:val="auto"/>
        </w:rPr>
        <w:t>, los qu</w:t>
      </w:r>
      <w:r w:rsidRPr="00286E80">
        <w:rPr>
          <w:color w:val="auto"/>
        </w:rPr>
        <w:t>e se recibieron oportunamente vía correo electrónico y captación por Internet para su integración en la ODGT y en el ITAB en el trimestre de referencia.</w:t>
      </w:r>
    </w:p>
    <w:p w14:paraId="1BEC4525" w14:textId="77777777" w:rsidR="00856F76" w:rsidRPr="006F6587" w:rsidRDefault="00856F76" w:rsidP="00856F76">
      <w:pPr>
        <w:spacing w:before="360"/>
        <w:ind w:firstLine="708"/>
        <w:jc w:val="center"/>
        <w:rPr>
          <w:rFonts w:ascii="Arial" w:hAnsi="Arial" w:cs="Arial"/>
          <w:b/>
          <w:color w:val="000000"/>
          <w:sz w:val="24"/>
          <w:szCs w:val="24"/>
        </w:rPr>
      </w:pPr>
      <w:r w:rsidRPr="006F6587">
        <w:rPr>
          <w:rFonts w:ascii="Arial" w:hAnsi="Arial" w:cs="Arial"/>
          <w:b/>
          <w:color w:val="000000"/>
          <w:sz w:val="24"/>
          <w:szCs w:val="24"/>
        </w:rPr>
        <w:t>Se anexa Nota Técnica</w:t>
      </w:r>
    </w:p>
    <w:p w14:paraId="52256B1E" w14:textId="77777777" w:rsidR="00856F76" w:rsidRPr="006F6587" w:rsidRDefault="00856F76" w:rsidP="00856F76">
      <w:pPr>
        <w:pStyle w:val="NormalWeb"/>
        <w:spacing w:before="0" w:beforeAutospacing="0" w:after="0" w:afterAutospacing="0"/>
        <w:ind w:left="-426" w:right="-518"/>
        <w:contextualSpacing/>
        <w:jc w:val="center"/>
        <w:rPr>
          <w:sz w:val="24"/>
          <w:szCs w:val="24"/>
        </w:rPr>
      </w:pPr>
    </w:p>
    <w:p w14:paraId="008B2D1A" w14:textId="77777777" w:rsidR="00856F76" w:rsidRDefault="00856F76" w:rsidP="00856F76">
      <w:pPr>
        <w:pStyle w:val="NormalWeb"/>
        <w:spacing w:before="120" w:beforeAutospacing="0" w:after="0" w:afterAutospacing="0"/>
        <w:ind w:left="-426" w:right="-518"/>
        <w:contextualSpacing/>
        <w:jc w:val="center"/>
        <w:rPr>
          <w:sz w:val="22"/>
          <w:szCs w:val="22"/>
        </w:rPr>
      </w:pPr>
    </w:p>
    <w:p w14:paraId="764DF1B1" w14:textId="77777777" w:rsidR="00856F76" w:rsidRPr="00881AEC" w:rsidRDefault="00856F76" w:rsidP="00856F76">
      <w:pPr>
        <w:pStyle w:val="NormalWeb"/>
        <w:spacing w:before="120" w:beforeAutospacing="0" w:after="0" w:afterAutospacing="0"/>
        <w:ind w:left="-426" w:right="-518"/>
        <w:contextualSpacing/>
        <w:jc w:val="center"/>
        <w:rPr>
          <w:sz w:val="20"/>
          <w:szCs w:val="20"/>
        </w:rPr>
      </w:pPr>
      <w:r w:rsidRPr="00881AEC">
        <w:rPr>
          <w:sz w:val="20"/>
          <w:szCs w:val="20"/>
        </w:rPr>
        <w:t xml:space="preserve">Para consultas de medios y periodistas, contactar a: </w:t>
      </w:r>
      <w:hyperlink r:id="rId8" w:history="1">
        <w:r w:rsidRPr="00881AEC">
          <w:rPr>
            <w:rStyle w:val="Hipervnculo"/>
            <w:sz w:val="20"/>
            <w:szCs w:val="20"/>
          </w:rPr>
          <w:t>comunicacionsocial@inegi.org.mx</w:t>
        </w:r>
      </w:hyperlink>
      <w:r w:rsidRPr="00881AEC">
        <w:rPr>
          <w:sz w:val="20"/>
          <w:szCs w:val="20"/>
        </w:rPr>
        <w:t xml:space="preserve"> </w:t>
      </w:r>
    </w:p>
    <w:p w14:paraId="273E1CCC" w14:textId="77777777" w:rsidR="00856F76" w:rsidRPr="00881AEC" w:rsidRDefault="00856F76" w:rsidP="00856F76">
      <w:pPr>
        <w:pStyle w:val="NormalWeb"/>
        <w:spacing w:before="0" w:beforeAutospacing="0" w:after="0" w:afterAutospacing="0"/>
        <w:ind w:left="-426" w:right="-518"/>
        <w:contextualSpacing/>
        <w:jc w:val="center"/>
        <w:rPr>
          <w:sz w:val="20"/>
          <w:szCs w:val="20"/>
        </w:rPr>
      </w:pPr>
      <w:r w:rsidRPr="00881AEC">
        <w:rPr>
          <w:sz w:val="20"/>
          <w:szCs w:val="20"/>
        </w:rPr>
        <w:t xml:space="preserve">o llamar al teléfono (55) 52-78-10-00, </w:t>
      </w:r>
      <w:proofErr w:type="spellStart"/>
      <w:r w:rsidRPr="00881AEC">
        <w:rPr>
          <w:sz w:val="20"/>
          <w:szCs w:val="20"/>
        </w:rPr>
        <w:t>exts</w:t>
      </w:r>
      <w:proofErr w:type="spellEnd"/>
      <w:r w:rsidRPr="00881AEC">
        <w:rPr>
          <w:sz w:val="20"/>
          <w:szCs w:val="20"/>
        </w:rPr>
        <w:t>. 1134, 1260 y 1241.</w:t>
      </w:r>
    </w:p>
    <w:p w14:paraId="14E3891E" w14:textId="77777777" w:rsidR="00856F76" w:rsidRPr="00881AEC" w:rsidRDefault="00856F76" w:rsidP="00856F76">
      <w:pPr>
        <w:ind w:left="-426" w:right="-518"/>
        <w:contextualSpacing/>
        <w:jc w:val="center"/>
        <w:rPr>
          <w:rFonts w:ascii="Arial" w:hAnsi="Arial" w:cs="Arial"/>
        </w:rPr>
      </w:pPr>
    </w:p>
    <w:p w14:paraId="780FF08D" w14:textId="77777777" w:rsidR="00856F76" w:rsidRPr="00881AEC" w:rsidRDefault="00856F76" w:rsidP="00856F76">
      <w:pPr>
        <w:ind w:left="-426" w:right="-518"/>
        <w:contextualSpacing/>
        <w:jc w:val="center"/>
        <w:rPr>
          <w:rFonts w:ascii="Arial" w:hAnsi="Arial" w:cs="Arial"/>
        </w:rPr>
      </w:pPr>
      <w:r w:rsidRPr="00881AEC">
        <w:rPr>
          <w:rFonts w:ascii="Arial" w:hAnsi="Arial" w:cs="Arial"/>
        </w:rPr>
        <w:t xml:space="preserve">Dirección de Atención a Medios / Dirección General Adjunta de Comunicación </w:t>
      </w:r>
    </w:p>
    <w:p w14:paraId="168C5B51" w14:textId="77777777" w:rsidR="00856F76" w:rsidRPr="00881AEC" w:rsidRDefault="00856F76" w:rsidP="00856F76">
      <w:pPr>
        <w:ind w:left="-426" w:right="-518"/>
        <w:contextualSpacing/>
        <w:jc w:val="center"/>
        <w:rPr>
          <w:rFonts w:ascii="Arial" w:hAnsi="Arial" w:cs="Arial"/>
        </w:rPr>
      </w:pPr>
    </w:p>
    <w:p w14:paraId="21980347" w14:textId="77777777" w:rsidR="00856F76" w:rsidRPr="003C537A" w:rsidRDefault="00856F76" w:rsidP="00856F76">
      <w:pPr>
        <w:ind w:left="-425" w:right="-516"/>
        <w:contextualSpacing/>
        <w:jc w:val="center"/>
        <w:rPr>
          <w:strike/>
          <w:sz w:val="8"/>
          <w:szCs w:val="8"/>
        </w:rPr>
      </w:pPr>
      <w:r w:rsidRPr="00FF1218">
        <w:rPr>
          <w:noProof/>
          <w:lang w:val="es-MX" w:eastAsia="es-MX"/>
        </w:rPr>
        <w:drawing>
          <wp:inline distT="0" distB="0" distL="0" distR="0" wp14:anchorId="5DD91C36" wp14:editId="6D1C2373">
            <wp:extent cx="274320" cy="365760"/>
            <wp:effectExtent l="0" t="0" r="0" b="0"/>
            <wp:docPr id="11" name="Imagen 11"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B88D8D4" wp14:editId="7BF32623">
            <wp:extent cx="365760" cy="365760"/>
            <wp:effectExtent l="0" t="0" r="0" b="0"/>
            <wp:docPr id="12" name="Imagen 12"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A0B06EC" wp14:editId="54156F77">
            <wp:extent cx="365760" cy="365760"/>
            <wp:effectExtent l="0" t="0" r="0" b="0"/>
            <wp:docPr id="13" name="Imagen 13"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561F901" wp14:editId="2A9A6DDC">
            <wp:extent cx="365760" cy="365760"/>
            <wp:effectExtent l="0" t="0" r="0" b="0"/>
            <wp:docPr id="6" name="Imagen 6"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1756A3E" wp14:editId="10796D6C">
            <wp:extent cx="2286000" cy="274320"/>
            <wp:effectExtent l="0" t="0" r="0" b="0"/>
            <wp:docPr id="14" name="Imagen 1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5FC26DE4" w14:textId="77777777" w:rsidR="00856F76" w:rsidRDefault="00856F76" w:rsidP="00856F76">
      <w:pPr>
        <w:pStyle w:val="NormalWeb"/>
        <w:spacing w:before="0" w:beforeAutospacing="0" w:after="0" w:afterAutospacing="0"/>
        <w:ind w:left="-426" w:right="-518"/>
        <w:contextualSpacing/>
        <w:jc w:val="center"/>
        <w:rPr>
          <w:sz w:val="18"/>
          <w:szCs w:val="18"/>
        </w:rPr>
      </w:pPr>
    </w:p>
    <w:p w14:paraId="40FEBF63" w14:textId="77777777" w:rsidR="00856F76" w:rsidRPr="00157C43" w:rsidRDefault="00856F76" w:rsidP="00856F76">
      <w:pPr>
        <w:pStyle w:val="bullet"/>
        <w:tabs>
          <w:tab w:val="left" w:pos="8789"/>
        </w:tabs>
        <w:spacing w:before="0"/>
        <w:ind w:left="0" w:right="51" w:firstLine="0"/>
        <w:jc w:val="center"/>
        <w:rPr>
          <w:rFonts w:cs="Arial"/>
          <w:szCs w:val="24"/>
        </w:rPr>
        <w:sectPr w:rsidR="00856F76" w:rsidRPr="00157C43" w:rsidSect="00856F76">
          <w:headerReference w:type="default" r:id="rId19"/>
          <w:footerReference w:type="default" r:id="rId20"/>
          <w:pgSz w:w="12240" w:h="15840" w:code="1"/>
          <w:pgMar w:top="1" w:right="1701" w:bottom="0" w:left="1588" w:header="510" w:footer="510" w:gutter="0"/>
          <w:cols w:space="720"/>
          <w:docGrid w:linePitch="272"/>
        </w:sectPr>
      </w:pPr>
    </w:p>
    <w:p w14:paraId="0801009A" w14:textId="77777777" w:rsidR="00856F76" w:rsidRDefault="00856F76" w:rsidP="00856F76">
      <w:pPr>
        <w:tabs>
          <w:tab w:val="left" w:pos="3110"/>
          <w:tab w:val="center" w:pos="4284"/>
          <w:tab w:val="left" w:pos="8789"/>
        </w:tabs>
        <w:ind w:right="51"/>
      </w:pPr>
    </w:p>
    <w:p w14:paraId="2980B9F0" w14:textId="46B5B65B" w:rsidR="00856F76" w:rsidRPr="00C44463" w:rsidRDefault="00856F76" w:rsidP="00856F76">
      <w:pPr>
        <w:tabs>
          <w:tab w:val="left" w:pos="8789"/>
        </w:tabs>
        <w:spacing w:before="120"/>
        <w:ind w:right="51"/>
        <w:jc w:val="center"/>
        <w:rPr>
          <w:rFonts w:ascii="Arial" w:hAnsi="Arial" w:cs="Arial"/>
          <w:b/>
          <w:sz w:val="24"/>
          <w:szCs w:val="24"/>
        </w:rPr>
      </w:pPr>
      <w:r w:rsidRPr="00C44463">
        <w:rPr>
          <w:rFonts w:ascii="Arial" w:hAnsi="Arial" w:cs="Arial"/>
          <w:b/>
          <w:sz w:val="24"/>
          <w:szCs w:val="24"/>
        </w:rPr>
        <w:t>NOTA TÉCNICA</w:t>
      </w:r>
    </w:p>
    <w:p w14:paraId="49C83BC8" w14:textId="77777777" w:rsidR="00902F07" w:rsidRPr="00C44463" w:rsidRDefault="008927F7" w:rsidP="00902F07">
      <w:pPr>
        <w:pStyle w:val="Ttulo2"/>
        <w:ind w:left="-91" w:right="-142"/>
        <w:rPr>
          <w:color w:val="auto"/>
          <w:sz w:val="24"/>
          <w:szCs w:val="24"/>
        </w:rPr>
      </w:pPr>
      <w:r w:rsidRPr="00C44463">
        <w:rPr>
          <w:color w:val="auto"/>
          <w:sz w:val="24"/>
          <w:szCs w:val="24"/>
        </w:rPr>
        <w:t xml:space="preserve">INDICADORES TRIMESTRALES DE LA </w:t>
      </w:r>
      <w:r w:rsidR="002D42A9" w:rsidRPr="00C44463">
        <w:rPr>
          <w:color w:val="auto"/>
          <w:sz w:val="24"/>
          <w:szCs w:val="24"/>
        </w:rPr>
        <w:t>OFERTA Y DEMANDA</w:t>
      </w:r>
      <w:r w:rsidR="00215B14" w:rsidRPr="00C44463">
        <w:rPr>
          <w:color w:val="auto"/>
          <w:sz w:val="24"/>
          <w:szCs w:val="24"/>
        </w:rPr>
        <w:t xml:space="preserve"> </w:t>
      </w:r>
    </w:p>
    <w:p w14:paraId="1EE870F9" w14:textId="0DDF478A" w:rsidR="002D42A9" w:rsidRPr="00C44463" w:rsidRDefault="00215B14" w:rsidP="00902F07">
      <w:pPr>
        <w:pStyle w:val="Ttulo2"/>
        <w:spacing w:before="0"/>
        <w:ind w:left="-91" w:right="-142"/>
        <w:rPr>
          <w:color w:val="auto"/>
          <w:sz w:val="24"/>
          <w:szCs w:val="24"/>
        </w:rPr>
      </w:pPr>
      <w:r w:rsidRPr="00C44463">
        <w:rPr>
          <w:color w:val="auto"/>
          <w:sz w:val="24"/>
          <w:szCs w:val="24"/>
        </w:rPr>
        <w:t xml:space="preserve">Y </w:t>
      </w:r>
      <w:r w:rsidR="008927F7" w:rsidRPr="00C44463">
        <w:rPr>
          <w:color w:val="auto"/>
          <w:sz w:val="24"/>
          <w:szCs w:val="24"/>
        </w:rPr>
        <w:t>DEL AHORRO BRUTO</w:t>
      </w:r>
      <w:r w:rsidR="00481678" w:rsidRPr="00C44463">
        <w:rPr>
          <w:sz w:val="24"/>
          <w:szCs w:val="24"/>
          <w:vertAlign w:val="superscript"/>
        </w:rPr>
        <w:footnoteReference w:id="4"/>
      </w:r>
      <w:r w:rsidR="002D42A9" w:rsidRPr="00C44463">
        <w:rPr>
          <w:color w:val="auto"/>
          <w:sz w:val="24"/>
          <w:szCs w:val="24"/>
        </w:rPr>
        <w:t xml:space="preserve"> </w:t>
      </w:r>
      <w:r w:rsidR="002D42A9" w:rsidRPr="00C44463">
        <w:rPr>
          <w:color w:val="auto"/>
          <w:sz w:val="24"/>
          <w:szCs w:val="24"/>
        </w:rPr>
        <w:br/>
      </w:r>
      <w:r w:rsidR="00BD23E0" w:rsidRPr="00C44463">
        <w:rPr>
          <w:color w:val="auto"/>
          <w:sz w:val="24"/>
          <w:szCs w:val="24"/>
        </w:rPr>
        <w:t xml:space="preserve">DURANTE </w:t>
      </w:r>
      <w:r w:rsidR="00BE5C1E" w:rsidRPr="00C44463">
        <w:rPr>
          <w:color w:val="auto"/>
          <w:sz w:val="24"/>
          <w:szCs w:val="24"/>
        </w:rPr>
        <w:t xml:space="preserve">EL </w:t>
      </w:r>
      <w:r w:rsidR="00A93796" w:rsidRPr="00C44463">
        <w:rPr>
          <w:color w:val="auto"/>
          <w:sz w:val="24"/>
          <w:szCs w:val="24"/>
        </w:rPr>
        <w:t>SEGUNDO</w:t>
      </w:r>
      <w:r w:rsidR="00733235" w:rsidRPr="00C44463">
        <w:rPr>
          <w:color w:val="auto"/>
          <w:sz w:val="24"/>
          <w:szCs w:val="24"/>
        </w:rPr>
        <w:t xml:space="preserve"> </w:t>
      </w:r>
      <w:r w:rsidR="00793F59" w:rsidRPr="00C44463">
        <w:rPr>
          <w:color w:val="auto"/>
          <w:sz w:val="24"/>
          <w:szCs w:val="24"/>
        </w:rPr>
        <w:t>TRIMESTRE</w:t>
      </w:r>
      <w:r w:rsidR="002D42A9" w:rsidRPr="00C44463">
        <w:rPr>
          <w:color w:val="auto"/>
          <w:sz w:val="24"/>
          <w:szCs w:val="24"/>
        </w:rPr>
        <w:t xml:space="preserve"> DE </w:t>
      </w:r>
      <w:r w:rsidR="00850881" w:rsidRPr="00C44463">
        <w:rPr>
          <w:color w:val="auto"/>
          <w:sz w:val="24"/>
          <w:szCs w:val="24"/>
        </w:rPr>
        <w:t>20</w:t>
      </w:r>
      <w:r w:rsidR="0073207E" w:rsidRPr="00C44463">
        <w:rPr>
          <w:color w:val="auto"/>
          <w:sz w:val="24"/>
          <w:szCs w:val="24"/>
        </w:rPr>
        <w:t>2</w:t>
      </w:r>
      <w:r w:rsidR="00097002" w:rsidRPr="00C44463">
        <w:rPr>
          <w:color w:val="auto"/>
          <w:sz w:val="24"/>
          <w:szCs w:val="24"/>
        </w:rPr>
        <w:t>1</w:t>
      </w:r>
    </w:p>
    <w:p w14:paraId="770D188E" w14:textId="37623634" w:rsidR="00215B14" w:rsidRPr="00C44463" w:rsidRDefault="00215B14" w:rsidP="00215B14">
      <w:pPr>
        <w:jc w:val="center"/>
        <w:rPr>
          <w:rFonts w:ascii="Arial" w:hAnsi="Arial" w:cs="Arial"/>
          <w:b/>
          <w:bCs/>
          <w:i/>
          <w:iCs/>
          <w:sz w:val="24"/>
          <w:szCs w:val="24"/>
        </w:rPr>
      </w:pPr>
      <w:r w:rsidRPr="00C44463">
        <w:rPr>
          <w:rFonts w:ascii="Arial" w:hAnsi="Arial" w:cs="Arial"/>
          <w:b/>
          <w:bCs/>
          <w:i/>
          <w:iCs/>
          <w:sz w:val="24"/>
          <w:szCs w:val="24"/>
        </w:rPr>
        <w:t xml:space="preserve">(Cifras </w:t>
      </w:r>
      <w:r w:rsidR="00481678" w:rsidRPr="00C44463">
        <w:rPr>
          <w:rFonts w:ascii="Arial" w:hAnsi="Arial" w:cs="Arial"/>
          <w:b/>
          <w:bCs/>
          <w:i/>
          <w:iCs/>
          <w:sz w:val="24"/>
          <w:szCs w:val="24"/>
        </w:rPr>
        <w:t>d</w:t>
      </w:r>
      <w:r w:rsidRPr="00C44463">
        <w:rPr>
          <w:rFonts w:ascii="Arial" w:hAnsi="Arial" w:cs="Arial"/>
          <w:b/>
          <w:bCs/>
          <w:i/>
          <w:iCs/>
          <w:sz w:val="24"/>
          <w:szCs w:val="24"/>
        </w:rPr>
        <w:t>esestacionalizadas</w:t>
      </w:r>
      <w:r w:rsidR="000230B9" w:rsidRPr="00C44463">
        <w:rPr>
          <w:rFonts w:ascii="Arial" w:hAnsi="Arial" w:cs="Arial"/>
          <w:b/>
          <w:bCs/>
          <w:i/>
          <w:iCs/>
          <w:sz w:val="24"/>
          <w:szCs w:val="24"/>
        </w:rPr>
        <w:t>)</w:t>
      </w:r>
      <w:r w:rsidR="000230B9" w:rsidRPr="00C44463">
        <w:rPr>
          <w:color w:val="000000"/>
          <w:sz w:val="24"/>
          <w:szCs w:val="24"/>
          <w:vertAlign w:val="superscript"/>
        </w:rPr>
        <w:t xml:space="preserve"> </w:t>
      </w:r>
      <w:r w:rsidR="000230B9" w:rsidRPr="00C44463">
        <w:rPr>
          <w:rFonts w:ascii="Arial" w:hAnsi="Arial" w:cs="Arial"/>
          <w:b/>
          <w:bCs/>
          <w:color w:val="000000"/>
          <w:sz w:val="24"/>
          <w:szCs w:val="24"/>
          <w:vertAlign w:val="superscript"/>
        </w:rPr>
        <w:footnoteReference w:id="5"/>
      </w:r>
    </w:p>
    <w:p w14:paraId="451467BD" w14:textId="6D1C911D" w:rsidR="003C29DC" w:rsidRPr="00615E5F" w:rsidRDefault="003C29DC" w:rsidP="00B22AE6">
      <w:pPr>
        <w:pStyle w:val="p1"/>
        <w:keepLines w:val="0"/>
        <w:spacing w:before="480"/>
        <w:rPr>
          <w:rFonts w:cs="Arial"/>
          <w:b/>
          <w:i/>
          <w:color w:val="auto"/>
          <w:sz w:val="28"/>
          <w:szCs w:val="28"/>
        </w:rPr>
      </w:pPr>
      <w:r w:rsidRPr="00615E5F">
        <w:rPr>
          <w:rFonts w:cs="Arial"/>
          <w:b/>
          <w:i/>
          <w:color w:val="auto"/>
          <w:sz w:val="28"/>
          <w:szCs w:val="28"/>
        </w:rPr>
        <w:t>Principales resultados</w:t>
      </w:r>
    </w:p>
    <w:p w14:paraId="320A434D" w14:textId="45D2882F" w:rsidR="00F005FE" w:rsidRPr="00615E5F" w:rsidRDefault="00F005FE" w:rsidP="00B22AE6">
      <w:pPr>
        <w:pStyle w:val="Textoindependiente"/>
        <w:spacing w:line="140" w:lineRule="exact"/>
        <w:rPr>
          <w:rFonts w:cs="Arial"/>
          <w:b/>
          <w:i/>
          <w:sz w:val="26"/>
          <w:szCs w:val="26"/>
          <w:u w:val="single"/>
        </w:rPr>
      </w:pPr>
      <w:r w:rsidRPr="00615E5F">
        <w:rPr>
          <w:rFonts w:cs="Arial"/>
          <w:b/>
          <w:i/>
          <w:sz w:val="26"/>
          <w:szCs w:val="26"/>
          <w:u w:val="single"/>
        </w:rPr>
        <w:t>Cifras Desestacionalizadas</w:t>
      </w:r>
    </w:p>
    <w:p w14:paraId="5C90C9F5" w14:textId="5BEC553F" w:rsidR="002D42A9" w:rsidRPr="00615E5F" w:rsidRDefault="009C6238" w:rsidP="008B7760">
      <w:pPr>
        <w:pStyle w:val="p1"/>
        <w:keepLines w:val="0"/>
        <w:spacing w:before="120"/>
        <w:rPr>
          <w:b/>
          <w:i/>
          <w:color w:val="auto"/>
          <w:szCs w:val="24"/>
        </w:rPr>
      </w:pPr>
      <w:r w:rsidRPr="00615E5F">
        <w:rPr>
          <w:b/>
          <w:i/>
          <w:color w:val="auto"/>
          <w:szCs w:val="24"/>
        </w:rPr>
        <w:t xml:space="preserve">Oferta </w:t>
      </w:r>
      <w:r w:rsidR="009F03BB" w:rsidRPr="00615E5F">
        <w:rPr>
          <w:b/>
          <w:i/>
          <w:color w:val="auto"/>
          <w:szCs w:val="24"/>
        </w:rPr>
        <w:t xml:space="preserve">Global </w:t>
      </w:r>
      <w:r w:rsidRPr="00615E5F">
        <w:rPr>
          <w:b/>
          <w:i/>
          <w:color w:val="auto"/>
          <w:szCs w:val="24"/>
        </w:rPr>
        <w:t>de Bienes y Servicios</w:t>
      </w:r>
    </w:p>
    <w:p w14:paraId="39A0B012" w14:textId="5C39D644" w:rsidR="00686368" w:rsidRDefault="00615E5F" w:rsidP="006C4BA7">
      <w:pPr>
        <w:pStyle w:val="p1"/>
        <w:keepLines w:val="0"/>
        <w:spacing w:before="120"/>
        <w:rPr>
          <w:color w:val="000000" w:themeColor="text1"/>
        </w:rPr>
      </w:pPr>
      <w:r>
        <w:rPr>
          <w:color w:val="000000" w:themeColor="text1"/>
        </w:rPr>
        <w:t xml:space="preserve">Con </w:t>
      </w:r>
      <w:r w:rsidRPr="00BB2BAB">
        <w:rPr>
          <w:color w:val="000000" w:themeColor="text1"/>
        </w:rPr>
        <w:t xml:space="preserve">cifras </w:t>
      </w:r>
      <w:r>
        <w:rPr>
          <w:color w:val="000000" w:themeColor="text1"/>
        </w:rPr>
        <w:t>ajustadas estacionalmente,</w:t>
      </w:r>
      <w:r w:rsidRPr="00BB2BAB">
        <w:rPr>
          <w:color w:val="000000" w:themeColor="text1"/>
        </w:rPr>
        <w:t xml:space="preserve"> </w:t>
      </w:r>
      <w:r>
        <w:rPr>
          <w:color w:val="000000" w:themeColor="text1"/>
        </w:rPr>
        <w:t>e</w:t>
      </w:r>
      <w:r w:rsidR="00E963B6" w:rsidRPr="00BB2BAB">
        <w:rPr>
          <w:color w:val="000000" w:themeColor="text1"/>
        </w:rPr>
        <w:t xml:space="preserve">l INEGI informa que </w:t>
      </w:r>
      <w:r w:rsidR="00724360" w:rsidRPr="00BB2BAB">
        <w:rPr>
          <w:color w:val="000000" w:themeColor="text1"/>
        </w:rPr>
        <w:t xml:space="preserve">la Oferta </w:t>
      </w:r>
      <w:r w:rsidR="009F03BB" w:rsidRPr="00BB2BAB">
        <w:rPr>
          <w:color w:val="000000" w:themeColor="text1"/>
        </w:rPr>
        <w:t xml:space="preserve">Global </w:t>
      </w:r>
      <w:r w:rsidR="00533415" w:rsidRPr="00BB2BAB">
        <w:rPr>
          <w:color w:val="000000" w:themeColor="text1"/>
        </w:rPr>
        <w:t xml:space="preserve">(igual a la Demanda </w:t>
      </w:r>
      <w:r w:rsidR="00756B63" w:rsidRPr="00BB2BAB">
        <w:rPr>
          <w:color w:val="000000" w:themeColor="text1"/>
        </w:rPr>
        <w:t>Global</w:t>
      </w:r>
      <w:r w:rsidR="00533415" w:rsidRPr="00BB2BAB">
        <w:rPr>
          <w:color w:val="000000" w:themeColor="text1"/>
        </w:rPr>
        <w:t xml:space="preserve">) </w:t>
      </w:r>
      <w:r w:rsidR="00724360" w:rsidRPr="00BB2BAB">
        <w:rPr>
          <w:color w:val="000000" w:themeColor="text1"/>
        </w:rPr>
        <w:t>de Bienes y Servicios registró u</w:t>
      </w:r>
      <w:r w:rsidR="002A4B8C" w:rsidRPr="00BB2BAB">
        <w:rPr>
          <w:color w:val="000000" w:themeColor="text1"/>
        </w:rPr>
        <w:t xml:space="preserve">n </w:t>
      </w:r>
      <w:r w:rsidR="00EC7691" w:rsidRPr="00BB2BAB">
        <w:rPr>
          <w:color w:val="000000" w:themeColor="text1"/>
        </w:rPr>
        <w:t>crecimiento</w:t>
      </w:r>
      <w:r w:rsidR="00120B12" w:rsidRPr="00BB2BAB">
        <w:rPr>
          <w:color w:val="000000" w:themeColor="text1"/>
        </w:rPr>
        <w:t xml:space="preserve"> </w:t>
      </w:r>
      <w:r w:rsidR="002A4B8C" w:rsidRPr="00BB2BAB">
        <w:rPr>
          <w:color w:val="000000" w:themeColor="text1"/>
        </w:rPr>
        <w:t xml:space="preserve">de </w:t>
      </w:r>
      <w:r w:rsidR="00756F58">
        <w:rPr>
          <w:color w:val="000000" w:themeColor="text1"/>
        </w:rPr>
        <w:t>1.</w:t>
      </w:r>
      <w:r w:rsidR="00024E5D">
        <w:rPr>
          <w:color w:val="000000" w:themeColor="text1"/>
        </w:rPr>
        <w:t>2</w:t>
      </w:r>
      <w:r w:rsidR="00724360" w:rsidRPr="00BB2BAB">
        <w:rPr>
          <w:color w:val="000000" w:themeColor="text1"/>
        </w:rPr>
        <w:t xml:space="preserve">% </w:t>
      </w:r>
      <w:r w:rsidR="006A68BB" w:rsidRPr="00BB2BAB">
        <w:rPr>
          <w:color w:val="000000" w:themeColor="text1"/>
        </w:rPr>
        <w:t>en el</w:t>
      </w:r>
      <w:r w:rsidR="00684A3F">
        <w:rPr>
          <w:color w:val="000000" w:themeColor="text1"/>
        </w:rPr>
        <w:t xml:space="preserve"> </w:t>
      </w:r>
      <w:r w:rsidR="00A93796">
        <w:rPr>
          <w:color w:val="000000" w:themeColor="text1"/>
        </w:rPr>
        <w:t xml:space="preserve">segundo </w:t>
      </w:r>
      <w:r w:rsidR="006A68BB" w:rsidRPr="00BB2BAB">
        <w:rPr>
          <w:color w:val="000000" w:themeColor="text1"/>
        </w:rPr>
        <w:t xml:space="preserve">trimestre </w:t>
      </w:r>
      <w:r w:rsidR="00453460" w:rsidRPr="00BB2BAB">
        <w:rPr>
          <w:color w:val="000000" w:themeColor="text1"/>
        </w:rPr>
        <w:t>de 20</w:t>
      </w:r>
      <w:r w:rsidR="0057593E">
        <w:rPr>
          <w:color w:val="000000" w:themeColor="text1"/>
        </w:rPr>
        <w:t>2</w:t>
      </w:r>
      <w:r w:rsidR="00426883">
        <w:rPr>
          <w:color w:val="000000" w:themeColor="text1"/>
        </w:rPr>
        <w:t>1</w:t>
      </w:r>
      <w:r w:rsidR="00453460" w:rsidRPr="00BB2BAB">
        <w:rPr>
          <w:color w:val="000000" w:themeColor="text1"/>
        </w:rPr>
        <w:t xml:space="preserve"> </w:t>
      </w:r>
      <w:r w:rsidR="00120B12" w:rsidRPr="00BB2BAB">
        <w:rPr>
          <w:color w:val="000000" w:themeColor="text1"/>
        </w:rPr>
        <w:t xml:space="preserve">respecto al trimestre </w:t>
      </w:r>
      <w:r w:rsidR="00BB2BAB">
        <w:rPr>
          <w:color w:val="000000" w:themeColor="text1"/>
        </w:rPr>
        <w:t>precedente</w:t>
      </w:r>
      <w:r w:rsidR="00724360" w:rsidRPr="00BB2BAB">
        <w:rPr>
          <w:color w:val="000000" w:themeColor="text1"/>
        </w:rPr>
        <w:t>.</w:t>
      </w:r>
      <w:r w:rsidR="008B65AC" w:rsidRPr="00BB2BAB">
        <w:rPr>
          <w:color w:val="000000" w:themeColor="text1"/>
        </w:rPr>
        <w:t xml:space="preserve"> </w:t>
      </w:r>
    </w:p>
    <w:p w14:paraId="07A4FE85" w14:textId="77777777" w:rsidR="00B22AE6" w:rsidRDefault="00B22AE6" w:rsidP="00BA555B">
      <w:pPr>
        <w:widowControl/>
        <w:spacing w:before="120"/>
        <w:jc w:val="center"/>
        <w:rPr>
          <w:rFonts w:ascii="Arial" w:hAnsi="Arial" w:cs="Arial"/>
          <w:szCs w:val="22"/>
        </w:rPr>
      </w:pPr>
    </w:p>
    <w:p w14:paraId="397136BD" w14:textId="77F4DBE6" w:rsidR="001E3DC3" w:rsidRPr="0057720D" w:rsidRDefault="001E3DC3" w:rsidP="00BA555B">
      <w:pPr>
        <w:widowControl/>
        <w:spacing w:before="120"/>
        <w:jc w:val="center"/>
        <w:rPr>
          <w:rFonts w:ascii="Arial" w:hAnsi="Arial" w:cs="Arial"/>
          <w:szCs w:val="22"/>
        </w:rPr>
      </w:pPr>
      <w:r>
        <w:rPr>
          <w:rFonts w:ascii="Arial" w:hAnsi="Arial" w:cs="Arial"/>
          <w:szCs w:val="22"/>
        </w:rPr>
        <w:t>Cuadro 1</w:t>
      </w:r>
    </w:p>
    <w:p w14:paraId="06EB4DB1" w14:textId="72C08369" w:rsidR="000E52BE" w:rsidRDefault="000E52BE" w:rsidP="001E3DC3">
      <w:pPr>
        <w:pStyle w:val="p01"/>
        <w:keepLines w:val="0"/>
        <w:widowControl w:val="0"/>
        <w:spacing w:before="0"/>
        <w:jc w:val="center"/>
        <w:rPr>
          <w:rFonts w:ascii="Arial" w:hAnsi="Arial" w:cs="Arial"/>
          <w:b/>
          <w:smallCaps/>
          <w:color w:val="auto"/>
          <w:sz w:val="22"/>
          <w:szCs w:val="22"/>
        </w:rPr>
      </w:pPr>
      <w:r w:rsidRPr="0057593E">
        <w:rPr>
          <w:rFonts w:ascii="Arial" w:hAnsi="Arial" w:cs="Arial"/>
          <w:b/>
          <w:smallCaps/>
          <w:color w:val="auto"/>
          <w:sz w:val="22"/>
          <w:szCs w:val="22"/>
        </w:rPr>
        <w:t>Ofert</w:t>
      </w:r>
      <w:r>
        <w:rPr>
          <w:rFonts w:ascii="Arial" w:hAnsi="Arial" w:cs="Arial"/>
          <w:b/>
          <w:smallCaps/>
          <w:color w:val="auto"/>
          <w:sz w:val="22"/>
          <w:szCs w:val="22"/>
        </w:rPr>
        <w:t xml:space="preserve">a y </w:t>
      </w:r>
      <w:r w:rsidRPr="0057593E">
        <w:rPr>
          <w:rFonts w:ascii="Arial" w:hAnsi="Arial" w:cs="Arial"/>
          <w:b/>
          <w:smallCaps/>
          <w:color w:val="auto"/>
          <w:sz w:val="22"/>
          <w:szCs w:val="22"/>
        </w:rPr>
        <w:t xml:space="preserve">Demanda </w:t>
      </w:r>
      <w:r>
        <w:rPr>
          <w:rFonts w:ascii="Arial" w:hAnsi="Arial" w:cs="Arial"/>
          <w:b/>
          <w:smallCaps/>
          <w:color w:val="auto"/>
          <w:sz w:val="22"/>
          <w:szCs w:val="22"/>
        </w:rPr>
        <w:t xml:space="preserve">Global de </w:t>
      </w:r>
      <w:r w:rsidR="004A72DB">
        <w:rPr>
          <w:rFonts w:ascii="Arial" w:hAnsi="Arial" w:cs="Arial"/>
          <w:b/>
          <w:smallCaps/>
          <w:color w:val="auto"/>
          <w:sz w:val="22"/>
          <w:szCs w:val="22"/>
        </w:rPr>
        <w:t>B</w:t>
      </w:r>
      <w:r>
        <w:rPr>
          <w:rFonts w:ascii="Arial" w:hAnsi="Arial" w:cs="Arial"/>
          <w:b/>
          <w:smallCaps/>
          <w:color w:val="auto"/>
          <w:sz w:val="22"/>
          <w:szCs w:val="22"/>
        </w:rPr>
        <w:t xml:space="preserve">ienes y </w:t>
      </w:r>
      <w:r w:rsidR="004A72DB">
        <w:rPr>
          <w:rFonts w:ascii="Arial" w:hAnsi="Arial" w:cs="Arial"/>
          <w:b/>
          <w:smallCaps/>
          <w:color w:val="auto"/>
          <w:sz w:val="22"/>
          <w:szCs w:val="22"/>
        </w:rPr>
        <w:t>S</w:t>
      </w:r>
      <w:r>
        <w:rPr>
          <w:rFonts w:ascii="Arial" w:hAnsi="Arial" w:cs="Arial"/>
          <w:b/>
          <w:smallCaps/>
          <w:color w:val="auto"/>
          <w:sz w:val="22"/>
          <w:szCs w:val="22"/>
        </w:rPr>
        <w:t>ervicios</w:t>
      </w:r>
      <w:r w:rsidR="004A72DB">
        <w:rPr>
          <w:rFonts w:ascii="Arial" w:hAnsi="Arial" w:cs="Arial"/>
          <w:b/>
          <w:smallCaps/>
          <w:color w:val="auto"/>
          <w:sz w:val="22"/>
          <w:szCs w:val="22"/>
        </w:rPr>
        <w:t xml:space="preserve"> por componentes</w:t>
      </w:r>
      <w:r>
        <w:rPr>
          <w:rFonts w:ascii="Arial" w:hAnsi="Arial" w:cs="Arial"/>
          <w:b/>
          <w:smallCaps/>
          <w:color w:val="auto"/>
          <w:sz w:val="22"/>
          <w:szCs w:val="22"/>
        </w:rPr>
        <w:t xml:space="preserve"> </w:t>
      </w:r>
      <w:r w:rsidRPr="0057593E">
        <w:rPr>
          <w:rFonts w:ascii="Arial" w:hAnsi="Arial" w:cs="Arial"/>
          <w:b/>
          <w:smallCaps/>
          <w:color w:val="auto"/>
          <w:sz w:val="22"/>
          <w:szCs w:val="22"/>
        </w:rPr>
        <w:t xml:space="preserve"> </w:t>
      </w:r>
    </w:p>
    <w:p w14:paraId="0C103B52" w14:textId="340280AD" w:rsidR="000E52BE" w:rsidRPr="0057593E" w:rsidRDefault="000E52BE" w:rsidP="000E52BE">
      <w:pPr>
        <w:pStyle w:val="p01"/>
        <w:keepLines w:val="0"/>
        <w:widowControl w:val="0"/>
        <w:spacing w:before="0"/>
        <w:jc w:val="center"/>
        <w:rPr>
          <w:rFonts w:ascii="Arial" w:hAnsi="Arial" w:cs="Arial"/>
          <w:b/>
          <w:smallCaps/>
          <w:color w:val="auto"/>
          <w:sz w:val="22"/>
          <w:szCs w:val="22"/>
        </w:rPr>
      </w:pPr>
      <w:r w:rsidRPr="0057593E">
        <w:rPr>
          <w:rFonts w:ascii="Arial" w:hAnsi="Arial" w:cs="Arial"/>
          <w:b/>
          <w:smallCaps/>
          <w:color w:val="auto"/>
          <w:sz w:val="22"/>
          <w:szCs w:val="22"/>
        </w:rPr>
        <w:t xml:space="preserve">al </w:t>
      </w:r>
      <w:r w:rsidR="00A93796">
        <w:rPr>
          <w:rFonts w:ascii="Arial" w:hAnsi="Arial" w:cs="Arial"/>
          <w:b/>
          <w:smallCaps/>
          <w:color w:val="auto"/>
          <w:sz w:val="22"/>
          <w:szCs w:val="22"/>
        </w:rPr>
        <w:t>segundo</w:t>
      </w:r>
      <w:r w:rsidRPr="0057593E">
        <w:rPr>
          <w:rFonts w:ascii="Arial" w:hAnsi="Arial" w:cs="Arial"/>
          <w:b/>
          <w:smallCaps/>
          <w:color w:val="auto"/>
          <w:sz w:val="22"/>
          <w:szCs w:val="22"/>
        </w:rPr>
        <w:t xml:space="preserve"> trimestre</w:t>
      </w:r>
      <w:r>
        <w:rPr>
          <w:rFonts w:ascii="Arial" w:hAnsi="Arial" w:cs="Arial"/>
          <w:b/>
          <w:smallCaps/>
          <w:color w:val="auto"/>
          <w:sz w:val="22"/>
          <w:szCs w:val="22"/>
        </w:rPr>
        <w:t xml:space="preserve"> </w:t>
      </w:r>
      <w:r w:rsidRPr="0057593E">
        <w:rPr>
          <w:rFonts w:ascii="Arial" w:hAnsi="Arial" w:cs="Arial"/>
          <w:b/>
          <w:smallCaps/>
          <w:color w:val="auto"/>
          <w:sz w:val="22"/>
          <w:szCs w:val="22"/>
        </w:rPr>
        <w:t>de 202</w:t>
      </w:r>
      <w:r w:rsidR="00097002">
        <w:rPr>
          <w:rFonts w:ascii="Arial" w:hAnsi="Arial" w:cs="Arial"/>
          <w:b/>
          <w:smallCaps/>
          <w:color w:val="auto"/>
          <w:sz w:val="22"/>
          <w:szCs w:val="22"/>
        </w:rPr>
        <w:t>1</w:t>
      </w:r>
    </w:p>
    <w:p w14:paraId="65C07F38" w14:textId="77777777" w:rsidR="000E52BE" w:rsidRPr="00EF651A" w:rsidRDefault="000E52BE" w:rsidP="000E52BE">
      <w:pPr>
        <w:pStyle w:val="Textoindependiente"/>
        <w:keepNext/>
        <w:keepLines/>
        <w:spacing w:before="0" w:line="180" w:lineRule="exact"/>
        <w:jc w:val="center"/>
        <w:rPr>
          <w:rFonts w:cs="Arial"/>
          <w:bCs/>
          <w:sz w:val="16"/>
          <w:szCs w:val="16"/>
        </w:rPr>
      </w:pPr>
      <w:r w:rsidRPr="00EF651A">
        <w:rPr>
          <w:rFonts w:cs="Arial"/>
          <w:bCs/>
          <w:sz w:val="18"/>
        </w:rPr>
        <w:t xml:space="preserve">Cifras desestacionalizadas </w:t>
      </w:r>
      <w:r w:rsidRPr="00EF651A">
        <w:rPr>
          <w:rFonts w:cs="Arial"/>
          <w:bCs/>
          <w:sz w:val="16"/>
          <w:szCs w:val="16"/>
          <w:vertAlign w:val="superscript"/>
        </w:rPr>
        <w:t xml:space="preserve"> </w:t>
      </w:r>
    </w:p>
    <w:tbl>
      <w:tblPr>
        <w:tblStyle w:val="Tablaconcuadrcula"/>
        <w:tblW w:w="6789" w:type="dxa"/>
        <w:jc w:val="center"/>
        <w:tblLayout w:type="fixed"/>
        <w:tblLook w:val="04A0" w:firstRow="1" w:lastRow="0" w:firstColumn="1" w:lastColumn="0" w:noHBand="0" w:noVBand="1"/>
      </w:tblPr>
      <w:tblGrid>
        <w:gridCol w:w="3521"/>
        <w:gridCol w:w="1457"/>
        <w:gridCol w:w="1811"/>
      </w:tblGrid>
      <w:tr w:rsidR="000E52BE" w14:paraId="3570E692" w14:textId="77777777" w:rsidTr="00856F76">
        <w:trPr>
          <w:trHeight w:val="694"/>
          <w:jc w:val="center"/>
        </w:trPr>
        <w:tc>
          <w:tcPr>
            <w:tcW w:w="3521" w:type="dxa"/>
            <w:tcBorders>
              <w:top w:val="double" w:sz="4" w:space="0" w:color="auto"/>
              <w:left w:val="double" w:sz="4" w:space="0" w:color="auto"/>
              <w:bottom w:val="double" w:sz="4" w:space="0" w:color="auto"/>
              <w:right w:val="single" w:sz="4" w:space="0" w:color="auto"/>
            </w:tcBorders>
            <w:shd w:val="clear" w:color="auto" w:fill="C2D69B" w:themeFill="accent3" w:themeFillTint="99"/>
            <w:vAlign w:val="center"/>
          </w:tcPr>
          <w:p w14:paraId="24DD7DA8" w14:textId="77777777" w:rsidR="000E52BE" w:rsidRPr="0057593E" w:rsidRDefault="000E52BE" w:rsidP="00856F76">
            <w:pPr>
              <w:pStyle w:val="not31"/>
              <w:widowControl w:val="0"/>
              <w:spacing w:before="0" w:line="180" w:lineRule="atLeast"/>
              <w:ind w:left="-262" w:right="0" w:firstLine="310"/>
              <w:jc w:val="center"/>
              <w:rPr>
                <w:rFonts w:cs="Arial"/>
                <w:b/>
                <w:color w:val="auto"/>
                <w:sz w:val="18"/>
                <w:szCs w:val="18"/>
                <w:lang w:val="es-MX" w:eastAsia="es-MX"/>
              </w:rPr>
            </w:pPr>
            <w:r w:rsidRPr="0057593E">
              <w:rPr>
                <w:rFonts w:cs="Arial"/>
                <w:b/>
                <w:color w:val="auto"/>
                <w:sz w:val="18"/>
                <w:szCs w:val="18"/>
                <w:lang w:val="es-MX" w:eastAsia="es-MX"/>
              </w:rPr>
              <w:t>Concepto</w:t>
            </w:r>
          </w:p>
        </w:tc>
        <w:tc>
          <w:tcPr>
            <w:tcW w:w="1457" w:type="dxa"/>
            <w:tcBorders>
              <w:top w:val="double" w:sz="4" w:space="0" w:color="auto"/>
              <w:left w:val="single" w:sz="4" w:space="0" w:color="auto"/>
              <w:bottom w:val="double" w:sz="4" w:space="0" w:color="auto"/>
              <w:right w:val="single" w:sz="4" w:space="0" w:color="auto"/>
            </w:tcBorders>
            <w:shd w:val="clear" w:color="auto" w:fill="C2D69B" w:themeFill="accent3" w:themeFillTint="99"/>
            <w:vAlign w:val="center"/>
          </w:tcPr>
          <w:p w14:paraId="602A689A" w14:textId="77777777" w:rsidR="000E52BE" w:rsidRPr="0057593E" w:rsidRDefault="000E52BE" w:rsidP="00856F76">
            <w:pPr>
              <w:pStyle w:val="not31"/>
              <w:widowControl w:val="0"/>
              <w:spacing w:before="0" w:line="180" w:lineRule="atLeast"/>
              <w:ind w:left="-100" w:right="-72"/>
              <w:jc w:val="center"/>
              <w:rPr>
                <w:rFonts w:cs="Arial"/>
                <w:b/>
                <w:color w:val="auto"/>
                <w:sz w:val="18"/>
                <w:szCs w:val="18"/>
                <w:lang w:val="es-MX" w:eastAsia="es-MX"/>
              </w:rPr>
            </w:pPr>
            <w:r w:rsidRPr="0057593E">
              <w:rPr>
                <w:rFonts w:cs="Arial"/>
                <w:b/>
                <w:color w:val="auto"/>
                <w:sz w:val="18"/>
                <w:szCs w:val="18"/>
                <w:lang w:val="es-MX" w:eastAsia="es-MX"/>
              </w:rPr>
              <w:t>Variación % respecto al trimestre previo</w:t>
            </w:r>
          </w:p>
        </w:tc>
        <w:tc>
          <w:tcPr>
            <w:tcW w:w="1811" w:type="dxa"/>
            <w:tcBorders>
              <w:top w:val="double" w:sz="4" w:space="0" w:color="auto"/>
              <w:left w:val="single" w:sz="4" w:space="0" w:color="auto"/>
              <w:bottom w:val="double" w:sz="4" w:space="0" w:color="auto"/>
              <w:right w:val="double" w:sz="4" w:space="0" w:color="auto"/>
            </w:tcBorders>
            <w:shd w:val="clear" w:color="auto" w:fill="C2D69B" w:themeFill="accent3" w:themeFillTint="99"/>
            <w:vAlign w:val="center"/>
          </w:tcPr>
          <w:p w14:paraId="55FBBC3A" w14:textId="3D6E72DF" w:rsidR="000E52BE" w:rsidRPr="0057593E" w:rsidRDefault="000E52BE" w:rsidP="00856F76">
            <w:pPr>
              <w:pStyle w:val="not31"/>
              <w:widowControl w:val="0"/>
              <w:spacing w:before="0" w:line="180" w:lineRule="atLeast"/>
              <w:ind w:right="0"/>
              <w:jc w:val="center"/>
              <w:rPr>
                <w:rFonts w:cs="Arial"/>
                <w:b/>
                <w:color w:val="auto"/>
                <w:sz w:val="18"/>
                <w:szCs w:val="18"/>
                <w:lang w:val="es-MX" w:eastAsia="es-MX"/>
              </w:rPr>
            </w:pPr>
            <w:r w:rsidRPr="0057593E">
              <w:rPr>
                <w:rFonts w:cs="Arial"/>
                <w:b/>
                <w:color w:val="auto"/>
                <w:sz w:val="18"/>
                <w:szCs w:val="18"/>
                <w:lang w:val="es-MX" w:eastAsia="es-MX"/>
              </w:rPr>
              <w:t>Variación % respecto a igual trimestre de 20</w:t>
            </w:r>
            <w:r w:rsidR="00097002">
              <w:rPr>
                <w:rFonts w:cs="Arial"/>
                <w:b/>
                <w:color w:val="auto"/>
                <w:sz w:val="18"/>
                <w:szCs w:val="18"/>
                <w:lang w:val="es-MX" w:eastAsia="es-MX"/>
              </w:rPr>
              <w:t>20</w:t>
            </w:r>
          </w:p>
        </w:tc>
      </w:tr>
      <w:tr w:rsidR="000E52BE" w14:paraId="3ADB560B" w14:textId="77777777" w:rsidTr="00856F76">
        <w:trPr>
          <w:jc w:val="center"/>
        </w:trPr>
        <w:tc>
          <w:tcPr>
            <w:tcW w:w="3521" w:type="dxa"/>
            <w:tcBorders>
              <w:top w:val="double" w:sz="4" w:space="0" w:color="auto"/>
              <w:left w:val="double" w:sz="4" w:space="0" w:color="auto"/>
              <w:bottom w:val="nil"/>
              <w:right w:val="single" w:sz="4" w:space="0" w:color="auto"/>
            </w:tcBorders>
            <w:vAlign w:val="center"/>
          </w:tcPr>
          <w:p w14:paraId="474A3F4A" w14:textId="45FFC330" w:rsidR="000E52BE" w:rsidRPr="0057593E" w:rsidRDefault="00D216D6" w:rsidP="00856F76">
            <w:pPr>
              <w:pStyle w:val="not31"/>
              <w:keepLines w:val="0"/>
              <w:widowControl w:val="0"/>
              <w:spacing w:before="20" w:after="20"/>
              <w:ind w:left="48" w:right="-79"/>
              <w:jc w:val="left"/>
              <w:rPr>
                <w:rFonts w:cs="Arial"/>
                <w:color w:val="auto"/>
                <w:sz w:val="18"/>
                <w:szCs w:val="18"/>
                <w:lang w:val="es-MX" w:eastAsia="es-MX"/>
              </w:rPr>
            </w:pPr>
            <w:r>
              <w:rPr>
                <w:rFonts w:cs="Arial"/>
                <w:color w:val="auto"/>
                <w:sz w:val="18"/>
                <w:szCs w:val="18"/>
                <w:lang w:val="es-MX" w:eastAsia="es-MX"/>
              </w:rPr>
              <w:t xml:space="preserve"> </w:t>
            </w:r>
            <w:r w:rsidR="000E52BE" w:rsidRPr="0057593E">
              <w:rPr>
                <w:rFonts w:cs="Arial"/>
                <w:color w:val="auto"/>
                <w:sz w:val="18"/>
                <w:szCs w:val="18"/>
                <w:lang w:val="es-MX" w:eastAsia="es-MX"/>
              </w:rPr>
              <w:t>Producto Interno Bruto</w:t>
            </w:r>
          </w:p>
        </w:tc>
        <w:tc>
          <w:tcPr>
            <w:tcW w:w="1457" w:type="dxa"/>
            <w:tcBorders>
              <w:top w:val="double" w:sz="4" w:space="0" w:color="auto"/>
              <w:left w:val="single" w:sz="4" w:space="0" w:color="auto"/>
              <w:bottom w:val="nil"/>
              <w:right w:val="nil"/>
            </w:tcBorders>
            <w:vAlign w:val="bottom"/>
          </w:tcPr>
          <w:p w14:paraId="066AC1F8" w14:textId="3B53BD50" w:rsidR="000E52BE" w:rsidRPr="0057593E" w:rsidRDefault="00ED31C5" w:rsidP="00856F76">
            <w:pPr>
              <w:spacing w:before="20" w:after="20"/>
              <w:ind w:right="397"/>
              <w:jc w:val="right"/>
              <w:rPr>
                <w:rFonts w:ascii="Arial" w:hAnsi="Arial" w:cs="Arial"/>
                <w:sz w:val="18"/>
                <w:szCs w:val="18"/>
              </w:rPr>
            </w:pPr>
            <w:r>
              <w:rPr>
                <w:rFonts w:ascii="Arial" w:hAnsi="Arial" w:cs="Arial"/>
                <w:sz w:val="18"/>
                <w:szCs w:val="18"/>
                <w:lang w:eastAsia="es-MX"/>
              </w:rPr>
              <w:t>1.5</w:t>
            </w:r>
          </w:p>
        </w:tc>
        <w:tc>
          <w:tcPr>
            <w:tcW w:w="1811" w:type="dxa"/>
            <w:tcBorders>
              <w:top w:val="double" w:sz="4" w:space="0" w:color="auto"/>
              <w:left w:val="single" w:sz="4" w:space="0" w:color="auto"/>
              <w:bottom w:val="nil"/>
              <w:right w:val="double" w:sz="4" w:space="0" w:color="auto"/>
            </w:tcBorders>
            <w:shd w:val="clear" w:color="auto" w:fill="auto"/>
            <w:vAlign w:val="bottom"/>
          </w:tcPr>
          <w:p w14:paraId="489FF087" w14:textId="2424C339" w:rsidR="000E52BE" w:rsidRPr="0057593E" w:rsidRDefault="00ED31C5" w:rsidP="00396B4C">
            <w:pPr>
              <w:spacing w:before="20" w:after="20"/>
              <w:ind w:right="510"/>
              <w:jc w:val="right"/>
              <w:rPr>
                <w:rFonts w:ascii="Arial" w:hAnsi="Arial" w:cs="Arial"/>
                <w:sz w:val="18"/>
                <w:szCs w:val="18"/>
              </w:rPr>
            </w:pPr>
            <w:r>
              <w:rPr>
                <w:rFonts w:ascii="Arial" w:hAnsi="Arial" w:cs="Arial"/>
                <w:sz w:val="18"/>
                <w:szCs w:val="18"/>
                <w:lang w:eastAsia="es-MX"/>
              </w:rPr>
              <w:t>19.5</w:t>
            </w:r>
          </w:p>
        </w:tc>
      </w:tr>
      <w:tr w:rsidR="000E52BE" w14:paraId="112F20B5" w14:textId="77777777" w:rsidTr="00856F76">
        <w:trPr>
          <w:jc w:val="center"/>
        </w:trPr>
        <w:tc>
          <w:tcPr>
            <w:tcW w:w="3521" w:type="dxa"/>
            <w:tcBorders>
              <w:top w:val="nil"/>
              <w:left w:val="double" w:sz="4" w:space="0" w:color="auto"/>
              <w:bottom w:val="nil"/>
              <w:right w:val="single" w:sz="4" w:space="0" w:color="auto"/>
            </w:tcBorders>
            <w:vAlign w:val="center"/>
          </w:tcPr>
          <w:p w14:paraId="0B80A629" w14:textId="7FEFEE09" w:rsidR="000E52BE" w:rsidRPr="0057593E" w:rsidRDefault="00D216D6" w:rsidP="00856F76">
            <w:pPr>
              <w:pStyle w:val="not31"/>
              <w:keepLines w:val="0"/>
              <w:widowControl w:val="0"/>
              <w:spacing w:before="20" w:after="20"/>
              <w:ind w:left="48" w:right="-79"/>
              <w:jc w:val="left"/>
              <w:rPr>
                <w:rFonts w:cs="Arial"/>
                <w:color w:val="auto"/>
                <w:sz w:val="18"/>
                <w:szCs w:val="18"/>
                <w:lang w:val="es-MX" w:eastAsia="es-MX"/>
              </w:rPr>
            </w:pPr>
            <w:r>
              <w:rPr>
                <w:rFonts w:cs="Arial"/>
                <w:color w:val="auto"/>
                <w:sz w:val="18"/>
                <w:szCs w:val="18"/>
                <w:lang w:val="es-MX" w:eastAsia="es-MX"/>
              </w:rPr>
              <w:t xml:space="preserve"> </w:t>
            </w:r>
            <w:r w:rsidR="000E52BE" w:rsidRPr="0057593E">
              <w:rPr>
                <w:rFonts w:cs="Arial"/>
                <w:color w:val="auto"/>
                <w:sz w:val="18"/>
                <w:szCs w:val="18"/>
                <w:lang w:val="es-MX" w:eastAsia="es-MX"/>
              </w:rPr>
              <w:t>Importación de Bienes y Servicios</w:t>
            </w:r>
          </w:p>
        </w:tc>
        <w:tc>
          <w:tcPr>
            <w:tcW w:w="1457" w:type="dxa"/>
            <w:tcBorders>
              <w:top w:val="nil"/>
              <w:left w:val="single" w:sz="4" w:space="0" w:color="auto"/>
              <w:bottom w:val="nil"/>
              <w:right w:val="nil"/>
            </w:tcBorders>
            <w:vAlign w:val="center"/>
          </w:tcPr>
          <w:p w14:paraId="61733547" w14:textId="17F9C0CE" w:rsidR="000E52BE" w:rsidRPr="0057593E" w:rsidRDefault="00756F58" w:rsidP="00856F76">
            <w:pPr>
              <w:pStyle w:val="not31"/>
              <w:keepLines w:val="0"/>
              <w:widowControl w:val="0"/>
              <w:spacing w:before="20" w:after="20"/>
              <w:ind w:right="397"/>
              <w:jc w:val="right"/>
              <w:rPr>
                <w:rFonts w:cs="Arial"/>
                <w:color w:val="auto"/>
                <w:sz w:val="18"/>
                <w:szCs w:val="18"/>
                <w:lang w:val="es-MX" w:eastAsia="es-MX"/>
              </w:rPr>
            </w:pPr>
            <w:r>
              <w:rPr>
                <w:rFonts w:cs="Arial"/>
                <w:color w:val="auto"/>
                <w:sz w:val="18"/>
                <w:szCs w:val="18"/>
                <w:lang w:val="es-MX" w:eastAsia="es-MX"/>
              </w:rPr>
              <w:t>0.2</w:t>
            </w:r>
          </w:p>
        </w:tc>
        <w:tc>
          <w:tcPr>
            <w:tcW w:w="1811" w:type="dxa"/>
            <w:tcBorders>
              <w:top w:val="nil"/>
              <w:left w:val="single" w:sz="4" w:space="0" w:color="auto"/>
              <w:bottom w:val="nil"/>
              <w:right w:val="double" w:sz="4" w:space="0" w:color="auto"/>
            </w:tcBorders>
            <w:shd w:val="clear" w:color="auto" w:fill="auto"/>
            <w:vAlign w:val="center"/>
          </w:tcPr>
          <w:p w14:paraId="1BCFE273" w14:textId="2B6F6F3F" w:rsidR="000E52BE" w:rsidRPr="0057593E" w:rsidRDefault="00756F58" w:rsidP="00396B4C">
            <w:pPr>
              <w:pStyle w:val="not31"/>
              <w:keepLines w:val="0"/>
              <w:widowControl w:val="0"/>
              <w:spacing w:before="20" w:after="20"/>
              <w:ind w:right="510"/>
              <w:jc w:val="right"/>
              <w:rPr>
                <w:rFonts w:cs="Arial"/>
                <w:color w:val="auto"/>
                <w:sz w:val="18"/>
                <w:szCs w:val="18"/>
                <w:lang w:val="es-MX" w:eastAsia="es-MX"/>
              </w:rPr>
            </w:pPr>
            <w:r>
              <w:rPr>
                <w:rFonts w:cs="Arial"/>
                <w:color w:val="auto"/>
                <w:sz w:val="18"/>
                <w:szCs w:val="18"/>
                <w:lang w:val="es-MX" w:eastAsia="es-MX"/>
              </w:rPr>
              <w:t>35.3</w:t>
            </w:r>
          </w:p>
        </w:tc>
      </w:tr>
      <w:tr w:rsidR="000E52BE" w14:paraId="0FBB5643" w14:textId="77777777" w:rsidTr="00856F76">
        <w:trPr>
          <w:jc w:val="center"/>
        </w:trPr>
        <w:tc>
          <w:tcPr>
            <w:tcW w:w="3521" w:type="dxa"/>
            <w:tcBorders>
              <w:top w:val="nil"/>
              <w:left w:val="double" w:sz="4" w:space="0" w:color="auto"/>
              <w:bottom w:val="nil"/>
              <w:right w:val="single" w:sz="4" w:space="0" w:color="auto"/>
            </w:tcBorders>
            <w:vAlign w:val="center"/>
          </w:tcPr>
          <w:p w14:paraId="58068BCE" w14:textId="0207D0EF" w:rsidR="000E52BE" w:rsidRPr="0057593E" w:rsidRDefault="000E52BE" w:rsidP="00856F76">
            <w:pPr>
              <w:pStyle w:val="not31"/>
              <w:keepLines w:val="0"/>
              <w:widowControl w:val="0"/>
              <w:spacing w:before="20" w:after="20"/>
              <w:ind w:left="-123" w:right="-79"/>
              <w:jc w:val="left"/>
              <w:rPr>
                <w:rFonts w:cs="Arial"/>
                <w:b/>
                <w:color w:val="auto"/>
                <w:sz w:val="18"/>
                <w:szCs w:val="18"/>
                <w:lang w:val="es-MX" w:eastAsia="es-MX"/>
              </w:rPr>
            </w:pPr>
            <w:r w:rsidRPr="0057593E">
              <w:rPr>
                <w:rFonts w:cs="Arial"/>
                <w:b/>
                <w:color w:val="auto"/>
                <w:sz w:val="18"/>
                <w:szCs w:val="18"/>
                <w:lang w:val="es-MX" w:eastAsia="es-MX"/>
              </w:rPr>
              <w:t xml:space="preserve"> </w:t>
            </w:r>
            <w:r>
              <w:rPr>
                <w:rFonts w:cs="Arial"/>
                <w:b/>
                <w:color w:val="auto"/>
                <w:sz w:val="18"/>
                <w:szCs w:val="18"/>
                <w:lang w:val="es-MX" w:eastAsia="es-MX"/>
              </w:rPr>
              <w:t xml:space="preserve"> </w:t>
            </w:r>
            <w:r w:rsidRPr="0057593E">
              <w:rPr>
                <w:rFonts w:cs="Arial"/>
                <w:b/>
                <w:color w:val="auto"/>
                <w:sz w:val="18"/>
                <w:szCs w:val="18"/>
                <w:lang w:val="es-MX" w:eastAsia="es-MX"/>
              </w:rPr>
              <w:t xml:space="preserve">Oferta </w:t>
            </w:r>
            <w:r w:rsidR="00473F1E">
              <w:rPr>
                <w:rFonts w:cs="Arial"/>
                <w:b/>
                <w:color w:val="auto"/>
                <w:sz w:val="18"/>
                <w:szCs w:val="18"/>
                <w:lang w:val="es-MX" w:eastAsia="es-MX"/>
              </w:rPr>
              <w:t>=</w:t>
            </w:r>
            <w:r w:rsidRPr="0057593E">
              <w:rPr>
                <w:rFonts w:cs="Arial"/>
                <w:b/>
                <w:color w:val="auto"/>
                <w:sz w:val="18"/>
                <w:szCs w:val="18"/>
                <w:lang w:val="es-MX" w:eastAsia="es-MX"/>
              </w:rPr>
              <w:t xml:space="preserve"> Demanda</w:t>
            </w:r>
            <w:r>
              <w:rPr>
                <w:rFonts w:cs="Arial"/>
                <w:b/>
                <w:color w:val="auto"/>
                <w:sz w:val="18"/>
                <w:szCs w:val="18"/>
                <w:lang w:val="es-MX" w:eastAsia="es-MX"/>
              </w:rPr>
              <w:t xml:space="preserve"> </w:t>
            </w:r>
          </w:p>
        </w:tc>
        <w:tc>
          <w:tcPr>
            <w:tcW w:w="1457" w:type="dxa"/>
            <w:tcBorders>
              <w:top w:val="nil"/>
              <w:left w:val="single" w:sz="4" w:space="0" w:color="auto"/>
              <w:bottom w:val="nil"/>
              <w:right w:val="nil"/>
            </w:tcBorders>
            <w:vAlign w:val="bottom"/>
          </w:tcPr>
          <w:p w14:paraId="0E2E45B1" w14:textId="74234C82" w:rsidR="000E52BE" w:rsidRPr="0057593E" w:rsidRDefault="00756F58" w:rsidP="00856F76">
            <w:pPr>
              <w:pStyle w:val="not31"/>
              <w:keepLines w:val="0"/>
              <w:widowControl w:val="0"/>
              <w:spacing w:before="20" w:after="20"/>
              <w:ind w:right="397"/>
              <w:jc w:val="right"/>
              <w:rPr>
                <w:rFonts w:cs="Arial"/>
                <w:b/>
                <w:color w:val="auto"/>
                <w:sz w:val="18"/>
                <w:szCs w:val="18"/>
                <w:lang w:val="es-MX" w:eastAsia="es-MX"/>
              </w:rPr>
            </w:pPr>
            <w:r>
              <w:rPr>
                <w:rFonts w:cs="Arial"/>
                <w:b/>
                <w:color w:val="auto"/>
                <w:sz w:val="18"/>
                <w:szCs w:val="18"/>
                <w:lang w:val="es-MX" w:eastAsia="es-MX"/>
              </w:rPr>
              <w:t>1.2</w:t>
            </w:r>
          </w:p>
        </w:tc>
        <w:tc>
          <w:tcPr>
            <w:tcW w:w="1811" w:type="dxa"/>
            <w:tcBorders>
              <w:top w:val="nil"/>
              <w:left w:val="single" w:sz="4" w:space="0" w:color="auto"/>
              <w:bottom w:val="nil"/>
              <w:right w:val="double" w:sz="4" w:space="0" w:color="auto"/>
            </w:tcBorders>
            <w:shd w:val="clear" w:color="auto" w:fill="auto"/>
            <w:vAlign w:val="bottom"/>
          </w:tcPr>
          <w:p w14:paraId="20344156" w14:textId="3ABE7551" w:rsidR="000E52BE" w:rsidRPr="0057593E" w:rsidRDefault="00756F58" w:rsidP="00396B4C">
            <w:pPr>
              <w:pStyle w:val="not31"/>
              <w:keepLines w:val="0"/>
              <w:widowControl w:val="0"/>
              <w:spacing w:before="20" w:after="20"/>
              <w:ind w:right="510"/>
              <w:jc w:val="right"/>
              <w:rPr>
                <w:rFonts w:cs="Arial"/>
                <w:b/>
                <w:color w:val="auto"/>
                <w:sz w:val="18"/>
                <w:szCs w:val="18"/>
                <w:lang w:val="es-MX" w:eastAsia="es-MX"/>
              </w:rPr>
            </w:pPr>
            <w:r>
              <w:rPr>
                <w:rFonts w:cs="Arial"/>
                <w:b/>
                <w:color w:val="auto"/>
                <w:sz w:val="18"/>
                <w:szCs w:val="18"/>
                <w:lang w:val="es-MX" w:eastAsia="es-MX"/>
              </w:rPr>
              <w:t>23.3</w:t>
            </w:r>
          </w:p>
        </w:tc>
      </w:tr>
      <w:tr w:rsidR="000E52BE" w14:paraId="4C9C6506" w14:textId="77777777" w:rsidTr="00856F76">
        <w:trPr>
          <w:jc w:val="center"/>
        </w:trPr>
        <w:tc>
          <w:tcPr>
            <w:tcW w:w="3521" w:type="dxa"/>
            <w:tcBorders>
              <w:top w:val="nil"/>
              <w:left w:val="double" w:sz="4" w:space="0" w:color="auto"/>
              <w:bottom w:val="nil"/>
              <w:right w:val="single" w:sz="4" w:space="0" w:color="auto"/>
            </w:tcBorders>
            <w:vAlign w:val="center"/>
          </w:tcPr>
          <w:p w14:paraId="20E90FE6" w14:textId="328BDB29" w:rsidR="000E52BE" w:rsidRPr="0057593E" w:rsidRDefault="00D216D6" w:rsidP="00856F76">
            <w:pPr>
              <w:pStyle w:val="not31"/>
              <w:keepLines w:val="0"/>
              <w:widowControl w:val="0"/>
              <w:spacing w:before="20" w:after="20"/>
              <w:ind w:left="48" w:right="-79"/>
              <w:jc w:val="left"/>
              <w:rPr>
                <w:rFonts w:cs="Arial"/>
                <w:color w:val="auto"/>
                <w:sz w:val="18"/>
                <w:szCs w:val="18"/>
                <w:lang w:val="es-MX" w:eastAsia="es-MX"/>
              </w:rPr>
            </w:pPr>
            <w:r>
              <w:rPr>
                <w:rFonts w:cs="Arial"/>
                <w:color w:val="auto"/>
                <w:sz w:val="18"/>
                <w:szCs w:val="18"/>
                <w:lang w:val="es-MX" w:eastAsia="es-MX"/>
              </w:rPr>
              <w:t xml:space="preserve"> </w:t>
            </w:r>
            <w:r w:rsidR="000E52BE" w:rsidRPr="0057593E">
              <w:rPr>
                <w:rFonts w:cs="Arial"/>
                <w:color w:val="auto"/>
                <w:sz w:val="18"/>
                <w:szCs w:val="18"/>
                <w:lang w:val="es-MX" w:eastAsia="es-MX"/>
              </w:rPr>
              <w:t>Consumo Privado</w:t>
            </w:r>
          </w:p>
        </w:tc>
        <w:tc>
          <w:tcPr>
            <w:tcW w:w="1457" w:type="dxa"/>
            <w:tcBorders>
              <w:top w:val="nil"/>
              <w:left w:val="single" w:sz="4" w:space="0" w:color="auto"/>
              <w:bottom w:val="nil"/>
              <w:right w:val="nil"/>
            </w:tcBorders>
            <w:vAlign w:val="bottom"/>
          </w:tcPr>
          <w:p w14:paraId="2813AFF1" w14:textId="6190107E" w:rsidR="000E52BE" w:rsidRPr="0057593E" w:rsidRDefault="00756F58" w:rsidP="00856F76">
            <w:pPr>
              <w:pStyle w:val="not31"/>
              <w:keepLines w:val="0"/>
              <w:widowControl w:val="0"/>
              <w:spacing w:before="20" w:after="20"/>
              <w:ind w:right="397"/>
              <w:jc w:val="right"/>
              <w:rPr>
                <w:rFonts w:cs="Arial"/>
                <w:color w:val="auto"/>
                <w:sz w:val="18"/>
                <w:szCs w:val="18"/>
                <w:lang w:val="es-MX" w:eastAsia="es-MX"/>
              </w:rPr>
            </w:pPr>
            <w:r>
              <w:rPr>
                <w:rFonts w:cs="Arial"/>
                <w:color w:val="auto"/>
                <w:sz w:val="18"/>
                <w:szCs w:val="18"/>
                <w:lang w:val="es-MX" w:eastAsia="es-MX"/>
              </w:rPr>
              <w:t>1.9</w:t>
            </w:r>
          </w:p>
        </w:tc>
        <w:tc>
          <w:tcPr>
            <w:tcW w:w="1811" w:type="dxa"/>
            <w:tcBorders>
              <w:top w:val="nil"/>
              <w:left w:val="single" w:sz="4" w:space="0" w:color="auto"/>
              <w:bottom w:val="nil"/>
              <w:right w:val="double" w:sz="4" w:space="0" w:color="auto"/>
            </w:tcBorders>
            <w:shd w:val="clear" w:color="auto" w:fill="auto"/>
            <w:vAlign w:val="bottom"/>
          </w:tcPr>
          <w:p w14:paraId="16516BAC" w14:textId="1AC09B66" w:rsidR="000E52BE" w:rsidRPr="0057593E" w:rsidRDefault="00756F58" w:rsidP="00396B4C">
            <w:pPr>
              <w:pStyle w:val="not31"/>
              <w:keepLines w:val="0"/>
              <w:widowControl w:val="0"/>
              <w:spacing w:before="20" w:after="20"/>
              <w:ind w:right="510"/>
              <w:jc w:val="right"/>
              <w:rPr>
                <w:rFonts w:cs="Arial"/>
                <w:color w:val="auto"/>
                <w:sz w:val="18"/>
                <w:szCs w:val="18"/>
                <w:lang w:val="es-MX" w:eastAsia="es-MX"/>
              </w:rPr>
            </w:pPr>
            <w:r>
              <w:rPr>
                <w:rFonts w:cs="Arial"/>
                <w:color w:val="auto"/>
                <w:sz w:val="18"/>
                <w:szCs w:val="18"/>
                <w:lang w:val="es-MX" w:eastAsia="es-MX"/>
              </w:rPr>
              <w:t>22.3</w:t>
            </w:r>
          </w:p>
        </w:tc>
      </w:tr>
      <w:tr w:rsidR="000E52BE" w14:paraId="68AB5C04" w14:textId="77777777" w:rsidTr="00856F76">
        <w:trPr>
          <w:jc w:val="center"/>
        </w:trPr>
        <w:tc>
          <w:tcPr>
            <w:tcW w:w="3521" w:type="dxa"/>
            <w:tcBorders>
              <w:top w:val="nil"/>
              <w:left w:val="double" w:sz="4" w:space="0" w:color="auto"/>
              <w:bottom w:val="nil"/>
              <w:right w:val="single" w:sz="4" w:space="0" w:color="auto"/>
            </w:tcBorders>
            <w:vAlign w:val="center"/>
          </w:tcPr>
          <w:p w14:paraId="26DC7238" w14:textId="3A639288" w:rsidR="000E52BE" w:rsidRPr="0057593E" w:rsidRDefault="00D216D6" w:rsidP="00856F76">
            <w:pPr>
              <w:pStyle w:val="not31"/>
              <w:keepLines w:val="0"/>
              <w:widowControl w:val="0"/>
              <w:spacing w:before="20" w:after="20"/>
              <w:ind w:left="48" w:right="-79"/>
              <w:jc w:val="left"/>
              <w:rPr>
                <w:rFonts w:cs="Arial"/>
                <w:color w:val="auto"/>
                <w:sz w:val="18"/>
                <w:szCs w:val="18"/>
                <w:lang w:val="es-MX" w:eastAsia="es-MX"/>
              </w:rPr>
            </w:pPr>
            <w:r>
              <w:rPr>
                <w:rFonts w:cs="Arial"/>
                <w:color w:val="auto"/>
                <w:sz w:val="18"/>
                <w:szCs w:val="18"/>
                <w:lang w:val="es-MX" w:eastAsia="es-MX"/>
              </w:rPr>
              <w:t xml:space="preserve"> </w:t>
            </w:r>
            <w:r w:rsidR="000E52BE" w:rsidRPr="0057593E">
              <w:rPr>
                <w:rFonts w:cs="Arial"/>
                <w:color w:val="auto"/>
                <w:sz w:val="18"/>
                <w:szCs w:val="18"/>
                <w:lang w:val="es-MX" w:eastAsia="es-MX"/>
              </w:rPr>
              <w:t>Consumo de Gobierno</w:t>
            </w:r>
          </w:p>
        </w:tc>
        <w:tc>
          <w:tcPr>
            <w:tcW w:w="1457" w:type="dxa"/>
            <w:tcBorders>
              <w:top w:val="nil"/>
              <w:left w:val="single" w:sz="4" w:space="0" w:color="auto"/>
              <w:bottom w:val="nil"/>
              <w:right w:val="nil"/>
            </w:tcBorders>
            <w:vAlign w:val="bottom"/>
          </w:tcPr>
          <w:p w14:paraId="72169C6B" w14:textId="1B540E9C" w:rsidR="000E52BE" w:rsidRPr="0057593E" w:rsidRDefault="00756F58" w:rsidP="00856F76">
            <w:pPr>
              <w:pStyle w:val="not31"/>
              <w:keepLines w:val="0"/>
              <w:widowControl w:val="0"/>
              <w:spacing w:before="20" w:after="20"/>
              <w:ind w:right="397"/>
              <w:jc w:val="right"/>
              <w:rPr>
                <w:rFonts w:cs="Arial"/>
                <w:color w:val="auto"/>
                <w:sz w:val="18"/>
                <w:szCs w:val="18"/>
                <w:lang w:val="es-MX" w:eastAsia="es-MX"/>
              </w:rPr>
            </w:pPr>
            <w:r>
              <w:rPr>
                <w:rFonts w:cs="Arial"/>
                <w:color w:val="auto"/>
                <w:sz w:val="18"/>
                <w:szCs w:val="18"/>
                <w:lang w:val="es-MX" w:eastAsia="es-MX"/>
              </w:rPr>
              <w:t>2.6</w:t>
            </w:r>
          </w:p>
        </w:tc>
        <w:tc>
          <w:tcPr>
            <w:tcW w:w="1811" w:type="dxa"/>
            <w:tcBorders>
              <w:top w:val="nil"/>
              <w:left w:val="single" w:sz="4" w:space="0" w:color="auto"/>
              <w:bottom w:val="nil"/>
              <w:right w:val="double" w:sz="4" w:space="0" w:color="auto"/>
            </w:tcBorders>
            <w:shd w:val="clear" w:color="auto" w:fill="auto"/>
            <w:vAlign w:val="bottom"/>
          </w:tcPr>
          <w:p w14:paraId="687B990C" w14:textId="616FF68B" w:rsidR="000E52BE" w:rsidRPr="0057593E" w:rsidRDefault="00756F58" w:rsidP="00396B4C">
            <w:pPr>
              <w:pStyle w:val="not31"/>
              <w:keepLines w:val="0"/>
              <w:widowControl w:val="0"/>
              <w:spacing w:before="20" w:after="20"/>
              <w:ind w:right="510"/>
              <w:jc w:val="right"/>
              <w:rPr>
                <w:rFonts w:cs="Arial"/>
                <w:color w:val="auto"/>
                <w:sz w:val="18"/>
                <w:szCs w:val="18"/>
                <w:lang w:val="es-MX" w:eastAsia="es-MX"/>
              </w:rPr>
            </w:pPr>
            <w:r>
              <w:rPr>
                <w:rFonts w:cs="Arial"/>
                <w:color w:val="auto"/>
                <w:sz w:val="18"/>
                <w:szCs w:val="18"/>
                <w:lang w:val="es-MX" w:eastAsia="es-MX"/>
              </w:rPr>
              <w:t>3.7</w:t>
            </w:r>
          </w:p>
        </w:tc>
      </w:tr>
      <w:tr w:rsidR="000E52BE" w14:paraId="1801A3F5" w14:textId="77777777" w:rsidTr="00856F76">
        <w:trPr>
          <w:jc w:val="center"/>
        </w:trPr>
        <w:tc>
          <w:tcPr>
            <w:tcW w:w="3521" w:type="dxa"/>
            <w:tcBorders>
              <w:top w:val="nil"/>
              <w:left w:val="double" w:sz="4" w:space="0" w:color="auto"/>
              <w:bottom w:val="nil"/>
              <w:right w:val="single" w:sz="4" w:space="0" w:color="auto"/>
            </w:tcBorders>
            <w:vAlign w:val="center"/>
          </w:tcPr>
          <w:p w14:paraId="10F5EC8F" w14:textId="18F92EB2" w:rsidR="000E52BE" w:rsidRPr="0057593E" w:rsidRDefault="00D216D6" w:rsidP="00856F76">
            <w:pPr>
              <w:pStyle w:val="not31"/>
              <w:keepLines w:val="0"/>
              <w:widowControl w:val="0"/>
              <w:spacing w:before="20" w:after="20"/>
              <w:ind w:left="48" w:right="-79"/>
              <w:jc w:val="left"/>
              <w:rPr>
                <w:rFonts w:cs="Arial"/>
                <w:color w:val="auto"/>
                <w:sz w:val="18"/>
                <w:szCs w:val="18"/>
                <w:lang w:val="es-MX" w:eastAsia="es-MX"/>
              </w:rPr>
            </w:pPr>
            <w:r>
              <w:rPr>
                <w:rFonts w:cs="Arial"/>
                <w:color w:val="auto"/>
                <w:sz w:val="18"/>
                <w:szCs w:val="18"/>
                <w:lang w:val="es-MX" w:eastAsia="es-MX"/>
              </w:rPr>
              <w:t xml:space="preserve"> </w:t>
            </w:r>
            <w:r w:rsidR="000E52BE" w:rsidRPr="0057593E">
              <w:rPr>
                <w:rFonts w:cs="Arial"/>
                <w:color w:val="auto"/>
                <w:sz w:val="18"/>
                <w:szCs w:val="18"/>
                <w:lang w:val="es-MX" w:eastAsia="es-MX"/>
              </w:rPr>
              <w:t>Formación Bruta de Capital Fijo</w:t>
            </w:r>
          </w:p>
        </w:tc>
        <w:tc>
          <w:tcPr>
            <w:tcW w:w="1457" w:type="dxa"/>
            <w:tcBorders>
              <w:top w:val="nil"/>
              <w:left w:val="single" w:sz="4" w:space="0" w:color="auto"/>
              <w:bottom w:val="nil"/>
              <w:right w:val="nil"/>
            </w:tcBorders>
            <w:vAlign w:val="bottom"/>
          </w:tcPr>
          <w:p w14:paraId="4580DB07" w14:textId="6434536B" w:rsidR="000E52BE" w:rsidRPr="0057593E" w:rsidRDefault="00756F58" w:rsidP="00856F76">
            <w:pPr>
              <w:pStyle w:val="not31"/>
              <w:keepLines w:val="0"/>
              <w:widowControl w:val="0"/>
              <w:spacing w:before="20" w:after="20"/>
              <w:ind w:right="397"/>
              <w:jc w:val="right"/>
              <w:rPr>
                <w:rFonts w:cs="Arial"/>
                <w:color w:val="auto"/>
                <w:sz w:val="18"/>
                <w:szCs w:val="18"/>
                <w:lang w:val="es-MX" w:eastAsia="es-MX"/>
              </w:rPr>
            </w:pPr>
            <w:r>
              <w:rPr>
                <w:rFonts w:cs="Arial"/>
                <w:color w:val="auto"/>
                <w:sz w:val="18"/>
                <w:szCs w:val="18"/>
                <w:lang w:val="es-MX" w:eastAsia="es-MX"/>
              </w:rPr>
              <w:t>0.5</w:t>
            </w:r>
          </w:p>
        </w:tc>
        <w:tc>
          <w:tcPr>
            <w:tcW w:w="1811" w:type="dxa"/>
            <w:tcBorders>
              <w:top w:val="nil"/>
              <w:left w:val="single" w:sz="4" w:space="0" w:color="auto"/>
              <w:bottom w:val="nil"/>
              <w:right w:val="double" w:sz="4" w:space="0" w:color="auto"/>
            </w:tcBorders>
            <w:shd w:val="clear" w:color="auto" w:fill="auto"/>
            <w:vAlign w:val="bottom"/>
          </w:tcPr>
          <w:p w14:paraId="7B5F7468" w14:textId="5E5C8702" w:rsidR="000E52BE" w:rsidRPr="0057593E" w:rsidRDefault="00756F58" w:rsidP="00396B4C">
            <w:pPr>
              <w:pStyle w:val="not31"/>
              <w:keepLines w:val="0"/>
              <w:widowControl w:val="0"/>
              <w:spacing w:before="20" w:after="20"/>
              <w:ind w:right="510"/>
              <w:jc w:val="right"/>
              <w:rPr>
                <w:rFonts w:cs="Arial"/>
                <w:color w:val="auto"/>
                <w:sz w:val="18"/>
                <w:szCs w:val="18"/>
                <w:lang w:val="es-MX" w:eastAsia="es-MX"/>
              </w:rPr>
            </w:pPr>
            <w:r>
              <w:rPr>
                <w:rFonts w:cs="Arial"/>
                <w:color w:val="auto"/>
                <w:sz w:val="18"/>
                <w:szCs w:val="18"/>
                <w:lang w:val="es-MX" w:eastAsia="es-MX"/>
              </w:rPr>
              <w:t>34.2</w:t>
            </w:r>
          </w:p>
        </w:tc>
      </w:tr>
      <w:tr w:rsidR="000E52BE" w14:paraId="2FA6833A" w14:textId="77777777" w:rsidTr="00856F76">
        <w:trPr>
          <w:jc w:val="center"/>
        </w:trPr>
        <w:tc>
          <w:tcPr>
            <w:tcW w:w="3521" w:type="dxa"/>
            <w:tcBorders>
              <w:top w:val="nil"/>
              <w:left w:val="double" w:sz="4" w:space="0" w:color="auto"/>
              <w:bottom w:val="nil"/>
              <w:right w:val="single" w:sz="4" w:space="0" w:color="auto"/>
            </w:tcBorders>
            <w:vAlign w:val="center"/>
          </w:tcPr>
          <w:p w14:paraId="11FBB052" w14:textId="2A811A7D" w:rsidR="000E52BE" w:rsidRPr="0057593E" w:rsidRDefault="00D216D6" w:rsidP="00856F76">
            <w:pPr>
              <w:pStyle w:val="not31"/>
              <w:keepLines w:val="0"/>
              <w:widowControl w:val="0"/>
              <w:spacing w:before="20" w:after="20"/>
              <w:ind w:left="48" w:right="-79"/>
              <w:jc w:val="left"/>
              <w:rPr>
                <w:rFonts w:cs="Arial"/>
                <w:color w:val="auto"/>
                <w:sz w:val="18"/>
                <w:szCs w:val="18"/>
                <w:lang w:val="es-MX" w:eastAsia="es-MX"/>
              </w:rPr>
            </w:pPr>
            <w:r>
              <w:rPr>
                <w:rFonts w:cs="Arial"/>
                <w:color w:val="auto"/>
                <w:sz w:val="18"/>
                <w:szCs w:val="18"/>
                <w:lang w:val="es-MX" w:eastAsia="es-MX"/>
              </w:rPr>
              <w:t xml:space="preserve"> </w:t>
            </w:r>
            <w:r w:rsidR="000E52BE" w:rsidRPr="0057593E">
              <w:rPr>
                <w:rFonts w:cs="Arial"/>
                <w:color w:val="auto"/>
                <w:sz w:val="18"/>
                <w:szCs w:val="18"/>
                <w:lang w:val="es-MX" w:eastAsia="es-MX"/>
              </w:rPr>
              <w:t>Variación de Existencias</w:t>
            </w:r>
          </w:p>
        </w:tc>
        <w:tc>
          <w:tcPr>
            <w:tcW w:w="1457" w:type="dxa"/>
            <w:tcBorders>
              <w:top w:val="nil"/>
              <w:left w:val="single" w:sz="4" w:space="0" w:color="auto"/>
              <w:bottom w:val="nil"/>
              <w:right w:val="nil"/>
            </w:tcBorders>
            <w:vAlign w:val="bottom"/>
          </w:tcPr>
          <w:p w14:paraId="7FA7E3BF" w14:textId="4363ACA6" w:rsidR="000E52BE" w:rsidRPr="0057593E" w:rsidRDefault="000E52BE" w:rsidP="00856F76">
            <w:pPr>
              <w:pStyle w:val="not31"/>
              <w:keepLines w:val="0"/>
              <w:widowControl w:val="0"/>
              <w:spacing w:before="20" w:after="20"/>
              <w:ind w:right="397"/>
              <w:jc w:val="right"/>
              <w:rPr>
                <w:rFonts w:cs="Arial"/>
                <w:color w:val="auto"/>
                <w:sz w:val="18"/>
                <w:szCs w:val="18"/>
                <w:lang w:val="es-MX" w:eastAsia="es-MX"/>
              </w:rPr>
            </w:pPr>
            <w:r w:rsidRPr="0057593E">
              <w:rPr>
                <w:rFonts w:cs="Arial"/>
                <w:color w:val="auto"/>
                <w:sz w:val="18"/>
                <w:szCs w:val="18"/>
                <w:lang w:val="es-MX" w:eastAsia="es-MX"/>
              </w:rPr>
              <w:t>N.A</w:t>
            </w:r>
            <w:r w:rsidR="00416DD7">
              <w:rPr>
                <w:rFonts w:cs="Arial"/>
                <w:color w:val="auto"/>
                <w:sz w:val="18"/>
                <w:szCs w:val="18"/>
                <w:lang w:val="es-MX" w:eastAsia="es-MX"/>
              </w:rPr>
              <w:t>.</w:t>
            </w:r>
          </w:p>
        </w:tc>
        <w:tc>
          <w:tcPr>
            <w:tcW w:w="1811" w:type="dxa"/>
            <w:tcBorders>
              <w:top w:val="nil"/>
              <w:left w:val="single" w:sz="4" w:space="0" w:color="auto"/>
              <w:bottom w:val="nil"/>
              <w:right w:val="double" w:sz="4" w:space="0" w:color="auto"/>
            </w:tcBorders>
            <w:shd w:val="clear" w:color="auto" w:fill="auto"/>
            <w:vAlign w:val="bottom"/>
          </w:tcPr>
          <w:p w14:paraId="66D90BCC" w14:textId="61E3426E" w:rsidR="000E52BE" w:rsidRPr="0057593E" w:rsidRDefault="000E52BE" w:rsidP="00396B4C">
            <w:pPr>
              <w:pStyle w:val="not31"/>
              <w:keepLines w:val="0"/>
              <w:widowControl w:val="0"/>
              <w:spacing w:before="20" w:after="20"/>
              <w:ind w:right="510"/>
              <w:jc w:val="right"/>
              <w:rPr>
                <w:rFonts w:cs="Arial"/>
                <w:color w:val="auto"/>
                <w:sz w:val="18"/>
                <w:szCs w:val="18"/>
                <w:lang w:val="es-MX" w:eastAsia="es-MX"/>
              </w:rPr>
            </w:pPr>
            <w:r w:rsidRPr="0057593E">
              <w:rPr>
                <w:rFonts w:cs="Arial"/>
                <w:color w:val="auto"/>
                <w:sz w:val="18"/>
                <w:szCs w:val="18"/>
                <w:lang w:val="es-MX" w:eastAsia="es-MX"/>
              </w:rPr>
              <w:t>N.A</w:t>
            </w:r>
            <w:r w:rsidR="00416DD7">
              <w:rPr>
                <w:rFonts w:cs="Arial"/>
                <w:color w:val="auto"/>
                <w:sz w:val="18"/>
                <w:szCs w:val="18"/>
                <w:lang w:val="es-MX" w:eastAsia="es-MX"/>
              </w:rPr>
              <w:t>.</w:t>
            </w:r>
          </w:p>
        </w:tc>
      </w:tr>
      <w:tr w:rsidR="000E52BE" w14:paraId="7FA9F7A3" w14:textId="77777777" w:rsidTr="00856F76">
        <w:trPr>
          <w:jc w:val="center"/>
        </w:trPr>
        <w:tc>
          <w:tcPr>
            <w:tcW w:w="3521" w:type="dxa"/>
            <w:tcBorders>
              <w:top w:val="nil"/>
              <w:left w:val="double" w:sz="4" w:space="0" w:color="auto"/>
              <w:bottom w:val="nil"/>
              <w:right w:val="single" w:sz="4" w:space="0" w:color="auto"/>
            </w:tcBorders>
            <w:vAlign w:val="center"/>
          </w:tcPr>
          <w:p w14:paraId="2205140D" w14:textId="35E1ED40" w:rsidR="000E52BE" w:rsidRPr="0057593E" w:rsidRDefault="00D216D6" w:rsidP="00856F76">
            <w:pPr>
              <w:pStyle w:val="not31"/>
              <w:keepLines w:val="0"/>
              <w:widowControl w:val="0"/>
              <w:spacing w:before="20" w:after="20"/>
              <w:ind w:left="48" w:right="-79"/>
              <w:jc w:val="left"/>
              <w:rPr>
                <w:rFonts w:cs="Arial"/>
                <w:color w:val="auto"/>
                <w:sz w:val="18"/>
                <w:szCs w:val="18"/>
                <w:lang w:val="es-MX" w:eastAsia="es-MX"/>
              </w:rPr>
            </w:pPr>
            <w:r>
              <w:rPr>
                <w:rFonts w:cs="Arial"/>
                <w:color w:val="auto"/>
                <w:sz w:val="18"/>
                <w:szCs w:val="18"/>
                <w:lang w:val="es-MX" w:eastAsia="es-MX"/>
              </w:rPr>
              <w:t xml:space="preserve"> </w:t>
            </w:r>
            <w:r w:rsidR="000E52BE" w:rsidRPr="0057593E">
              <w:rPr>
                <w:rFonts w:cs="Arial"/>
                <w:color w:val="auto"/>
                <w:sz w:val="18"/>
                <w:szCs w:val="18"/>
                <w:lang w:val="es-MX" w:eastAsia="es-MX"/>
              </w:rPr>
              <w:t>Exportación de Bienes y Servicios</w:t>
            </w:r>
          </w:p>
        </w:tc>
        <w:tc>
          <w:tcPr>
            <w:tcW w:w="1457" w:type="dxa"/>
            <w:tcBorders>
              <w:top w:val="nil"/>
              <w:left w:val="single" w:sz="4" w:space="0" w:color="auto"/>
              <w:bottom w:val="nil"/>
              <w:right w:val="nil"/>
            </w:tcBorders>
            <w:vAlign w:val="center"/>
          </w:tcPr>
          <w:p w14:paraId="37DEF13E" w14:textId="16B53DF1" w:rsidR="000E52BE" w:rsidRPr="0057593E" w:rsidRDefault="00756F58" w:rsidP="00856F76">
            <w:pPr>
              <w:pStyle w:val="not31"/>
              <w:keepLines w:val="0"/>
              <w:widowControl w:val="0"/>
              <w:spacing w:before="20" w:after="20"/>
              <w:ind w:right="397"/>
              <w:jc w:val="right"/>
              <w:rPr>
                <w:rFonts w:cs="Arial"/>
                <w:color w:val="auto"/>
                <w:sz w:val="18"/>
                <w:szCs w:val="18"/>
                <w:lang w:val="es-MX" w:eastAsia="es-MX"/>
              </w:rPr>
            </w:pPr>
            <w:r>
              <w:rPr>
                <w:rFonts w:cs="Arial"/>
                <w:color w:val="auto"/>
                <w:sz w:val="18"/>
                <w:szCs w:val="18"/>
                <w:lang w:val="es-MX" w:eastAsia="es-MX"/>
              </w:rPr>
              <w:t>2.9</w:t>
            </w:r>
          </w:p>
        </w:tc>
        <w:tc>
          <w:tcPr>
            <w:tcW w:w="1811" w:type="dxa"/>
            <w:tcBorders>
              <w:top w:val="nil"/>
              <w:left w:val="single" w:sz="4" w:space="0" w:color="auto"/>
              <w:bottom w:val="nil"/>
              <w:right w:val="double" w:sz="4" w:space="0" w:color="auto"/>
            </w:tcBorders>
            <w:shd w:val="clear" w:color="auto" w:fill="auto"/>
            <w:vAlign w:val="center"/>
          </w:tcPr>
          <w:p w14:paraId="7ED9AC0A" w14:textId="489FB64E" w:rsidR="000E52BE" w:rsidRPr="0057593E" w:rsidRDefault="00756F58" w:rsidP="00396B4C">
            <w:pPr>
              <w:pStyle w:val="not31"/>
              <w:keepLines w:val="0"/>
              <w:widowControl w:val="0"/>
              <w:spacing w:before="20" w:after="20"/>
              <w:ind w:right="510"/>
              <w:jc w:val="right"/>
              <w:rPr>
                <w:rFonts w:cs="Arial"/>
                <w:color w:val="auto"/>
                <w:sz w:val="18"/>
                <w:szCs w:val="18"/>
                <w:lang w:val="es-MX" w:eastAsia="es-MX"/>
              </w:rPr>
            </w:pPr>
            <w:r>
              <w:rPr>
                <w:rFonts w:cs="Arial"/>
                <w:color w:val="auto"/>
                <w:sz w:val="18"/>
                <w:szCs w:val="18"/>
                <w:lang w:val="es-MX" w:eastAsia="es-MX"/>
              </w:rPr>
              <w:t>41.8</w:t>
            </w:r>
          </w:p>
        </w:tc>
      </w:tr>
      <w:tr w:rsidR="000E52BE" w14:paraId="32919FD7" w14:textId="77777777" w:rsidTr="00856F76">
        <w:trPr>
          <w:jc w:val="center"/>
        </w:trPr>
        <w:tc>
          <w:tcPr>
            <w:tcW w:w="3521" w:type="dxa"/>
            <w:tcBorders>
              <w:top w:val="nil"/>
              <w:left w:val="double" w:sz="4" w:space="0" w:color="auto"/>
              <w:bottom w:val="double" w:sz="4" w:space="0" w:color="auto"/>
              <w:right w:val="single" w:sz="4" w:space="0" w:color="auto"/>
            </w:tcBorders>
            <w:vAlign w:val="center"/>
          </w:tcPr>
          <w:p w14:paraId="368E19BB" w14:textId="375780CC" w:rsidR="000E52BE" w:rsidRPr="0057593E" w:rsidRDefault="00D216D6" w:rsidP="00856F76">
            <w:pPr>
              <w:pStyle w:val="not31"/>
              <w:keepLines w:val="0"/>
              <w:widowControl w:val="0"/>
              <w:spacing w:before="20" w:after="20"/>
              <w:ind w:left="48" w:right="-79"/>
              <w:jc w:val="left"/>
              <w:rPr>
                <w:rFonts w:cs="Arial"/>
                <w:color w:val="auto"/>
                <w:sz w:val="18"/>
                <w:szCs w:val="18"/>
                <w:lang w:val="es-MX" w:eastAsia="es-MX"/>
              </w:rPr>
            </w:pPr>
            <w:r>
              <w:rPr>
                <w:rFonts w:cs="Arial"/>
                <w:color w:val="auto"/>
                <w:sz w:val="18"/>
                <w:szCs w:val="18"/>
                <w:lang w:val="es-MX" w:eastAsia="es-MX"/>
              </w:rPr>
              <w:t xml:space="preserve"> </w:t>
            </w:r>
            <w:r w:rsidR="000E52BE" w:rsidRPr="0057593E">
              <w:rPr>
                <w:rFonts w:cs="Arial"/>
                <w:color w:val="auto"/>
                <w:sz w:val="18"/>
                <w:szCs w:val="18"/>
                <w:lang w:val="es-MX" w:eastAsia="es-MX"/>
              </w:rPr>
              <w:t>Discrepancia Estadística</w:t>
            </w:r>
          </w:p>
        </w:tc>
        <w:tc>
          <w:tcPr>
            <w:tcW w:w="1457" w:type="dxa"/>
            <w:tcBorders>
              <w:top w:val="nil"/>
              <w:left w:val="single" w:sz="4" w:space="0" w:color="auto"/>
              <w:bottom w:val="double" w:sz="4" w:space="0" w:color="auto"/>
              <w:right w:val="nil"/>
            </w:tcBorders>
            <w:vAlign w:val="center"/>
          </w:tcPr>
          <w:p w14:paraId="047DFBF8" w14:textId="667865E7" w:rsidR="000E52BE" w:rsidRPr="0057593E" w:rsidRDefault="000E52BE" w:rsidP="00856F76">
            <w:pPr>
              <w:pStyle w:val="not31"/>
              <w:keepLines w:val="0"/>
              <w:widowControl w:val="0"/>
              <w:spacing w:before="20" w:after="20"/>
              <w:ind w:right="397"/>
              <w:jc w:val="right"/>
              <w:rPr>
                <w:rFonts w:cs="Arial"/>
                <w:color w:val="auto"/>
                <w:sz w:val="18"/>
                <w:szCs w:val="18"/>
                <w:lang w:val="es-MX" w:eastAsia="es-MX"/>
              </w:rPr>
            </w:pPr>
            <w:r w:rsidRPr="0057593E">
              <w:rPr>
                <w:rFonts w:cs="Arial"/>
                <w:color w:val="auto"/>
                <w:sz w:val="18"/>
                <w:szCs w:val="18"/>
                <w:lang w:val="es-MX" w:eastAsia="es-MX"/>
              </w:rPr>
              <w:t>N.A</w:t>
            </w:r>
            <w:r w:rsidR="00416DD7">
              <w:rPr>
                <w:rFonts w:cs="Arial"/>
                <w:color w:val="auto"/>
                <w:sz w:val="18"/>
                <w:szCs w:val="18"/>
                <w:lang w:val="es-MX" w:eastAsia="es-MX"/>
              </w:rPr>
              <w:t>.</w:t>
            </w:r>
          </w:p>
        </w:tc>
        <w:tc>
          <w:tcPr>
            <w:tcW w:w="1811" w:type="dxa"/>
            <w:tcBorders>
              <w:top w:val="nil"/>
              <w:left w:val="single" w:sz="4" w:space="0" w:color="auto"/>
              <w:bottom w:val="double" w:sz="4" w:space="0" w:color="auto"/>
              <w:right w:val="double" w:sz="4" w:space="0" w:color="auto"/>
            </w:tcBorders>
            <w:shd w:val="clear" w:color="auto" w:fill="auto"/>
            <w:vAlign w:val="center"/>
          </w:tcPr>
          <w:p w14:paraId="7038152F" w14:textId="33EA36FF" w:rsidR="000E52BE" w:rsidRPr="0057593E" w:rsidRDefault="000E52BE" w:rsidP="00396B4C">
            <w:pPr>
              <w:pStyle w:val="not31"/>
              <w:keepLines w:val="0"/>
              <w:widowControl w:val="0"/>
              <w:spacing w:before="20" w:after="20"/>
              <w:ind w:right="510"/>
              <w:jc w:val="right"/>
              <w:rPr>
                <w:rFonts w:cs="Arial"/>
                <w:color w:val="auto"/>
                <w:sz w:val="18"/>
                <w:szCs w:val="18"/>
                <w:lang w:val="es-MX" w:eastAsia="es-MX"/>
              </w:rPr>
            </w:pPr>
            <w:r w:rsidRPr="0057593E">
              <w:rPr>
                <w:rFonts w:cs="Arial"/>
                <w:color w:val="auto"/>
                <w:sz w:val="18"/>
                <w:szCs w:val="18"/>
                <w:lang w:val="es-MX" w:eastAsia="es-MX"/>
              </w:rPr>
              <w:t>N.A</w:t>
            </w:r>
            <w:r w:rsidR="00416DD7">
              <w:rPr>
                <w:rFonts w:cs="Arial"/>
                <w:color w:val="auto"/>
                <w:sz w:val="18"/>
                <w:szCs w:val="18"/>
                <w:lang w:val="es-MX" w:eastAsia="es-MX"/>
              </w:rPr>
              <w:t>.</w:t>
            </w:r>
          </w:p>
        </w:tc>
      </w:tr>
    </w:tbl>
    <w:p w14:paraId="17ADC703" w14:textId="1B88AC61" w:rsidR="000E52BE" w:rsidRPr="00D247C1" w:rsidRDefault="000E52BE" w:rsidP="000E52BE">
      <w:pPr>
        <w:pStyle w:val="Textoindependiente"/>
        <w:spacing w:before="0"/>
        <w:ind w:left="1560" w:right="843" w:hanging="426"/>
        <w:rPr>
          <w:rFonts w:cs="Arial"/>
          <w:sz w:val="16"/>
          <w:szCs w:val="16"/>
        </w:rPr>
      </w:pPr>
      <w:r w:rsidRPr="00D247C1">
        <w:rPr>
          <w:rFonts w:cs="Arial"/>
          <w:sz w:val="16"/>
          <w:szCs w:val="16"/>
        </w:rPr>
        <w:t xml:space="preserve">Nota: Las series desestacionalizadas de la Oferta y Demanda Global </w:t>
      </w:r>
      <w:r w:rsidR="004A72DB">
        <w:rPr>
          <w:rFonts w:cs="Arial"/>
          <w:sz w:val="16"/>
          <w:szCs w:val="16"/>
        </w:rPr>
        <w:t xml:space="preserve">de </w:t>
      </w:r>
      <w:r w:rsidR="00EF651A">
        <w:rPr>
          <w:rFonts w:cs="Arial"/>
          <w:sz w:val="16"/>
          <w:szCs w:val="16"/>
        </w:rPr>
        <w:t>B</w:t>
      </w:r>
      <w:r w:rsidR="004A72DB">
        <w:rPr>
          <w:rFonts w:cs="Arial"/>
          <w:sz w:val="16"/>
          <w:szCs w:val="16"/>
        </w:rPr>
        <w:t xml:space="preserve">ienes y </w:t>
      </w:r>
      <w:r w:rsidR="00EF651A">
        <w:rPr>
          <w:rFonts w:cs="Arial"/>
          <w:sz w:val="16"/>
          <w:szCs w:val="16"/>
        </w:rPr>
        <w:t>S</w:t>
      </w:r>
      <w:r w:rsidR="004A72DB">
        <w:rPr>
          <w:rFonts w:cs="Arial"/>
          <w:sz w:val="16"/>
          <w:szCs w:val="16"/>
        </w:rPr>
        <w:t xml:space="preserve">ervicios </w:t>
      </w:r>
      <w:r w:rsidRPr="00D247C1">
        <w:rPr>
          <w:rFonts w:cs="Arial"/>
          <w:sz w:val="16"/>
          <w:szCs w:val="16"/>
        </w:rPr>
        <w:t>se calculan de manera independiente a la de sus componentes, por lo que no necesariamente reflejan el comportamiento de dichos componentes.</w:t>
      </w:r>
    </w:p>
    <w:p w14:paraId="00B871A5" w14:textId="3999AE78" w:rsidR="000E52BE" w:rsidRDefault="000E52BE" w:rsidP="000E52BE">
      <w:pPr>
        <w:pStyle w:val="bullet"/>
        <w:tabs>
          <w:tab w:val="left" w:pos="709"/>
          <w:tab w:val="left" w:pos="8080"/>
        </w:tabs>
        <w:spacing w:before="0"/>
        <w:ind w:left="1560" w:right="114" w:hanging="426"/>
        <w:rPr>
          <w:rFonts w:cs="Arial"/>
          <w:b w:val="0"/>
          <w:bCs/>
          <w:sz w:val="16"/>
          <w:szCs w:val="16"/>
        </w:rPr>
      </w:pPr>
      <w:r w:rsidRPr="00BD64BD">
        <w:rPr>
          <w:rFonts w:cs="Arial"/>
          <w:b w:val="0"/>
          <w:bCs/>
          <w:color w:val="auto"/>
          <w:sz w:val="16"/>
          <w:szCs w:val="16"/>
        </w:rPr>
        <w:t>N.A</w:t>
      </w:r>
      <w:r w:rsidR="00902F07">
        <w:rPr>
          <w:rFonts w:cs="Arial"/>
          <w:b w:val="0"/>
          <w:bCs/>
          <w:color w:val="auto"/>
          <w:sz w:val="16"/>
          <w:szCs w:val="16"/>
        </w:rPr>
        <w:t>.</w:t>
      </w:r>
      <w:r w:rsidRPr="00BD64BD">
        <w:rPr>
          <w:rFonts w:cs="Arial"/>
          <w:b w:val="0"/>
          <w:bCs/>
          <w:color w:val="auto"/>
          <w:sz w:val="16"/>
          <w:szCs w:val="16"/>
        </w:rPr>
        <w:t xml:space="preserve"> No aplica</w:t>
      </w:r>
      <w:r w:rsidRPr="00BD64BD">
        <w:rPr>
          <w:rFonts w:cs="Arial"/>
          <w:b w:val="0"/>
          <w:bCs/>
          <w:sz w:val="16"/>
          <w:szCs w:val="16"/>
        </w:rPr>
        <w:t>.</w:t>
      </w:r>
    </w:p>
    <w:p w14:paraId="57C70B5B" w14:textId="13EEB233" w:rsidR="00902F07" w:rsidRPr="00902F07" w:rsidRDefault="00902F07" w:rsidP="000E52BE">
      <w:pPr>
        <w:pStyle w:val="bullet"/>
        <w:tabs>
          <w:tab w:val="left" w:pos="709"/>
          <w:tab w:val="left" w:pos="8080"/>
        </w:tabs>
        <w:spacing w:before="0"/>
        <w:ind w:left="1560" w:right="114" w:hanging="426"/>
        <w:rPr>
          <w:b w:val="0"/>
          <w:bCs/>
          <w:color w:val="000000"/>
        </w:rPr>
      </w:pPr>
      <w:r w:rsidRPr="00902F07">
        <w:rPr>
          <w:rFonts w:cs="Arial"/>
          <w:b w:val="0"/>
          <w:bCs/>
          <w:color w:val="000000"/>
          <w:sz w:val="16"/>
          <w:szCs w:val="16"/>
        </w:rPr>
        <w:t>Fuente:  INEGI</w:t>
      </w:r>
      <w:r w:rsidRPr="00902F07">
        <w:rPr>
          <w:rFonts w:cs="Arial"/>
          <w:b w:val="0"/>
          <w:bCs/>
          <w:color w:val="000000" w:themeColor="text1"/>
          <w:sz w:val="16"/>
          <w:szCs w:val="16"/>
        </w:rPr>
        <w:t>.</w:t>
      </w:r>
    </w:p>
    <w:p w14:paraId="4E9C738E" w14:textId="77777777" w:rsidR="00B641D9" w:rsidRDefault="00B641D9" w:rsidP="006C4BA7">
      <w:pPr>
        <w:pStyle w:val="Ttulo"/>
        <w:keepNext/>
        <w:keepLines/>
        <w:spacing w:before="120"/>
        <w:rPr>
          <w:rFonts w:cs="Arial"/>
          <w:b w:val="0"/>
          <w:smallCaps w:val="0"/>
          <w:sz w:val="20"/>
        </w:rPr>
      </w:pPr>
    </w:p>
    <w:p w14:paraId="78370A85" w14:textId="729B832E" w:rsidR="00B22AE6" w:rsidRDefault="00B22AE6">
      <w:pPr>
        <w:widowControl/>
        <w:rPr>
          <w:rFonts w:ascii="Arial" w:hAnsi="Arial" w:cs="Arial"/>
          <w:snapToGrid/>
          <w:lang w:val="es-ES"/>
        </w:rPr>
      </w:pPr>
      <w:r>
        <w:rPr>
          <w:rFonts w:cs="Arial"/>
          <w:b/>
          <w:smallCaps/>
        </w:rPr>
        <w:br w:type="page"/>
      </w:r>
    </w:p>
    <w:p w14:paraId="53046715" w14:textId="77777777" w:rsidR="00B22AE6" w:rsidRDefault="00B22AE6" w:rsidP="006C4BA7">
      <w:pPr>
        <w:pStyle w:val="Ttulo"/>
        <w:keepNext/>
        <w:keepLines/>
        <w:spacing w:before="120"/>
        <w:rPr>
          <w:rFonts w:cs="Arial"/>
          <w:b w:val="0"/>
          <w:smallCaps w:val="0"/>
          <w:sz w:val="20"/>
        </w:rPr>
      </w:pPr>
    </w:p>
    <w:p w14:paraId="5736A6B1" w14:textId="77777777" w:rsidR="00B22AE6" w:rsidRDefault="00B22AE6" w:rsidP="006C4BA7">
      <w:pPr>
        <w:pStyle w:val="Ttulo"/>
        <w:keepNext/>
        <w:keepLines/>
        <w:spacing w:before="120"/>
        <w:rPr>
          <w:rFonts w:cs="Arial"/>
          <w:b w:val="0"/>
          <w:smallCaps w:val="0"/>
          <w:sz w:val="20"/>
        </w:rPr>
      </w:pPr>
    </w:p>
    <w:p w14:paraId="6BF77133" w14:textId="170FE0FA" w:rsidR="00BD6504" w:rsidRPr="00056379" w:rsidRDefault="00BD6504" w:rsidP="006C4BA7">
      <w:pPr>
        <w:pStyle w:val="Ttulo"/>
        <w:keepNext/>
        <w:keepLines/>
        <w:spacing w:before="120"/>
        <w:rPr>
          <w:rFonts w:cs="Arial"/>
          <w:b w:val="0"/>
          <w:smallCaps w:val="0"/>
          <w:sz w:val="20"/>
        </w:rPr>
      </w:pPr>
      <w:r w:rsidRPr="00056379">
        <w:rPr>
          <w:rFonts w:cs="Arial"/>
          <w:b w:val="0"/>
          <w:smallCaps w:val="0"/>
          <w:sz w:val="20"/>
        </w:rPr>
        <w:t>Gráfica 1</w:t>
      </w:r>
    </w:p>
    <w:p w14:paraId="7C71470F" w14:textId="77777777" w:rsidR="00234428" w:rsidRPr="00234428" w:rsidRDefault="00234428" w:rsidP="00EC4770">
      <w:pPr>
        <w:pStyle w:val="p0"/>
        <w:keepNext/>
        <w:widowControl/>
        <w:spacing w:before="0" w:line="240" w:lineRule="atLeast"/>
        <w:jc w:val="center"/>
        <w:rPr>
          <w:rFonts w:cs="Arial"/>
          <w:b/>
          <w:smallCaps/>
          <w:snapToGrid/>
          <w:color w:val="auto"/>
          <w:sz w:val="22"/>
          <w:szCs w:val="22"/>
          <w:lang w:eastAsia="es-MX"/>
        </w:rPr>
      </w:pPr>
      <w:r w:rsidRPr="00234428">
        <w:rPr>
          <w:rFonts w:cs="Arial"/>
          <w:b/>
          <w:smallCaps/>
          <w:snapToGrid/>
          <w:color w:val="auto"/>
          <w:sz w:val="22"/>
          <w:szCs w:val="22"/>
          <w:lang w:eastAsia="es-MX"/>
        </w:rPr>
        <w:t xml:space="preserve">Oferta y Demanda Global de Bienes y Servicios </w:t>
      </w:r>
    </w:p>
    <w:p w14:paraId="20C010CC" w14:textId="44B70DC0" w:rsidR="00234428" w:rsidRPr="00234428" w:rsidRDefault="00234428" w:rsidP="00EC4770">
      <w:pPr>
        <w:pStyle w:val="p0"/>
        <w:keepNext/>
        <w:widowControl/>
        <w:spacing w:before="0" w:line="240" w:lineRule="atLeast"/>
        <w:jc w:val="center"/>
        <w:rPr>
          <w:rFonts w:cs="Arial"/>
          <w:b/>
          <w:smallCaps/>
          <w:snapToGrid/>
          <w:color w:val="auto"/>
          <w:sz w:val="22"/>
          <w:szCs w:val="22"/>
          <w:lang w:eastAsia="es-MX"/>
        </w:rPr>
      </w:pPr>
      <w:r w:rsidRPr="00234428">
        <w:rPr>
          <w:rFonts w:cs="Arial"/>
          <w:b/>
          <w:smallCaps/>
          <w:snapToGrid/>
          <w:color w:val="auto"/>
          <w:sz w:val="22"/>
          <w:szCs w:val="22"/>
          <w:lang w:eastAsia="es-MX"/>
        </w:rPr>
        <w:t xml:space="preserve">al </w:t>
      </w:r>
      <w:r w:rsidR="00A93796">
        <w:rPr>
          <w:rFonts w:cs="Arial"/>
          <w:b/>
          <w:smallCaps/>
          <w:snapToGrid/>
          <w:color w:val="auto"/>
          <w:sz w:val="22"/>
          <w:szCs w:val="22"/>
          <w:lang w:eastAsia="es-MX"/>
        </w:rPr>
        <w:t>segundo</w:t>
      </w:r>
      <w:r w:rsidRPr="00234428">
        <w:rPr>
          <w:rFonts w:cs="Arial"/>
          <w:b/>
          <w:smallCaps/>
          <w:snapToGrid/>
          <w:color w:val="auto"/>
          <w:sz w:val="22"/>
          <w:szCs w:val="22"/>
          <w:lang w:eastAsia="es-MX"/>
        </w:rPr>
        <w:t xml:space="preserve"> trimestre de 202</w:t>
      </w:r>
      <w:r w:rsidR="00097002">
        <w:rPr>
          <w:rFonts w:cs="Arial"/>
          <w:b/>
          <w:smallCaps/>
          <w:snapToGrid/>
          <w:color w:val="auto"/>
          <w:sz w:val="22"/>
          <w:szCs w:val="22"/>
          <w:lang w:eastAsia="es-MX"/>
        </w:rPr>
        <w:t>1</w:t>
      </w:r>
    </w:p>
    <w:p w14:paraId="03512FD0" w14:textId="77777777" w:rsidR="00234428" w:rsidRDefault="00234428" w:rsidP="00EC4770">
      <w:pPr>
        <w:pStyle w:val="p0"/>
        <w:keepNext/>
        <w:widowControl/>
        <w:spacing w:before="0" w:line="240" w:lineRule="atLeast"/>
        <w:jc w:val="center"/>
        <w:rPr>
          <w:rFonts w:asciiTheme="minorHAnsi" w:hAnsiTheme="minorHAnsi" w:cstheme="minorHAnsi"/>
          <w:b/>
          <w:smallCaps/>
          <w:snapToGrid/>
          <w:color w:val="auto"/>
          <w:sz w:val="18"/>
          <w:szCs w:val="18"/>
          <w:lang w:eastAsia="es-MX"/>
        </w:rPr>
      </w:pPr>
      <w:r w:rsidRPr="00234428">
        <w:rPr>
          <w:rFonts w:cs="Arial"/>
          <w:b/>
          <w:smallCaps/>
          <w:snapToGrid/>
          <w:color w:val="auto"/>
          <w:sz w:val="22"/>
          <w:szCs w:val="22"/>
          <w:lang w:eastAsia="es-MX"/>
        </w:rPr>
        <w:t>Series desestacionalizada y de tendencia-ciclo</w:t>
      </w:r>
    </w:p>
    <w:p w14:paraId="51B686F8" w14:textId="1C99C1B3" w:rsidR="00BD6504" w:rsidRPr="00EF651A" w:rsidRDefault="00BD6504" w:rsidP="00BD6504">
      <w:pPr>
        <w:jc w:val="center"/>
        <w:rPr>
          <w:rFonts w:ascii="Arial" w:hAnsi="Arial" w:cs="Arial"/>
          <w:sz w:val="18"/>
          <w:szCs w:val="18"/>
        </w:rPr>
      </w:pPr>
      <w:r w:rsidRPr="00EF651A">
        <w:rPr>
          <w:rFonts w:ascii="Arial" w:hAnsi="Arial" w:cs="Arial"/>
          <w:sz w:val="18"/>
          <w:szCs w:val="18"/>
        </w:rPr>
        <w:t>(Millones de pesos a precios de 20</w:t>
      </w:r>
      <w:r w:rsidR="00234428" w:rsidRPr="00EF651A">
        <w:rPr>
          <w:rFonts w:ascii="Arial" w:hAnsi="Arial" w:cs="Arial"/>
          <w:sz w:val="18"/>
          <w:szCs w:val="18"/>
        </w:rPr>
        <w:t>13</w:t>
      </w:r>
      <w:r w:rsidRPr="00EF651A">
        <w:rPr>
          <w:rFonts w:ascii="Arial" w:hAnsi="Arial" w:cs="Arial"/>
          <w:sz w:val="18"/>
          <w:szCs w:val="18"/>
        </w:rPr>
        <w:t>)</w:t>
      </w:r>
    </w:p>
    <w:p w14:paraId="6264B42E" w14:textId="637ED6E7" w:rsidR="00BD6504" w:rsidRPr="00056379" w:rsidRDefault="000C6C9D" w:rsidP="00BD6504">
      <w:pPr>
        <w:jc w:val="center"/>
        <w:rPr>
          <w:rFonts w:ascii="Arial" w:hAnsi="Arial" w:cs="Arial"/>
        </w:rPr>
      </w:pPr>
      <w:r>
        <w:rPr>
          <w:noProof/>
          <w:snapToGrid/>
        </w:rPr>
        <w:drawing>
          <wp:inline distT="0" distB="0" distL="0" distR="0" wp14:anchorId="140748A4" wp14:editId="64AA6D92">
            <wp:extent cx="3888000" cy="2232000"/>
            <wp:effectExtent l="0" t="0" r="36830" b="35560"/>
            <wp:docPr id="1" name="Gráfico 1">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C612B9E" w14:textId="51DA52C2" w:rsidR="00350D7D" w:rsidRPr="00D216D6" w:rsidRDefault="00350D7D" w:rsidP="00350D7D">
      <w:pPr>
        <w:pStyle w:val="p1"/>
        <w:keepLines w:val="0"/>
        <w:spacing w:before="0"/>
        <w:ind w:left="850" w:firstLine="566"/>
        <w:rPr>
          <w:rFonts w:cs="Arial"/>
          <w:color w:val="000000" w:themeColor="text1"/>
          <w:sz w:val="16"/>
          <w:szCs w:val="16"/>
        </w:rPr>
      </w:pPr>
      <w:r w:rsidRPr="00D216D6">
        <w:rPr>
          <w:rFonts w:cs="Arial"/>
          <w:color w:val="000000"/>
          <w:sz w:val="16"/>
          <w:szCs w:val="16"/>
        </w:rPr>
        <w:t>Fuente:  INEGI</w:t>
      </w:r>
      <w:r w:rsidRPr="00D216D6">
        <w:rPr>
          <w:rFonts w:cs="Arial"/>
          <w:color w:val="000000" w:themeColor="text1"/>
          <w:sz w:val="16"/>
          <w:szCs w:val="16"/>
        </w:rPr>
        <w:t>.</w:t>
      </w:r>
    </w:p>
    <w:p w14:paraId="2CF243B7" w14:textId="6C318C56" w:rsidR="00B22AE6" w:rsidRDefault="00B22AE6" w:rsidP="00215B14">
      <w:pPr>
        <w:pStyle w:val="p1"/>
        <w:keepLines w:val="0"/>
        <w:spacing w:before="120"/>
        <w:rPr>
          <w:color w:val="000000" w:themeColor="text1"/>
        </w:rPr>
      </w:pPr>
    </w:p>
    <w:p w14:paraId="00B4031C" w14:textId="77777777" w:rsidR="00B22AE6" w:rsidRDefault="00B22AE6" w:rsidP="00215B14">
      <w:pPr>
        <w:pStyle w:val="p1"/>
        <w:keepLines w:val="0"/>
        <w:spacing w:before="120"/>
        <w:rPr>
          <w:color w:val="000000" w:themeColor="text1"/>
        </w:rPr>
      </w:pPr>
    </w:p>
    <w:p w14:paraId="6D70ACE3" w14:textId="66A5C644" w:rsidR="00E972F1" w:rsidRDefault="00E972F1" w:rsidP="00B22AE6">
      <w:pPr>
        <w:pStyle w:val="p1"/>
        <w:keepLines w:val="0"/>
        <w:spacing w:before="0"/>
        <w:rPr>
          <w:color w:val="000000"/>
        </w:rPr>
      </w:pPr>
      <w:r>
        <w:rPr>
          <w:color w:val="000000" w:themeColor="text1"/>
        </w:rPr>
        <w:t>Al interior de la Oferta</w:t>
      </w:r>
      <w:r w:rsidRPr="00BB2BAB">
        <w:rPr>
          <w:color w:val="000000" w:themeColor="text1"/>
        </w:rPr>
        <w:t xml:space="preserve">, el Producto Interno Bruto aumentó </w:t>
      </w:r>
      <w:r w:rsidR="00ED31C5">
        <w:rPr>
          <w:color w:val="000000" w:themeColor="text1"/>
        </w:rPr>
        <w:t>1.5</w:t>
      </w:r>
      <w:r w:rsidRPr="00BB2BAB">
        <w:rPr>
          <w:color w:val="000000" w:themeColor="text1"/>
        </w:rPr>
        <w:t>%</w:t>
      </w:r>
      <w:r>
        <w:rPr>
          <w:color w:val="000000" w:themeColor="text1"/>
        </w:rPr>
        <w:t xml:space="preserve"> y</w:t>
      </w:r>
      <w:r w:rsidRPr="00BB2BAB">
        <w:rPr>
          <w:color w:val="000000" w:themeColor="text1"/>
        </w:rPr>
        <w:t xml:space="preserve"> las Importaciones de Bienes y Servicios </w:t>
      </w:r>
      <w:r w:rsidR="00756F58">
        <w:rPr>
          <w:color w:val="000000" w:themeColor="text1"/>
        </w:rPr>
        <w:t>0.2</w:t>
      </w:r>
      <w:r w:rsidRPr="00BB2BAB">
        <w:rPr>
          <w:color w:val="000000" w:themeColor="text1"/>
        </w:rPr>
        <w:t xml:space="preserve">% </w:t>
      </w:r>
      <w:r w:rsidR="00426883">
        <w:rPr>
          <w:color w:val="000000" w:themeColor="text1"/>
        </w:rPr>
        <w:t xml:space="preserve">en el trimestre de referencia </w:t>
      </w:r>
      <w:r w:rsidRPr="00BB2BAB">
        <w:rPr>
          <w:color w:val="000000" w:themeColor="text1"/>
        </w:rPr>
        <w:t xml:space="preserve">frente a </w:t>
      </w:r>
      <w:r w:rsidR="00867F7A">
        <w:rPr>
          <w:color w:val="000000" w:themeColor="text1"/>
        </w:rPr>
        <w:t>un</w:t>
      </w:r>
      <w:r w:rsidRPr="00BB2BAB">
        <w:rPr>
          <w:color w:val="000000" w:themeColor="text1"/>
        </w:rPr>
        <w:t xml:space="preserve"> trimestre </w:t>
      </w:r>
      <w:r w:rsidR="00867F7A">
        <w:rPr>
          <w:color w:val="000000" w:themeColor="text1"/>
        </w:rPr>
        <w:t>antes</w:t>
      </w:r>
      <w:r w:rsidRPr="00BB2BAB">
        <w:rPr>
          <w:color w:val="000000" w:themeColor="text1"/>
        </w:rPr>
        <w:t>.</w:t>
      </w:r>
    </w:p>
    <w:p w14:paraId="13F1BC4E" w14:textId="77777777" w:rsidR="00B22AE6" w:rsidRDefault="00B22AE6" w:rsidP="00921772">
      <w:pPr>
        <w:pStyle w:val="Ttulo"/>
        <w:keepNext/>
        <w:keepLines/>
        <w:spacing w:before="240"/>
        <w:rPr>
          <w:rFonts w:cs="Arial"/>
          <w:b w:val="0"/>
          <w:smallCaps w:val="0"/>
          <w:sz w:val="20"/>
        </w:rPr>
      </w:pPr>
    </w:p>
    <w:p w14:paraId="47605EA5" w14:textId="77777777" w:rsidR="00B22AE6" w:rsidRDefault="00B22AE6" w:rsidP="00921772">
      <w:pPr>
        <w:pStyle w:val="Ttulo"/>
        <w:keepNext/>
        <w:keepLines/>
        <w:spacing w:before="240"/>
        <w:rPr>
          <w:rFonts w:cs="Arial"/>
          <w:b w:val="0"/>
          <w:smallCaps w:val="0"/>
          <w:sz w:val="20"/>
        </w:rPr>
      </w:pPr>
    </w:p>
    <w:p w14:paraId="5F81CA81" w14:textId="77777777" w:rsidR="00B22AE6" w:rsidRDefault="00B22AE6" w:rsidP="00921772">
      <w:pPr>
        <w:pStyle w:val="Ttulo"/>
        <w:keepNext/>
        <w:keepLines/>
        <w:spacing w:before="240"/>
        <w:rPr>
          <w:rFonts w:cs="Arial"/>
          <w:b w:val="0"/>
          <w:smallCaps w:val="0"/>
          <w:sz w:val="20"/>
        </w:rPr>
      </w:pPr>
    </w:p>
    <w:p w14:paraId="45B28D27" w14:textId="77777777" w:rsidR="00B22AE6" w:rsidRDefault="00B22AE6" w:rsidP="00921772">
      <w:pPr>
        <w:pStyle w:val="Ttulo"/>
        <w:keepNext/>
        <w:keepLines/>
        <w:spacing w:before="240"/>
        <w:rPr>
          <w:rFonts w:cs="Arial"/>
          <w:b w:val="0"/>
          <w:smallCaps w:val="0"/>
          <w:sz w:val="20"/>
        </w:rPr>
      </w:pPr>
    </w:p>
    <w:p w14:paraId="74B5E718" w14:textId="77777777" w:rsidR="00B22AE6" w:rsidRDefault="00B22AE6" w:rsidP="00921772">
      <w:pPr>
        <w:pStyle w:val="Ttulo"/>
        <w:keepNext/>
        <w:keepLines/>
        <w:spacing w:before="240"/>
        <w:rPr>
          <w:rFonts w:cs="Arial"/>
          <w:b w:val="0"/>
          <w:smallCaps w:val="0"/>
          <w:sz w:val="20"/>
        </w:rPr>
      </w:pPr>
    </w:p>
    <w:p w14:paraId="2E69C361" w14:textId="77777777" w:rsidR="00B22AE6" w:rsidRDefault="00B22AE6" w:rsidP="00921772">
      <w:pPr>
        <w:pStyle w:val="Ttulo"/>
        <w:keepNext/>
        <w:keepLines/>
        <w:spacing w:before="240"/>
        <w:rPr>
          <w:rFonts w:cs="Arial"/>
          <w:b w:val="0"/>
          <w:smallCaps w:val="0"/>
          <w:sz w:val="20"/>
        </w:rPr>
      </w:pPr>
    </w:p>
    <w:p w14:paraId="055D2979" w14:textId="77777777" w:rsidR="00B22AE6" w:rsidRDefault="00B22AE6" w:rsidP="00921772">
      <w:pPr>
        <w:pStyle w:val="Ttulo"/>
        <w:keepNext/>
        <w:keepLines/>
        <w:spacing w:before="240"/>
        <w:rPr>
          <w:rFonts w:cs="Arial"/>
          <w:b w:val="0"/>
          <w:smallCaps w:val="0"/>
          <w:sz w:val="20"/>
        </w:rPr>
      </w:pPr>
    </w:p>
    <w:p w14:paraId="1C5201D5" w14:textId="77777777" w:rsidR="00B22AE6" w:rsidRDefault="00B22AE6" w:rsidP="00921772">
      <w:pPr>
        <w:pStyle w:val="Ttulo"/>
        <w:keepNext/>
        <w:keepLines/>
        <w:spacing w:before="240"/>
        <w:rPr>
          <w:rFonts w:cs="Arial"/>
          <w:b w:val="0"/>
          <w:smallCaps w:val="0"/>
          <w:sz w:val="20"/>
        </w:rPr>
      </w:pPr>
    </w:p>
    <w:p w14:paraId="21CB5D27" w14:textId="77777777" w:rsidR="00B22AE6" w:rsidRDefault="00B22AE6" w:rsidP="00921772">
      <w:pPr>
        <w:pStyle w:val="Ttulo"/>
        <w:keepNext/>
        <w:keepLines/>
        <w:spacing w:before="240"/>
        <w:rPr>
          <w:rFonts w:cs="Arial"/>
          <w:b w:val="0"/>
          <w:smallCaps w:val="0"/>
          <w:sz w:val="20"/>
        </w:rPr>
      </w:pPr>
    </w:p>
    <w:p w14:paraId="43994FEE" w14:textId="1F46E9E3" w:rsidR="00B22AE6" w:rsidRDefault="00B22AE6">
      <w:pPr>
        <w:widowControl/>
        <w:rPr>
          <w:rFonts w:ascii="Arial" w:hAnsi="Arial" w:cs="Arial"/>
          <w:snapToGrid/>
          <w:lang w:val="es-ES"/>
        </w:rPr>
      </w:pPr>
      <w:r>
        <w:rPr>
          <w:rFonts w:cs="Arial"/>
          <w:b/>
          <w:smallCaps/>
        </w:rPr>
        <w:br w:type="page"/>
      </w:r>
    </w:p>
    <w:p w14:paraId="7E8765B4" w14:textId="77777777" w:rsidR="00B22AE6" w:rsidRDefault="00B22AE6" w:rsidP="00921772">
      <w:pPr>
        <w:pStyle w:val="Ttulo"/>
        <w:keepNext/>
        <w:keepLines/>
        <w:spacing w:before="240"/>
        <w:rPr>
          <w:rFonts w:cs="Arial"/>
          <w:b w:val="0"/>
          <w:smallCaps w:val="0"/>
          <w:sz w:val="20"/>
        </w:rPr>
      </w:pPr>
    </w:p>
    <w:p w14:paraId="46D31D3F" w14:textId="11C16701" w:rsidR="00F413DA" w:rsidRDefault="00F413DA" w:rsidP="00921772">
      <w:pPr>
        <w:pStyle w:val="Ttulo"/>
        <w:keepNext/>
        <w:keepLines/>
        <w:spacing w:before="240"/>
        <w:rPr>
          <w:rFonts w:cs="Arial"/>
          <w:b w:val="0"/>
          <w:smallCaps w:val="0"/>
          <w:sz w:val="20"/>
        </w:rPr>
      </w:pPr>
      <w:r w:rsidRPr="00056379">
        <w:rPr>
          <w:rFonts w:cs="Arial"/>
          <w:b w:val="0"/>
          <w:smallCaps w:val="0"/>
          <w:sz w:val="20"/>
        </w:rPr>
        <w:t xml:space="preserve">Gráfica </w:t>
      </w:r>
      <w:r>
        <w:rPr>
          <w:rFonts w:cs="Arial"/>
          <w:b w:val="0"/>
          <w:smallCaps w:val="0"/>
          <w:sz w:val="20"/>
        </w:rPr>
        <w:t>2</w:t>
      </w:r>
    </w:p>
    <w:p w14:paraId="3555AF63" w14:textId="1C39B53B" w:rsidR="002306D9" w:rsidRPr="002306D9" w:rsidRDefault="002306D9" w:rsidP="002306D9">
      <w:pPr>
        <w:pStyle w:val="Ttulo"/>
        <w:keepNext/>
        <w:keepLines/>
        <w:rPr>
          <w:rFonts w:cs="Arial"/>
          <w:sz w:val="22"/>
        </w:rPr>
      </w:pPr>
      <w:r w:rsidRPr="002306D9">
        <w:rPr>
          <w:rFonts w:cs="Arial"/>
          <w:sz w:val="22"/>
        </w:rPr>
        <w:t xml:space="preserve">Producto Interno Bruto al </w:t>
      </w:r>
      <w:r w:rsidR="00A93796">
        <w:rPr>
          <w:rFonts w:cs="Arial"/>
          <w:sz w:val="22"/>
        </w:rPr>
        <w:t>segundo</w:t>
      </w:r>
      <w:r w:rsidRPr="002306D9">
        <w:rPr>
          <w:rFonts w:cs="Arial"/>
          <w:sz w:val="22"/>
        </w:rPr>
        <w:t xml:space="preserve"> trimestre de 202</w:t>
      </w:r>
      <w:r w:rsidR="00426883">
        <w:rPr>
          <w:rFonts w:cs="Arial"/>
          <w:sz w:val="22"/>
        </w:rPr>
        <w:t>1</w:t>
      </w:r>
    </w:p>
    <w:p w14:paraId="333625F5" w14:textId="77777777" w:rsidR="002306D9" w:rsidRDefault="002306D9" w:rsidP="002306D9">
      <w:pPr>
        <w:pStyle w:val="Ttulo"/>
        <w:keepNext/>
        <w:keepLines/>
        <w:rPr>
          <w:rFonts w:asciiTheme="minorHAnsi" w:hAnsiTheme="minorHAnsi" w:cstheme="minorHAnsi"/>
          <w:b w:val="0"/>
          <w:smallCaps w:val="0"/>
          <w:sz w:val="18"/>
          <w:szCs w:val="18"/>
          <w:lang w:eastAsia="es-MX"/>
        </w:rPr>
      </w:pPr>
      <w:r w:rsidRPr="002306D9">
        <w:rPr>
          <w:rFonts w:cs="Arial"/>
          <w:sz w:val="22"/>
        </w:rPr>
        <w:t>Series desestacionalizada y de tendencia-ciclo</w:t>
      </w:r>
    </w:p>
    <w:p w14:paraId="53A2EB79" w14:textId="3531B865" w:rsidR="00D247C1" w:rsidRPr="00100026" w:rsidRDefault="002306D9" w:rsidP="008068F1">
      <w:pPr>
        <w:pStyle w:val="Textoindependiente"/>
        <w:spacing w:before="0"/>
        <w:jc w:val="center"/>
        <w:rPr>
          <w:rFonts w:cs="Arial"/>
          <w:szCs w:val="22"/>
        </w:rPr>
      </w:pPr>
      <w:r w:rsidRPr="00100026">
        <w:rPr>
          <w:rFonts w:cs="Arial"/>
          <w:sz w:val="18"/>
        </w:rPr>
        <w:t>(Millones de pesos a precios de 2013)</w:t>
      </w:r>
    </w:p>
    <w:p w14:paraId="6A461F9C" w14:textId="3AAB88B1" w:rsidR="002306D9" w:rsidRDefault="00A853DD" w:rsidP="00A853DD">
      <w:pPr>
        <w:pStyle w:val="Ttulo"/>
        <w:keepNext/>
        <w:keepLines/>
        <w:rPr>
          <w:noProof/>
        </w:rPr>
      </w:pPr>
      <w:r>
        <w:rPr>
          <w:noProof/>
        </w:rPr>
        <w:drawing>
          <wp:inline distT="0" distB="0" distL="0" distR="0" wp14:anchorId="61A7B6D4" wp14:editId="012A95DC">
            <wp:extent cx="3960000" cy="2520000"/>
            <wp:effectExtent l="0" t="0" r="21590" b="33020"/>
            <wp:docPr id="2" name="Gráfico 2">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A85F625" w14:textId="28162F8A" w:rsidR="00921772" w:rsidRPr="00D216D6" w:rsidRDefault="00921772" w:rsidP="00F3597C">
      <w:pPr>
        <w:pStyle w:val="Ttulo"/>
        <w:keepNext/>
        <w:keepLines/>
        <w:ind w:left="1418"/>
        <w:jc w:val="both"/>
        <w:rPr>
          <w:rFonts w:cs="Arial"/>
          <w:b w:val="0"/>
          <w:bCs/>
          <w:szCs w:val="22"/>
        </w:rPr>
      </w:pPr>
      <w:r w:rsidRPr="00D216D6">
        <w:rPr>
          <w:rFonts w:cs="Arial"/>
          <w:b w:val="0"/>
          <w:smallCaps w:val="0"/>
          <w:snapToGrid w:val="0"/>
          <w:color w:val="000000"/>
          <w:sz w:val="16"/>
          <w:szCs w:val="16"/>
          <w:lang w:val="es-ES_tradnl"/>
        </w:rPr>
        <w:t>Fuente:  INEGI</w:t>
      </w:r>
      <w:r w:rsidRPr="00D216D6">
        <w:rPr>
          <w:rFonts w:cs="Arial"/>
          <w:b w:val="0"/>
          <w:bCs/>
          <w:color w:val="000000" w:themeColor="text1"/>
          <w:sz w:val="16"/>
          <w:szCs w:val="16"/>
        </w:rPr>
        <w:t>.</w:t>
      </w:r>
    </w:p>
    <w:p w14:paraId="2BEBAB27" w14:textId="16F6A656" w:rsidR="00F3597C" w:rsidRDefault="00F3597C" w:rsidP="00B22AE6">
      <w:pPr>
        <w:pStyle w:val="Ttulo"/>
        <w:keepNext/>
        <w:keepLines/>
        <w:spacing w:before="600"/>
        <w:rPr>
          <w:rFonts w:asciiTheme="minorHAnsi" w:hAnsiTheme="minorHAnsi" w:cstheme="minorHAnsi"/>
          <w:b w:val="0"/>
          <w:smallCaps w:val="0"/>
          <w:sz w:val="20"/>
          <w:lang w:eastAsia="es-MX"/>
        </w:rPr>
      </w:pPr>
      <w:r w:rsidRPr="00056379">
        <w:rPr>
          <w:rFonts w:cs="Arial"/>
          <w:b w:val="0"/>
          <w:smallCaps w:val="0"/>
          <w:sz w:val="20"/>
        </w:rPr>
        <w:t xml:space="preserve">Gráfica </w:t>
      </w:r>
      <w:r>
        <w:rPr>
          <w:rFonts w:cs="Arial"/>
          <w:b w:val="0"/>
          <w:smallCaps w:val="0"/>
          <w:sz w:val="20"/>
        </w:rPr>
        <w:t>3</w:t>
      </w:r>
    </w:p>
    <w:p w14:paraId="2468F70D" w14:textId="7DC28EC2" w:rsidR="00F3597C" w:rsidRPr="00F3597C" w:rsidRDefault="00F3597C" w:rsidP="00F3597C">
      <w:pPr>
        <w:pStyle w:val="Ttulo"/>
        <w:keepNext/>
        <w:keepLines/>
        <w:rPr>
          <w:rFonts w:cs="Arial"/>
          <w:sz w:val="22"/>
        </w:rPr>
      </w:pPr>
      <w:r w:rsidRPr="00F3597C">
        <w:rPr>
          <w:rFonts w:cs="Arial"/>
          <w:sz w:val="22"/>
        </w:rPr>
        <w:t xml:space="preserve">Importación de Bienes y Servicios </w:t>
      </w:r>
    </w:p>
    <w:p w14:paraId="69DA6265" w14:textId="7DEDF96A" w:rsidR="00F3597C" w:rsidRPr="00F3597C" w:rsidRDefault="00F3597C" w:rsidP="00F3597C">
      <w:pPr>
        <w:pStyle w:val="Ttulo"/>
        <w:keepNext/>
        <w:keepLines/>
        <w:rPr>
          <w:rFonts w:cs="Arial"/>
          <w:sz w:val="22"/>
        </w:rPr>
      </w:pPr>
      <w:r w:rsidRPr="00F3597C">
        <w:rPr>
          <w:rFonts w:cs="Arial"/>
          <w:sz w:val="22"/>
        </w:rPr>
        <w:t xml:space="preserve">al </w:t>
      </w:r>
      <w:r w:rsidR="00A93796">
        <w:rPr>
          <w:rFonts w:cs="Arial"/>
          <w:sz w:val="22"/>
        </w:rPr>
        <w:t>segundo</w:t>
      </w:r>
      <w:r w:rsidRPr="00F3597C">
        <w:rPr>
          <w:rFonts w:cs="Arial"/>
          <w:sz w:val="22"/>
        </w:rPr>
        <w:t xml:space="preserve"> trimestre de 202</w:t>
      </w:r>
      <w:r w:rsidR="00426883">
        <w:rPr>
          <w:rFonts w:cs="Arial"/>
          <w:sz w:val="22"/>
        </w:rPr>
        <w:t>1</w:t>
      </w:r>
    </w:p>
    <w:p w14:paraId="79FDBCA1" w14:textId="77777777" w:rsidR="00F3597C" w:rsidRPr="00F3597C" w:rsidRDefault="00F3597C" w:rsidP="00F3597C">
      <w:pPr>
        <w:pStyle w:val="Ttulo"/>
        <w:keepNext/>
        <w:keepLines/>
        <w:rPr>
          <w:rFonts w:cs="Arial"/>
          <w:sz w:val="22"/>
        </w:rPr>
      </w:pPr>
      <w:r w:rsidRPr="00F3597C">
        <w:rPr>
          <w:rFonts w:cs="Arial"/>
          <w:sz w:val="22"/>
        </w:rPr>
        <w:t>Series desestacionalizada y de tendencia-ciclo</w:t>
      </w:r>
    </w:p>
    <w:p w14:paraId="163A5F48" w14:textId="77777777" w:rsidR="00F3597C" w:rsidRPr="00100026" w:rsidRDefault="00F3597C" w:rsidP="00F35110">
      <w:pPr>
        <w:pStyle w:val="Textoindependiente"/>
        <w:keepNext/>
        <w:keepLines/>
        <w:spacing w:before="0"/>
        <w:jc w:val="center"/>
        <w:rPr>
          <w:rFonts w:cs="Arial"/>
          <w:sz w:val="18"/>
        </w:rPr>
      </w:pPr>
      <w:r w:rsidRPr="00100026">
        <w:rPr>
          <w:rFonts w:cs="Arial"/>
          <w:sz w:val="18"/>
        </w:rPr>
        <w:t>(Millones de pesos a precios de 2013)</w:t>
      </w:r>
    </w:p>
    <w:p w14:paraId="1DC0366E" w14:textId="530089C3" w:rsidR="00F3597C" w:rsidRDefault="00A853DD" w:rsidP="00F3597C">
      <w:pPr>
        <w:pStyle w:val="p1"/>
        <w:keepLines w:val="0"/>
        <w:spacing w:before="0"/>
        <w:ind w:left="142"/>
        <w:jc w:val="center"/>
        <w:rPr>
          <w:rFonts w:cs="Arial"/>
          <w:color w:val="000000"/>
          <w:sz w:val="18"/>
          <w:szCs w:val="18"/>
        </w:rPr>
      </w:pPr>
      <w:r>
        <w:rPr>
          <w:noProof/>
          <w:snapToGrid/>
        </w:rPr>
        <w:drawing>
          <wp:inline distT="0" distB="0" distL="0" distR="0" wp14:anchorId="56B1E923" wp14:editId="27B9688D">
            <wp:extent cx="3960000" cy="2520000"/>
            <wp:effectExtent l="0" t="0" r="21590" b="13970"/>
            <wp:docPr id="3" name="Gráfico 3">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6D8D84B" w14:textId="20ACBC4A" w:rsidR="00F413DA" w:rsidRPr="00D216D6" w:rsidRDefault="00F413DA" w:rsidP="00F3597C">
      <w:pPr>
        <w:pStyle w:val="p1"/>
        <w:keepLines w:val="0"/>
        <w:spacing w:before="0"/>
        <w:ind w:left="850" w:firstLine="566"/>
        <w:rPr>
          <w:color w:val="000000"/>
          <w:sz w:val="22"/>
          <w:szCs w:val="18"/>
        </w:rPr>
      </w:pPr>
      <w:r w:rsidRPr="00D216D6">
        <w:rPr>
          <w:rFonts w:cs="Arial"/>
          <w:color w:val="000000"/>
          <w:sz w:val="16"/>
          <w:szCs w:val="16"/>
        </w:rPr>
        <w:t>Fuente:  INEGI</w:t>
      </w:r>
      <w:r w:rsidRPr="00D216D6">
        <w:rPr>
          <w:rFonts w:cs="Arial"/>
          <w:color w:val="000000" w:themeColor="text1"/>
          <w:sz w:val="16"/>
          <w:szCs w:val="16"/>
        </w:rPr>
        <w:t>.</w:t>
      </w:r>
    </w:p>
    <w:p w14:paraId="6936D6CD" w14:textId="70078E9F" w:rsidR="000428E3" w:rsidRDefault="000428E3" w:rsidP="00D216D6">
      <w:pPr>
        <w:pStyle w:val="p1"/>
        <w:keepLines w:val="0"/>
        <w:spacing w:before="120"/>
        <w:rPr>
          <w:color w:val="000000" w:themeColor="text1"/>
        </w:rPr>
      </w:pPr>
    </w:p>
    <w:p w14:paraId="6CF759C7" w14:textId="77777777" w:rsidR="008B7760" w:rsidRDefault="008B7760" w:rsidP="00D216D6">
      <w:pPr>
        <w:pStyle w:val="p1"/>
        <w:keepLines w:val="0"/>
        <w:spacing w:before="120"/>
        <w:rPr>
          <w:color w:val="000000" w:themeColor="text1"/>
        </w:rPr>
      </w:pPr>
    </w:p>
    <w:p w14:paraId="10B7D862" w14:textId="77777777" w:rsidR="00B22AE6" w:rsidRDefault="00B22AE6" w:rsidP="00D216D6">
      <w:pPr>
        <w:pStyle w:val="p1"/>
        <w:keepLines w:val="0"/>
        <w:spacing w:before="120"/>
        <w:rPr>
          <w:color w:val="000000" w:themeColor="text1"/>
        </w:rPr>
      </w:pPr>
    </w:p>
    <w:p w14:paraId="67EE7F93" w14:textId="2B55AC18" w:rsidR="00120B12" w:rsidRDefault="003C29DC" w:rsidP="00D216D6">
      <w:pPr>
        <w:pStyle w:val="p1"/>
        <w:keepLines w:val="0"/>
        <w:spacing w:before="120"/>
        <w:rPr>
          <w:color w:val="000000" w:themeColor="text1"/>
        </w:rPr>
      </w:pPr>
      <w:r w:rsidRPr="003C29DC">
        <w:rPr>
          <w:color w:val="000000" w:themeColor="text1"/>
        </w:rPr>
        <w:t>En su comparación anual</w:t>
      </w:r>
      <w:r w:rsidR="000428E3">
        <w:rPr>
          <w:color w:val="000000" w:themeColor="text1"/>
        </w:rPr>
        <w:t>,</w:t>
      </w:r>
      <w:r w:rsidRPr="003C29DC">
        <w:rPr>
          <w:color w:val="000000" w:themeColor="text1"/>
        </w:rPr>
        <w:t xml:space="preserve"> con cifras desestacionalizadas, la Oferta Global </w:t>
      </w:r>
      <w:r w:rsidR="00756F58">
        <w:rPr>
          <w:color w:val="000000" w:themeColor="text1"/>
        </w:rPr>
        <w:t>aumentó</w:t>
      </w:r>
      <w:r w:rsidRPr="003C29DC">
        <w:rPr>
          <w:color w:val="000000" w:themeColor="text1"/>
        </w:rPr>
        <w:t xml:space="preserve"> </w:t>
      </w:r>
      <w:r w:rsidR="004F0905">
        <w:rPr>
          <w:color w:val="000000" w:themeColor="text1"/>
        </w:rPr>
        <w:t>2</w:t>
      </w:r>
      <w:r w:rsidR="00756F58">
        <w:rPr>
          <w:color w:val="000000" w:themeColor="text1"/>
        </w:rPr>
        <w:t>3.3</w:t>
      </w:r>
      <w:r w:rsidRPr="003C29DC">
        <w:rPr>
          <w:color w:val="000000" w:themeColor="text1"/>
        </w:rPr>
        <w:t xml:space="preserve"> por ciento. </w:t>
      </w:r>
      <w:r w:rsidR="00921772">
        <w:rPr>
          <w:color w:val="000000" w:themeColor="text1"/>
        </w:rPr>
        <w:t>A su interior</w:t>
      </w:r>
      <w:r w:rsidRPr="003C29DC">
        <w:rPr>
          <w:color w:val="000000" w:themeColor="text1"/>
        </w:rPr>
        <w:t xml:space="preserve">, el Producto Interno Bruto </w:t>
      </w:r>
      <w:r w:rsidR="00ED31C5">
        <w:rPr>
          <w:color w:val="000000" w:themeColor="text1"/>
        </w:rPr>
        <w:t>creció</w:t>
      </w:r>
      <w:r w:rsidRPr="003C29DC">
        <w:rPr>
          <w:color w:val="000000" w:themeColor="text1"/>
        </w:rPr>
        <w:t xml:space="preserve"> </w:t>
      </w:r>
      <w:r w:rsidR="00ED31C5">
        <w:rPr>
          <w:color w:val="000000" w:themeColor="text1"/>
        </w:rPr>
        <w:t>19.5</w:t>
      </w:r>
      <w:r w:rsidRPr="003C29DC">
        <w:rPr>
          <w:color w:val="000000" w:themeColor="text1"/>
        </w:rPr>
        <w:t>% y las Importaciones de Bienes y Servicios</w:t>
      </w:r>
      <w:r w:rsidR="004F0905">
        <w:rPr>
          <w:color w:val="000000" w:themeColor="text1"/>
        </w:rPr>
        <w:t xml:space="preserve"> </w:t>
      </w:r>
      <w:r w:rsidR="00A853DD">
        <w:rPr>
          <w:color w:val="000000" w:themeColor="text1"/>
        </w:rPr>
        <w:t>35.3</w:t>
      </w:r>
      <w:r w:rsidR="00A17A39">
        <w:rPr>
          <w:color w:val="000000" w:themeColor="text1"/>
        </w:rPr>
        <w:t>%</w:t>
      </w:r>
      <w:r w:rsidRPr="003C29DC">
        <w:rPr>
          <w:color w:val="000000" w:themeColor="text1"/>
        </w:rPr>
        <w:t xml:space="preserve"> </w:t>
      </w:r>
      <w:r>
        <w:rPr>
          <w:color w:val="000000" w:themeColor="text1"/>
        </w:rPr>
        <w:t xml:space="preserve">en el </w:t>
      </w:r>
      <w:r w:rsidR="00A93796">
        <w:rPr>
          <w:color w:val="000000" w:themeColor="text1"/>
        </w:rPr>
        <w:t>segundo</w:t>
      </w:r>
      <w:r>
        <w:rPr>
          <w:color w:val="000000" w:themeColor="text1"/>
        </w:rPr>
        <w:t xml:space="preserve"> trimestre de 202</w:t>
      </w:r>
      <w:r w:rsidR="00426883">
        <w:rPr>
          <w:color w:val="000000" w:themeColor="text1"/>
        </w:rPr>
        <w:t>1</w:t>
      </w:r>
      <w:r>
        <w:rPr>
          <w:color w:val="000000" w:themeColor="text1"/>
        </w:rPr>
        <w:t xml:space="preserve"> frente a igual trimestre de 20</w:t>
      </w:r>
      <w:r w:rsidR="00426883">
        <w:rPr>
          <w:color w:val="000000" w:themeColor="text1"/>
        </w:rPr>
        <w:t>20</w:t>
      </w:r>
      <w:r w:rsidRPr="003C29DC">
        <w:rPr>
          <w:color w:val="000000" w:themeColor="text1"/>
        </w:rPr>
        <w:t>.</w:t>
      </w:r>
    </w:p>
    <w:p w14:paraId="5AA3C4C7" w14:textId="77777777" w:rsidR="000E7FFC" w:rsidRDefault="000E7FFC" w:rsidP="00BA555B">
      <w:pPr>
        <w:pStyle w:val="p1"/>
        <w:keepNext/>
        <w:widowControl/>
        <w:spacing w:before="240"/>
        <w:rPr>
          <w:color w:val="auto"/>
        </w:rPr>
      </w:pPr>
      <w:r>
        <w:rPr>
          <w:b/>
          <w:i/>
          <w:color w:val="auto"/>
        </w:rPr>
        <w:t>Demanda Global de Bienes y Servicios</w:t>
      </w:r>
    </w:p>
    <w:p w14:paraId="55C9BFC4" w14:textId="51E5C8CD" w:rsidR="000E7FFC" w:rsidRPr="00756F58" w:rsidRDefault="000E7FFC" w:rsidP="00D216D6">
      <w:pPr>
        <w:pStyle w:val="p1"/>
        <w:keepLines w:val="0"/>
        <w:spacing w:before="240"/>
        <w:rPr>
          <w:color w:val="000000" w:themeColor="text1"/>
        </w:rPr>
      </w:pPr>
      <w:r w:rsidRPr="00756F58">
        <w:rPr>
          <w:color w:val="000000" w:themeColor="text1"/>
        </w:rPr>
        <w:t xml:space="preserve">Por su parte, los componentes de la Demanda Global </w:t>
      </w:r>
      <w:r w:rsidR="00A259A3" w:rsidRPr="00756F58">
        <w:rPr>
          <w:color w:val="000000"/>
        </w:rPr>
        <w:t xml:space="preserve">mostraron el siguiente comportamiento en el trimestre de referencia respecto al trimestre anterior: </w:t>
      </w:r>
      <w:r w:rsidR="00756F58" w:rsidRPr="00756F58">
        <w:rPr>
          <w:color w:val="000000"/>
        </w:rPr>
        <w:t>las Exportaciones de Bienes y Servicios avanzaron 2.9%, el Consumo de Gobierno 2.6%, el Consumo Privado</w:t>
      </w:r>
      <w:r w:rsidR="00756F58">
        <w:rPr>
          <w:color w:val="000000"/>
        </w:rPr>
        <w:t xml:space="preserve"> </w:t>
      </w:r>
      <w:r w:rsidR="00756F58" w:rsidRPr="00756F58">
        <w:rPr>
          <w:color w:val="000000"/>
        </w:rPr>
        <w:t xml:space="preserve">1.9% y la Formación Bruta de Capital Fijo 0.5%, </w:t>
      </w:r>
      <w:r w:rsidR="00A259A3" w:rsidRPr="00756F58">
        <w:rPr>
          <w:color w:val="000000"/>
        </w:rPr>
        <w:t xml:space="preserve">con </w:t>
      </w:r>
      <w:r w:rsidR="00F35110" w:rsidRPr="00756F58">
        <w:rPr>
          <w:color w:val="000000"/>
        </w:rPr>
        <w:t>series</w:t>
      </w:r>
      <w:r w:rsidR="00A259A3" w:rsidRPr="00756F58">
        <w:rPr>
          <w:color w:val="000000"/>
        </w:rPr>
        <w:t xml:space="preserve"> desestacionalizadas.</w:t>
      </w:r>
    </w:p>
    <w:p w14:paraId="5EF9ADBB" w14:textId="15D7C140" w:rsidR="00455638" w:rsidRDefault="00455638" w:rsidP="00D216D6">
      <w:pPr>
        <w:pStyle w:val="Ttulo"/>
        <w:keepNext/>
        <w:keepLines/>
        <w:spacing w:before="360"/>
        <w:rPr>
          <w:rFonts w:cs="Arial"/>
          <w:sz w:val="22"/>
        </w:rPr>
      </w:pPr>
      <w:r w:rsidRPr="00056379">
        <w:rPr>
          <w:rFonts w:cs="Arial"/>
          <w:b w:val="0"/>
          <w:smallCaps w:val="0"/>
          <w:sz w:val="20"/>
        </w:rPr>
        <w:t xml:space="preserve">Gráfica </w:t>
      </w:r>
      <w:r w:rsidR="00F3597C">
        <w:rPr>
          <w:rFonts w:cs="Arial"/>
          <w:b w:val="0"/>
          <w:smallCaps w:val="0"/>
          <w:sz w:val="20"/>
        </w:rPr>
        <w:t>4</w:t>
      </w:r>
    </w:p>
    <w:p w14:paraId="00087056" w14:textId="07767C95" w:rsidR="00F3597C" w:rsidRPr="00F3597C" w:rsidRDefault="00F3597C" w:rsidP="00F3597C">
      <w:pPr>
        <w:pStyle w:val="Ttulo"/>
        <w:keepNext/>
        <w:keepLines/>
        <w:rPr>
          <w:rFonts w:cs="Arial"/>
          <w:sz w:val="22"/>
        </w:rPr>
      </w:pPr>
      <w:r w:rsidRPr="00F3597C">
        <w:rPr>
          <w:rFonts w:cs="Arial"/>
          <w:sz w:val="22"/>
        </w:rPr>
        <w:t xml:space="preserve">Consumo Privado al </w:t>
      </w:r>
      <w:r w:rsidR="00A93796">
        <w:rPr>
          <w:rFonts w:cs="Arial"/>
          <w:sz w:val="22"/>
        </w:rPr>
        <w:t>segundo</w:t>
      </w:r>
      <w:r w:rsidRPr="00F3597C">
        <w:rPr>
          <w:rFonts w:cs="Arial"/>
          <w:sz w:val="22"/>
        </w:rPr>
        <w:t xml:space="preserve"> trimestre de 202</w:t>
      </w:r>
      <w:r w:rsidR="00426883">
        <w:rPr>
          <w:rFonts w:cs="Arial"/>
          <w:sz w:val="22"/>
        </w:rPr>
        <w:t>1</w:t>
      </w:r>
    </w:p>
    <w:p w14:paraId="5ECA4E49" w14:textId="77777777" w:rsidR="00F3597C" w:rsidRPr="00F3597C" w:rsidRDefault="00F3597C" w:rsidP="00F3597C">
      <w:pPr>
        <w:pStyle w:val="Ttulo"/>
        <w:keepNext/>
        <w:keepLines/>
        <w:rPr>
          <w:rFonts w:cs="Arial"/>
          <w:sz w:val="22"/>
        </w:rPr>
      </w:pPr>
      <w:r w:rsidRPr="00F3597C">
        <w:rPr>
          <w:rFonts w:cs="Arial"/>
          <w:sz w:val="22"/>
        </w:rPr>
        <w:t>Series desestacionalizada y de tendencia-ciclo</w:t>
      </w:r>
    </w:p>
    <w:p w14:paraId="32F57BA7" w14:textId="274708D5" w:rsidR="00F3597C" w:rsidRPr="00100026" w:rsidRDefault="00F3597C" w:rsidP="00F3597C">
      <w:pPr>
        <w:pStyle w:val="Ttulo"/>
        <w:keepNext/>
        <w:keepLines/>
        <w:rPr>
          <w:rFonts w:cs="Arial"/>
          <w:b w:val="0"/>
          <w:bCs/>
          <w:smallCaps w:val="0"/>
          <w:szCs w:val="22"/>
        </w:rPr>
      </w:pPr>
      <w:r w:rsidRPr="00100026">
        <w:rPr>
          <w:rFonts w:cs="Arial"/>
          <w:b w:val="0"/>
          <w:bCs/>
          <w:smallCaps w:val="0"/>
          <w:sz w:val="18"/>
        </w:rPr>
        <w:t>(Millones de pesos a precios de 2013)</w:t>
      </w:r>
    </w:p>
    <w:p w14:paraId="003F8180" w14:textId="20AC7F54" w:rsidR="00455638" w:rsidRDefault="00A853DD" w:rsidP="00455638">
      <w:pPr>
        <w:keepNext/>
        <w:keepLines/>
        <w:jc w:val="center"/>
        <w:rPr>
          <w:rFonts w:ascii="Arial" w:hAnsi="Arial" w:cs="Arial"/>
        </w:rPr>
      </w:pPr>
      <w:r>
        <w:rPr>
          <w:noProof/>
          <w:snapToGrid/>
        </w:rPr>
        <w:drawing>
          <wp:inline distT="0" distB="0" distL="0" distR="0" wp14:anchorId="149D8472" wp14:editId="21CF1103">
            <wp:extent cx="3960000" cy="2520000"/>
            <wp:effectExtent l="0" t="0" r="21590" b="33020"/>
            <wp:docPr id="8" name="Gráfico 8">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137490B" w14:textId="016EA730" w:rsidR="00F3597C" w:rsidRPr="00D216D6" w:rsidRDefault="00F3597C" w:rsidP="00F3597C">
      <w:pPr>
        <w:keepNext/>
        <w:keepLines/>
        <w:ind w:left="708" w:firstLine="708"/>
        <w:rPr>
          <w:rFonts w:ascii="Arial" w:hAnsi="Arial" w:cs="Arial"/>
          <w:color w:val="000000" w:themeColor="text1"/>
          <w:sz w:val="16"/>
          <w:szCs w:val="16"/>
        </w:rPr>
      </w:pPr>
      <w:r w:rsidRPr="00D216D6">
        <w:rPr>
          <w:rFonts w:ascii="Arial" w:hAnsi="Arial" w:cs="Arial"/>
          <w:color w:val="000000"/>
          <w:sz w:val="16"/>
          <w:szCs w:val="16"/>
        </w:rPr>
        <w:t>Fuente:  INEGI</w:t>
      </w:r>
      <w:r w:rsidRPr="00D216D6">
        <w:rPr>
          <w:rFonts w:ascii="Arial" w:hAnsi="Arial" w:cs="Arial"/>
          <w:color w:val="000000" w:themeColor="text1"/>
          <w:sz w:val="16"/>
          <w:szCs w:val="16"/>
        </w:rPr>
        <w:t>.</w:t>
      </w:r>
    </w:p>
    <w:p w14:paraId="3C133EEE" w14:textId="496209DA" w:rsidR="00BA555B" w:rsidRDefault="00BA555B">
      <w:pPr>
        <w:widowControl/>
        <w:rPr>
          <w:rFonts w:ascii="Arial" w:hAnsi="Arial" w:cs="Arial"/>
          <w:bCs/>
        </w:rPr>
      </w:pPr>
    </w:p>
    <w:p w14:paraId="52508A8E" w14:textId="77777777" w:rsidR="00BA555B" w:rsidRDefault="00BA555B">
      <w:pPr>
        <w:widowControl/>
        <w:rPr>
          <w:rFonts w:ascii="Arial" w:hAnsi="Arial" w:cs="Arial"/>
          <w:bCs/>
        </w:rPr>
      </w:pPr>
      <w:r>
        <w:rPr>
          <w:rFonts w:cs="Arial"/>
          <w:bCs/>
        </w:rPr>
        <w:br w:type="page"/>
      </w:r>
    </w:p>
    <w:p w14:paraId="0A19FBAF" w14:textId="77777777" w:rsidR="00CF64DE" w:rsidRDefault="00CF64DE" w:rsidP="00471244">
      <w:pPr>
        <w:pStyle w:val="p0"/>
        <w:keepNext/>
        <w:spacing w:before="120" w:line="220" w:lineRule="exact"/>
        <w:jc w:val="center"/>
        <w:rPr>
          <w:rFonts w:cs="Arial"/>
          <w:bCs/>
          <w:color w:val="auto"/>
          <w:sz w:val="20"/>
        </w:rPr>
      </w:pPr>
    </w:p>
    <w:p w14:paraId="45D9860D" w14:textId="0ADE3814" w:rsidR="00B402BD" w:rsidRPr="00B402BD" w:rsidRDefault="00B402BD" w:rsidP="00471244">
      <w:pPr>
        <w:pStyle w:val="p0"/>
        <w:keepNext/>
        <w:spacing w:before="120" w:line="220" w:lineRule="exact"/>
        <w:jc w:val="center"/>
        <w:rPr>
          <w:rFonts w:cs="Arial"/>
          <w:bCs/>
          <w:snapToGrid/>
          <w:color w:val="auto"/>
          <w:sz w:val="22"/>
          <w:szCs w:val="22"/>
          <w:lang w:eastAsia="es-MX"/>
        </w:rPr>
      </w:pPr>
      <w:r w:rsidRPr="00B402BD">
        <w:rPr>
          <w:rFonts w:cs="Arial"/>
          <w:bCs/>
          <w:color w:val="auto"/>
          <w:sz w:val="20"/>
        </w:rPr>
        <w:t xml:space="preserve">Gráfica </w:t>
      </w:r>
      <w:r>
        <w:rPr>
          <w:rFonts w:cs="Arial"/>
          <w:bCs/>
          <w:color w:val="auto"/>
          <w:sz w:val="20"/>
        </w:rPr>
        <w:t>5</w:t>
      </w:r>
    </w:p>
    <w:p w14:paraId="44D3BDE2" w14:textId="0282510B" w:rsidR="00471244" w:rsidRPr="00471244" w:rsidRDefault="00471244" w:rsidP="00B402BD">
      <w:pPr>
        <w:pStyle w:val="p0"/>
        <w:keepNext/>
        <w:spacing w:before="0" w:line="220" w:lineRule="exact"/>
        <w:jc w:val="center"/>
        <w:rPr>
          <w:rFonts w:cs="Arial"/>
          <w:b/>
          <w:smallCaps/>
          <w:snapToGrid/>
          <w:color w:val="auto"/>
          <w:sz w:val="22"/>
          <w:szCs w:val="22"/>
          <w:lang w:eastAsia="es-MX"/>
        </w:rPr>
      </w:pPr>
      <w:r w:rsidRPr="00471244">
        <w:rPr>
          <w:rFonts w:cs="Arial"/>
          <w:b/>
          <w:smallCaps/>
          <w:snapToGrid/>
          <w:color w:val="auto"/>
          <w:sz w:val="22"/>
          <w:szCs w:val="22"/>
          <w:lang w:eastAsia="es-MX"/>
        </w:rPr>
        <w:t xml:space="preserve">Consumo de Gobierno al </w:t>
      </w:r>
      <w:r w:rsidR="00A93796">
        <w:rPr>
          <w:rFonts w:cs="Arial"/>
          <w:b/>
          <w:smallCaps/>
          <w:snapToGrid/>
          <w:color w:val="auto"/>
          <w:sz w:val="22"/>
          <w:szCs w:val="22"/>
          <w:lang w:eastAsia="es-MX"/>
        </w:rPr>
        <w:t>segundo</w:t>
      </w:r>
      <w:r w:rsidRPr="00471244">
        <w:rPr>
          <w:rFonts w:cs="Arial"/>
          <w:b/>
          <w:smallCaps/>
          <w:snapToGrid/>
          <w:color w:val="auto"/>
          <w:sz w:val="22"/>
          <w:szCs w:val="22"/>
          <w:lang w:eastAsia="es-MX"/>
        </w:rPr>
        <w:t xml:space="preserve"> trimestre de 202</w:t>
      </w:r>
      <w:r w:rsidR="00426883">
        <w:rPr>
          <w:rFonts w:cs="Arial"/>
          <w:b/>
          <w:smallCaps/>
          <w:snapToGrid/>
          <w:color w:val="auto"/>
          <w:sz w:val="22"/>
          <w:szCs w:val="22"/>
          <w:lang w:eastAsia="es-MX"/>
        </w:rPr>
        <w:t>1</w:t>
      </w:r>
    </w:p>
    <w:p w14:paraId="0A284DC3" w14:textId="77777777" w:rsidR="00471244" w:rsidRDefault="00471244" w:rsidP="000B17DA">
      <w:pPr>
        <w:pStyle w:val="p0"/>
        <w:keepNext/>
        <w:widowControl/>
        <w:spacing w:before="0"/>
        <w:jc w:val="center"/>
        <w:rPr>
          <w:rFonts w:asciiTheme="minorHAnsi" w:hAnsiTheme="minorHAnsi" w:cstheme="minorHAnsi"/>
          <w:b/>
          <w:smallCaps/>
          <w:snapToGrid/>
          <w:color w:val="auto"/>
          <w:sz w:val="18"/>
          <w:szCs w:val="18"/>
          <w:lang w:eastAsia="es-MX"/>
        </w:rPr>
      </w:pPr>
      <w:r w:rsidRPr="00471244">
        <w:rPr>
          <w:rFonts w:cs="Arial"/>
          <w:b/>
          <w:smallCaps/>
          <w:snapToGrid/>
          <w:color w:val="auto"/>
          <w:sz w:val="22"/>
          <w:szCs w:val="22"/>
          <w:lang w:eastAsia="es-MX"/>
        </w:rPr>
        <w:t>Series desestacionalizada y de tendencia-ciclo</w:t>
      </w:r>
    </w:p>
    <w:p w14:paraId="473BF054" w14:textId="60DA625B" w:rsidR="00471244" w:rsidRDefault="00471244" w:rsidP="00F35110">
      <w:pPr>
        <w:pStyle w:val="Textoindependiente"/>
        <w:spacing w:before="0"/>
        <w:jc w:val="center"/>
        <w:rPr>
          <w:rFonts w:cs="Arial"/>
          <w:sz w:val="20"/>
          <w:szCs w:val="22"/>
        </w:rPr>
      </w:pPr>
      <w:r w:rsidRPr="00100026">
        <w:rPr>
          <w:rFonts w:cs="Arial"/>
          <w:sz w:val="18"/>
        </w:rPr>
        <w:t>(Millones de pesos a precios de 2013</w:t>
      </w:r>
      <w:r w:rsidRPr="00471244">
        <w:rPr>
          <w:rFonts w:cs="Arial"/>
          <w:sz w:val="20"/>
          <w:szCs w:val="22"/>
        </w:rPr>
        <w:t>)</w:t>
      </w:r>
    </w:p>
    <w:p w14:paraId="34FC2A61" w14:textId="22B7C805" w:rsidR="00471244" w:rsidRDefault="00A853DD" w:rsidP="00471244">
      <w:pPr>
        <w:pStyle w:val="Ttulo"/>
        <w:widowControl w:val="0"/>
        <w:rPr>
          <w:rFonts w:cs="Arial"/>
          <w:b w:val="0"/>
          <w:bCs/>
          <w:smallCaps w:val="0"/>
          <w:sz w:val="28"/>
          <w:szCs w:val="24"/>
        </w:rPr>
      </w:pPr>
      <w:r>
        <w:rPr>
          <w:noProof/>
        </w:rPr>
        <w:drawing>
          <wp:inline distT="0" distB="0" distL="0" distR="0" wp14:anchorId="7F8137D6" wp14:editId="79C2985C">
            <wp:extent cx="3960000" cy="2520000"/>
            <wp:effectExtent l="0" t="0" r="21590" b="33020"/>
            <wp:docPr id="9" name="Gráfico 9">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10E169A" w14:textId="65732438" w:rsidR="00471244" w:rsidRPr="00D216D6" w:rsidRDefault="00471244" w:rsidP="00471244">
      <w:pPr>
        <w:pStyle w:val="Ttulo"/>
        <w:widowControl w:val="0"/>
        <w:ind w:left="1418"/>
        <w:jc w:val="both"/>
        <w:rPr>
          <w:rFonts w:cs="Arial"/>
          <w:b w:val="0"/>
          <w:bCs/>
          <w:smallCaps w:val="0"/>
          <w:sz w:val="22"/>
        </w:rPr>
      </w:pPr>
      <w:r w:rsidRPr="00D216D6">
        <w:rPr>
          <w:rFonts w:cs="Arial"/>
          <w:b w:val="0"/>
          <w:bCs/>
          <w:smallCaps w:val="0"/>
          <w:color w:val="000000"/>
          <w:sz w:val="16"/>
          <w:szCs w:val="16"/>
        </w:rPr>
        <w:t>Fuente:  INEGI</w:t>
      </w:r>
      <w:r w:rsidRPr="00D216D6">
        <w:rPr>
          <w:rFonts w:cs="Arial"/>
          <w:b w:val="0"/>
          <w:bCs/>
          <w:smallCaps w:val="0"/>
          <w:color w:val="000000" w:themeColor="text1"/>
          <w:sz w:val="16"/>
          <w:szCs w:val="16"/>
        </w:rPr>
        <w:t>.</w:t>
      </w:r>
    </w:p>
    <w:p w14:paraId="23BAA658" w14:textId="674BA5C8" w:rsidR="00B402BD" w:rsidRPr="001E3DC3" w:rsidRDefault="00B402BD" w:rsidP="00B22AE6">
      <w:pPr>
        <w:pStyle w:val="p0"/>
        <w:keepLines w:val="0"/>
        <w:spacing w:before="480"/>
        <w:jc w:val="center"/>
        <w:rPr>
          <w:rFonts w:cs="Arial"/>
          <w:bCs/>
          <w:snapToGrid/>
          <w:color w:val="000000" w:themeColor="text1"/>
          <w:sz w:val="22"/>
          <w:szCs w:val="22"/>
          <w:lang w:eastAsia="es-MX"/>
        </w:rPr>
      </w:pPr>
      <w:r w:rsidRPr="001E3DC3">
        <w:rPr>
          <w:rFonts w:cs="Arial"/>
          <w:bCs/>
          <w:color w:val="000000" w:themeColor="text1"/>
          <w:sz w:val="20"/>
        </w:rPr>
        <w:t>Gráfica 6</w:t>
      </w:r>
    </w:p>
    <w:p w14:paraId="103066E7" w14:textId="4651602E" w:rsidR="00B402BD" w:rsidRPr="00B402BD" w:rsidRDefault="00B402BD" w:rsidP="00EB48A7">
      <w:pPr>
        <w:pStyle w:val="p0"/>
        <w:keepLines w:val="0"/>
        <w:spacing w:before="0" w:line="240" w:lineRule="atLeast"/>
        <w:jc w:val="center"/>
        <w:rPr>
          <w:rFonts w:cs="Arial"/>
          <w:b/>
          <w:smallCaps/>
          <w:snapToGrid/>
          <w:color w:val="auto"/>
          <w:sz w:val="22"/>
          <w:szCs w:val="22"/>
          <w:lang w:eastAsia="es-MX"/>
        </w:rPr>
      </w:pPr>
      <w:r w:rsidRPr="00B402BD">
        <w:rPr>
          <w:rFonts w:cs="Arial"/>
          <w:b/>
          <w:smallCaps/>
          <w:snapToGrid/>
          <w:color w:val="auto"/>
          <w:sz w:val="22"/>
          <w:szCs w:val="22"/>
          <w:lang w:eastAsia="es-MX"/>
        </w:rPr>
        <w:t>Formación Bruta de Capital Fijo</w:t>
      </w:r>
      <w:r>
        <w:rPr>
          <w:rFonts w:cs="Arial"/>
          <w:b/>
          <w:smallCaps/>
          <w:snapToGrid/>
          <w:color w:val="auto"/>
          <w:sz w:val="22"/>
          <w:szCs w:val="22"/>
          <w:lang w:eastAsia="es-MX"/>
        </w:rPr>
        <w:t xml:space="preserve"> </w:t>
      </w:r>
      <w:r w:rsidRPr="00B402BD">
        <w:rPr>
          <w:rFonts w:cs="Arial"/>
          <w:b/>
          <w:smallCaps/>
          <w:snapToGrid/>
          <w:color w:val="auto"/>
          <w:sz w:val="22"/>
          <w:szCs w:val="22"/>
          <w:lang w:eastAsia="es-MX"/>
        </w:rPr>
        <w:t xml:space="preserve">al </w:t>
      </w:r>
      <w:r w:rsidR="00A93796">
        <w:rPr>
          <w:rFonts w:cs="Arial"/>
          <w:b/>
          <w:smallCaps/>
          <w:snapToGrid/>
          <w:color w:val="auto"/>
          <w:sz w:val="22"/>
          <w:szCs w:val="22"/>
          <w:lang w:eastAsia="es-MX"/>
        </w:rPr>
        <w:t xml:space="preserve">segundo </w:t>
      </w:r>
      <w:r w:rsidRPr="00B402BD">
        <w:rPr>
          <w:rFonts w:cs="Arial"/>
          <w:b/>
          <w:smallCaps/>
          <w:snapToGrid/>
          <w:color w:val="auto"/>
          <w:sz w:val="22"/>
          <w:szCs w:val="22"/>
          <w:lang w:eastAsia="es-MX"/>
        </w:rPr>
        <w:t>trimestre de 202</w:t>
      </w:r>
      <w:r w:rsidR="00426883">
        <w:rPr>
          <w:rFonts w:cs="Arial"/>
          <w:b/>
          <w:smallCaps/>
          <w:snapToGrid/>
          <w:color w:val="auto"/>
          <w:sz w:val="22"/>
          <w:szCs w:val="22"/>
          <w:lang w:eastAsia="es-MX"/>
        </w:rPr>
        <w:t>1</w:t>
      </w:r>
    </w:p>
    <w:p w14:paraId="2BE85581" w14:textId="77777777" w:rsidR="00B402BD" w:rsidRPr="00B402BD" w:rsidRDefault="00B402BD" w:rsidP="00EB48A7">
      <w:pPr>
        <w:pStyle w:val="p0"/>
        <w:keepLines w:val="0"/>
        <w:spacing w:before="0" w:line="240" w:lineRule="atLeast"/>
        <w:jc w:val="center"/>
        <w:rPr>
          <w:rFonts w:cs="Arial"/>
          <w:b/>
          <w:smallCaps/>
          <w:snapToGrid/>
          <w:color w:val="auto"/>
          <w:sz w:val="20"/>
          <w:lang w:eastAsia="es-MX"/>
        </w:rPr>
      </w:pPr>
      <w:r w:rsidRPr="00B402BD">
        <w:rPr>
          <w:rFonts w:cs="Arial"/>
          <w:b/>
          <w:smallCaps/>
          <w:snapToGrid/>
          <w:color w:val="auto"/>
          <w:sz w:val="22"/>
          <w:szCs w:val="22"/>
          <w:lang w:eastAsia="es-MX"/>
        </w:rPr>
        <w:t>Series desestacionalizada y de tendencia-ciclo</w:t>
      </w:r>
    </w:p>
    <w:p w14:paraId="2D1FBE7E" w14:textId="6CF5BA9C" w:rsidR="00471244" w:rsidRPr="00100026" w:rsidRDefault="00B402BD" w:rsidP="00F35110">
      <w:pPr>
        <w:pStyle w:val="Textoindependiente"/>
        <w:spacing w:before="0"/>
        <w:jc w:val="center"/>
        <w:rPr>
          <w:noProof/>
          <w:sz w:val="18"/>
          <w:szCs w:val="18"/>
        </w:rPr>
      </w:pPr>
      <w:r w:rsidRPr="00100026">
        <w:rPr>
          <w:rFonts w:cs="Arial"/>
          <w:sz w:val="18"/>
          <w:szCs w:val="18"/>
        </w:rPr>
        <w:t>(Millones de pesos a precios de 2013</w:t>
      </w:r>
      <w:r w:rsidRPr="00100026">
        <w:rPr>
          <w:rFonts w:asciiTheme="minorHAnsi" w:hAnsiTheme="minorHAnsi" w:cstheme="minorHAnsi"/>
          <w:sz w:val="18"/>
          <w:szCs w:val="18"/>
        </w:rPr>
        <w:t>)</w:t>
      </w:r>
    </w:p>
    <w:p w14:paraId="2A04DB46" w14:textId="79DDA334" w:rsidR="001D3564" w:rsidRDefault="00A853DD" w:rsidP="00EB48A7">
      <w:pPr>
        <w:pStyle w:val="Textoindependiente"/>
        <w:spacing w:before="0" w:line="240" w:lineRule="atLeast"/>
        <w:jc w:val="center"/>
        <w:rPr>
          <w:rFonts w:cs="Arial"/>
          <w:b/>
          <w:bCs/>
          <w:smallCaps/>
          <w:sz w:val="28"/>
          <w:szCs w:val="24"/>
        </w:rPr>
      </w:pPr>
      <w:r>
        <w:rPr>
          <w:noProof/>
          <w:snapToGrid/>
        </w:rPr>
        <w:drawing>
          <wp:inline distT="0" distB="0" distL="0" distR="0" wp14:anchorId="46CB0504" wp14:editId="638B4AA8">
            <wp:extent cx="3960000" cy="2520000"/>
            <wp:effectExtent l="0" t="0" r="21590" b="33020"/>
            <wp:docPr id="10" name="Gráfico 10">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EE821AA" w14:textId="4CF72C72" w:rsidR="00B402BD" w:rsidRPr="00D216D6" w:rsidRDefault="00B402BD" w:rsidP="00EB48A7">
      <w:pPr>
        <w:pStyle w:val="p1"/>
        <w:keepLines w:val="0"/>
        <w:spacing w:before="0"/>
        <w:ind w:left="1418"/>
        <w:rPr>
          <w:b/>
          <w:i/>
          <w:color w:val="auto"/>
          <w:sz w:val="22"/>
          <w:szCs w:val="18"/>
        </w:rPr>
      </w:pPr>
      <w:r w:rsidRPr="00D216D6">
        <w:rPr>
          <w:rFonts w:cs="Arial"/>
          <w:color w:val="000000"/>
          <w:sz w:val="16"/>
          <w:szCs w:val="16"/>
        </w:rPr>
        <w:t>Fuente: INEGI.</w:t>
      </w:r>
    </w:p>
    <w:p w14:paraId="44744007" w14:textId="77777777" w:rsidR="00EB48A7" w:rsidRDefault="00EB48A7" w:rsidP="00EF59CC">
      <w:pPr>
        <w:pStyle w:val="Ttulo"/>
        <w:keepNext/>
        <w:keepLines/>
        <w:spacing w:before="240"/>
        <w:rPr>
          <w:rFonts w:cs="Arial"/>
          <w:b w:val="0"/>
          <w:smallCaps w:val="0"/>
          <w:sz w:val="20"/>
        </w:rPr>
      </w:pPr>
    </w:p>
    <w:p w14:paraId="0DEE0C42" w14:textId="6ED6E0A0" w:rsidR="00B402BD" w:rsidRDefault="00B402BD" w:rsidP="00EF59CC">
      <w:pPr>
        <w:pStyle w:val="Ttulo"/>
        <w:keepNext/>
        <w:keepLines/>
        <w:spacing w:before="240"/>
        <w:rPr>
          <w:rFonts w:cs="Arial"/>
          <w:b w:val="0"/>
          <w:bCs/>
          <w:smallCaps w:val="0"/>
          <w:sz w:val="28"/>
          <w:szCs w:val="24"/>
        </w:rPr>
      </w:pPr>
      <w:r w:rsidRPr="00056379">
        <w:rPr>
          <w:rFonts w:cs="Arial"/>
          <w:b w:val="0"/>
          <w:smallCaps w:val="0"/>
          <w:sz w:val="20"/>
        </w:rPr>
        <w:t xml:space="preserve">Gráfica </w:t>
      </w:r>
      <w:r>
        <w:rPr>
          <w:rFonts w:cs="Arial"/>
          <w:b w:val="0"/>
          <w:smallCaps w:val="0"/>
          <w:sz w:val="20"/>
        </w:rPr>
        <w:t>7</w:t>
      </w:r>
    </w:p>
    <w:p w14:paraId="3BFA723D" w14:textId="7F625BD0" w:rsidR="00B402BD" w:rsidRPr="00B402BD" w:rsidRDefault="00B402BD" w:rsidP="00B402BD">
      <w:pPr>
        <w:pStyle w:val="p0"/>
        <w:keepNext/>
        <w:widowControl/>
        <w:spacing w:before="0"/>
        <w:jc w:val="center"/>
        <w:rPr>
          <w:rFonts w:cs="Arial"/>
          <w:b/>
          <w:smallCaps/>
          <w:snapToGrid/>
          <w:color w:val="auto"/>
          <w:sz w:val="22"/>
          <w:szCs w:val="22"/>
          <w:lang w:eastAsia="es-MX"/>
        </w:rPr>
      </w:pPr>
      <w:r w:rsidRPr="00B402BD">
        <w:rPr>
          <w:rFonts w:cs="Arial"/>
          <w:b/>
          <w:smallCaps/>
          <w:snapToGrid/>
          <w:color w:val="auto"/>
          <w:sz w:val="22"/>
          <w:szCs w:val="22"/>
          <w:lang w:eastAsia="es-MX"/>
        </w:rPr>
        <w:t>Exportación de Bienes y Servicios</w:t>
      </w:r>
      <w:r>
        <w:rPr>
          <w:rFonts w:cs="Arial"/>
          <w:b/>
          <w:smallCaps/>
          <w:snapToGrid/>
          <w:color w:val="auto"/>
          <w:sz w:val="22"/>
          <w:szCs w:val="22"/>
          <w:lang w:eastAsia="es-MX"/>
        </w:rPr>
        <w:t xml:space="preserve"> </w:t>
      </w:r>
      <w:r w:rsidRPr="00B402BD">
        <w:rPr>
          <w:rFonts w:cs="Arial"/>
          <w:b/>
          <w:smallCaps/>
          <w:snapToGrid/>
          <w:color w:val="auto"/>
          <w:sz w:val="22"/>
          <w:szCs w:val="22"/>
          <w:lang w:eastAsia="es-MX"/>
        </w:rPr>
        <w:t xml:space="preserve">al </w:t>
      </w:r>
      <w:r w:rsidR="00A93796">
        <w:rPr>
          <w:rFonts w:cs="Arial"/>
          <w:b/>
          <w:smallCaps/>
          <w:snapToGrid/>
          <w:color w:val="auto"/>
          <w:sz w:val="22"/>
          <w:szCs w:val="22"/>
          <w:lang w:eastAsia="es-MX"/>
        </w:rPr>
        <w:t>segundo</w:t>
      </w:r>
      <w:r w:rsidRPr="00B402BD">
        <w:rPr>
          <w:rFonts w:cs="Arial"/>
          <w:b/>
          <w:smallCaps/>
          <w:snapToGrid/>
          <w:color w:val="auto"/>
          <w:sz w:val="22"/>
          <w:szCs w:val="22"/>
          <w:lang w:eastAsia="es-MX"/>
        </w:rPr>
        <w:t xml:space="preserve"> trimestre de 202</w:t>
      </w:r>
      <w:r w:rsidR="00426883">
        <w:rPr>
          <w:rFonts w:cs="Arial"/>
          <w:b/>
          <w:smallCaps/>
          <w:snapToGrid/>
          <w:color w:val="auto"/>
          <w:sz w:val="22"/>
          <w:szCs w:val="22"/>
          <w:lang w:eastAsia="es-MX"/>
        </w:rPr>
        <w:t>1</w:t>
      </w:r>
    </w:p>
    <w:p w14:paraId="11FD659B" w14:textId="77777777" w:rsidR="00B402BD" w:rsidRPr="00B402BD" w:rsidRDefault="00B402BD" w:rsidP="000B17DA">
      <w:pPr>
        <w:pStyle w:val="p0"/>
        <w:keepNext/>
        <w:widowControl/>
        <w:spacing w:before="0"/>
        <w:jc w:val="center"/>
        <w:rPr>
          <w:rFonts w:cs="Arial"/>
          <w:b/>
          <w:smallCaps/>
          <w:snapToGrid/>
          <w:color w:val="auto"/>
          <w:sz w:val="22"/>
          <w:szCs w:val="22"/>
          <w:lang w:eastAsia="es-MX"/>
        </w:rPr>
      </w:pPr>
      <w:r w:rsidRPr="00B402BD">
        <w:rPr>
          <w:rFonts w:cs="Arial"/>
          <w:b/>
          <w:smallCaps/>
          <w:snapToGrid/>
          <w:color w:val="auto"/>
          <w:sz w:val="22"/>
          <w:szCs w:val="22"/>
          <w:lang w:eastAsia="es-MX"/>
        </w:rPr>
        <w:t>Series desestacionalizada y de tendencia-ciclo</w:t>
      </w:r>
    </w:p>
    <w:p w14:paraId="046C5E1D" w14:textId="70F34AE3" w:rsidR="00B402BD" w:rsidRPr="00100026" w:rsidRDefault="00B402BD" w:rsidP="00B402BD">
      <w:pPr>
        <w:pStyle w:val="Ttulo"/>
        <w:keepNext/>
        <w:keepLines/>
        <w:rPr>
          <w:rFonts w:cs="Arial"/>
          <w:b w:val="0"/>
          <w:bCs/>
          <w:smallCaps w:val="0"/>
          <w:sz w:val="18"/>
        </w:rPr>
      </w:pPr>
      <w:r w:rsidRPr="00100026">
        <w:rPr>
          <w:rFonts w:cs="Arial"/>
          <w:b w:val="0"/>
          <w:bCs/>
          <w:smallCaps w:val="0"/>
          <w:sz w:val="18"/>
        </w:rPr>
        <w:t>(Millones de pesos a precios de 2013)</w:t>
      </w:r>
    </w:p>
    <w:p w14:paraId="408CE013" w14:textId="752994DF" w:rsidR="00B402BD" w:rsidRPr="00B402BD" w:rsidRDefault="00A853DD" w:rsidP="00B402BD">
      <w:pPr>
        <w:pStyle w:val="Ttulo"/>
        <w:keepNext/>
        <w:keepLines/>
        <w:rPr>
          <w:rFonts w:cs="Arial"/>
          <w:b w:val="0"/>
          <w:bCs/>
          <w:smallCaps w:val="0"/>
          <w:sz w:val="22"/>
          <w:szCs w:val="24"/>
        </w:rPr>
      </w:pPr>
      <w:r>
        <w:rPr>
          <w:noProof/>
        </w:rPr>
        <w:drawing>
          <wp:inline distT="0" distB="0" distL="0" distR="0" wp14:anchorId="57413642" wp14:editId="73F00A7A">
            <wp:extent cx="3960000" cy="2520000"/>
            <wp:effectExtent l="0" t="0" r="21590" b="33020"/>
            <wp:docPr id="17" name="Gráfico 17">
              <a:extLst xmlns:a="http://schemas.openxmlformats.org/drawingml/2006/main">
                <a:ext uri="{FF2B5EF4-FFF2-40B4-BE49-F238E27FC236}">
                  <a16:creationId xmlns:a16="http://schemas.microsoft.com/office/drawing/2014/main" id="{00000000-0008-0000-03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76042EB" w14:textId="4170E87B" w:rsidR="00B402BD" w:rsidRPr="00D216D6" w:rsidRDefault="007531B2" w:rsidP="007531B2">
      <w:pPr>
        <w:pStyle w:val="Ttulo"/>
        <w:keepNext/>
        <w:keepLines/>
        <w:ind w:left="1418"/>
        <w:jc w:val="both"/>
        <w:rPr>
          <w:rFonts w:cs="Arial"/>
          <w:b w:val="0"/>
          <w:bCs/>
          <w:smallCaps w:val="0"/>
          <w:sz w:val="20"/>
          <w:szCs w:val="22"/>
        </w:rPr>
      </w:pPr>
      <w:r w:rsidRPr="00D216D6">
        <w:rPr>
          <w:rFonts w:cs="Arial"/>
          <w:b w:val="0"/>
          <w:bCs/>
          <w:smallCaps w:val="0"/>
          <w:color w:val="000000"/>
          <w:sz w:val="16"/>
          <w:szCs w:val="16"/>
        </w:rPr>
        <w:t>Fuente: INEGI.</w:t>
      </w:r>
    </w:p>
    <w:p w14:paraId="67DC2F00" w14:textId="16283400" w:rsidR="00455638" w:rsidRDefault="004916E4" w:rsidP="009D1DDD">
      <w:pPr>
        <w:pStyle w:val="p1"/>
        <w:keepLines w:val="0"/>
        <w:rPr>
          <w:b/>
          <w:i/>
          <w:color w:val="auto"/>
        </w:rPr>
      </w:pPr>
      <w:r>
        <w:rPr>
          <w:color w:val="000000" w:themeColor="text1"/>
        </w:rPr>
        <w:t xml:space="preserve">En su comparación anual, </w:t>
      </w:r>
      <w:r w:rsidR="00756F58" w:rsidRPr="00BD691B">
        <w:rPr>
          <w:color w:val="000000"/>
        </w:rPr>
        <w:t xml:space="preserve">las Exportaciones de Bienes y Servicios </w:t>
      </w:r>
      <w:r w:rsidR="00756F58">
        <w:rPr>
          <w:color w:val="000000"/>
        </w:rPr>
        <w:t>ascendieron 41.8</w:t>
      </w:r>
      <w:r w:rsidR="00756F58" w:rsidRPr="00BD691B">
        <w:rPr>
          <w:color w:val="000000"/>
        </w:rPr>
        <w:t>%</w:t>
      </w:r>
      <w:r w:rsidR="00756F58">
        <w:rPr>
          <w:color w:val="000000"/>
        </w:rPr>
        <w:t>,</w:t>
      </w:r>
      <w:r w:rsidR="00756F58" w:rsidRPr="00BD691B">
        <w:rPr>
          <w:color w:val="000000"/>
        </w:rPr>
        <w:t xml:space="preserve"> </w:t>
      </w:r>
      <w:r w:rsidR="00A259A3" w:rsidRPr="00BD691B">
        <w:rPr>
          <w:color w:val="000000"/>
        </w:rPr>
        <w:t xml:space="preserve">la Formación Bruta de Capital Fijo </w:t>
      </w:r>
      <w:r w:rsidR="00756F58">
        <w:rPr>
          <w:color w:val="000000"/>
        </w:rPr>
        <w:t>34.2</w:t>
      </w:r>
      <w:r w:rsidR="00A259A3" w:rsidRPr="00BD691B">
        <w:rPr>
          <w:color w:val="000000"/>
        </w:rPr>
        <w:t xml:space="preserve">%, el Consumo Privado </w:t>
      </w:r>
      <w:r w:rsidR="00756F58">
        <w:rPr>
          <w:color w:val="000000"/>
        </w:rPr>
        <w:t>22.3</w:t>
      </w:r>
      <w:r w:rsidR="00A259A3" w:rsidRPr="00BD691B">
        <w:rPr>
          <w:color w:val="000000"/>
        </w:rPr>
        <w:t xml:space="preserve">% y el Consumo de Gobierno </w:t>
      </w:r>
      <w:r w:rsidR="00756F58">
        <w:rPr>
          <w:color w:val="000000"/>
        </w:rPr>
        <w:t>3.7</w:t>
      </w:r>
      <w:r w:rsidR="00A259A3" w:rsidRPr="00BD691B">
        <w:rPr>
          <w:color w:val="000000"/>
        </w:rPr>
        <w:t xml:space="preserve">% en el trimestre </w:t>
      </w:r>
      <w:r w:rsidR="00A93796">
        <w:rPr>
          <w:color w:val="000000"/>
        </w:rPr>
        <w:t>abril-junio</w:t>
      </w:r>
      <w:r w:rsidR="00EB51DE">
        <w:rPr>
          <w:color w:val="000000"/>
        </w:rPr>
        <w:t xml:space="preserve"> </w:t>
      </w:r>
      <w:r w:rsidR="00A259A3" w:rsidRPr="00BD691B">
        <w:rPr>
          <w:color w:val="000000"/>
        </w:rPr>
        <w:t xml:space="preserve">de </w:t>
      </w:r>
      <w:r w:rsidR="00EB51DE">
        <w:rPr>
          <w:color w:val="000000"/>
        </w:rPr>
        <w:t>este año</w:t>
      </w:r>
      <w:r w:rsidR="00A259A3" w:rsidRPr="00BD691B">
        <w:rPr>
          <w:color w:val="000000"/>
        </w:rPr>
        <w:t>.</w:t>
      </w:r>
    </w:p>
    <w:p w14:paraId="5F5C2058" w14:textId="3CD091F3" w:rsidR="00367D27" w:rsidRPr="004C5A6C" w:rsidRDefault="0057720D" w:rsidP="00EF59CC">
      <w:pPr>
        <w:pStyle w:val="Textoindependiente"/>
        <w:spacing w:before="480" w:line="140" w:lineRule="exact"/>
        <w:rPr>
          <w:rFonts w:cs="Arial"/>
          <w:b/>
          <w:i/>
          <w:szCs w:val="24"/>
        </w:rPr>
      </w:pPr>
      <w:r w:rsidRPr="004C5A6C">
        <w:rPr>
          <w:rFonts w:cs="Arial"/>
          <w:b/>
          <w:i/>
          <w:szCs w:val="24"/>
        </w:rPr>
        <w:t>Indicador Trimestral del Ahorro Bruto</w:t>
      </w:r>
    </w:p>
    <w:p w14:paraId="759C0B84" w14:textId="2B7A9C94" w:rsidR="00215B14" w:rsidRDefault="00215B14" w:rsidP="00EF59CC">
      <w:pPr>
        <w:pStyle w:val="Textoindependiente"/>
        <w:rPr>
          <w:rFonts w:cs="Arial"/>
          <w:szCs w:val="22"/>
        </w:rPr>
      </w:pPr>
      <w:r w:rsidRPr="0057720D">
        <w:rPr>
          <w:rFonts w:cs="Arial"/>
          <w:szCs w:val="24"/>
        </w:rPr>
        <w:t xml:space="preserve">Con base en cifras desestacionalizadas, </w:t>
      </w:r>
      <w:r w:rsidR="005C0F3E">
        <w:rPr>
          <w:rFonts w:cs="Arial"/>
          <w:szCs w:val="24"/>
        </w:rPr>
        <w:t xml:space="preserve">el </w:t>
      </w:r>
      <w:r w:rsidRPr="0057720D">
        <w:rPr>
          <w:rFonts w:cs="Arial"/>
          <w:szCs w:val="24"/>
        </w:rPr>
        <w:t xml:space="preserve">Indicador Trimestral del Ahorro Bruto </w:t>
      </w:r>
      <w:r w:rsidR="005C0F3E">
        <w:rPr>
          <w:rFonts w:cs="Arial"/>
          <w:szCs w:val="24"/>
        </w:rPr>
        <w:t xml:space="preserve">(ITAB) </w:t>
      </w:r>
      <w:r w:rsidR="004864BD">
        <w:rPr>
          <w:rFonts w:cs="Arial"/>
          <w:szCs w:val="24"/>
        </w:rPr>
        <w:t xml:space="preserve">a precios corrientes </w:t>
      </w:r>
      <w:r w:rsidRPr="0057720D">
        <w:rPr>
          <w:rFonts w:cs="Arial"/>
          <w:szCs w:val="24"/>
        </w:rPr>
        <w:t xml:space="preserve">aumentó </w:t>
      </w:r>
      <w:r w:rsidR="0062244A">
        <w:rPr>
          <w:rFonts w:cs="Arial"/>
          <w:szCs w:val="24"/>
        </w:rPr>
        <w:t>1.2</w:t>
      </w:r>
      <w:r w:rsidRPr="0057720D">
        <w:rPr>
          <w:rFonts w:cs="Arial"/>
          <w:szCs w:val="24"/>
        </w:rPr>
        <w:t xml:space="preserve">% en el </w:t>
      </w:r>
      <w:r w:rsidR="00A93796">
        <w:rPr>
          <w:rFonts w:cs="Arial"/>
          <w:szCs w:val="24"/>
        </w:rPr>
        <w:t>segundo</w:t>
      </w:r>
      <w:r w:rsidRPr="0057720D">
        <w:rPr>
          <w:rFonts w:cs="Arial"/>
          <w:szCs w:val="24"/>
        </w:rPr>
        <w:t xml:space="preserve"> trimestre de 202</w:t>
      </w:r>
      <w:r w:rsidR="00426883">
        <w:rPr>
          <w:rFonts w:cs="Arial"/>
          <w:szCs w:val="24"/>
        </w:rPr>
        <w:t>1</w:t>
      </w:r>
      <w:r w:rsidRPr="0057720D">
        <w:rPr>
          <w:rFonts w:cs="Arial"/>
          <w:szCs w:val="24"/>
        </w:rPr>
        <w:t xml:space="preserve"> frente al trimestre previo.</w:t>
      </w:r>
    </w:p>
    <w:p w14:paraId="27E12A39" w14:textId="77777777" w:rsidR="004C5A6C" w:rsidRDefault="004C5A6C">
      <w:pPr>
        <w:widowControl/>
        <w:rPr>
          <w:rFonts w:ascii="Arial" w:hAnsi="Arial" w:cs="Arial"/>
          <w:szCs w:val="22"/>
        </w:rPr>
      </w:pPr>
      <w:r>
        <w:rPr>
          <w:rFonts w:ascii="Arial" w:hAnsi="Arial" w:cs="Arial"/>
          <w:szCs w:val="22"/>
        </w:rPr>
        <w:br w:type="page"/>
      </w:r>
    </w:p>
    <w:p w14:paraId="25032A89" w14:textId="77777777" w:rsidR="00CF64DE" w:rsidRDefault="00CF64DE" w:rsidP="00215B14">
      <w:pPr>
        <w:widowControl/>
        <w:jc w:val="center"/>
        <w:rPr>
          <w:rFonts w:ascii="Arial" w:hAnsi="Arial" w:cs="Arial"/>
          <w:szCs w:val="22"/>
        </w:rPr>
      </w:pPr>
    </w:p>
    <w:p w14:paraId="7E72B5C5" w14:textId="3E4CD7E4" w:rsidR="00215B14" w:rsidRPr="0057720D" w:rsidRDefault="00215B14" w:rsidP="00D216D6">
      <w:pPr>
        <w:widowControl/>
        <w:spacing w:before="120"/>
        <w:jc w:val="center"/>
        <w:rPr>
          <w:rFonts w:ascii="Arial" w:hAnsi="Arial" w:cs="Arial"/>
          <w:szCs w:val="22"/>
        </w:rPr>
      </w:pPr>
      <w:r w:rsidRPr="0057720D">
        <w:rPr>
          <w:rFonts w:ascii="Arial" w:hAnsi="Arial" w:cs="Arial"/>
          <w:szCs w:val="22"/>
        </w:rPr>
        <w:t xml:space="preserve">Gráfica </w:t>
      </w:r>
      <w:r w:rsidR="001E3DC3">
        <w:rPr>
          <w:rFonts w:ascii="Arial" w:hAnsi="Arial" w:cs="Arial"/>
          <w:szCs w:val="22"/>
        </w:rPr>
        <w:t>8</w:t>
      </w:r>
    </w:p>
    <w:p w14:paraId="11B43949" w14:textId="48F8B56C" w:rsidR="00215B14" w:rsidRDefault="00215B14" w:rsidP="00215B14">
      <w:pPr>
        <w:pStyle w:val="p0"/>
        <w:keepNext/>
        <w:widowControl/>
        <w:spacing w:before="0"/>
        <w:ind w:left="-142"/>
        <w:jc w:val="center"/>
        <w:rPr>
          <w:rFonts w:cs="Arial"/>
          <w:b/>
          <w:smallCaps/>
          <w:color w:val="auto"/>
          <w:sz w:val="22"/>
          <w:szCs w:val="22"/>
          <w:lang w:eastAsia="es-MX"/>
        </w:rPr>
      </w:pPr>
      <w:r>
        <w:rPr>
          <w:rFonts w:cs="Arial"/>
          <w:b/>
          <w:smallCaps/>
          <w:color w:val="auto"/>
          <w:sz w:val="22"/>
          <w:szCs w:val="22"/>
          <w:lang w:eastAsia="es-MX"/>
        </w:rPr>
        <w:t xml:space="preserve">Indicador Trimestral del Ahorro Bruto al </w:t>
      </w:r>
      <w:r w:rsidR="00A93796">
        <w:rPr>
          <w:rFonts w:cs="Arial"/>
          <w:b/>
          <w:smallCaps/>
          <w:color w:val="auto"/>
          <w:sz w:val="22"/>
          <w:szCs w:val="22"/>
          <w:lang w:eastAsia="es-MX"/>
        </w:rPr>
        <w:t xml:space="preserve">segundo </w:t>
      </w:r>
      <w:r>
        <w:rPr>
          <w:rFonts w:cs="Arial"/>
          <w:b/>
          <w:smallCaps/>
          <w:color w:val="auto"/>
          <w:sz w:val="22"/>
          <w:szCs w:val="22"/>
          <w:lang w:eastAsia="es-MX"/>
        </w:rPr>
        <w:t>trimestre de 202</w:t>
      </w:r>
      <w:r w:rsidR="00426883">
        <w:rPr>
          <w:rFonts w:cs="Arial"/>
          <w:b/>
          <w:smallCaps/>
          <w:color w:val="auto"/>
          <w:sz w:val="22"/>
          <w:szCs w:val="22"/>
          <w:lang w:eastAsia="es-MX"/>
        </w:rPr>
        <w:t>1</w:t>
      </w:r>
      <w:r>
        <w:rPr>
          <w:rFonts w:cs="Arial"/>
          <w:b/>
          <w:smallCaps/>
          <w:color w:val="auto"/>
          <w:sz w:val="22"/>
          <w:szCs w:val="22"/>
          <w:lang w:eastAsia="es-MX"/>
        </w:rPr>
        <w:t xml:space="preserve"> </w:t>
      </w:r>
    </w:p>
    <w:p w14:paraId="4A065C97" w14:textId="77777777" w:rsidR="00215B14" w:rsidRDefault="00215B14" w:rsidP="00215B14">
      <w:pPr>
        <w:pStyle w:val="p0"/>
        <w:keepNext/>
        <w:widowControl/>
        <w:spacing w:before="0"/>
        <w:ind w:left="-142"/>
        <w:jc w:val="center"/>
        <w:rPr>
          <w:rFonts w:cs="Arial"/>
          <w:b/>
          <w:smallCaps/>
          <w:color w:val="auto"/>
          <w:sz w:val="22"/>
          <w:szCs w:val="22"/>
          <w:lang w:eastAsia="es-MX"/>
        </w:rPr>
      </w:pPr>
      <w:r>
        <w:rPr>
          <w:rFonts w:cs="Arial"/>
          <w:b/>
          <w:smallCaps/>
          <w:color w:val="auto"/>
          <w:sz w:val="22"/>
          <w:szCs w:val="22"/>
          <w:lang w:eastAsia="es-MX"/>
        </w:rPr>
        <w:t>Series desestacionalizada y de tendencia-ciclo</w:t>
      </w:r>
    </w:p>
    <w:p w14:paraId="711AFA19" w14:textId="77777777" w:rsidR="00215B14" w:rsidRPr="00100026" w:rsidRDefault="00215B14" w:rsidP="00215B14">
      <w:pPr>
        <w:jc w:val="center"/>
        <w:outlineLvl w:val="3"/>
        <w:rPr>
          <w:rFonts w:ascii="Arial" w:hAnsi="Arial" w:cs="Arial"/>
          <w:b/>
          <w:smallCaps/>
          <w:sz w:val="18"/>
          <w:szCs w:val="16"/>
        </w:rPr>
      </w:pPr>
      <w:r w:rsidRPr="00100026">
        <w:rPr>
          <w:rFonts w:ascii="Arial" w:hAnsi="Arial" w:cs="Arial"/>
          <w:sz w:val="18"/>
          <w:szCs w:val="18"/>
          <w:lang w:eastAsia="es-MX"/>
        </w:rPr>
        <w:t>(Millones de pesos corrientes)</w:t>
      </w:r>
    </w:p>
    <w:p w14:paraId="32F98AD7" w14:textId="144DB1BD" w:rsidR="00215B14" w:rsidRDefault="00123C74" w:rsidP="00215B14">
      <w:pPr>
        <w:jc w:val="center"/>
        <w:outlineLvl w:val="3"/>
        <w:rPr>
          <w:rFonts w:cs="Arial"/>
          <w:sz w:val="18"/>
          <w:szCs w:val="18"/>
        </w:rPr>
      </w:pPr>
      <w:r>
        <w:rPr>
          <w:noProof/>
          <w:snapToGrid/>
        </w:rPr>
        <w:drawing>
          <wp:inline distT="0" distB="0" distL="0" distR="0" wp14:anchorId="03A86353" wp14:editId="03FF6B41">
            <wp:extent cx="3960000" cy="2520000"/>
            <wp:effectExtent l="0" t="0" r="21590" b="33020"/>
            <wp:docPr id="4" name="Gráfico 4">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A503A64" w14:textId="77777777" w:rsidR="00215B14" w:rsidRPr="00D216D6" w:rsidRDefault="00215B14" w:rsidP="00215B14">
      <w:pPr>
        <w:ind w:left="708" w:firstLine="708"/>
        <w:rPr>
          <w:rFonts w:ascii="Arial" w:hAnsi="Arial" w:cs="Arial"/>
          <w:sz w:val="24"/>
        </w:rPr>
      </w:pPr>
      <w:r w:rsidRPr="00D216D6">
        <w:rPr>
          <w:rFonts w:ascii="Arial" w:hAnsi="Arial" w:cs="Arial"/>
          <w:sz w:val="16"/>
        </w:rPr>
        <w:t>Fuente: INEGI.</w:t>
      </w:r>
    </w:p>
    <w:p w14:paraId="62DCD176" w14:textId="65127ADC" w:rsidR="00215B14" w:rsidRPr="0057720D" w:rsidRDefault="00215B14" w:rsidP="004C5A6C">
      <w:pPr>
        <w:pStyle w:val="Textoindependiente"/>
        <w:spacing w:before="240"/>
        <w:rPr>
          <w:rFonts w:cs="Arial"/>
          <w:szCs w:val="24"/>
        </w:rPr>
      </w:pPr>
      <w:r w:rsidRPr="0057720D">
        <w:rPr>
          <w:rFonts w:cs="Arial"/>
          <w:szCs w:val="24"/>
        </w:rPr>
        <w:t xml:space="preserve">Por componentes, el Ahorro de la Economía Interna </w:t>
      </w:r>
      <w:r w:rsidR="009B1B2D">
        <w:rPr>
          <w:rFonts w:cs="Arial"/>
          <w:szCs w:val="24"/>
        </w:rPr>
        <w:t>descendió</w:t>
      </w:r>
      <w:r w:rsidRPr="0057720D">
        <w:rPr>
          <w:rFonts w:cs="Arial"/>
          <w:szCs w:val="24"/>
        </w:rPr>
        <w:t xml:space="preserve"> </w:t>
      </w:r>
      <w:r w:rsidR="0062244A">
        <w:rPr>
          <w:rFonts w:cs="Arial"/>
          <w:szCs w:val="24"/>
        </w:rPr>
        <w:t>1.8</w:t>
      </w:r>
      <w:r w:rsidRPr="0057720D">
        <w:rPr>
          <w:rFonts w:cs="Arial"/>
          <w:szCs w:val="24"/>
        </w:rPr>
        <w:t xml:space="preserve">% y los requerimientos de ahorro procedentes del Resto del Mundo para financiar la economía fueron negativos durante el trimestre </w:t>
      </w:r>
      <w:r w:rsidR="00A93796">
        <w:rPr>
          <w:rFonts w:cs="Arial"/>
          <w:szCs w:val="24"/>
        </w:rPr>
        <w:t>abril-junio</w:t>
      </w:r>
      <w:r w:rsidR="00426883">
        <w:rPr>
          <w:rFonts w:cs="Arial"/>
          <w:szCs w:val="24"/>
        </w:rPr>
        <w:t xml:space="preserve"> de 2021</w:t>
      </w:r>
      <w:r w:rsidRPr="0057720D">
        <w:rPr>
          <w:rFonts w:cs="Arial"/>
          <w:szCs w:val="24"/>
        </w:rPr>
        <w:t xml:space="preserve"> frente al trimestre anterior.</w:t>
      </w:r>
    </w:p>
    <w:p w14:paraId="02983E00" w14:textId="4E0A8601" w:rsidR="00215B14" w:rsidRDefault="00215B14" w:rsidP="00D216D6">
      <w:pPr>
        <w:pStyle w:val="p0"/>
        <w:jc w:val="center"/>
        <w:rPr>
          <w:rFonts w:cs="Arial"/>
          <w:color w:val="auto"/>
          <w:sz w:val="20"/>
          <w:szCs w:val="22"/>
        </w:rPr>
      </w:pPr>
      <w:r>
        <w:rPr>
          <w:rFonts w:cs="Arial"/>
          <w:color w:val="auto"/>
          <w:sz w:val="20"/>
          <w:szCs w:val="22"/>
        </w:rPr>
        <w:t xml:space="preserve">Gráfica </w:t>
      </w:r>
      <w:r w:rsidR="001E3DC3">
        <w:rPr>
          <w:rFonts w:cs="Arial"/>
          <w:color w:val="auto"/>
          <w:sz w:val="20"/>
          <w:szCs w:val="22"/>
        </w:rPr>
        <w:t>9</w:t>
      </w:r>
    </w:p>
    <w:p w14:paraId="258F482A" w14:textId="5D61C833" w:rsidR="00215B14" w:rsidRDefault="00215B14" w:rsidP="00215B14">
      <w:pPr>
        <w:pStyle w:val="p0"/>
        <w:keepNext/>
        <w:widowControl/>
        <w:spacing w:before="0"/>
        <w:ind w:left="-142"/>
        <w:jc w:val="center"/>
        <w:rPr>
          <w:rFonts w:cs="Arial"/>
          <w:b/>
          <w:smallCaps/>
          <w:color w:val="auto"/>
          <w:sz w:val="22"/>
          <w:szCs w:val="22"/>
          <w:lang w:eastAsia="es-MX"/>
        </w:rPr>
      </w:pPr>
      <w:r>
        <w:rPr>
          <w:rFonts w:cs="Arial"/>
          <w:b/>
          <w:smallCaps/>
          <w:color w:val="auto"/>
          <w:sz w:val="22"/>
          <w:szCs w:val="22"/>
          <w:lang w:eastAsia="es-MX"/>
        </w:rPr>
        <w:t xml:space="preserve">Indicador Trimestral del Ahorro Bruto de la Economía Interna </w:t>
      </w:r>
      <w:r>
        <w:rPr>
          <w:rFonts w:cs="Arial"/>
          <w:b/>
          <w:smallCaps/>
          <w:color w:val="auto"/>
          <w:sz w:val="22"/>
          <w:szCs w:val="22"/>
          <w:lang w:eastAsia="es-MX"/>
        </w:rPr>
        <w:br/>
        <w:t xml:space="preserve">al </w:t>
      </w:r>
      <w:r w:rsidR="00A93796">
        <w:rPr>
          <w:rFonts w:cs="Arial"/>
          <w:b/>
          <w:smallCaps/>
          <w:color w:val="auto"/>
          <w:sz w:val="22"/>
          <w:szCs w:val="22"/>
          <w:lang w:eastAsia="es-MX"/>
        </w:rPr>
        <w:t>segundo</w:t>
      </w:r>
      <w:r>
        <w:rPr>
          <w:rFonts w:cs="Arial"/>
          <w:b/>
          <w:smallCaps/>
          <w:color w:val="auto"/>
          <w:sz w:val="22"/>
          <w:szCs w:val="22"/>
          <w:lang w:eastAsia="es-MX"/>
        </w:rPr>
        <w:t xml:space="preserve"> trimestre de 202</w:t>
      </w:r>
      <w:r w:rsidR="00426883">
        <w:rPr>
          <w:rFonts w:cs="Arial"/>
          <w:b/>
          <w:smallCaps/>
          <w:color w:val="auto"/>
          <w:sz w:val="22"/>
          <w:szCs w:val="22"/>
          <w:lang w:eastAsia="es-MX"/>
        </w:rPr>
        <w:t>1</w:t>
      </w:r>
      <w:r>
        <w:rPr>
          <w:rFonts w:cs="Arial"/>
          <w:b/>
          <w:smallCaps/>
          <w:color w:val="auto"/>
          <w:sz w:val="22"/>
          <w:szCs w:val="22"/>
          <w:lang w:eastAsia="es-MX"/>
        </w:rPr>
        <w:t xml:space="preserve"> </w:t>
      </w:r>
    </w:p>
    <w:p w14:paraId="04D035A7" w14:textId="77777777" w:rsidR="00215B14" w:rsidRDefault="00215B14" w:rsidP="00215B14">
      <w:pPr>
        <w:pStyle w:val="p0"/>
        <w:keepNext/>
        <w:widowControl/>
        <w:spacing w:before="0"/>
        <w:ind w:left="-142"/>
        <w:jc w:val="center"/>
        <w:rPr>
          <w:rFonts w:cs="Arial"/>
          <w:b/>
          <w:smallCaps/>
          <w:color w:val="auto"/>
          <w:sz w:val="22"/>
          <w:szCs w:val="22"/>
          <w:lang w:eastAsia="es-MX"/>
        </w:rPr>
      </w:pPr>
      <w:r>
        <w:rPr>
          <w:rFonts w:cs="Arial"/>
          <w:b/>
          <w:smallCaps/>
          <w:color w:val="auto"/>
          <w:sz w:val="22"/>
          <w:szCs w:val="22"/>
          <w:lang w:eastAsia="es-MX"/>
        </w:rPr>
        <w:t>Series desestacionalizada y de tendencia-ciclo</w:t>
      </w:r>
    </w:p>
    <w:p w14:paraId="42A6E93C" w14:textId="77777777" w:rsidR="00215B14" w:rsidRPr="00100026" w:rsidRDefault="00215B14" w:rsidP="00215B14">
      <w:pPr>
        <w:jc w:val="center"/>
        <w:rPr>
          <w:rFonts w:ascii="Arial" w:hAnsi="Arial" w:cs="Arial"/>
          <w:sz w:val="14"/>
          <w:szCs w:val="14"/>
        </w:rPr>
      </w:pPr>
      <w:r w:rsidRPr="00100026">
        <w:rPr>
          <w:rFonts w:ascii="Arial" w:hAnsi="Arial" w:cs="Arial"/>
          <w:sz w:val="18"/>
          <w:szCs w:val="18"/>
          <w:lang w:eastAsia="es-MX"/>
        </w:rPr>
        <w:t>(Millones de pesos corrientes)</w:t>
      </w:r>
      <w:r w:rsidRPr="00100026">
        <w:rPr>
          <w:rFonts w:ascii="Arial" w:hAnsi="Arial" w:cs="Arial"/>
          <w:sz w:val="18"/>
          <w:szCs w:val="18"/>
        </w:rPr>
        <w:t xml:space="preserve"> </w:t>
      </w:r>
    </w:p>
    <w:p w14:paraId="184E8B06" w14:textId="7791F1F1" w:rsidR="00215B14" w:rsidRDefault="00123C74" w:rsidP="00215B14">
      <w:pPr>
        <w:jc w:val="center"/>
        <w:rPr>
          <w:rFonts w:cs="Arial"/>
          <w:sz w:val="18"/>
          <w:szCs w:val="18"/>
        </w:rPr>
      </w:pPr>
      <w:r>
        <w:rPr>
          <w:noProof/>
          <w:snapToGrid/>
        </w:rPr>
        <w:drawing>
          <wp:inline distT="0" distB="0" distL="0" distR="0" wp14:anchorId="34FBA4E9" wp14:editId="02D65BB3">
            <wp:extent cx="3960000" cy="2520000"/>
            <wp:effectExtent l="0" t="0" r="21590" b="33020"/>
            <wp:docPr id="5" name="Gráfico 5">
              <a:extLst xmlns:a="http://schemas.openxmlformats.org/drawingml/2006/main">
                <a:ext uri="{FF2B5EF4-FFF2-40B4-BE49-F238E27FC236}">
                  <a16:creationId xmlns:a16="http://schemas.microsoft.com/office/drawing/2014/main" id="{BCBF99B5-1B86-45D1-A379-545C2CA388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838320F" w14:textId="77777777" w:rsidR="00215B14" w:rsidRPr="00D216D6" w:rsidRDefault="00215B14" w:rsidP="00215B14">
      <w:pPr>
        <w:pStyle w:val="p0"/>
        <w:spacing w:before="0"/>
        <w:ind w:left="708" w:firstLine="708"/>
        <w:jc w:val="left"/>
        <w:rPr>
          <w:rFonts w:cs="Arial"/>
          <w:color w:val="auto"/>
          <w:sz w:val="16"/>
        </w:rPr>
      </w:pPr>
      <w:r w:rsidRPr="00D216D6">
        <w:rPr>
          <w:rFonts w:cs="Arial"/>
          <w:color w:val="auto"/>
          <w:sz w:val="16"/>
        </w:rPr>
        <w:t>Fuente: INEGI.</w:t>
      </w:r>
    </w:p>
    <w:p w14:paraId="78AA29B6" w14:textId="0583820B" w:rsidR="00215B14" w:rsidRDefault="00215B14" w:rsidP="00215B14">
      <w:pPr>
        <w:pStyle w:val="p0"/>
        <w:spacing w:before="0"/>
        <w:jc w:val="center"/>
        <w:rPr>
          <w:rFonts w:cs="Arial"/>
          <w:color w:val="auto"/>
          <w:sz w:val="20"/>
          <w:szCs w:val="22"/>
        </w:rPr>
      </w:pPr>
      <w:r>
        <w:rPr>
          <w:rFonts w:cs="Arial"/>
          <w:color w:val="auto"/>
          <w:sz w:val="20"/>
          <w:szCs w:val="22"/>
        </w:rPr>
        <w:lastRenderedPageBreak/>
        <w:t xml:space="preserve">Gráfica </w:t>
      </w:r>
      <w:r w:rsidR="001E3DC3">
        <w:rPr>
          <w:rFonts w:cs="Arial"/>
          <w:color w:val="auto"/>
          <w:sz w:val="20"/>
          <w:szCs w:val="22"/>
        </w:rPr>
        <w:t>10</w:t>
      </w:r>
    </w:p>
    <w:p w14:paraId="330F2B9F" w14:textId="51FC2D1F" w:rsidR="00215B14" w:rsidRDefault="00215B14" w:rsidP="00215B14">
      <w:pPr>
        <w:pStyle w:val="p0"/>
        <w:keepNext/>
        <w:widowControl/>
        <w:spacing w:before="0"/>
        <w:ind w:left="-142"/>
        <w:jc w:val="center"/>
        <w:rPr>
          <w:rFonts w:cs="Arial"/>
          <w:b/>
          <w:smallCaps/>
          <w:color w:val="auto"/>
          <w:sz w:val="22"/>
          <w:szCs w:val="22"/>
          <w:lang w:eastAsia="es-MX"/>
        </w:rPr>
      </w:pPr>
      <w:r>
        <w:rPr>
          <w:rFonts w:cs="Arial"/>
          <w:b/>
          <w:smallCaps/>
          <w:color w:val="auto"/>
          <w:sz w:val="22"/>
          <w:szCs w:val="22"/>
          <w:lang w:eastAsia="es-MX"/>
        </w:rPr>
        <w:t>Indicador Trimestral del Ahorro Bruto del Resto del Mundo</w:t>
      </w:r>
      <w:r>
        <w:rPr>
          <w:rFonts w:cs="Arial"/>
          <w:b/>
          <w:smallCaps/>
          <w:color w:val="auto"/>
          <w:sz w:val="22"/>
          <w:szCs w:val="22"/>
          <w:lang w:eastAsia="es-MX"/>
        </w:rPr>
        <w:br/>
        <w:t xml:space="preserve">al </w:t>
      </w:r>
      <w:r w:rsidR="00A93796">
        <w:rPr>
          <w:rFonts w:cs="Arial"/>
          <w:b/>
          <w:smallCaps/>
          <w:color w:val="auto"/>
          <w:sz w:val="22"/>
          <w:szCs w:val="22"/>
          <w:lang w:eastAsia="es-MX"/>
        </w:rPr>
        <w:t>segundo</w:t>
      </w:r>
      <w:r>
        <w:rPr>
          <w:rFonts w:cs="Arial"/>
          <w:b/>
          <w:smallCaps/>
          <w:color w:val="auto"/>
          <w:sz w:val="22"/>
          <w:szCs w:val="22"/>
          <w:lang w:eastAsia="es-MX"/>
        </w:rPr>
        <w:t xml:space="preserve"> trimestre de 202</w:t>
      </w:r>
      <w:r w:rsidR="00426883">
        <w:rPr>
          <w:rFonts w:cs="Arial"/>
          <w:b/>
          <w:smallCaps/>
          <w:color w:val="auto"/>
          <w:sz w:val="22"/>
          <w:szCs w:val="22"/>
          <w:lang w:eastAsia="es-MX"/>
        </w:rPr>
        <w:t>1</w:t>
      </w:r>
      <w:r>
        <w:rPr>
          <w:rFonts w:cs="Arial"/>
          <w:b/>
          <w:smallCaps/>
          <w:color w:val="auto"/>
          <w:sz w:val="22"/>
          <w:szCs w:val="22"/>
          <w:lang w:eastAsia="es-MX"/>
        </w:rPr>
        <w:t xml:space="preserve"> </w:t>
      </w:r>
    </w:p>
    <w:p w14:paraId="68093A04" w14:textId="77777777" w:rsidR="00215B14" w:rsidRDefault="00215B14" w:rsidP="00215B14">
      <w:pPr>
        <w:pStyle w:val="p0"/>
        <w:keepNext/>
        <w:widowControl/>
        <w:spacing w:before="0"/>
        <w:ind w:left="-142"/>
        <w:jc w:val="center"/>
        <w:rPr>
          <w:rFonts w:cs="Arial"/>
          <w:b/>
          <w:smallCaps/>
          <w:color w:val="auto"/>
          <w:sz w:val="22"/>
          <w:szCs w:val="22"/>
          <w:lang w:eastAsia="es-MX"/>
        </w:rPr>
      </w:pPr>
      <w:r>
        <w:rPr>
          <w:rFonts w:cs="Arial"/>
          <w:b/>
          <w:smallCaps/>
          <w:color w:val="auto"/>
          <w:sz w:val="22"/>
          <w:szCs w:val="22"/>
          <w:lang w:eastAsia="es-MX"/>
        </w:rPr>
        <w:t>Series desestacionalizada y de tendencia-ciclo</w:t>
      </w:r>
    </w:p>
    <w:p w14:paraId="4503A1B1" w14:textId="77777777" w:rsidR="00215B14" w:rsidRPr="00100026" w:rsidRDefault="00215B14" w:rsidP="00F35110">
      <w:pPr>
        <w:pStyle w:val="p0"/>
        <w:keepNext/>
        <w:widowControl/>
        <w:spacing w:before="0"/>
        <w:ind w:left="-142"/>
        <w:jc w:val="center"/>
        <w:rPr>
          <w:rFonts w:cs="Arial"/>
          <w:color w:val="auto"/>
          <w:sz w:val="18"/>
          <w:lang w:eastAsia="es-MX"/>
        </w:rPr>
      </w:pPr>
      <w:r w:rsidRPr="00100026">
        <w:rPr>
          <w:rFonts w:cs="Arial"/>
          <w:color w:val="auto"/>
          <w:sz w:val="18"/>
          <w:lang w:eastAsia="es-MX"/>
        </w:rPr>
        <w:t>(Millones de pesos corrientes)</w:t>
      </w:r>
    </w:p>
    <w:p w14:paraId="375ECEE7" w14:textId="5A88F5AD" w:rsidR="00215B14" w:rsidRDefault="00123C74" w:rsidP="00215B14">
      <w:pPr>
        <w:jc w:val="center"/>
        <w:rPr>
          <w:rFonts w:cs="Arial"/>
          <w:sz w:val="18"/>
          <w:szCs w:val="18"/>
        </w:rPr>
      </w:pPr>
      <w:r>
        <w:rPr>
          <w:noProof/>
          <w:snapToGrid/>
        </w:rPr>
        <w:drawing>
          <wp:inline distT="0" distB="0" distL="0" distR="0" wp14:anchorId="5345C7C3" wp14:editId="5407A7CA">
            <wp:extent cx="3960000" cy="2520000"/>
            <wp:effectExtent l="0" t="0" r="21590" b="33020"/>
            <wp:docPr id="7" name="Gráfico 7">
              <a:extLst xmlns:a="http://schemas.openxmlformats.org/drawingml/2006/main">
                <a:ext uri="{FF2B5EF4-FFF2-40B4-BE49-F238E27FC236}">
                  <a16:creationId xmlns:a16="http://schemas.microsoft.com/office/drawing/2014/main" id="{D5D7C813-4E08-4780-98E1-53B304C172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B345852" w14:textId="77777777" w:rsidR="00215B14" w:rsidRDefault="00215B14" w:rsidP="00215B14">
      <w:pPr>
        <w:pStyle w:val="p0"/>
        <w:spacing w:before="0"/>
        <w:ind w:left="708" w:firstLine="708"/>
        <w:rPr>
          <w:rFonts w:cs="Arial"/>
          <w:color w:val="auto"/>
          <w:sz w:val="20"/>
          <w:szCs w:val="22"/>
        </w:rPr>
      </w:pPr>
      <w:r>
        <w:rPr>
          <w:rFonts w:cs="Arial"/>
          <w:color w:val="auto"/>
          <w:sz w:val="18"/>
          <w:szCs w:val="22"/>
        </w:rPr>
        <w:t>Fuente: INEGI</w:t>
      </w:r>
      <w:r>
        <w:rPr>
          <w:rFonts w:cs="Arial"/>
          <w:sz w:val="16"/>
        </w:rPr>
        <w:t>.</w:t>
      </w:r>
    </w:p>
    <w:p w14:paraId="5359C9B6" w14:textId="3F21AB42" w:rsidR="00611F4E" w:rsidRPr="00611F4E" w:rsidRDefault="00611F4E" w:rsidP="000A532D">
      <w:pPr>
        <w:pStyle w:val="Textoindependiente"/>
        <w:spacing w:before="120"/>
        <w:rPr>
          <w:rFonts w:cs="Arial"/>
          <w:szCs w:val="24"/>
        </w:rPr>
      </w:pPr>
      <w:r w:rsidRPr="00611F4E">
        <w:rPr>
          <w:rFonts w:cs="Arial"/>
          <w:szCs w:val="24"/>
        </w:rPr>
        <w:t>En su comparación anual</w:t>
      </w:r>
      <w:r w:rsidR="00A816BB">
        <w:rPr>
          <w:rFonts w:cs="Arial"/>
          <w:szCs w:val="24"/>
        </w:rPr>
        <w:t xml:space="preserve"> y con cifras desestacionalizadas</w:t>
      </w:r>
      <w:r w:rsidRPr="00611F4E">
        <w:rPr>
          <w:rFonts w:cs="Arial"/>
          <w:szCs w:val="24"/>
        </w:rPr>
        <w:t xml:space="preserve">, el ITAB </w:t>
      </w:r>
      <w:r w:rsidR="009B1B2D">
        <w:rPr>
          <w:rFonts w:cs="Arial"/>
          <w:szCs w:val="24"/>
        </w:rPr>
        <w:t xml:space="preserve">avanzó </w:t>
      </w:r>
      <w:r w:rsidR="0062244A">
        <w:rPr>
          <w:rFonts w:cs="Arial"/>
          <w:szCs w:val="24"/>
        </w:rPr>
        <w:t>35.5</w:t>
      </w:r>
      <w:r w:rsidRPr="00611F4E">
        <w:rPr>
          <w:rFonts w:cs="Arial"/>
          <w:szCs w:val="24"/>
        </w:rPr>
        <w:t xml:space="preserve">% durante el </w:t>
      </w:r>
      <w:r w:rsidR="00A93796">
        <w:rPr>
          <w:rFonts w:cs="Arial"/>
          <w:szCs w:val="24"/>
        </w:rPr>
        <w:t>segundo</w:t>
      </w:r>
      <w:r w:rsidR="00D216D6">
        <w:rPr>
          <w:rFonts w:cs="Arial"/>
          <w:szCs w:val="24"/>
        </w:rPr>
        <w:t xml:space="preserve"> </w:t>
      </w:r>
      <w:r w:rsidRPr="00611F4E">
        <w:rPr>
          <w:rFonts w:cs="Arial"/>
          <w:szCs w:val="24"/>
        </w:rPr>
        <w:t xml:space="preserve">trimestre </w:t>
      </w:r>
      <w:r w:rsidR="00D216D6">
        <w:rPr>
          <w:rFonts w:cs="Arial"/>
          <w:szCs w:val="24"/>
        </w:rPr>
        <w:t>de este año</w:t>
      </w:r>
      <w:r w:rsidRPr="00611F4E">
        <w:rPr>
          <w:rFonts w:cs="Arial"/>
          <w:szCs w:val="24"/>
        </w:rPr>
        <w:t xml:space="preserve">. A su interior, el de la Economía Interna creció </w:t>
      </w:r>
      <w:r w:rsidR="0062244A">
        <w:rPr>
          <w:rFonts w:cs="Arial"/>
          <w:szCs w:val="24"/>
        </w:rPr>
        <w:t>52.5</w:t>
      </w:r>
      <w:r w:rsidRPr="00611F4E">
        <w:rPr>
          <w:rFonts w:cs="Arial"/>
          <w:szCs w:val="24"/>
        </w:rPr>
        <w:t xml:space="preserve"> por ciento.</w:t>
      </w:r>
    </w:p>
    <w:p w14:paraId="1BB0A62F" w14:textId="77777777" w:rsidR="00C177C7" w:rsidRPr="00615E5F" w:rsidRDefault="00C177C7" w:rsidP="00DA3BDB">
      <w:pPr>
        <w:pStyle w:val="Textoindependiente"/>
        <w:spacing w:before="120"/>
        <w:rPr>
          <w:rFonts w:cs="Arial"/>
          <w:b/>
          <w:i/>
          <w:sz w:val="26"/>
          <w:szCs w:val="26"/>
          <w:u w:val="single"/>
        </w:rPr>
      </w:pPr>
      <w:r w:rsidRPr="00615E5F">
        <w:rPr>
          <w:rFonts w:cs="Arial"/>
          <w:b/>
          <w:i/>
          <w:sz w:val="26"/>
          <w:szCs w:val="26"/>
          <w:u w:val="single"/>
        </w:rPr>
        <w:t xml:space="preserve">Cifras originales </w:t>
      </w:r>
    </w:p>
    <w:p w14:paraId="62E40BF3" w14:textId="77777777" w:rsidR="00C177C7" w:rsidRPr="0057720D" w:rsidRDefault="00C177C7" w:rsidP="00B025A1">
      <w:pPr>
        <w:widowControl/>
        <w:jc w:val="center"/>
        <w:rPr>
          <w:rFonts w:ascii="Arial" w:hAnsi="Arial" w:cs="Arial"/>
          <w:szCs w:val="22"/>
        </w:rPr>
      </w:pPr>
      <w:r>
        <w:rPr>
          <w:rFonts w:ascii="Arial" w:hAnsi="Arial" w:cs="Arial"/>
          <w:szCs w:val="22"/>
        </w:rPr>
        <w:t>Cuadro</w:t>
      </w:r>
      <w:r w:rsidRPr="0057720D">
        <w:rPr>
          <w:rFonts w:ascii="Arial" w:hAnsi="Arial" w:cs="Arial"/>
          <w:szCs w:val="22"/>
        </w:rPr>
        <w:t xml:space="preserve"> </w:t>
      </w:r>
      <w:r>
        <w:rPr>
          <w:rFonts w:ascii="Arial" w:hAnsi="Arial" w:cs="Arial"/>
          <w:szCs w:val="22"/>
        </w:rPr>
        <w:t>2</w:t>
      </w:r>
    </w:p>
    <w:p w14:paraId="420EF09B" w14:textId="77777777" w:rsidR="00DA3BDB" w:rsidRDefault="00C177C7" w:rsidP="00C177C7">
      <w:pPr>
        <w:pStyle w:val="titdoc"/>
        <w:widowControl w:val="0"/>
        <w:spacing w:before="0"/>
        <w:ind w:left="0" w:firstLine="0"/>
        <w:jc w:val="center"/>
        <w:rPr>
          <w:smallCaps/>
          <w:sz w:val="22"/>
        </w:rPr>
      </w:pPr>
      <w:r>
        <w:rPr>
          <w:smallCaps/>
          <w:sz w:val="22"/>
        </w:rPr>
        <w:t xml:space="preserve">Oferta y Demanda Global de bienes y servicios </w:t>
      </w:r>
      <w:r w:rsidR="00DA3BDB">
        <w:rPr>
          <w:smallCaps/>
          <w:sz w:val="22"/>
        </w:rPr>
        <w:t xml:space="preserve">por componentes </w:t>
      </w:r>
    </w:p>
    <w:p w14:paraId="61AB4FED" w14:textId="154DD127" w:rsidR="00C177C7" w:rsidRDefault="00C177C7" w:rsidP="00C177C7">
      <w:pPr>
        <w:pStyle w:val="titdoc"/>
        <w:widowControl w:val="0"/>
        <w:spacing w:before="0"/>
        <w:ind w:left="0" w:firstLine="0"/>
        <w:jc w:val="center"/>
        <w:rPr>
          <w:smallCaps/>
          <w:sz w:val="22"/>
        </w:rPr>
      </w:pPr>
      <w:r w:rsidRPr="00FB2B52">
        <w:rPr>
          <w:smallCaps/>
          <w:color w:val="000000"/>
          <w:sz w:val="22"/>
        </w:rPr>
        <w:t xml:space="preserve">al </w:t>
      </w:r>
      <w:r w:rsidR="00A93796">
        <w:rPr>
          <w:smallCaps/>
          <w:sz w:val="22"/>
        </w:rPr>
        <w:t>segundo</w:t>
      </w:r>
      <w:r w:rsidR="003C7EC1">
        <w:rPr>
          <w:smallCaps/>
          <w:sz w:val="22"/>
        </w:rPr>
        <w:t xml:space="preserve"> </w:t>
      </w:r>
      <w:r>
        <w:rPr>
          <w:smallCaps/>
          <w:sz w:val="22"/>
        </w:rPr>
        <w:t>trimestre de 2021</w:t>
      </w:r>
    </w:p>
    <w:p w14:paraId="04263176" w14:textId="77777777" w:rsidR="00C177C7" w:rsidRDefault="00C177C7" w:rsidP="00C177C7">
      <w:pPr>
        <w:pStyle w:val="titdoc"/>
        <w:keepNext/>
        <w:keepLines/>
        <w:spacing w:before="0"/>
        <w:ind w:left="851"/>
        <w:jc w:val="center"/>
        <w:rPr>
          <w:rFonts w:cs="Arial"/>
          <w:sz w:val="16"/>
          <w:szCs w:val="16"/>
        </w:rPr>
      </w:pPr>
      <w:r w:rsidRPr="00100026">
        <w:rPr>
          <w:b w:val="0"/>
          <w:sz w:val="18"/>
          <w:szCs w:val="18"/>
        </w:rPr>
        <w:t>(Variación porcentual real respecto al mismo periodo del año anterior)</w:t>
      </w:r>
      <w:r w:rsidRPr="00637CA1">
        <w:rPr>
          <w:rFonts w:cs="Arial"/>
          <w:b w:val="0"/>
          <w:sz w:val="18"/>
          <w:szCs w:val="18"/>
        </w:rPr>
        <w:t xml:space="preserve"> </w:t>
      </w:r>
    </w:p>
    <w:tbl>
      <w:tblPr>
        <w:tblW w:w="4737" w:type="pct"/>
        <w:jc w:val="center"/>
        <w:tblLayout w:type="fixed"/>
        <w:tblCellMar>
          <w:left w:w="70" w:type="dxa"/>
          <w:right w:w="70" w:type="dxa"/>
        </w:tblCellMar>
        <w:tblLook w:val="0000" w:firstRow="0" w:lastRow="0" w:firstColumn="0" w:lastColumn="0" w:noHBand="0" w:noVBand="0"/>
      </w:tblPr>
      <w:tblGrid>
        <w:gridCol w:w="2489"/>
        <w:gridCol w:w="853"/>
        <w:gridCol w:w="863"/>
        <w:gridCol w:w="994"/>
        <w:gridCol w:w="975"/>
        <w:gridCol w:w="975"/>
        <w:gridCol w:w="973"/>
      </w:tblGrid>
      <w:tr w:rsidR="00B17A65" w:rsidRPr="001C5A88" w14:paraId="26E5D0EE" w14:textId="0A1736BA" w:rsidTr="00B17A65">
        <w:trPr>
          <w:cantSplit/>
          <w:jc w:val="center"/>
        </w:trPr>
        <w:tc>
          <w:tcPr>
            <w:tcW w:w="1532" w:type="pct"/>
            <w:vMerge w:val="restart"/>
            <w:tcBorders>
              <w:top w:val="double" w:sz="6" w:space="0" w:color="auto"/>
              <w:left w:val="double" w:sz="6" w:space="0" w:color="auto"/>
              <w:right w:val="double" w:sz="6" w:space="0" w:color="auto"/>
            </w:tcBorders>
            <w:shd w:val="clear" w:color="auto" w:fill="C2D69B" w:themeFill="accent3" w:themeFillTint="99"/>
            <w:vAlign w:val="center"/>
          </w:tcPr>
          <w:p w14:paraId="484420BB" w14:textId="77777777" w:rsidR="00B17A65" w:rsidRPr="00DA3BDB" w:rsidRDefault="00B17A65" w:rsidP="00856F76">
            <w:pPr>
              <w:pStyle w:val="titdoc"/>
              <w:keepNext/>
              <w:keepLines/>
              <w:spacing w:before="20" w:after="20"/>
              <w:ind w:left="721" w:right="335" w:hanging="437"/>
              <w:jc w:val="center"/>
              <w:rPr>
                <w:rFonts w:cs="Arial"/>
                <w:bCs/>
                <w:color w:val="000000" w:themeColor="text1"/>
                <w:sz w:val="18"/>
                <w:szCs w:val="18"/>
              </w:rPr>
            </w:pPr>
            <w:r w:rsidRPr="00DA3BDB">
              <w:rPr>
                <w:rFonts w:cs="Arial"/>
                <w:bCs/>
                <w:color w:val="000000" w:themeColor="text1"/>
                <w:sz w:val="18"/>
                <w:szCs w:val="18"/>
              </w:rPr>
              <w:t>Conceptos</w:t>
            </w:r>
          </w:p>
        </w:tc>
        <w:tc>
          <w:tcPr>
            <w:tcW w:w="1668" w:type="pct"/>
            <w:gridSpan w:val="3"/>
            <w:tcBorders>
              <w:top w:val="double" w:sz="6" w:space="0" w:color="auto"/>
              <w:left w:val="double" w:sz="6" w:space="0" w:color="auto"/>
              <w:bottom w:val="single" w:sz="4" w:space="0" w:color="auto"/>
              <w:right w:val="double" w:sz="6" w:space="0" w:color="auto"/>
            </w:tcBorders>
            <w:shd w:val="clear" w:color="auto" w:fill="C2D69B" w:themeFill="accent3" w:themeFillTint="99"/>
            <w:vAlign w:val="center"/>
          </w:tcPr>
          <w:p w14:paraId="78A88DDB" w14:textId="57B71451" w:rsidR="00B17A65" w:rsidRPr="00DA3BDB" w:rsidRDefault="00B17A65" w:rsidP="00856F76">
            <w:pPr>
              <w:pStyle w:val="numero1"/>
              <w:keepNext/>
              <w:keepLines/>
              <w:spacing w:before="20" w:after="20"/>
              <w:ind w:left="0" w:firstLine="0"/>
              <w:jc w:val="center"/>
              <w:rPr>
                <w:rFonts w:cs="Arial"/>
                <w:b/>
                <w:bCs/>
                <w:color w:val="000000" w:themeColor="text1"/>
                <w:sz w:val="18"/>
                <w:szCs w:val="18"/>
              </w:rPr>
            </w:pPr>
            <w:r w:rsidRPr="00DA3BDB">
              <w:rPr>
                <w:rFonts w:cs="Arial"/>
                <w:b/>
                <w:bCs/>
                <w:color w:val="000000" w:themeColor="text1"/>
                <w:sz w:val="18"/>
                <w:szCs w:val="18"/>
              </w:rPr>
              <w:t>2020</w:t>
            </w:r>
            <w:r w:rsidR="00D428DC">
              <w:rPr>
                <w:rFonts w:cs="Arial"/>
                <w:b/>
                <w:bCs/>
                <w:color w:val="000000" w:themeColor="text1"/>
                <w:sz w:val="18"/>
                <w:szCs w:val="18"/>
                <w:vertAlign w:val="superscript"/>
              </w:rPr>
              <w:t>P/</w:t>
            </w:r>
          </w:p>
        </w:tc>
        <w:tc>
          <w:tcPr>
            <w:tcW w:w="1799" w:type="pct"/>
            <w:gridSpan w:val="3"/>
            <w:tcBorders>
              <w:top w:val="double" w:sz="6" w:space="0" w:color="auto"/>
              <w:left w:val="double" w:sz="6" w:space="0" w:color="auto"/>
              <w:bottom w:val="single" w:sz="4" w:space="0" w:color="auto"/>
              <w:right w:val="double" w:sz="6" w:space="0" w:color="auto"/>
            </w:tcBorders>
            <w:shd w:val="clear" w:color="auto" w:fill="C2D69B" w:themeFill="accent3" w:themeFillTint="99"/>
          </w:tcPr>
          <w:p w14:paraId="379B371E" w14:textId="7BAFC53C" w:rsidR="00B17A65" w:rsidRPr="00DA3BDB" w:rsidRDefault="00B17A65" w:rsidP="00856F76">
            <w:pPr>
              <w:pStyle w:val="numero1"/>
              <w:keepNext/>
              <w:keepLines/>
              <w:spacing w:before="20" w:after="20"/>
              <w:ind w:left="0" w:firstLine="0"/>
              <w:jc w:val="center"/>
              <w:rPr>
                <w:rFonts w:cs="Arial"/>
                <w:b/>
                <w:bCs/>
                <w:color w:val="000000" w:themeColor="text1"/>
                <w:sz w:val="18"/>
                <w:szCs w:val="18"/>
              </w:rPr>
            </w:pPr>
            <w:r w:rsidRPr="00DA3BDB">
              <w:rPr>
                <w:rFonts w:cs="Arial"/>
                <w:b/>
                <w:bCs/>
                <w:color w:val="000000" w:themeColor="text1"/>
                <w:sz w:val="18"/>
                <w:szCs w:val="18"/>
              </w:rPr>
              <w:t>2021</w:t>
            </w:r>
            <w:r w:rsidR="00B025A1" w:rsidRPr="00B025A1">
              <w:rPr>
                <w:rFonts w:cs="Arial"/>
                <w:b/>
                <w:bCs/>
                <w:color w:val="000000" w:themeColor="text1"/>
                <w:sz w:val="18"/>
                <w:szCs w:val="18"/>
                <w:vertAlign w:val="superscript"/>
              </w:rPr>
              <w:t>R/</w:t>
            </w:r>
          </w:p>
        </w:tc>
      </w:tr>
      <w:tr w:rsidR="00B17A65" w:rsidRPr="001C5A88" w14:paraId="0F211D60" w14:textId="589E408E" w:rsidTr="00B17A65">
        <w:trPr>
          <w:cantSplit/>
          <w:jc w:val="center"/>
        </w:trPr>
        <w:tc>
          <w:tcPr>
            <w:tcW w:w="1532" w:type="pct"/>
            <w:vMerge/>
            <w:tcBorders>
              <w:left w:val="double" w:sz="6" w:space="0" w:color="auto"/>
              <w:right w:val="double" w:sz="6" w:space="0" w:color="auto"/>
            </w:tcBorders>
            <w:shd w:val="clear" w:color="auto" w:fill="C2D69B" w:themeFill="accent3" w:themeFillTint="99"/>
            <w:vAlign w:val="center"/>
          </w:tcPr>
          <w:p w14:paraId="598D1067" w14:textId="77777777" w:rsidR="00B17A65" w:rsidRPr="00DA3BDB" w:rsidRDefault="00B17A65" w:rsidP="00856F76">
            <w:pPr>
              <w:pStyle w:val="numero1"/>
              <w:keepNext/>
              <w:keepLines/>
              <w:spacing w:before="20" w:after="20"/>
              <w:ind w:left="284" w:hanging="434"/>
              <w:jc w:val="center"/>
              <w:rPr>
                <w:rFonts w:cs="Arial"/>
                <w:b/>
                <w:bCs/>
                <w:color w:val="000000" w:themeColor="text1"/>
                <w:sz w:val="18"/>
              </w:rPr>
            </w:pPr>
          </w:p>
        </w:tc>
        <w:tc>
          <w:tcPr>
            <w:tcW w:w="1056" w:type="pct"/>
            <w:gridSpan w:val="2"/>
            <w:tcBorders>
              <w:top w:val="single" w:sz="4" w:space="0" w:color="auto"/>
              <w:left w:val="double" w:sz="6" w:space="0" w:color="auto"/>
              <w:bottom w:val="single" w:sz="4" w:space="0" w:color="auto"/>
              <w:right w:val="single" w:sz="4" w:space="0" w:color="auto"/>
            </w:tcBorders>
            <w:shd w:val="clear" w:color="auto" w:fill="C2D69B" w:themeFill="accent3" w:themeFillTint="99"/>
            <w:vAlign w:val="center"/>
          </w:tcPr>
          <w:p w14:paraId="13BB265F" w14:textId="1592DC9A" w:rsidR="00B17A65" w:rsidRPr="00DA3BDB" w:rsidRDefault="00B17A65" w:rsidP="00856F76">
            <w:pPr>
              <w:pStyle w:val="numero1"/>
              <w:keepNext/>
              <w:keepLines/>
              <w:spacing w:before="20" w:after="20"/>
              <w:ind w:left="-62" w:right="-34" w:firstLine="0"/>
              <w:jc w:val="center"/>
              <w:rPr>
                <w:rFonts w:cs="Arial"/>
                <w:b/>
                <w:bCs/>
                <w:color w:val="000000" w:themeColor="text1"/>
                <w:sz w:val="18"/>
              </w:rPr>
            </w:pPr>
            <w:r w:rsidRPr="00DA3BDB">
              <w:rPr>
                <w:rFonts w:cs="Arial"/>
                <w:b/>
                <w:bCs/>
                <w:color w:val="000000" w:themeColor="text1"/>
                <w:sz w:val="18"/>
              </w:rPr>
              <w:t>Trimestre</w:t>
            </w:r>
          </w:p>
        </w:tc>
        <w:tc>
          <w:tcPr>
            <w:tcW w:w="612" w:type="pct"/>
            <w:vMerge w:val="restart"/>
            <w:tcBorders>
              <w:top w:val="single" w:sz="4" w:space="0" w:color="auto"/>
              <w:left w:val="single" w:sz="4" w:space="0" w:color="auto"/>
              <w:right w:val="double" w:sz="6" w:space="0" w:color="auto"/>
            </w:tcBorders>
            <w:shd w:val="clear" w:color="auto" w:fill="C2D69B" w:themeFill="accent3" w:themeFillTint="99"/>
            <w:vAlign w:val="center"/>
          </w:tcPr>
          <w:p w14:paraId="0DBBD405" w14:textId="77777777" w:rsidR="00B17A65" w:rsidRPr="00DA3BDB" w:rsidRDefault="00B17A65" w:rsidP="00856F76">
            <w:pPr>
              <w:pStyle w:val="numero1"/>
              <w:keepNext/>
              <w:keepLines/>
              <w:spacing w:before="20" w:after="20"/>
              <w:ind w:left="-62" w:right="-34" w:firstLine="0"/>
              <w:jc w:val="center"/>
              <w:rPr>
                <w:rFonts w:cs="Arial"/>
                <w:b/>
                <w:bCs/>
                <w:color w:val="000000" w:themeColor="text1"/>
                <w:sz w:val="18"/>
              </w:rPr>
            </w:pPr>
            <w:r w:rsidRPr="00DA3BDB">
              <w:rPr>
                <w:rFonts w:cs="Arial"/>
                <w:b/>
                <w:bCs/>
                <w:color w:val="000000" w:themeColor="text1"/>
                <w:sz w:val="18"/>
              </w:rPr>
              <w:t>Anual</w:t>
            </w:r>
          </w:p>
        </w:tc>
        <w:tc>
          <w:tcPr>
            <w:tcW w:w="1200" w:type="pct"/>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CA020A7" w14:textId="4B50D52A" w:rsidR="00B17A65" w:rsidRPr="00DA3BDB" w:rsidRDefault="00B17A65" w:rsidP="00856F76">
            <w:pPr>
              <w:pStyle w:val="numero1"/>
              <w:keepNext/>
              <w:keepLines/>
              <w:spacing w:before="20" w:after="20"/>
              <w:ind w:left="-62" w:right="-34" w:firstLine="0"/>
              <w:jc w:val="center"/>
              <w:rPr>
                <w:rFonts w:cs="Arial"/>
                <w:b/>
                <w:bCs/>
                <w:color w:val="000000" w:themeColor="text1"/>
                <w:sz w:val="18"/>
              </w:rPr>
            </w:pPr>
            <w:r w:rsidRPr="00DA3BDB">
              <w:rPr>
                <w:rFonts w:cs="Arial"/>
                <w:b/>
                <w:bCs/>
                <w:color w:val="000000" w:themeColor="text1"/>
                <w:sz w:val="18"/>
              </w:rPr>
              <w:t>Trimestre</w:t>
            </w:r>
          </w:p>
        </w:tc>
        <w:tc>
          <w:tcPr>
            <w:tcW w:w="599" w:type="pct"/>
            <w:vMerge w:val="restart"/>
            <w:tcBorders>
              <w:top w:val="single" w:sz="4" w:space="0" w:color="auto"/>
              <w:left w:val="single" w:sz="4" w:space="0" w:color="auto"/>
              <w:bottom w:val="double" w:sz="6" w:space="0" w:color="auto"/>
              <w:right w:val="double" w:sz="6" w:space="0" w:color="auto"/>
            </w:tcBorders>
            <w:shd w:val="clear" w:color="auto" w:fill="C2D69B" w:themeFill="accent3" w:themeFillTint="99"/>
          </w:tcPr>
          <w:p w14:paraId="4A8B3F03" w14:textId="77777777" w:rsidR="00B17A65" w:rsidRDefault="00B17A65" w:rsidP="00856F76">
            <w:pPr>
              <w:pStyle w:val="numero1"/>
              <w:keepNext/>
              <w:keepLines/>
              <w:spacing w:before="20" w:after="20"/>
              <w:ind w:left="-62" w:right="-34" w:firstLine="0"/>
              <w:jc w:val="center"/>
              <w:rPr>
                <w:rFonts w:cs="Arial"/>
                <w:b/>
                <w:bCs/>
                <w:color w:val="000000" w:themeColor="text1"/>
                <w:sz w:val="18"/>
              </w:rPr>
            </w:pPr>
            <w:r>
              <w:rPr>
                <w:rFonts w:cs="Arial"/>
                <w:b/>
                <w:bCs/>
                <w:color w:val="000000" w:themeColor="text1"/>
                <w:sz w:val="18"/>
              </w:rPr>
              <w:t>6</w:t>
            </w:r>
          </w:p>
          <w:p w14:paraId="4A1F6C70" w14:textId="03138057" w:rsidR="00B17A65" w:rsidRPr="00B17A65" w:rsidRDefault="00B17A65" w:rsidP="005C70D6">
            <w:pPr>
              <w:pStyle w:val="numero1"/>
              <w:keepNext/>
              <w:keepLines/>
              <w:spacing w:before="20" w:after="20"/>
              <w:ind w:left="-62" w:right="-34" w:firstLine="0"/>
              <w:jc w:val="center"/>
              <w:rPr>
                <w:rFonts w:cs="Arial"/>
              </w:rPr>
            </w:pPr>
            <w:r w:rsidRPr="005C70D6">
              <w:rPr>
                <w:rFonts w:cs="Arial"/>
                <w:b/>
                <w:bCs/>
                <w:color w:val="000000" w:themeColor="text1"/>
                <w:sz w:val="18"/>
              </w:rPr>
              <w:t>Meses</w:t>
            </w:r>
          </w:p>
        </w:tc>
      </w:tr>
      <w:tr w:rsidR="00B17A65" w:rsidRPr="001C5A88" w14:paraId="33DC1AB4" w14:textId="328FF142" w:rsidTr="00B17A65">
        <w:trPr>
          <w:cantSplit/>
          <w:jc w:val="center"/>
        </w:trPr>
        <w:tc>
          <w:tcPr>
            <w:tcW w:w="1532" w:type="pct"/>
            <w:vMerge/>
            <w:tcBorders>
              <w:left w:val="double" w:sz="6" w:space="0" w:color="auto"/>
              <w:bottom w:val="double" w:sz="6" w:space="0" w:color="auto"/>
              <w:right w:val="double" w:sz="6" w:space="0" w:color="auto"/>
            </w:tcBorders>
            <w:shd w:val="clear" w:color="auto" w:fill="C2D69B" w:themeFill="accent3" w:themeFillTint="99"/>
            <w:vAlign w:val="center"/>
          </w:tcPr>
          <w:p w14:paraId="0470B53C" w14:textId="77777777" w:rsidR="00B17A65" w:rsidRPr="00DA3BDB" w:rsidRDefault="00B17A65" w:rsidP="00856F76">
            <w:pPr>
              <w:pStyle w:val="numero1"/>
              <w:keepNext/>
              <w:keepLines/>
              <w:spacing w:before="20" w:after="20"/>
              <w:ind w:left="284" w:hanging="434"/>
              <w:jc w:val="center"/>
              <w:rPr>
                <w:rFonts w:cs="Arial"/>
                <w:b/>
                <w:bCs/>
                <w:color w:val="000000" w:themeColor="text1"/>
                <w:sz w:val="18"/>
              </w:rPr>
            </w:pPr>
          </w:p>
        </w:tc>
        <w:tc>
          <w:tcPr>
            <w:tcW w:w="525" w:type="pct"/>
            <w:tcBorders>
              <w:left w:val="single" w:sz="4" w:space="0" w:color="auto"/>
              <w:bottom w:val="double" w:sz="6" w:space="0" w:color="auto"/>
              <w:right w:val="single" w:sz="4" w:space="0" w:color="auto"/>
            </w:tcBorders>
            <w:shd w:val="clear" w:color="auto" w:fill="C2D69B" w:themeFill="accent3" w:themeFillTint="99"/>
            <w:vAlign w:val="bottom"/>
          </w:tcPr>
          <w:p w14:paraId="3B1823A4" w14:textId="77777777" w:rsidR="00B17A65" w:rsidRPr="00DA3BDB" w:rsidRDefault="00B17A65" w:rsidP="00856F76">
            <w:pPr>
              <w:pStyle w:val="numero1"/>
              <w:keepNext/>
              <w:keepLines/>
              <w:spacing w:before="20" w:after="20"/>
              <w:ind w:left="2" w:hanging="2"/>
              <w:jc w:val="center"/>
              <w:rPr>
                <w:rFonts w:cs="Arial"/>
                <w:b/>
                <w:bCs/>
                <w:color w:val="000000" w:themeColor="text1"/>
                <w:sz w:val="18"/>
              </w:rPr>
            </w:pPr>
            <w:r w:rsidRPr="00DA3BDB">
              <w:rPr>
                <w:rFonts w:cs="Arial"/>
                <w:b/>
                <w:bCs/>
                <w:color w:val="000000" w:themeColor="text1"/>
                <w:sz w:val="18"/>
              </w:rPr>
              <w:t>III</w:t>
            </w:r>
          </w:p>
        </w:tc>
        <w:tc>
          <w:tcPr>
            <w:tcW w:w="531" w:type="pct"/>
            <w:tcBorders>
              <w:left w:val="single" w:sz="4" w:space="0" w:color="auto"/>
              <w:bottom w:val="double" w:sz="6" w:space="0" w:color="auto"/>
              <w:right w:val="single" w:sz="4" w:space="0" w:color="auto"/>
            </w:tcBorders>
            <w:shd w:val="clear" w:color="auto" w:fill="C2D69B" w:themeFill="accent3" w:themeFillTint="99"/>
            <w:vAlign w:val="center"/>
          </w:tcPr>
          <w:p w14:paraId="281C24CB" w14:textId="77777777" w:rsidR="00B17A65" w:rsidRPr="00DA3BDB" w:rsidRDefault="00B17A65" w:rsidP="00856F76">
            <w:pPr>
              <w:pStyle w:val="numero1"/>
              <w:keepNext/>
              <w:keepLines/>
              <w:spacing w:before="20" w:after="20"/>
              <w:ind w:left="2" w:hanging="2"/>
              <w:jc w:val="center"/>
              <w:rPr>
                <w:rFonts w:cs="Arial"/>
                <w:b/>
                <w:bCs/>
                <w:color w:val="000000" w:themeColor="text1"/>
                <w:sz w:val="18"/>
              </w:rPr>
            </w:pPr>
            <w:r w:rsidRPr="00DA3BDB">
              <w:rPr>
                <w:rFonts w:cs="Arial"/>
                <w:b/>
                <w:bCs/>
                <w:color w:val="000000" w:themeColor="text1"/>
                <w:sz w:val="18"/>
              </w:rPr>
              <w:t>IV</w:t>
            </w:r>
          </w:p>
        </w:tc>
        <w:tc>
          <w:tcPr>
            <w:tcW w:w="612" w:type="pct"/>
            <w:vMerge/>
            <w:tcBorders>
              <w:top w:val="single" w:sz="4" w:space="0" w:color="auto"/>
              <w:left w:val="single" w:sz="4" w:space="0" w:color="auto"/>
              <w:bottom w:val="double" w:sz="6" w:space="0" w:color="auto"/>
              <w:right w:val="double" w:sz="6" w:space="0" w:color="auto"/>
            </w:tcBorders>
            <w:shd w:val="clear" w:color="auto" w:fill="C2D69B" w:themeFill="accent3" w:themeFillTint="99"/>
            <w:vAlign w:val="center"/>
          </w:tcPr>
          <w:p w14:paraId="5ABC4DE5" w14:textId="77777777" w:rsidR="00B17A65" w:rsidRPr="00DA3BDB" w:rsidRDefault="00B17A65" w:rsidP="00856F76">
            <w:pPr>
              <w:pStyle w:val="numero1"/>
              <w:keepNext/>
              <w:keepLines/>
              <w:spacing w:before="20" w:after="20"/>
              <w:ind w:left="2" w:hanging="2"/>
              <w:jc w:val="center"/>
              <w:rPr>
                <w:rFonts w:cs="Arial"/>
                <w:b/>
                <w:bCs/>
                <w:color w:val="000000" w:themeColor="text1"/>
                <w:sz w:val="18"/>
              </w:rPr>
            </w:pPr>
          </w:p>
        </w:tc>
        <w:tc>
          <w:tcPr>
            <w:tcW w:w="600" w:type="pct"/>
            <w:tcBorders>
              <w:top w:val="single" w:sz="4" w:space="0" w:color="auto"/>
              <w:left w:val="single" w:sz="4" w:space="0" w:color="auto"/>
              <w:bottom w:val="double" w:sz="6" w:space="0" w:color="auto"/>
              <w:right w:val="single" w:sz="4" w:space="0" w:color="auto"/>
            </w:tcBorders>
            <w:shd w:val="clear" w:color="auto" w:fill="C2D69B" w:themeFill="accent3" w:themeFillTint="99"/>
            <w:vAlign w:val="center"/>
          </w:tcPr>
          <w:p w14:paraId="05053558" w14:textId="77777777" w:rsidR="00B17A65" w:rsidRPr="00DA3BDB" w:rsidRDefault="00B17A65" w:rsidP="00856F76">
            <w:pPr>
              <w:pStyle w:val="numero1"/>
              <w:keepNext/>
              <w:keepLines/>
              <w:spacing w:before="20" w:after="20"/>
              <w:ind w:left="2" w:hanging="2"/>
              <w:jc w:val="center"/>
              <w:rPr>
                <w:rFonts w:cs="Arial"/>
                <w:b/>
                <w:bCs/>
                <w:color w:val="000000" w:themeColor="text1"/>
                <w:sz w:val="18"/>
              </w:rPr>
            </w:pPr>
            <w:r w:rsidRPr="00DA3BDB">
              <w:rPr>
                <w:rFonts w:cs="Arial"/>
                <w:b/>
                <w:bCs/>
                <w:color w:val="000000" w:themeColor="text1"/>
                <w:sz w:val="18"/>
              </w:rPr>
              <w:t>I</w:t>
            </w:r>
          </w:p>
        </w:tc>
        <w:tc>
          <w:tcPr>
            <w:tcW w:w="600" w:type="pct"/>
            <w:tcBorders>
              <w:top w:val="single" w:sz="4" w:space="0" w:color="auto"/>
              <w:left w:val="single" w:sz="4" w:space="0" w:color="auto"/>
              <w:bottom w:val="double" w:sz="6" w:space="0" w:color="auto"/>
              <w:right w:val="single" w:sz="4" w:space="0" w:color="auto"/>
            </w:tcBorders>
            <w:shd w:val="clear" w:color="auto" w:fill="C2D69B" w:themeFill="accent3" w:themeFillTint="99"/>
          </w:tcPr>
          <w:p w14:paraId="7D27972C" w14:textId="382AB81F" w:rsidR="00B17A65" w:rsidRPr="00DA3BDB" w:rsidRDefault="00B17A65" w:rsidP="00856F76">
            <w:pPr>
              <w:pStyle w:val="numero1"/>
              <w:keepNext/>
              <w:keepLines/>
              <w:spacing w:before="20" w:after="20"/>
              <w:ind w:left="2" w:hanging="2"/>
              <w:jc w:val="center"/>
              <w:rPr>
                <w:rFonts w:cs="Arial"/>
                <w:b/>
                <w:bCs/>
                <w:color w:val="000000" w:themeColor="text1"/>
                <w:sz w:val="18"/>
              </w:rPr>
            </w:pPr>
            <w:r>
              <w:rPr>
                <w:rFonts w:cs="Arial"/>
                <w:b/>
                <w:bCs/>
                <w:color w:val="000000" w:themeColor="text1"/>
                <w:sz w:val="18"/>
              </w:rPr>
              <w:t>I</w:t>
            </w:r>
            <w:r w:rsidR="00474FFB">
              <w:rPr>
                <w:rFonts w:cs="Arial"/>
                <w:b/>
                <w:bCs/>
                <w:color w:val="000000" w:themeColor="text1"/>
                <w:sz w:val="18"/>
              </w:rPr>
              <w:t>I</w:t>
            </w:r>
            <w:r w:rsidR="00474FFB" w:rsidRPr="00DA3BDB">
              <w:rPr>
                <w:rFonts w:cs="Arial"/>
                <w:b/>
                <w:bCs/>
                <w:color w:val="000000" w:themeColor="text1"/>
                <w:sz w:val="18"/>
                <w:szCs w:val="18"/>
                <w:vertAlign w:val="superscript"/>
              </w:rPr>
              <w:t>P/</w:t>
            </w:r>
          </w:p>
        </w:tc>
        <w:tc>
          <w:tcPr>
            <w:tcW w:w="599" w:type="pct"/>
            <w:vMerge/>
            <w:tcBorders>
              <w:left w:val="single" w:sz="4" w:space="0" w:color="auto"/>
              <w:bottom w:val="double" w:sz="6" w:space="0" w:color="auto"/>
              <w:right w:val="double" w:sz="6" w:space="0" w:color="auto"/>
            </w:tcBorders>
            <w:shd w:val="clear" w:color="auto" w:fill="C2D69B" w:themeFill="accent3" w:themeFillTint="99"/>
          </w:tcPr>
          <w:p w14:paraId="57275262" w14:textId="77777777" w:rsidR="00B17A65" w:rsidRPr="00DA3BDB" w:rsidRDefault="00B17A65" w:rsidP="00856F76">
            <w:pPr>
              <w:pStyle w:val="numero1"/>
              <w:keepNext/>
              <w:keepLines/>
              <w:spacing w:before="20" w:after="20"/>
              <w:ind w:left="2" w:hanging="2"/>
              <w:jc w:val="center"/>
              <w:rPr>
                <w:rFonts w:cs="Arial"/>
                <w:b/>
                <w:bCs/>
                <w:color w:val="000000" w:themeColor="text1"/>
                <w:sz w:val="18"/>
              </w:rPr>
            </w:pPr>
          </w:p>
        </w:tc>
      </w:tr>
      <w:tr w:rsidR="00B17A65" w:rsidRPr="001C5A88" w14:paraId="71F7BD02" w14:textId="1A90588A" w:rsidTr="00B17A65">
        <w:trPr>
          <w:cantSplit/>
          <w:jc w:val="center"/>
        </w:trPr>
        <w:tc>
          <w:tcPr>
            <w:tcW w:w="1532" w:type="pct"/>
            <w:tcBorders>
              <w:left w:val="double" w:sz="6" w:space="0" w:color="auto"/>
              <w:right w:val="double" w:sz="6" w:space="0" w:color="auto"/>
            </w:tcBorders>
            <w:shd w:val="clear" w:color="auto" w:fill="auto"/>
          </w:tcPr>
          <w:p w14:paraId="1DF94BE7" w14:textId="77777777" w:rsidR="00B17A65" w:rsidRPr="004260E6" w:rsidRDefault="00B17A65" w:rsidP="00B17A65">
            <w:pPr>
              <w:pStyle w:val="numero1"/>
              <w:widowControl w:val="0"/>
              <w:spacing w:before="120" w:after="20"/>
              <w:ind w:left="170" w:firstLine="0"/>
              <w:jc w:val="left"/>
              <w:rPr>
                <w:rFonts w:cs="Arial"/>
                <w:sz w:val="18"/>
              </w:rPr>
            </w:pPr>
            <w:r w:rsidRPr="004260E6">
              <w:rPr>
                <w:rFonts w:cs="Arial"/>
                <w:sz w:val="18"/>
              </w:rPr>
              <w:t>Producto Interno Bruto</w:t>
            </w:r>
          </w:p>
        </w:tc>
        <w:tc>
          <w:tcPr>
            <w:tcW w:w="525" w:type="pct"/>
            <w:tcBorders>
              <w:top w:val="double" w:sz="6" w:space="0" w:color="auto"/>
            </w:tcBorders>
            <w:shd w:val="clear" w:color="auto" w:fill="auto"/>
            <w:vAlign w:val="center"/>
          </w:tcPr>
          <w:p w14:paraId="234A8FF3" w14:textId="77777777" w:rsidR="00B17A65" w:rsidRPr="004260E6" w:rsidRDefault="00B17A65" w:rsidP="00B17A65">
            <w:pPr>
              <w:tabs>
                <w:tab w:val="decimal" w:pos="370"/>
              </w:tabs>
              <w:spacing w:before="120"/>
              <w:ind w:right="57"/>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xml:space="preserve">)   </w:t>
            </w:r>
            <w:proofErr w:type="gramEnd"/>
            <w:r>
              <w:rPr>
                <w:rFonts w:ascii="Arial" w:hAnsi="Arial" w:cs="Arial"/>
                <w:sz w:val="18"/>
                <w:szCs w:val="18"/>
              </w:rPr>
              <w:t xml:space="preserve"> 8.7</w:t>
            </w:r>
          </w:p>
        </w:tc>
        <w:tc>
          <w:tcPr>
            <w:tcW w:w="531" w:type="pct"/>
            <w:tcBorders>
              <w:top w:val="double" w:sz="6" w:space="0" w:color="auto"/>
            </w:tcBorders>
            <w:shd w:val="clear" w:color="auto" w:fill="auto"/>
            <w:vAlign w:val="center"/>
          </w:tcPr>
          <w:p w14:paraId="7E813072" w14:textId="77777777" w:rsidR="00B17A65" w:rsidRDefault="00B17A65" w:rsidP="00B17A65">
            <w:pPr>
              <w:tabs>
                <w:tab w:val="decimal" w:pos="370"/>
              </w:tabs>
              <w:spacing w:before="120"/>
              <w:ind w:right="57"/>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xml:space="preserve">)   </w:t>
            </w:r>
            <w:proofErr w:type="gramEnd"/>
            <w:r>
              <w:rPr>
                <w:rFonts w:ascii="Arial" w:hAnsi="Arial" w:cs="Arial"/>
                <w:sz w:val="18"/>
                <w:szCs w:val="18"/>
              </w:rPr>
              <w:t xml:space="preserve"> 4.5</w:t>
            </w:r>
          </w:p>
        </w:tc>
        <w:tc>
          <w:tcPr>
            <w:tcW w:w="612" w:type="pct"/>
            <w:tcBorders>
              <w:top w:val="double" w:sz="6" w:space="0" w:color="auto"/>
              <w:right w:val="double" w:sz="6" w:space="0" w:color="auto"/>
            </w:tcBorders>
            <w:shd w:val="clear" w:color="auto" w:fill="auto"/>
            <w:vAlign w:val="center"/>
          </w:tcPr>
          <w:p w14:paraId="3D2C7715" w14:textId="77777777" w:rsidR="00B17A65" w:rsidRPr="004260E6" w:rsidRDefault="00B17A65" w:rsidP="00B17A65">
            <w:pPr>
              <w:tabs>
                <w:tab w:val="decimal" w:pos="370"/>
              </w:tabs>
              <w:spacing w:before="120"/>
              <w:ind w:right="113"/>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xml:space="preserve">)   </w:t>
            </w:r>
            <w:proofErr w:type="gramEnd"/>
            <w:r>
              <w:rPr>
                <w:rFonts w:ascii="Arial" w:hAnsi="Arial" w:cs="Arial"/>
                <w:sz w:val="18"/>
                <w:szCs w:val="18"/>
              </w:rPr>
              <w:t xml:space="preserve"> 8.3</w:t>
            </w:r>
          </w:p>
        </w:tc>
        <w:tc>
          <w:tcPr>
            <w:tcW w:w="600" w:type="pct"/>
            <w:tcBorders>
              <w:top w:val="double" w:sz="6" w:space="0" w:color="auto"/>
            </w:tcBorders>
            <w:shd w:val="clear" w:color="auto" w:fill="auto"/>
            <w:vAlign w:val="center"/>
          </w:tcPr>
          <w:p w14:paraId="6DE1293B" w14:textId="77777777" w:rsidR="00B17A65" w:rsidRDefault="00B17A65" w:rsidP="00B17A65">
            <w:pPr>
              <w:tabs>
                <w:tab w:val="decimal" w:pos="370"/>
              </w:tabs>
              <w:spacing w:before="120"/>
              <w:ind w:right="113"/>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3</w:t>
            </w:r>
            <w:proofErr w:type="gramEnd"/>
            <w:r>
              <w:rPr>
                <w:rFonts w:ascii="Arial" w:hAnsi="Arial" w:cs="Arial"/>
                <w:sz w:val="18"/>
                <w:szCs w:val="18"/>
              </w:rPr>
              <w:t>.6</w:t>
            </w:r>
          </w:p>
        </w:tc>
        <w:tc>
          <w:tcPr>
            <w:tcW w:w="600" w:type="pct"/>
            <w:tcBorders>
              <w:top w:val="double" w:sz="6" w:space="0" w:color="auto"/>
              <w:left w:val="nil"/>
            </w:tcBorders>
            <w:vAlign w:val="center"/>
          </w:tcPr>
          <w:p w14:paraId="7E590C87" w14:textId="4EA95138" w:rsidR="00B17A65" w:rsidRDefault="00D22E20" w:rsidP="00B17A65">
            <w:pPr>
              <w:tabs>
                <w:tab w:val="decimal" w:pos="370"/>
              </w:tabs>
              <w:spacing w:before="120"/>
              <w:ind w:right="113"/>
              <w:jc w:val="right"/>
              <w:rPr>
                <w:rFonts w:ascii="Arial" w:hAnsi="Arial" w:cs="Arial"/>
                <w:sz w:val="18"/>
                <w:szCs w:val="18"/>
              </w:rPr>
            </w:pPr>
            <w:r>
              <w:rPr>
                <w:rFonts w:ascii="Arial" w:hAnsi="Arial" w:cs="Arial"/>
                <w:sz w:val="18"/>
                <w:szCs w:val="18"/>
              </w:rPr>
              <w:t>19</w:t>
            </w:r>
            <w:r w:rsidR="00B17A65">
              <w:rPr>
                <w:rFonts w:ascii="Arial" w:hAnsi="Arial" w:cs="Arial"/>
                <w:sz w:val="18"/>
                <w:szCs w:val="18"/>
              </w:rPr>
              <w:t>.6</w:t>
            </w:r>
          </w:p>
        </w:tc>
        <w:tc>
          <w:tcPr>
            <w:tcW w:w="599" w:type="pct"/>
            <w:tcBorders>
              <w:top w:val="double" w:sz="6" w:space="0" w:color="auto"/>
              <w:left w:val="nil"/>
              <w:right w:val="double" w:sz="6" w:space="0" w:color="auto"/>
            </w:tcBorders>
            <w:vAlign w:val="center"/>
          </w:tcPr>
          <w:p w14:paraId="2EA15EEE" w14:textId="1C0B05E2" w:rsidR="00B17A65" w:rsidRDefault="00D22E20" w:rsidP="00474FFB">
            <w:pPr>
              <w:tabs>
                <w:tab w:val="decimal" w:pos="370"/>
              </w:tabs>
              <w:spacing w:before="120"/>
              <w:ind w:right="227"/>
              <w:jc w:val="right"/>
              <w:rPr>
                <w:rFonts w:ascii="Arial" w:hAnsi="Arial" w:cs="Arial"/>
                <w:sz w:val="18"/>
                <w:szCs w:val="18"/>
              </w:rPr>
            </w:pPr>
            <w:r>
              <w:rPr>
                <w:rFonts w:ascii="Arial" w:hAnsi="Arial" w:cs="Arial"/>
                <w:sz w:val="18"/>
                <w:szCs w:val="18"/>
              </w:rPr>
              <w:t>6.9</w:t>
            </w:r>
          </w:p>
        </w:tc>
      </w:tr>
      <w:tr w:rsidR="00B17A65" w:rsidRPr="001C5A88" w14:paraId="68922C14" w14:textId="7FC39E28" w:rsidTr="00B17A65">
        <w:trPr>
          <w:cantSplit/>
          <w:jc w:val="center"/>
        </w:trPr>
        <w:tc>
          <w:tcPr>
            <w:tcW w:w="1532" w:type="pct"/>
            <w:tcBorders>
              <w:left w:val="double" w:sz="6" w:space="0" w:color="auto"/>
              <w:right w:val="double" w:sz="6" w:space="0" w:color="auto"/>
            </w:tcBorders>
            <w:shd w:val="clear" w:color="auto" w:fill="auto"/>
          </w:tcPr>
          <w:p w14:paraId="481AEA3D" w14:textId="77777777" w:rsidR="00B17A65" w:rsidRPr="004260E6" w:rsidRDefault="00B17A65" w:rsidP="00B17A65">
            <w:pPr>
              <w:pStyle w:val="titdoc"/>
              <w:widowControl w:val="0"/>
              <w:spacing w:before="40" w:after="20"/>
              <w:ind w:left="170" w:right="-71" w:firstLine="0"/>
              <w:jc w:val="left"/>
              <w:rPr>
                <w:rFonts w:cs="Arial"/>
                <w:b w:val="0"/>
                <w:sz w:val="18"/>
              </w:rPr>
            </w:pPr>
            <w:r w:rsidRPr="004260E6">
              <w:rPr>
                <w:rFonts w:cs="Arial"/>
                <w:b w:val="0"/>
                <w:sz w:val="18"/>
              </w:rPr>
              <w:t>Importación de Bienes y Servicios</w:t>
            </w:r>
          </w:p>
        </w:tc>
        <w:tc>
          <w:tcPr>
            <w:tcW w:w="525" w:type="pct"/>
            <w:shd w:val="clear" w:color="auto" w:fill="auto"/>
            <w:vAlign w:val="center"/>
          </w:tcPr>
          <w:p w14:paraId="15C58383" w14:textId="528E1705" w:rsidR="00B17A65" w:rsidRPr="004260E6" w:rsidRDefault="00B17A65" w:rsidP="00B17A65">
            <w:pPr>
              <w:tabs>
                <w:tab w:val="decimal" w:pos="370"/>
              </w:tabs>
              <w:ind w:right="57"/>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18</w:t>
            </w:r>
            <w:proofErr w:type="gramEnd"/>
            <w:r>
              <w:rPr>
                <w:rFonts w:ascii="Arial" w:hAnsi="Arial" w:cs="Arial"/>
                <w:sz w:val="18"/>
                <w:szCs w:val="18"/>
              </w:rPr>
              <w:t>.5</w:t>
            </w:r>
          </w:p>
        </w:tc>
        <w:tc>
          <w:tcPr>
            <w:tcW w:w="531" w:type="pct"/>
            <w:shd w:val="clear" w:color="auto" w:fill="auto"/>
            <w:vAlign w:val="center"/>
          </w:tcPr>
          <w:p w14:paraId="5552EAA4" w14:textId="77777777" w:rsidR="00B17A65" w:rsidRDefault="00B17A65" w:rsidP="00B17A65">
            <w:pPr>
              <w:tabs>
                <w:tab w:val="decimal" w:pos="370"/>
              </w:tabs>
              <w:ind w:right="57"/>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xml:space="preserve">)   </w:t>
            </w:r>
            <w:proofErr w:type="gramEnd"/>
            <w:r>
              <w:rPr>
                <w:rFonts w:ascii="Arial" w:hAnsi="Arial" w:cs="Arial"/>
                <w:sz w:val="18"/>
                <w:szCs w:val="18"/>
              </w:rPr>
              <w:t xml:space="preserve"> 6.6</w:t>
            </w:r>
          </w:p>
        </w:tc>
        <w:tc>
          <w:tcPr>
            <w:tcW w:w="612" w:type="pct"/>
            <w:tcBorders>
              <w:right w:val="double" w:sz="6" w:space="0" w:color="auto"/>
            </w:tcBorders>
            <w:shd w:val="clear" w:color="auto" w:fill="auto"/>
            <w:vAlign w:val="center"/>
          </w:tcPr>
          <w:p w14:paraId="69007C4D" w14:textId="77777777" w:rsidR="00B17A65" w:rsidRPr="004260E6" w:rsidRDefault="00B17A65" w:rsidP="00B17A65">
            <w:pPr>
              <w:tabs>
                <w:tab w:val="decimal" w:pos="370"/>
              </w:tabs>
              <w:ind w:right="113"/>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14</w:t>
            </w:r>
            <w:proofErr w:type="gramEnd"/>
            <w:r>
              <w:rPr>
                <w:rFonts w:ascii="Arial" w:hAnsi="Arial" w:cs="Arial"/>
                <w:sz w:val="18"/>
                <w:szCs w:val="18"/>
              </w:rPr>
              <w:t>.6</w:t>
            </w:r>
          </w:p>
        </w:tc>
        <w:tc>
          <w:tcPr>
            <w:tcW w:w="600" w:type="pct"/>
            <w:shd w:val="clear" w:color="auto" w:fill="auto"/>
            <w:vAlign w:val="center"/>
          </w:tcPr>
          <w:p w14:paraId="52AD974C" w14:textId="417D5E20" w:rsidR="00B17A65" w:rsidRDefault="00B17A65" w:rsidP="00B17A65">
            <w:pPr>
              <w:tabs>
                <w:tab w:val="decimal" w:pos="370"/>
              </w:tabs>
              <w:ind w:right="113"/>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1</w:t>
            </w:r>
            <w:proofErr w:type="gramEnd"/>
            <w:r>
              <w:rPr>
                <w:rFonts w:ascii="Arial" w:hAnsi="Arial" w:cs="Arial"/>
                <w:sz w:val="18"/>
                <w:szCs w:val="18"/>
              </w:rPr>
              <w:t>.</w:t>
            </w:r>
            <w:r w:rsidR="00D22E20">
              <w:rPr>
                <w:rFonts w:ascii="Arial" w:hAnsi="Arial" w:cs="Arial"/>
                <w:sz w:val="18"/>
                <w:szCs w:val="18"/>
              </w:rPr>
              <w:t>1</w:t>
            </w:r>
          </w:p>
        </w:tc>
        <w:tc>
          <w:tcPr>
            <w:tcW w:w="600" w:type="pct"/>
            <w:tcBorders>
              <w:left w:val="nil"/>
            </w:tcBorders>
            <w:vAlign w:val="center"/>
          </w:tcPr>
          <w:p w14:paraId="49A8A988" w14:textId="6F2F44C9" w:rsidR="00B17A65" w:rsidRDefault="00D22E20" w:rsidP="00B17A65">
            <w:pPr>
              <w:tabs>
                <w:tab w:val="decimal" w:pos="370"/>
              </w:tabs>
              <w:ind w:right="113"/>
              <w:jc w:val="right"/>
              <w:rPr>
                <w:rFonts w:ascii="Arial" w:hAnsi="Arial" w:cs="Arial"/>
                <w:sz w:val="18"/>
                <w:szCs w:val="18"/>
              </w:rPr>
            </w:pPr>
            <w:r>
              <w:rPr>
                <w:rFonts w:ascii="Arial" w:hAnsi="Arial" w:cs="Arial"/>
                <w:sz w:val="18"/>
                <w:szCs w:val="18"/>
              </w:rPr>
              <w:t>35.1</w:t>
            </w:r>
          </w:p>
        </w:tc>
        <w:tc>
          <w:tcPr>
            <w:tcW w:w="599" w:type="pct"/>
            <w:tcBorders>
              <w:left w:val="nil"/>
              <w:right w:val="double" w:sz="6" w:space="0" w:color="auto"/>
            </w:tcBorders>
            <w:vAlign w:val="center"/>
          </w:tcPr>
          <w:p w14:paraId="0E977299" w14:textId="63EF97BA" w:rsidR="00B17A65" w:rsidRDefault="00D22E20" w:rsidP="00474FFB">
            <w:pPr>
              <w:tabs>
                <w:tab w:val="decimal" w:pos="370"/>
              </w:tabs>
              <w:ind w:right="227"/>
              <w:jc w:val="right"/>
              <w:rPr>
                <w:rFonts w:ascii="Arial" w:hAnsi="Arial" w:cs="Arial"/>
                <w:sz w:val="18"/>
                <w:szCs w:val="18"/>
              </w:rPr>
            </w:pPr>
            <w:r>
              <w:rPr>
                <w:rFonts w:ascii="Arial" w:hAnsi="Arial" w:cs="Arial"/>
                <w:sz w:val="18"/>
                <w:szCs w:val="18"/>
              </w:rPr>
              <w:t>14.4</w:t>
            </w:r>
          </w:p>
        </w:tc>
      </w:tr>
      <w:tr w:rsidR="00B17A65" w:rsidRPr="001C5A88" w14:paraId="55E7ABFB" w14:textId="63141A0B" w:rsidTr="00B17A65">
        <w:trPr>
          <w:cantSplit/>
          <w:jc w:val="center"/>
        </w:trPr>
        <w:tc>
          <w:tcPr>
            <w:tcW w:w="1532" w:type="pct"/>
            <w:tcBorders>
              <w:left w:val="double" w:sz="6" w:space="0" w:color="auto"/>
              <w:right w:val="double" w:sz="6" w:space="0" w:color="auto"/>
            </w:tcBorders>
            <w:shd w:val="clear" w:color="auto" w:fill="auto"/>
            <w:vAlign w:val="center"/>
          </w:tcPr>
          <w:p w14:paraId="4AB1E391" w14:textId="77777777" w:rsidR="00B17A65" w:rsidRPr="004260E6" w:rsidRDefault="00B17A65" w:rsidP="00B17A65">
            <w:pPr>
              <w:pStyle w:val="titdoc"/>
              <w:widowControl w:val="0"/>
              <w:spacing w:before="40" w:after="20"/>
              <w:ind w:left="57" w:firstLine="0"/>
              <w:jc w:val="left"/>
              <w:rPr>
                <w:rFonts w:cs="Arial"/>
                <w:sz w:val="18"/>
              </w:rPr>
            </w:pPr>
            <w:r w:rsidRPr="004260E6">
              <w:rPr>
                <w:rFonts w:cs="Arial"/>
                <w:sz w:val="18"/>
              </w:rPr>
              <w:t>Oferta = Demanda</w:t>
            </w:r>
          </w:p>
        </w:tc>
        <w:tc>
          <w:tcPr>
            <w:tcW w:w="525" w:type="pct"/>
            <w:shd w:val="clear" w:color="auto" w:fill="auto"/>
            <w:vAlign w:val="center"/>
          </w:tcPr>
          <w:p w14:paraId="1FECF444" w14:textId="77777777" w:rsidR="00B17A65" w:rsidRPr="004260E6" w:rsidRDefault="00B17A65" w:rsidP="00B17A65">
            <w:pPr>
              <w:tabs>
                <w:tab w:val="decimal" w:pos="370"/>
              </w:tabs>
              <w:ind w:right="57"/>
              <w:jc w:val="right"/>
              <w:rPr>
                <w:rFonts w:ascii="Arial" w:hAnsi="Arial" w:cs="Arial"/>
                <w:b/>
                <w:bCs/>
                <w:sz w:val="18"/>
                <w:szCs w:val="18"/>
              </w:rPr>
            </w:pPr>
            <w:r>
              <w:rPr>
                <w:rFonts w:ascii="Arial" w:hAnsi="Arial" w:cs="Arial"/>
                <w:b/>
                <w:bCs/>
                <w:sz w:val="18"/>
                <w:szCs w:val="18"/>
              </w:rPr>
              <w:t>(</w:t>
            </w:r>
            <w:proofErr w:type="gramStart"/>
            <w:r>
              <w:rPr>
                <w:rFonts w:ascii="Arial" w:hAnsi="Arial" w:cs="Arial"/>
                <w:b/>
                <w:bCs/>
                <w:sz w:val="18"/>
                <w:szCs w:val="18"/>
              </w:rPr>
              <w:noBreakHyphen/>
              <w:t>)  11</w:t>
            </w:r>
            <w:proofErr w:type="gramEnd"/>
            <w:r>
              <w:rPr>
                <w:rFonts w:ascii="Arial" w:hAnsi="Arial" w:cs="Arial"/>
                <w:b/>
                <w:bCs/>
                <w:sz w:val="18"/>
                <w:szCs w:val="18"/>
              </w:rPr>
              <w:t>.5</w:t>
            </w:r>
          </w:p>
        </w:tc>
        <w:tc>
          <w:tcPr>
            <w:tcW w:w="531" w:type="pct"/>
            <w:shd w:val="clear" w:color="auto" w:fill="auto"/>
            <w:vAlign w:val="center"/>
          </w:tcPr>
          <w:p w14:paraId="60638508" w14:textId="77777777" w:rsidR="00B17A65" w:rsidRDefault="00B17A65" w:rsidP="00B17A65">
            <w:pPr>
              <w:tabs>
                <w:tab w:val="decimal" w:pos="370"/>
              </w:tabs>
              <w:ind w:right="57"/>
              <w:jc w:val="right"/>
              <w:rPr>
                <w:rFonts w:ascii="Arial" w:hAnsi="Arial" w:cs="Arial"/>
                <w:b/>
                <w:bCs/>
                <w:sz w:val="18"/>
                <w:szCs w:val="18"/>
              </w:rPr>
            </w:pPr>
            <w:r>
              <w:rPr>
                <w:rFonts w:ascii="Arial" w:hAnsi="Arial" w:cs="Arial"/>
                <w:b/>
                <w:bCs/>
                <w:sz w:val="18"/>
                <w:szCs w:val="18"/>
              </w:rPr>
              <w:t>(</w:t>
            </w:r>
            <w:proofErr w:type="gramStart"/>
            <w:r>
              <w:rPr>
                <w:rFonts w:ascii="Arial" w:hAnsi="Arial" w:cs="Arial"/>
                <w:b/>
                <w:bCs/>
                <w:sz w:val="18"/>
                <w:szCs w:val="18"/>
              </w:rPr>
              <w:noBreakHyphen/>
              <w:t xml:space="preserve">)   </w:t>
            </w:r>
            <w:proofErr w:type="gramEnd"/>
            <w:r>
              <w:rPr>
                <w:rFonts w:ascii="Arial" w:hAnsi="Arial" w:cs="Arial"/>
                <w:b/>
                <w:bCs/>
                <w:sz w:val="18"/>
                <w:szCs w:val="18"/>
              </w:rPr>
              <w:t xml:space="preserve"> 5.0</w:t>
            </w:r>
          </w:p>
        </w:tc>
        <w:tc>
          <w:tcPr>
            <w:tcW w:w="612" w:type="pct"/>
            <w:tcBorders>
              <w:right w:val="double" w:sz="6" w:space="0" w:color="auto"/>
            </w:tcBorders>
            <w:shd w:val="clear" w:color="auto" w:fill="auto"/>
            <w:vAlign w:val="center"/>
          </w:tcPr>
          <w:p w14:paraId="64F363D0" w14:textId="77777777" w:rsidR="00B17A65" w:rsidRPr="004260E6" w:rsidRDefault="00B17A65" w:rsidP="00B17A65">
            <w:pPr>
              <w:tabs>
                <w:tab w:val="decimal" w:pos="370"/>
              </w:tabs>
              <w:ind w:right="113"/>
              <w:jc w:val="right"/>
              <w:rPr>
                <w:rFonts w:ascii="Arial" w:hAnsi="Arial" w:cs="Arial"/>
                <w:b/>
                <w:bCs/>
                <w:sz w:val="18"/>
                <w:szCs w:val="18"/>
              </w:rPr>
            </w:pPr>
            <w:r>
              <w:rPr>
                <w:rFonts w:ascii="Arial" w:hAnsi="Arial" w:cs="Arial"/>
                <w:b/>
                <w:bCs/>
                <w:sz w:val="18"/>
                <w:szCs w:val="18"/>
              </w:rPr>
              <w:t>(</w:t>
            </w:r>
            <w:proofErr w:type="gramStart"/>
            <w:r>
              <w:rPr>
                <w:rFonts w:ascii="Arial" w:hAnsi="Arial" w:cs="Arial"/>
                <w:b/>
                <w:bCs/>
                <w:sz w:val="18"/>
                <w:szCs w:val="18"/>
              </w:rPr>
              <w:noBreakHyphen/>
              <w:t>)  10</w:t>
            </w:r>
            <w:proofErr w:type="gramEnd"/>
            <w:r>
              <w:rPr>
                <w:rFonts w:ascii="Arial" w:hAnsi="Arial" w:cs="Arial"/>
                <w:b/>
                <w:bCs/>
                <w:sz w:val="18"/>
                <w:szCs w:val="18"/>
              </w:rPr>
              <w:t>.0</w:t>
            </w:r>
          </w:p>
        </w:tc>
        <w:tc>
          <w:tcPr>
            <w:tcW w:w="600" w:type="pct"/>
            <w:shd w:val="clear" w:color="auto" w:fill="auto"/>
            <w:vAlign w:val="center"/>
          </w:tcPr>
          <w:p w14:paraId="68490F95" w14:textId="77777777" w:rsidR="00B17A65" w:rsidRDefault="00B17A65" w:rsidP="00B17A65">
            <w:pPr>
              <w:tabs>
                <w:tab w:val="decimal" w:pos="370"/>
              </w:tabs>
              <w:ind w:right="113"/>
              <w:jc w:val="right"/>
              <w:rPr>
                <w:rFonts w:ascii="Arial" w:hAnsi="Arial" w:cs="Arial"/>
                <w:b/>
                <w:bCs/>
                <w:sz w:val="18"/>
                <w:szCs w:val="18"/>
              </w:rPr>
            </w:pPr>
            <w:r>
              <w:rPr>
                <w:rFonts w:ascii="Arial" w:hAnsi="Arial" w:cs="Arial"/>
                <w:b/>
                <w:bCs/>
                <w:sz w:val="18"/>
                <w:szCs w:val="18"/>
              </w:rPr>
              <w:t>(</w:t>
            </w:r>
            <w:proofErr w:type="gramStart"/>
            <w:r>
              <w:rPr>
                <w:rFonts w:ascii="Arial" w:hAnsi="Arial" w:cs="Arial"/>
                <w:b/>
                <w:bCs/>
                <w:sz w:val="18"/>
                <w:szCs w:val="18"/>
              </w:rPr>
              <w:noBreakHyphen/>
              <w:t>)  2</w:t>
            </w:r>
            <w:proofErr w:type="gramEnd"/>
            <w:r>
              <w:rPr>
                <w:rFonts w:ascii="Arial" w:hAnsi="Arial" w:cs="Arial"/>
                <w:b/>
                <w:bCs/>
                <w:sz w:val="18"/>
                <w:szCs w:val="18"/>
              </w:rPr>
              <w:t>.9</w:t>
            </w:r>
          </w:p>
        </w:tc>
        <w:tc>
          <w:tcPr>
            <w:tcW w:w="600" w:type="pct"/>
            <w:tcBorders>
              <w:left w:val="nil"/>
            </w:tcBorders>
            <w:vAlign w:val="center"/>
          </w:tcPr>
          <w:p w14:paraId="5669FF11" w14:textId="0F9C13A2" w:rsidR="00B17A65" w:rsidRDefault="00D22E20" w:rsidP="00B17A65">
            <w:pPr>
              <w:tabs>
                <w:tab w:val="decimal" w:pos="370"/>
              </w:tabs>
              <w:ind w:right="113"/>
              <w:jc w:val="right"/>
              <w:rPr>
                <w:rFonts w:ascii="Arial" w:hAnsi="Arial" w:cs="Arial"/>
                <w:b/>
                <w:bCs/>
                <w:sz w:val="18"/>
                <w:szCs w:val="18"/>
              </w:rPr>
            </w:pPr>
            <w:r>
              <w:rPr>
                <w:rFonts w:ascii="Arial" w:hAnsi="Arial" w:cs="Arial"/>
                <w:b/>
                <w:bCs/>
                <w:sz w:val="18"/>
                <w:szCs w:val="18"/>
              </w:rPr>
              <w:t>23.3</w:t>
            </w:r>
          </w:p>
        </w:tc>
        <w:tc>
          <w:tcPr>
            <w:tcW w:w="599" w:type="pct"/>
            <w:tcBorders>
              <w:left w:val="nil"/>
              <w:right w:val="double" w:sz="6" w:space="0" w:color="auto"/>
            </w:tcBorders>
            <w:vAlign w:val="center"/>
          </w:tcPr>
          <w:p w14:paraId="1537F642" w14:textId="27BE07A0" w:rsidR="00B17A65" w:rsidRDefault="00D22E20" w:rsidP="00474FFB">
            <w:pPr>
              <w:tabs>
                <w:tab w:val="decimal" w:pos="370"/>
              </w:tabs>
              <w:ind w:right="227"/>
              <w:jc w:val="right"/>
              <w:rPr>
                <w:rFonts w:ascii="Arial" w:hAnsi="Arial" w:cs="Arial"/>
                <w:b/>
                <w:bCs/>
                <w:sz w:val="18"/>
                <w:szCs w:val="18"/>
              </w:rPr>
            </w:pPr>
            <w:r>
              <w:rPr>
                <w:rFonts w:ascii="Arial" w:hAnsi="Arial" w:cs="Arial"/>
                <w:b/>
                <w:bCs/>
                <w:sz w:val="18"/>
                <w:szCs w:val="18"/>
              </w:rPr>
              <w:t>8.8</w:t>
            </w:r>
          </w:p>
        </w:tc>
      </w:tr>
      <w:tr w:rsidR="00B17A65" w:rsidRPr="001C5A88" w14:paraId="601834AC" w14:textId="1EEF08C9" w:rsidTr="00B17A65">
        <w:trPr>
          <w:cantSplit/>
          <w:jc w:val="center"/>
        </w:trPr>
        <w:tc>
          <w:tcPr>
            <w:tcW w:w="1532" w:type="pct"/>
            <w:tcBorders>
              <w:left w:val="double" w:sz="6" w:space="0" w:color="auto"/>
              <w:right w:val="double" w:sz="6" w:space="0" w:color="auto"/>
            </w:tcBorders>
            <w:shd w:val="clear" w:color="auto" w:fill="auto"/>
          </w:tcPr>
          <w:p w14:paraId="33BDA8C1" w14:textId="77777777" w:rsidR="00B17A65" w:rsidRPr="004260E6" w:rsidRDefault="00B17A65" w:rsidP="00B17A65">
            <w:pPr>
              <w:pStyle w:val="titdoc"/>
              <w:widowControl w:val="0"/>
              <w:spacing w:before="40" w:after="20"/>
              <w:ind w:left="170" w:firstLine="0"/>
              <w:jc w:val="left"/>
              <w:rPr>
                <w:rFonts w:cs="Arial"/>
                <w:b w:val="0"/>
                <w:sz w:val="18"/>
              </w:rPr>
            </w:pPr>
            <w:r w:rsidRPr="004260E6">
              <w:rPr>
                <w:rFonts w:cs="Arial"/>
                <w:b w:val="0"/>
                <w:sz w:val="18"/>
              </w:rPr>
              <w:t>Consumo Privado</w:t>
            </w:r>
          </w:p>
        </w:tc>
        <w:tc>
          <w:tcPr>
            <w:tcW w:w="525" w:type="pct"/>
            <w:shd w:val="clear" w:color="auto" w:fill="auto"/>
            <w:vAlign w:val="center"/>
          </w:tcPr>
          <w:p w14:paraId="1D8E2C69" w14:textId="77777777" w:rsidR="00B17A65" w:rsidRPr="004260E6" w:rsidRDefault="00B17A65" w:rsidP="00B17A65">
            <w:pPr>
              <w:tabs>
                <w:tab w:val="decimal" w:pos="370"/>
              </w:tabs>
              <w:ind w:right="57"/>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12</w:t>
            </w:r>
            <w:proofErr w:type="gramEnd"/>
            <w:r>
              <w:rPr>
                <w:rFonts w:ascii="Arial" w:hAnsi="Arial" w:cs="Arial"/>
                <w:sz w:val="18"/>
                <w:szCs w:val="18"/>
              </w:rPr>
              <w:t>.8</w:t>
            </w:r>
          </w:p>
        </w:tc>
        <w:tc>
          <w:tcPr>
            <w:tcW w:w="531" w:type="pct"/>
            <w:shd w:val="clear" w:color="auto" w:fill="auto"/>
            <w:vAlign w:val="center"/>
          </w:tcPr>
          <w:p w14:paraId="724A85D8" w14:textId="77777777" w:rsidR="00B17A65" w:rsidRDefault="00B17A65" w:rsidP="00B17A65">
            <w:pPr>
              <w:tabs>
                <w:tab w:val="decimal" w:pos="370"/>
              </w:tabs>
              <w:ind w:right="57"/>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xml:space="preserve">)   </w:t>
            </w:r>
            <w:proofErr w:type="gramEnd"/>
            <w:r>
              <w:rPr>
                <w:rFonts w:ascii="Arial" w:hAnsi="Arial" w:cs="Arial"/>
                <w:sz w:val="18"/>
                <w:szCs w:val="18"/>
              </w:rPr>
              <w:t xml:space="preserve"> 7.3</w:t>
            </w:r>
          </w:p>
        </w:tc>
        <w:tc>
          <w:tcPr>
            <w:tcW w:w="612" w:type="pct"/>
            <w:tcBorders>
              <w:right w:val="double" w:sz="6" w:space="0" w:color="auto"/>
            </w:tcBorders>
            <w:shd w:val="clear" w:color="auto" w:fill="auto"/>
            <w:vAlign w:val="center"/>
          </w:tcPr>
          <w:p w14:paraId="2FFD972C" w14:textId="77777777" w:rsidR="00B17A65" w:rsidRPr="004260E6" w:rsidRDefault="00B17A65" w:rsidP="00B17A65">
            <w:pPr>
              <w:tabs>
                <w:tab w:val="decimal" w:pos="370"/>
              </w:tabs>
              <w:ind w:right="113"/>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10</w:t>
            </w:r>
            <w:proofErr w:type="gramEnd"/>
            <w:r>
              <w:rPr>
                <w:rFonts w:ascii="Arial" w:hAnsi="Arial" w:cs="Arial"/>
                <w:sz w:val="18"/>
                <w:szCs w:val="18"/>
              </w:rPr>
              <w:t>.5</w:t>
            </w:r>
          </w:p>
        </w:tc>
        <w:tc>
          <w:tcPr>
            <w:tcW w:w="600" w:type="pct"/>
            <w:shd w:val="clear" w:color="auto" w:fill="auto"/>
            <w:vAlign w:val="center"/>
          </w:tcPr>
          <w:p w14:paraId="2E9D3572" w14:textId="29679696" w:rsidR="00B17A65" w:rsidRDefault="00B17A65" w:rsidP="00B17A65">
            <w:pPr>
              <w:tabs>
                <w:tab w:val="decimal" w:pos="370"/>
              </w:tabs>
              <w:ind w:right="113"/>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4</w:t>
            </w:r>
            <w:proofErr w:type="gramEnd"/>
            <w:r>
              <w:rPr>
                <w:rFonts w:ascii="Arial" w:hAnsi="Arial" w:cs="Arial"/>
                <w:sz w:val="18"/>
                <w:szCs w:val="18"/>
              </w:rPr>
              <w:t>.</w:t>
            </w:r>
            <w:r w:rsidR="00D22E20">
              <w:rPr>
                <w:rFonts w:ascii="Arial" w:hAnsi="Arial" w:cs="Arial"/>
                <w:sz w:val="18"/>
                <w:szCs w:val="18"/>
              </w:rPr>
              <w:t>3</w:t>
            </w:r>
          </w:p>
        </w:tc>
        <w:tc>
          <w:tcPr>
            <w:tcW w:w="600" w:type="pct"/>
            <w:tcBorders>
              <w:left w:val="nil"/>
            </w:tcBorders>
            <w:vAlign w:val="center"/>
          </w:tcPr>
          <w:p w14:paraId="14C70A4F" w14:textId="514879E0" w:rsidR="00B17A65" w:rsidRDefault="00D22E20" w:rsidP="00B17A65">
            <w:pPr>
              <w:tabs>
                <w:tab w:val="decimal" w:pos="370"/>
              </w:tabs>
              <w:ind w:right="113"/>
              <w:jc w:val="right"/>
              <w:rPr>
                <w:rFonts w:ascii="Arial" w:hAnsi="Arial" w:cs="Arial"/>
                <w:sz w:val="18"/>
                <w:szCs w:val="18"/>
              </w:rPr>
            </w:pPr>
            <w:r>
              <w:rPr>
                <w:rFonts w:ascii="Arial" w:hAnsi="Arial" w:cs="Arial"/>
                <w:sz w:val="18"/>
                <w:szCs w:val="18"/>
              </w:rPr>
              <w:t>22.6</w:t>
            </w:r>
          </w:p>
        </w:tc>
        <w:tc>
          <w:tcPr>
            <w:tcW w:w="599" w:type="pct"/>
            <w:tcBorders>
              <w:left w:val="nil"/>
              <w:right w:val="double" w:sz="6" w:space="0" w:color="auto"/>
            </w:tcBorders>
            <w:vAlign w:val="center"/>
          </w:tcPr>
          <w:p w14:paraId="5330D372" w14:textId="3C77FFCA" w:rsidR="00B17A65" w:rsidRDefault="00D22E20" w:rsidP="00474FFB">
            <w:pPr>
              <w:tabs>
                <w:tab w:val="decimal" w:pos="370"/>
              </w:tabs>
              <w:ind w:right="227"/>
              <w:jc w:val="right"/>
              <w:rPr>
                <w:rFonts w:ascii="Arial" w:hAnsi="Arial" w:cs="Arial"/>
                <w:sz w:val="18"/>
                <w:szCs w:val="18"/>
              </w:rPr>
            </w:pPr>
            <w:r>
              <w:rPr>
                <w:rFonts w:ascii="Arial" w:hAnsi="Arial" w:cs="Arial"/>
                <w:sz w:val="18"/>
                <w:szCs w:val="18"/>
              </w:rPr>
              <w:t>7.7</w:t>
            </w:r>
          </w:p>
        </w:tc>
      </w:tr>
      <w:tr w:rsidR="00B17A65" w:rsidRPr="001C5A88" w14:paraId="08F9EB74" w14:textId="132CA0BF" w:rsidTr="00B17A65">
        <w:trPr>
          <w:cantSplit/>
          <w:jc w:val="center"/>
        </w:trPr>
        <w:tc>
          <w:tcPr>
            <w:tcW w:w="1532" w:type="pct"/>
            <w:tcBorders>
              <w:left w:val="double" w:sz="6" w:space="0" w:color="auto"/>
              <w:right w:val="double" w:sz="6" w:space="0" w:color="auto"/>
            </w:tcBorders>
            <w:shd w:val="clear" w:color="auto" w:fill="auto"/>
          </w:tcPr>
          <w:p w14:paraId="1BA997A8" w14:textId="77777777" w:rsidR="00B17A65" w:rsidRPr="004260E6" w:rsidRDefault="00B17A65" w:rsidP="00B17A65">
            <w:pPr>
              <w:pStyle w:val="titdoc"/>
              <w:widowControl w:val="0"/>
              <w:spacing w:before="40" w:after="20"/>
              <w:ind w:left="170" w:firstLine="0"/>
              <w:jc w:val="left"/>
              <w:rPr>
                <w:rFonts w:cs="Arial"/>
                <w:b w:val="0"/>
                <w:sz w:val="18"/>
              </w:rPr>
            </w:pPr>
            <w:r w:rsidRPr="004260E6">
              <w:rPr>
                <w:rFonts w:cs="Arial"/>
                <w:b w:val="0"/>
                <w:sz w:val="18"/>
              </w:rPr>
              <w:t>Consumo del Gobierno</w:t>
            </w:r>
          </w:p>
        </w:tc>
        <w:tc>
          <w:tcPr>
            <w:tcW w:w="525" w:type="pct"/>
            <w:shd w:val="clear" w:color="auto" w:fill="auto"/>
            <w:vAlign w:val="center"/>
          </w:tcPr>
          <w:p w14:paraId="172F7D8A" w14:textId="77777777" w:rsidR="00B17A65" w:rsidRPr="004260E6" w:rsidRDefault="00B17A65" w:rsidP="00B17A65">
            <w:pPr>
              <w:tabs>
                <w:tab w:val="decimal" w:pos="370"/>
              </w:tabs>
              <w:ind w:right="57"/>
              <w:jc w:val="right"/>
              <w:rPr>
                <w:rFonts w:ascii="Arial" w:hAnsi="Arial" w:cs="Arial"/>
                <w:sz w:val="18"/>
                <w:szCs w:val="18"/>
              </w:rPr>
            </w:pPr>
            <w:r>
              <w:rPr>
                <w:rFonts w:ascii="Arial" w:hAnsi="Arial" w:cs="Arial"/>
                <w:sz w:val="18"/>
                <w:szCs w:val="18"/>
              </w:rPr>
              <w:t>2.5</w:t>
            </w:r>
          </w:p>
        </w:tc>
        <w:tc>
          <w:tcPr>
            <w:tcW w:w="531" w:type="pct"/>
            <w:shd w:val="clear" w:color="auto" w:fill="auto"/>
            <w:vAlign w:val="center"/>
          </w:tcPr>
          <w:p w14:paraId="13EFC8AA" w14:textId="77777777" w:rsidR="00B17A65" w:rsidRDefault="00B17A65" w:rsidP="00B17A65">
            <w:pPr>
              <w:tabs>
                <w:tab w:val="decimal" w:pos="370"/>
              </w:tabs>
              <w:ind w:right="57"/>
              <w:jc w:val="right"/>
              <w:rPr>
                <w:rFonts w:ascii="Arial" w:hAnsi="Arial" w:cs="Arial"/>
                <w:sz w:val="18"/>
                <w:szCs w:val="18"/>
              </w:rPr>
            </w:pPr>
            <w:r>
              <w:rPr>
                <w:rFonts w:ascii="Arial" w:hAnsi="Arial" w:cs="Arial"/>
                <w:sz w:val="18"/>
                <w:szCs w:val="18"/>
              </w:rPr>
              <w:t>1.6</w:t>
            </w:r>
          </w:p>
        </w:tc>
        <w:tc>
          <w:tcPr>
            <w:tcW w:w="612" w:type="pct"/>
            <w:tcBorders>
              <w:right w:val="double" w:sz="6" w:space="0" w:color="auto"/>
            </w:tcBorders>
            <w:shd w:val="clear" w:color="auto" w:fill="auto"/>
            <w:vAlign w:val="center"/>
          </w:tcPr>
          <w:p w14:paraId="70F1D7B4" w14:textId="77777777" w:rsidR="00B17A65" w:rsidRPr="004260E6" w:rsidRDefault="00B17A65" w:rsidP="00B17A65">
            <w:pPr>
              <w:tabs>
                <w:tab w:val="decimal" w:pos="370"/>
              </w:tabs>
              <w:ind w:right="113"/>
              <w:jc w:val="right"/>
              <w:rPr>
                <w:rFonts w:ascii="Arial" w:hAnsi="Arial" w:cs="Arial"/>
                <w:sz w:val="18"/>
                <w:szCs w:val="18"/>
              </w:rPr>
            </w:pPr>
            <w:r>
              <w:rPr>
                <w:rFonts w:ascii="Arial" w:hAnsi="Arial" w:cs="Arial"/>
                <w:sz w:val="18"/>
                <w:szCs w:val="18"/>
              </w:rPr>
              <w:t>2.3</w:t>
            </w:r>
          </w:p>
        </w:tc>
        <w:tc>
          <w:tcPr>
            <w:tcW w:w="600" w:type="pct"/>
            <w:shd w:val="clear" w:color="auto" w:fill="auto"/>
            <w:vAlign w:val="center"/>
          </w:tcPr>
          <w:p w14:paraId="08ED0C34" w14:textId="77777777" w:rsidR="00B17A65" w:rsidRDefault="00B17A65" w:rsidP="00B17A65">
            <w:pPr>
              <w:tabs>
                <w:tab w:val="decimal" w:pos="370"/>
              </w:tabs>
              <w:ind w:right="113"/>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0</w:t>
            </w:r>
            <w:proofErr w:type="gramEnd"/>
            <w:r>
              <w:rPr>
                <w:rFonts w:ascii="Arial" w:hAnsi="Arial" w:cs="Arial"/>
                <w:sz w:val="18"/>
                <w:szCs w:val="18"/>
              </w:rPr>
              <w:t>.7</w:t>
            </w:r>
          </w:p>
        </w:tc>
        <w:tc>
          <w:tcPr>
            <w:tcW w:w="600" w:type="pct"/>
            <w:tcBorders>
              <w:left w:val="nil"/>
            </w:tcBorders>
            <w:vAlign w:val="center"/>
          </w:tcPr>
          <w:p w14:paraId="5105A1CD" w14:textId="4703C635" w:rsidR="00B17A65" w:rsidRDefault="00D22E20" w:rsidP="00B17A65">
            <w:pPr>
              <w:tabs>
                <w:tab w:val="decimal" w:pos="370"/>
              </w:tabs>
              <w:ind w:right="113"/>
              <w:jc w:val="right"/>
              <w:rPr>
                <w:rFonts w:ascii="Arial" w:hAnsi="Arial" w:cs="Arial"/>
                <w:sz w:val="18"/>
                <w:szCs w:val="18"/>
              </w:rPr>
            </w:pPr>
            <w:r>
              <w:rPr>
                <w:rFonts w:ascii="Arial" w:hAnsi="Arial" w:cs="Arial"/>
                <w:sz w:val="18"/>
                <w:szCs w:val="18"/>
              </w:rPr>
              <w:t>3.9</w:t>
            </w:r>
          </w:p>
        </w:tc>
        <w:tc>
          <w:tcPr>
            <w:tcW w:w="599" w:type="pct"/>
            <w:tcBorders>
              <w:left w:val="nil"/>
              <w:right w:val="double" w:sz="6" w:space="0" w:color="auto"/>
            </w:tcBorders>
            <w:vAlign w:val="center"/>
          </w:tcPr>
          <w:p w14:paraId="321F7B2E" w14:textId="4F33D45A" w:rsidR="00B17A65" w:rsidRDefault="00D22E20" w:rsidP="00474FFB">
            <w:pPr>
              <w:tabs>
                <w:tab w:val="decimal" w:pos="370"/>
              </w:tabs>
              <w:ind w:right="227"/>
              <w:jc w:val="right"/>
              <w:rPr>
                <w:rFonts w:ascii="Arial" w:hAnsi="Arial" w:cs="Arial"/>
                <w:sz w:val="18"/>
                <w:szCs w:val="18"/>
              </w:rPr>
            </w:pPr>
            <w:r>
              <w:rPr>
                <w:rFonts w:ascii="Arial" w:hAnsi="Arial" w:cs="Arial"/>
                <w:sz w:val="18"/>
                <w:szCs w:val="18"/>
              </w:rPr>
              <w:t>1.6</w:t>
            </w:r>
          </w:p>
        </w:tc>
      </w:tr>
      <w:tr w:rsidR="00B17A65" w:rsidRPr="001C5A88" w14:paraId="2B3D565B" w14:textId="7CC56B99" w:rsidTr="00B17A65">
        <w:trPr>
          <w:cantSplit/>
          <w:jc w:val="center"/>
        </w:trPr>
        <w:tc>
          <w:tcPr>
            <w:tcW w:w="1532" w:type="pct"/>
            <w:tcBorders>
              <w:left w:val="double" w:sz="6" w:space="0" w:color="auto"/>
              <w:right w:val="double" w:sz="6" w:space="0" w:color="auto"/>
            </w:tcBorders>
            <w:shd w:val="clear" w:color="auto" w:fill="auto"/>
          </w:tcPr>
          <w:p w14:paraId="76CA7C55" w14:textId="77777777" w:rsidR="00B17A65" w:rsidRPr="004260E6" w:rsidRDefault="00B17A65" w:rsidP="00B17A65">
            <w:pPr>
              <w:pStyle w:val="titdoc"/>
              <w:widowControl w:val="0"/>
              <w:spacing w:before="40" w:after="20"/>
              <w:ind w:left="170" w:firstLine="0"/>
              <w:jc w:val="left"/>
              <w:rPr>
                <w:rFonts w:cs="Arial"/>
                <w:b w:val="0"/>
                <w:sz w:val="18"/>
              </w:rPr>
            </w:pPr>
            <w:r w:rsidRPr="004260E6">
              <w:rPr>
                <w:rFonts w:cs="Arial"/>
                <w:b w:val="0"/>
                <w:sz w:val="18"/>
              </w:rPr>
              <w:t>Formación Bruta de Capital Fijo</w:t>
            </w:r>
          </w:p>
        </w:tc>
        <w:tc>
          <w:tcPr>
            <w:tcW w:w="525" w:type="pct"/>
            <w:shd w:val="clear" w:color="auto" w:fill="auto"/>
            <w:vAlign w:val="center"/>
          </w:tcPr>
          <w:p w14:paraId="2D2E1771" w14:textId="77777777" w:rsidR="00B17A65" w:rsidRPr="004260E6" w:rsidRDefault="00B17A65" w:rsidP="00B17A65">
            <w:pPr>
              <w:tabs>
                <w:tab w:val="decimal" w:pos="370"/>
              </w:tabs>
              <w:ind w:right="57"/>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18</w:t>
            </w:r>
            <w:proofErr w:type="gramEnd"/>
            <w:r>
              <w:rPr>
                <w:rFonts w:ascii="Arial" w:hAnsi="Arial" w:cs="Arial"/>
                <w:sz w:val="18"/>
                <w:szCs w:val="18"/>
              </w:rPr>
              <w:t>.0</w:t>
            </w:r>
          </w:p>
        </w:tc>
        <w:tc>
          <w:tcPr>
            <w:tcW w:w="531" w:type="pct"/>
            <w:shd w:val="clear" w:color="auto" w:fill="auto"/>
            <w:vAlign w:val="center"/>
          </w:tcPr>
          <w:p w14:paraId="5C462696" w14:textId="77777777" w:rsidR="00B17A65" w:rsidRDefault="00B17A65" w:rsidP="00B17A65">
            <w:pPr>
              <w:tabs>
                <w:tab w:val="decimal" w:pos="370"/>
              </w:tabs>
              <w:ind w:right="57"/>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12</w:t>
            </w:r>
            <w:proofErr w:type="gramEnd"/>
            <w:r>
              <w:rPr>
                <w:rFonts w:ascii="Arial" w:hAnsi="Arial" w:cs="Arial"/>
                <w:sz w:val="18"/>
                <w:szCs w:val="18"/>
              </w:rPr>
              <w:t>.9</w:t>
            </w:r>
          </w:p>
        </w:tc>
        <w:tc>
          <w:tcPr>
            <w:tcW w:w="612" w:type="pct"/>
            <w:tcBorders>
              <w:right w:val="double" w:sz="6" w:space="0" w:color="auto"/>
            </w:tcBorders>
            <w:shd w:val="clear" w:color="auto" w:fill="auto"/>
            <w:vAlign w:val="center"/>
          </w:tcPr>
          <w:p w14:paraId="0A432ED9" w14:textId="77777777" w:rsidR="00B17A65" w:rsidRPr="004260E6" w:rsidRDefault="00B17A65" w:rsidP="00B17A65">
            <w:pPr>
              <w:tabs>
                <w:tab w:val="decimal" w:pos="370"/>
              </w:tabs>
              <w:ind w:right="113"/>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18</w:t>
            </w:r>
            <w:proofErr w:type="gramEnd"/>
            <w:r>
              <w:rPr>
                <w:rFonts w:ascii="Arial" w:hAnsi="Arial" w:cs="Arial"/>
                <w:sz w:val="18"/>
                <w:szCs w:val="18"/>
              </w:rPr>
              <w:t>.3</w:t>
            </w:r>
          </w:p>
        </w:tc>
        <w:tc>
          <w:tcPr>
            <w:tcW w:w="600" w:type="pct"/>
            <w:shd w:val="clear" w:color="auto" w:fill="auto"/>
            <w:vAlign w:val="center"/>
          </w:tcPr>
          <w:p w14:paraId="4E68F2F4" w14:textId="4B667D75" w:rsidR="00B17A65" w:rsidRDefault="00B17A65" w:rsidP="00B17A65">
            <w:pPr>
              <w:tabs>
                <w:tab w:val="decimal" w:pos="370"/>
              </w:tabs>
              <w:ind w:right="113"/>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xml:space="preserve">)  </w:t>
            </w:r>
            <w:r w:rsidR="00D22E20">
              <w:rPr>
                <w:rFonts w:ascii="Arial" w:hAnsi="Arial" w:cs="Arial"/>
                <w:sz w:val="18"/>
                <w:szCs w:val="18"/>
              </w:rPr>
              <w:t>5</w:t>
            </w:r>
            <w:proofErr w:type="gramEnd"/>
            <w:r w:rsidR="00D22E20">
              <w:rPr>
                <w:rFonts w:ascii="Arial" w:hAnsi="Arial" w:cs="Arial"/>
                <w:sz w:val="18"/>
                <w:szCs w:val="18"/>
              </w:rPr>
              <w:t>.0</w:t>
            </w:r>
          </w:p>
        </w:tc>
        <w:tc>
          <w:tcPr>
            <w:tcW w:w="600" w:type="pct"/>
            <w:tcBorders>
              <w:left w:val="nil"/>
            </w:tcBorders>
            <w:vAlign w:val="center"/>
          </w:tcPr>
          <w:p w14:paraId="58C4007F" w14:textId="6B54133E" w:rsidR="00B17A65" w:rsidRDefault="00D22E20" w:rsidP="00B17A65">
            <w:pPr>
              <w:tabs>
                <w:tab w:val="decimal" w:pos="370"/>
              </w:tabs>
              <w:ind w:right="113"/>
              <w:jc w:val="right"/>
              <w:rPr>
                <w:rFonts w:ascii="Arial" w:hAnsi="Arial" w:cs="Arial"/>
                <w:sz w:val="18"/>
                <w:szCs w:val="18"/>
              </w:rPr>
            </w:pPr>
            <w:r>
              <w:rPr>
                <w:rFonts w:ascii="Arial" w:hAnsi="Arial" w:cs="Arial"/>
                <w:sz w:val="18"/>
                <w:szCs w:val="18"/>
              </w:rPr>
              <w:t>34.2</w:t>
            </w:r>
          </w:p>
        </w:tc>
        <w:tc>
          <w:tcPr>
            <w:tcW w:w="599" w:type="pct"/>
            <w:tcBorders>
              <w:left w:val="nil"/>
              <w:right w:val="double" w:sz="6" w:space="0" w:color="auto"/>
            </w:tcBorders>
            <w:vAlign w:val="center"/>
          </w:tcPr>
          <w:p w14:paraId="3CBDCF42" w14:textId="44283080" w:rsidR="00B17A65" w:rsidRDefault="00D22E20" w:rsidP="00474FFB">
            <w:pPr>
              <w:tabs>
                <w:tab w:val="decimal" w:pos="370"/>
              </w:tabs>
              <w:ind w:right="227"/>
              <w:jc w:val="right"/>
              <w:rPr>
                <w:rFonts w:ascii="Arial" w:hAnsi="Arial" w:cs="Arial"/>
                <w:sz w:val="18"/>
                <w:szCs w:val="18"/>
              </w:rPr>
            </w:pPr>
            <w:r>
              <w:rPr>
                <w:rFonts w:ascii="Arial" w:hAnsi="Arial" w:cs="Arial"/>
                <w:sz w:val="18"/>
                <w:szCs w:val="18"/>
              </w:rPr>
              <w:t>11.1</w:t>
            </w:r>
          </w:p>
        </w:tc>
      </w:tr>
      <w:tr w:rsidR="00B17A65" w:rsidRPr="001C5A88" w14:paraId="3F5B90EF" w14:textId="58C4E86C" w:rsidTr="00B17A65">
        <w:trPr>
          <w:cantSplit/>
          <w:jc w:val="center"/>
        </w:trPr>
        <w:tc>
          <w:tcPr>
            <w:tcW w:w="1532" w:type="pct"/>
            <w:tcBorders>
              <w:left w:val="double" w:sz="6" w:space="0" w:color="auto"/>
              <w:right w:val="double" w:sz="6" w:space="0" w:color="auto"/>
            </w:tcBorders>
            <w:shd w:val="clear" w:color="auto" w:fill="auto"/>
            <w:vAlign w:val="center"/>
          </w:tcPr>
          <w:p w14:paraId="5B4F7DF5" w14:textId="2FDA07F0" w:rsidR="00B17A65" w:rsidRPr="000A532D" w:rsidRDefault="00B17A65" w:rsidP="00B17A65">
            <w:pPr>
              <w:pStyle w:val="titdoc"/>
              <w:widowControl w:val="0"/>
              <w:spacing w:before="40" w:after="20"/>
              <w:ind w:left="170" w:firstLine="0"/>
              <w:jc w:val="left"/>
              <w:rPr>
                <w:rFonts w:cs="Arial"/>
                <w:b w:val="0"/>
                <w:bCs/>
                <w:sz w:val="18"/>
              </w:rPr>
            </w:pPr>
            <w:r w:rsidRPr="000A532D">
              <w:rPr>
                <w:rFonts w:cs="Arial"/>
                <w:b w:val="0"/>
                <w:bCs/>
                <w:sz w:val="18"/>
                <w:szCs w:val="18"/>
                <w:lang w:val="es-MX" w:eastAsia="es-MX"/>
              </w:rPr>
              <w:t>Variación de Existencias</w:t>
            </w:r>
          </w:p>
        </w:tc>
        <w:tc>
          <w:tcPr>
            <w:tcW w:w="525" w:type="pct"/>
            <w:shd w:val="clear" w:color="auto" w:fill="auto"/>
            <w:vAlign w:val="center"/>
          </w:tcPr>
          <w:p w14:paraId="01A7BFBA" w14:textId="1D022069" w:rsidR="00B17A65" w:rsidRPr="000A532D" w:rsidRDefault="00B17A65" w:rsidP="00B17A65">
            <w:pPr>
              <w:tabs>
                <w:tab w:val="decimal" w:pos="370"/>
              </w:tabs>
              <w:ind w:right="57"/>
              <w:jc w:val="right"/>
              <w:rPr>
                <w:rFonts w:ascii="Arial" w:hAnsi="Arial" w:cs="Arial"/>
                <w:bCs/>
                <w:sz w:val="18"/>
                <w:szCs w:val="18"/>
              </w:rPr>
            </w:pPr>
            <w:r w:rsidRPr="000A532D">
              <w:rPr>
                <w:rFonts w:ascii="Arial" w:hAnsi="Arial" w:cs="Arial"/>
                <w:bCs/>
                <w:sz w:val="18"/>
                <w:szCs w:val="18"/>
                <w:lang w:val="es-MX" w:eastAsia="es-MX"/>
              </w:rPr>
              <w:t>N.A</w:t>
            </w:r>
            <w:r w:rsidR="00416DD7">
              <w:rPr>
                <w:rFonts w:ascii="Arial" w:hAnsi="Arial" w:cs="Arial"/>
                <w:bCs/>
                <w:sz w:val="18"/>
                <w:szCs w:val="18"/>
                <w:lang w:val="es-MX" w:eastAsia="es-MX"/>
              </w:rPr>
              <w:t>.</w:t>
            </w:r>
          </w:p>
        </w:tc>
        <w:tc>
          <w:tcPr>
            <w:tcW w:w="531" w:type="pct"/>
            <w:shd w:val="clear" w:color="auto" w:fill="auto"/>
            <w:vAlign w:val="center"/>
          </w:tcPr>
          <w:p w14:paraId="1B72FA18" w14:textId="6862F438" w:rsidR="00B17A65" w:rsidRPr="000A532D" w:rsidRDefault="00B17A65" w:rsidP="00B17A65">
            <w:pPr>
              <w:tabs>
                <w:tab w:val="decimal" w:pos="370"/>
              </w:tabs>
              <w:ind w:right="57"/>
              <w:jc w:val="right"/>
              <w:rPr>
                <w:rFonts w:ascii="Arial" w:hAnsi="Arial" w:cs="Arial"/>
                <w:bCs/>
                <w:sz w:val="18"/>
                <w:szCs w:val="18"/>
              </w:rPr>
            </w:pPr>
            <w:r w:rsidRPr="000A532D">
              <w:rPr>
                <w:rFonts w:ascii="Arial" w:hAnsi="Arial" w:cs="Arial"/>
                <w:bCs/>
                <w:sz w:val="18"/>
                <w:szCs w:val="18"/>
                <w:lang w:val="es-MX" w:eastAsia="es-MX"/>
              </w:rPr>
              <w:t>N.A</w:t>
            </w:r>
            <w:r w:rsidR="00416DD7">
              <w:rPr>
                <w:rFonts w:ascii="Arial" w:hAnsi="Arial" w:cs="Arial"/>
                <w:bCs/>
                <w:sz w:val="18"/>
                <w:szCs w:val="18"/>
                <w:lang w:val="es-MX" w:eastAsia="es-MX"/>
              </w:rPr>
              <w:t>.</w:t>
            </w:r>
          </w:p>
        </w:tc>
        <w:tc>
          <w:tcPr>
            <w:tcW w:w="612" w:type="pct"/>
            <w:tcBorders>
              <w:right w:val="double" w:sz="6" w:space="0" w:color="auto"/>
            </w:tcBorders>
            <w:shd w:val="clear" w:color="auto" w:fill="auto"/>
            <w:vAlign w:val="center"/>
          </w:tcPr>
          <w:p w14:paraId="24F1350D" w14:textId="37400540" w:rsidR="00B17A65" w:rsidRPr="000A532D" w:rsidRDefault="00B17A65" w:rsidP="00B17A65">
            <w:pPr>
              <w:tabs>
                <w:tab w:val="decimal" w:pos="370"/>
              </w:tabs>
              <w:ind w:right="113"/>
              <w:jc w:val="right"/>
              <w:rPr>
                <w:rFonts w:ascii="Arial" w:hAnsi="Arial" w:cs="Arial"/>
                <w:bCs/>
                <w:sz w:val="18"/>
                <w:szCs w:val="18"/>
              </w:rPr>
            </w:pPr>
            <w:r w:rsidRPr="000A532D">
              <w:rPr>
                <w:rFonts w:ascii="Arial" w:hAnsi="Arial" w:cs="Arial"/>
                <w:bCs/>
                <w:sz w:val="18"/>
                <w:szCs w:val="18"/>
                <w:lang w:val="es-MX" w:eastAsia="es-MX"/>
              </w:rPr>
              <w:t>N.A</w:t>
            </w:r>
            <w:r w:rsidR="00416DD7">
              <w:rPr>
                <w:rFonts w:ascii="Arial" w:hAnsi="Arial" w:cs="Arial"/>
                <w:bCs/>
                <w:sz w:val="18"/>
                <w:szCs w:val="18"/>
                <w:lang w:val="es-MX" w:eastAsia="es-MX"/>
              </w:rPr>
              <w:t>.</w:t>
            </w:r>
          </w:p>
        </w:tc>
        <w:tc>
          <w:tcPr>
            <w:tcW w:w="600" w:type="pct"/>
            <w:shd w:val="clear" w:color="auto" w:fill="auto"/>
            <w:vAlign w:val="center"/>
          </w:tcPr>
          <w:p w14:paraId="548CF9E4" w14:textId="7B60FD69" w:rsidR="00B17A65" w:rsidRPr="000A532D" w:rsidRDefault="00B17A65" w:rsidP="00B17A65">
            <w:pPr>
              <w:tabs>
                <w:tab w:val="decimal" w:pos="370"/>
              </w:tabs>
              <w:ind w:right="113"/>
              <w:jc w:val="right"/>
              <w:rPr>
                <w:rFonts w:ascii="Arial" w:hAnsi="Arial" w:cs="Arial"/>
                <w:bCs/>
                <w:sz w:val="18"/>
                <w:szCs w:val="18"/>
              </w:rPr>
            </w:pPr>
            <w:r w:rsidRPr="000A532D">
              <w:rPr>
                <w:rFonts w:ascii="Arial" w:hAnsi="Arial" w:cs="Arial"/>
                <w:bCs/>
                <w:sz w:val="18"/>
                <w:szCs w:val="18"/>
                <w:lang w:val="es-MX" w:eastAsia="es-MX"/>
              </w:rPr>
              <w:t>N.A</w:t>
            </w:r>
            <w:r w:rsidR="00416DD7">
              <w:rPr>
                <w:rFonts w:ascii="Arial" w:hAnsi="Arial" w:cs="Arial"/>
                <w:bCs/>
                <w:sz w:val="18"/>
                <w:szCs w:val="18"/>
                <w:lang w:val="es-MX" w:eastAsia="es-MX"/>
              </w:rPr>
              <w:t>.</w:t>
            </w:r>
          </w:p>
        </w:tc>
        <w:tc>
          <w:tcPr>
            <w:tcW w:w="600" w:type="pct"/>
            <w:tcBorders>
              <w:left w:val="nil"/>
            </w:tcBorders>
            <w:vAlign w:val="center"/>
          </w:tcPr>
          <w:p w14:paraId="19418C47" w14:textId="737F2ECD" w:rsidR="00B17A65" w:rsidRPr="000A532D" w:rsidRDefault="00B17A65" w:rsidP="00B17A65">
            <w:pPr>
              <w:tabs>
                <w:tab w:val="decimal" w:pos="370"/>
              </w:tabs>
              <w:ind w:right="113"/>
              <w:jc w:val="right"/>
              <w:rPr>
                <w:rFonts w:ascii="Arial" w:hAnsi="Arial" w:cs="Arial"/>
                <w:bCs/>
                <w:sz w:val="18"/>
                <w:szCs w:val="18"/>
                <w:lang w:val="es-MX" w:eastAsia="es-MX"/>
              </w:rPr>
            </w:pPr>
            <w:r w:rsidRPr="000A532D">
              <w:rPr>
                <w:rFonts w:ascii="Arial" w:hAnsi="Arial" w:cs="Arial"/>
                <w:bCs/>
                <w:sz w:val="18"/>
                <w:szCs w:val="18"/>
                <w:lang w:val="es-MX" w:eastAsia="es-MX"/>
              </w:rPr>
              <w:t>N.A</w:t>
            </w:r>
            <w:r w:rsidR="00416DD7">
              <w:rPr>
                <w:rFonts w:ascii="Arial" w:hAnsi="Arial" w:cs="Arial"/>
                <w:bCs/>
                <w:sz w:val="18"/>
                <w:szCs w:val="18"/>
                <w:lang w:val="es-MX" w:eastAsia="es-MX"/>
              </w:rPr>
              <w:t>.</w:t>
            </w:r>
          </w:p>
        </w:tc>
        <w:tc>
          <w:tcPr>
            <w:tcW w:w="599" w:type="pct"/>
            <w:tcBorders>
              <w:left w:val="nil"/>
              <w:right w:val="double" w:sz="6" w:space="0" w:color="auto"/>
            </w:tcBorders>
            <w:vAlign w:val="center"/>
          </w:tcPr>
          <w:p w14:paraId="15156216" w14:textId="5E68C650" w:rsidR="00B17A65" w:rsidRPr="000A532D" w:rsidRDefault="00B17A65" w:rsidP="00474FFB">
            <w:pPr>
              <w:tabs>
                <w:tab w:val="decimal" w:pos="370"/>
              </w:tabs>
              <w:ind w:right="227"/>
              <w:jc w:val="right"/>
              <w:rPr>
                <w:rFonts w:ascii="Arial" w:hAnsi="Arial" w:cs="Arial"/>
                <w:bCs/>
                <w:sz w:val="18"/>
                <w:szCs w:val="18"/>
                <w:lang w:val="es-MX" w:eastAsia="es-MX"/>
              </w:rPr>
            </w:pPr>
            <w:r w:rsidRPr="000A532D">
              <w:rPr>
                <w:rFonts w:ascii="Arial" w:hAnsi="Arial" w:cs="Arial"/>
                <w:bCs/>
                <w:sz w:val="18"/>
                <w:szCs w:val="18"/>
                <w:lang w:val="es-MX" w:eastAsia="es-MX"/>
              </w:rPr>
              <w:t>N.A</w:t>
            </w:r>
            <w:r w:rsidR="00416DD7">
              <w:rPr>
                <w:rFonts w:ascii="Arial" w:hAnsi="Arial" w:cs="Arial"/>
                <w:bCs/>
                <w:sz w:val="18"/>
                <w:szCs w:val="18"/>
                <w:lang w:val="es-MX" w:eastAsia="es-MX"/>
              </w:rPr>
              <w:t>.</w:t>
            </w:r>
          </w:p>
        </w:tc>
      </w:tr>
      <w:tr w:rsidR="00B17A65" w:rsidRPr="001C5A88" w14:paraId="1486A48B" w14:textId="70609A37" w:rsidTr="00B17A65">
        <w:trPr>
          <w:cantSplit/>
          <w:jc w:val="center"/>
        </w:trPr>
        <w:tc>
          <w:tcPr>
            <w:tcW w:w="1532" w:type="pct"/>
            <w:tcBorders>
              <w:left w:val="double" w:sz="6" w:space="0" w:color="auto"/>
              <w:right w:val="double" w:sz="6" w:space="0" w:color="auto"/>
            </w:tcBorders>
            <w:shd w:val="clear" w:color="auto" w:fill="auto"/>
          </w:tcPr>
          <w:p w14:paraId="6B26A11F" w14:textId="77777777" w:rsidR="00B17A65" w:rsidRPr="004260E6" w:rsidRDefault="00B17A65" w:rsidP="00B17A65">
            <w:pPr>
              <w:pStyle w:val="titdoc"/>
              <w:widowControl w:val="0"/>
              <w:spacing w:before="40" w:after="20"/>
              <w:ind w:left="170" w:firstLine="0"/>
              <w:jc w:val="left"/>
              <w:rPr>
                <w:rFonts w:cs="Arial"/>
                <w:b w:val="0"/>
                <w:sz w:val="18"/>
              </w:rPr>
            </w:pPr>
            <w:r w:rsidRPr="004260E6">
              <w:rPr>
                <w:rFonts w:cs="Arial"/>
                <w:b w:val="0"/>
                <w:sz w:val="18"/>
              </w:rPr>
              <w:t>Exportación de Bienes y Servicios</w:t>
            </w:r>
          </w:p>
        </w:tc>
        <w:tc>
          <w:tcPr>
            <w:tcW w:w="525" w:type="pct"/>
            <w:shd w:val="clear" w:color="auto" w:fill="auto"/>
            <w:vAlign w:val="center"/>
          </w:tcPr>
          <w:p w14:paraId="14FE8C16" w14:textId="77777777" w:rsidR="00B17A65" w:rsidRPr="004260E6" w:rsidRDefault="00B17A65" w:rsidP="00B17A65">
            <w:pPr>
              <w:tabs>
                <w:tab w:val="decimal" w:pos="370"/>
              </w:tabs>
              <w:ind w:right="57"/>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xml:space="preserve">)   </w:t>
            </w:r>
            <w:proofErr w:type="gramEnd"/>
            <w:r>
              <w:rPr>
                <w:rFonts w:ascii="Arial" w:hAnsi="Arial" w:cs="Arial"/>
                <w:sz w:val="18"/>
                <w:szCs w:val="18"/>
              </w:rPr>
              <w:t>2.7</w:t>
            </w:r>
          </w:p>
        </w:tc>
        <w:tc>
          <w:tcPr>
            <w:tcW w:w="531" w:type="pct"/>
            <w:shd w:val="clear" w:color="auto" w:fill="auto"/>
            <w:vAlign w:val="center"/>
          </w:tcPr>
          <w:p w14:paraId="0450DB52" w14:textId="77777777" w:rsidR="00B17A65" w:rsidRDefault="00B17A65" w:rsidP="00B17A65">
            <w:pPr>
              <w:tabs>
                <w:tab w:val="decimal" w:pos="370"/>
              </w:tabs>
              <w:ind w:right="57"/>
              <w:jc w:val="right"/>
              <w:rPr>
                <w:rFonts w:ascii="Arial" w:hAnsi="Arial" w:cs="Arial"/>
                <w:sz w:val="18"/>
                <w:szCs w:val="18"/>
              </w:rPr>
            </w:pPr>
            <w:r>
              <w:rPr>
                <w:rFonts w:ascii="Arial" w:hAnsi="Arial" w:cs="Arial"/>
                <w:sz w:val="18"/>
                <w:szCs w:val="18"/>
              </w:rPr>
              <w:t>3.7</w:t>
            </w:r>
          </w:p>
        </w:tc>
        <w:tc>
          <w:tcPr>
            <w:tcW w:w="612" w:type="pct"/>
            <w:tcBorders>
              <w:right w:val="double" w:sz="6" w:space="0" w:color="auto"/>
            </w:tcBorders>
            <w:shd w:val="clear" w:color="auto" w:fill="auto"/>
            <w:vAlign w:val="center"/>
          </w:tcPr>
          <w:p w14:paraId="2CFA9C87" w14:textId="77777777" w:rsidR="00B17A65" w:rsidRPr="004260E6" w:rsidRDefault="00B17A65" w:rsidP="00B17A65">
            <w:pPr>
              <w:tabs>
                <w:tab w:val="decimal" w:pos="370"/>
              </w:tabs>
              <w:ind w:right="113"/>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xml:space="preserve">)   </w:t>
            </w:r>
            <w:proofErr w:type="gramEnd"/>
            <w:r>
              <w:rPr>
                <w:rFonts w:ascii="Arial" w:hAnsi="Arial" w:cs="Arial"/>
                <w:sz w:val="18"/>
                <w:szCs w:val="18"/>
              </w:rPr>
              <w:t xml:space="preserve"> 7.3</w:t>
            </w:r>
          </w:p>
        </w:tc>
        <w:tc>
          <w:tcPr>
            <w:tcW w:w="600" w:type="pct"/>
            <w:shd w:val="clear" w:color="auto" w:fill="auto"/>
            <w:vAlign w:val="center"/>
          </w:tcPr>
          <w:p w14:paraId="2553A250" w14:textId="1AA59731" w:rsidR="00B17A65" w:rsidRDefault="00B17A65" w:rsidP="00B17A65">
            <w:pPr>
              <w:tabs>
                <w:tab w:val="decimal" w:pos="370"/>
              </w:tabs>
              <w:ind w:right="113"/>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4</w:t>
            </w:r>
            <w:proofErr w:type="gramEnd"/>
            <w:r>
              <w:rPr>
                <w:rFonts w:ascii="Arial" w:hAnsi="Arial" w:cs="Arial"/>
                <w:sz w:val="18"/>
                <w:szCs w:val="18"/>
              </w:rPr>
              <w:t>.</w:t>
            </w:r>
            <w:r w:rsidR="00D22E20">
              <w:rPr>
                <w:rFonts w:ascii="Arial" w:hAnsi="Arial" w:cs="Arial"/>
                <w:sz w:val="18"/>
                <w:szCs w:val="18"/>
              </w:rPr>
              <w:t>1</w:t>
            </w:r>
          </w:p>
        </w:tc>
        <w:tc>
          <w:tcPr>
            <w:tcW w:w="600" w:type="pct"/>
            <w:tcBorders>
              <w:left w:val="nil"/>
            </w:tcBorders>
            <w:vAlign w:val="center"/>
          </w:tcPr>
          <w:p w14:paraId="168DECE5" w14:textId="04B17B30" w:rsidR="00B17A65" w:rsidRDefault="00D22E20" w:rsidP="00B17A65">
            <w:pPr>
              <w:tabs>
                <w:tab w:val="decimal" w:pos="370"/>
              </w:tabs>
              <w:ind w:right="113"/>
              <w:jc w:val="right"/>
              <w:rPr>
                <w:rFonts w:ascii="Arial" w:hAnsi="Arial" w:cs="Arial"/>
                <w:sz w:val="18"/>
                <w:szCs w:val="18"/>
              </w:rPr>
            </w:pPr>
            <w:r>
              <w:rPr>
                <w:rFonts w:ascii="Arial" w:hAnsi="Arial" w:cs="Arial"/>
                <w:sz w:val="18"/>
                <w:szCs w:val="18"/>
              </w:rPr>
              <w:t>41.9</w:t>
            </w:r>
          </w:p>
        </w:tc>
        <w:tc>
          <w:tcPr>
            <w:tcW w:w="599" w:type="pct"/>
            <w:tcBorders>
              <w:left w:val="nil"/>
              <w:right w:val="double" w:sz="6" w:space="0" w:color="auto"/>
            </w:tcBorders>
            <w:vAlign w:val="center"/>
          </w:tcPr>
          <w:p w14:paraId="450920F9" w14:textId="24965DDF" w:rsidR="00B17A65" w:rsidRDefault="00D22E20" w:rsidP="00474FFB">
            <w:pPr>
              <w:tabs>
                <w:tab w:val="decimal" w:pos="370"/>
              </w:tabs>
              <w:ind w:right="227"/>
              <w:jc w:val="right"/>
              <w:rPr>
                <w:rFonts w:ascii="Arial" w:hAnsi="Arial" w:cs="Arial"/>
                <w:sz w:val="18"/>
                <w:szCs w:val="18"/>
              </w:rPr>
            </w:pPr>
            <w:r>
              <w:rPr>
                <w:rFonts w:ascii="Arial" w:hAnsi="Arial" w:cs="Arial"/>
                <w:sz w:val="18"/>
                <w:szCs w:val="18"/>
              </w:rPr>
              <w:t>15.5</w:t>
            </w:r>
          </w:p>
        </w:tc>
      </w:tr>
      <w:tr w:rsidR="00B17A65" w:rsidRPr="001C5A88" w14:paraId="154A055F" w14:textId="0A42C701" w:rsidTr="00B17A65">
        <w:trPr>
          <w:cantSplit/>
          <w:jc w:val="center"/>
        </w:trPr>
        <w:tc>
          <w:tcPr>
            <w:tcW w:w="1532" w:type="pct"/>
            <w:tcBorders>
              <w:left w:val="double" w:sz="6" w:space="0" w:color="auto"/>
              <w:bottom w:val="double" w:sz="6" w:space="0" w:color="auto"/>
              <w:right w:val="double" w:sz="6" w:space="0" w:color="auto"/>
            </w:tcBorders>
            <w:shd w:val="clear" w:color="auto" w:fill="auto"/>
            <w:vAlign w:val="center"/>
          </w:tcPr>
          <w:p w14:paraId="2144EB08" w14:textId="116019DD" w:rsidR="00B17A65" w:rsidRPr="000A532D" w:rsidRDefault="00B17A65" w:rsidP="00B17A65">
            <w:pPr>
              <w:pStyle w:val="titdoc"/>
              <w:widowControl w:val="0"/>
              <w:spacing w:before="40" w:after="20"/>
              <w:ind w:left="170" w:firstLine="0"/>
              <w:jc w:val="left"/>
              <w:rPr>
                <w:rFonts w:cs="Arial"/>
                <w:b w:val="0"/>
                <w:bCs/>
                <w:sz w:val="18"/>
              </w:rPr>
            </w:pPr>
            <w:r w:rsidRPr="000A532D">
              <w:rPr>
                <w:rFonts w:cs="Arial"/>
                <w:b w:val="0"/>
                <w:bCs/>
                <w:sz w:val="18"/>
                <w:szCs w:val="18"/>
                <w:lang w:val="es-MX" w:eastAsia="es-MX"/>
              </w:rPr>
              <w:t>Discrepancia Estadística</w:t>
            </w:r>
          </w:p>
        </w:tc>
        <w:tc>
          <w:tcPr>
            <w:tcW w:w="525" w:type="pct"/>
            <w:tcBorders>
              <w:bottom w:val="double" w:sz="6" w:space="0" w:color="auto"/>
            </w:tcBorders>
            <w:shd w:val="clear" w:color="auto" w:fill="auto"/>
            <w:vAlign w:val="center"/>
          </w:tcPr>
          <w:p w14:paraId="370BC4DB" w14:textId="75A22499" w:rsidR="00B17A65" w:rsidRPr="000A532D" w:rsidRDefault="00B17A65" w:rsidP="00B17A65">
            <w:pPr>
              <w:tabs>
                <w:tab w:val="decimal" w:pos="370"/>
              </w:tabs>
              <w:ind w:right="57"/>
              <w:jc w:val="right"/>
              <w:rPr>
                <w:rFonts w:ascii="Arial" w:hAnsi="Arial" w:cs="Arial"/>
                <w:bCs/>
                <w:sz w:val="18"/>
                <w:szCs w:val="18"/>
              </w:rPr>
            </w:pPr>
            <w:r w:rsidRPr="000A532D">
              <w:rPr>
                <w:rFonts w:ascii="Arial" w:hAnsi="Arial" w:cs="Arial"/>
                <w:bCs/>
                <w:sz w:val="18"/>
                <w:szCs w:val="18"/>
                <w:lang w:val="es-MX" w:eastAsia="es-MX"/>
              </w:rPr>
              <w:t>N.A</w:t>
            </w:r>
            <w:r w:rsidR="00416DD7">
              <w:rPr>
                <w:rFonts w:ascii="Arial" w:hAnsi="Arial" w:cs="Arial"/>
                <w:bCs/>
                <w:sz w:val="18"/>
                <w:szCs w:val="18"/>
                <w:lang w:val="es-MX" w:eastAsia="es-MX"/>
              </w:rPr>
              <w:t>.</w:t>
            </w:r>
          </w:p>
        </w:tc>
        <w:tc>
          <w:tcPr>
            <w:tcW w:w="531" w:type="pct"/>
            <w:tcBorders>
              <w:bottom w:val="double" w:sz="6" w:space="0" w:color="auto"/>
            </w:tcBorders>
            <w:shd w:val="clear" w:color="auto" w:fill="auto"/>
            <w:vAlign w:val="center"/>
          </w:tcPr>
          <w:p w14:paraId="598BE41E" w14:textId="2E163A39" w:rsidR="00B17A65" w:rsidRPr="000A532D" w:rsidRDefault="00B17A65" w:rsidP="00B17A65">
            <w:pPr>
              <w:tabs>
                <w:tab w:val="decimal" w:pos="370"/>
              </w:tabs>
              <w:ind w:right="57"/>
              <w:jc w:val="right"/>
              <w:rPr>
                <w:rFonts w:ascii="Arial" w:hAnsi="Arial" w:cs="Arial"/>
                <w:bCs/>
                <w:sz w:val="18"/>
                <w:szCs w:val="18"/>
              </w:rPr>
            </w:pPr>
            <w:r w:rsidRPr="000A532D">
              <w:rPr>
                <w:rFonts w:ascii="Arial" w:hAnsi="Arial" w:cs="Arial"/>
                <w:bCs/>
                <w:sz w:val="18"/>
                <w:szCs w:val="18"/>
                <w:lang w:val="es-MX" w:eastAsia="es-MX"/>
              </w:rPr>
              <w:t>N.A</w:t>
            </w:r>
            <w:r w:rsidR="00416DD7">
              <w:rPr>
                <w:rFonts w:ascii="Arial" w:hAnsi="Arial" w:cs="Arial"/>
                <w:bCs/>
                <w:sz w:val="18"/>
                <w:szCs w:val="18"/>
                <w:lang w:val="es-MX" w:eastAsia="es-MX"/>
              </w:rPr>
              <w:t>.</w:t>
            </w:r>
          </w:p>
        </w:tc>
        <w:tc>
          <w:tcPr>
            <w:tcW w:w="612" w:type="pct"/>
            <w:tcBorders>
              <w:bottom w:val="double" w:sz="6" w:space="0" w:color="auto"/>
              <w:right w:val="double" w:sz="6" w:space="0" w:color="auto"/>
            </w:tcBorders>
            <w:shd w:val="clear" w:color="auto" w:fill="auto"/>
            <w:vAlign w:val="center"/>
          </w:tcPr>
          <w:p w14:paraId="66BB3594" w14:textId="25C46B9C" w:rsidR="00B17A65" w:rsidRPr="000A532D" w:rsidRDefault="00B17A65" w:rsidP="00B17A65">
            <w:pPr>
              <w:tabs>
                <w:tab w:val="decimal" w:pos="370"/>
              </w:tabs>
              <w:ind w:right="113"/>
              <w:jc w:val="right"/>
              <w:rPr>
                <w:rFonts w:ascii="Arial" w:hAnsi="Arial" w:cs="Arial"/>
                <w:bCs/>
                <w:sz w:val="18"/>
                <w:szCs w:val="18"/>
              </w:rPr>
            </w:pPr>
            <w:r w:rsidRPr="000A532D">
              <w:rPr>
                <w:rFonts w:ascii="Arial" w:hAnsi="Arial" w:cs="Arial"/>
                <w:bCs/>
                <w:sz w:val="18"/>
                <w:szCs w:val="18"/>
                <w:lang w:val="es-MX" w:eastAsia="es-MX"/>
              </w:rPr>
              <w:t>N.A</w:t>
            </w:r>
            <w:r w:rsidR="00416DD7">
              <w:rPr>
                <w:rFonts w:ascii="Arial" w:hAnsi="Arial" w:cs="Arial"/>
                <w:bCs/>
                <w:sz w:val="18"/>
                <w:szCs w:val="18"/>
                <w:lang w:val="es-MX" w:eastAsia="es-MX"/>
              </w:rPr>
              <w:t>.</w:t>
            </w:r>
          </w:p>
        </w:tc>
        <w:tc>
          <w:tcPr>
            <w:tcW w:w="600" w:type="pct"/>
            <w:tcBorders>
              <w:bottom w:val="double" w:sz="6" w:space="0" w:color="auto"/>
            </w:tcBorders>
            <w:shd w:val="clear" w:color="auto" w:fill="auto"/>
            <w:vAlign w:val="center"/>
          </w:tcPr>
          <w:p w14:paraId="37035113" w14:textId="52E698C2" w:rsidR="00B17A65" w:rsidRPr="000A532D" w:rsidRDefault="00B17A65" w:rsidP="00B17A65">
            <w:pPr>
              <w:tabs>
                <w:tab w:val="decimal" w:pos="370"/>
              </w:tabs>
              <w:ind w:right="113"/>
              <w:jc w:val="right"/>
              <w:rPr>
                <w:rFonts w:ascii="Arial" w:hAnsi="Arial" w:cs="Arial"/>
                <w:bCs/>
                <w:sz w:val="18"/>
                <w:szCs w:val="18"/>
              </w:rPr>
            </w:pPr>
            <w:r w:rsidRPr="000A532D">
              <w:rPr>
                <w:rFonts w:ascii="Arial" w:hAnsi="Arial" w:cs="Arial"/>
                <w:bCs/>
                <w:sz w:val="18"/>
                <w:szCs w:val="18"/>
                <w:lang w:val="es-MX" w:eastAsia="es-MX"/>
              </w:rPr>
              <w:t>N.A</w:t>
            </w:r>
            <w:r w:rsidR="00416DD7">
              <w:rPr>
                <w:rFonts w:ascii="Arial" w:hAnsi="Arial" w:cs="Arial"/>
                <w:bCs/>
                <w:sz w:val="18"/>
                <w:szCs w:val="18"/>
                <w:lang w:val="es-MX" w:eastAsia="es-MX"/>
              </w:rPr>
              <w:t>.</w:t>
            </w:r>
          </w:p>
        </w:tc>
        <w:tc>
          <w:tcPr>
            <w:tcW w:w="600" w:type="pct"/>
            <w:tcBorders>
              <w:left w:val="nil"/>
              <w:bottom w:val="double" w:sz="6" w:space="0" w:color="auto"/>
            </w:tcBorders>
            <w:vAlign w:val="center"/>
          </w:tcPr>
          <w:p w14:paraId="0A151F6A" w14:textId="713376FD" w:rsidR="00B17A65" w:rsidRPr="000A532D" w:rsidRDefault="00B17A65" w:rsidP="00B17A65">
            <w:pPr>
              <w:tabs>
                <w:tab w:val="decimal" w:pos="370"/>
              </w:tabs>
              <w:ind w:right="113"/>
              <w:jc w:val="right"/>
              <w:rPr>
                <w:rFonts w:ascii="Arial" w:hAnsi="Arial" w:cs="Arial"/>
                <w:bCs/>
                <w:sz w:val="18"/>
                <w:szCs w:val="18"/>
                <w:lang w:val="es-MX" w:eastAsia="es-MX"/>
              </w:rPr>
            </w:pPr>
            <w:r w:rsidRPr="000A532D">
              <w:rPr>
                <w:rFonts w:ascii="Arial" w:hAnsi="Arial" w:cs="Arial"/>
                <w:bCs/>
                <w:sz w:val="18"/>
                <w:szCs w:val="18"/>
                <w:lang w:val="es-MX" w:eastAsia="es-MX"/>
              </w:rPr>
              <w:t>N.A</w:t>
            </w:r>
            <w:r w:rsidR="00416DD7">
              <w:rPr>
                <w:rFonts w:ascii="Arial" w:hAnsi="Arial" w:cs="Arial"/>
                <w:bCs/>
                <w:sz w:val="18"/>
                <w:szCs w:val="18"/>
                <w:lang w:val="es-MX" w:eastAsia="es-MX"/>
              </w:rPr>
              <w:t>.</w:t>
            </w:r>
          </w:p>
        </w:tc>
        <w:tc>
          <w:tcPr>
            <w:tcW w:w="599" w:type="pct"/>
            <w:tcBorders>
              <w:left w:val="nil"/>
              <w:bottom w:val="double" w:sz="6" w:space="0" w:color="auto"/>
              <w:right w:val="double" w:sz="6" w:space="0" w:color="auto"/>
            </w:tcBorders>
            <w:vAlign w:val="center"/>
          </w:tcPr>
          <w:p w14:paraId="3ED91CF9" w14:textId="748CD562" w:rsidR="00B17A65" w:rsidRPr="000A532D" w:rsidRDefault="00B17A65" w:rsidP="00474FFB">
            <w:pPr>
              <w:tabs>
                <w:tab w:val="decimal" w:pos="370"/>
              </w:tabs>
              <w:ind w:right="227"/>
              <w:jc w:val="right"/>
              <w:rPr>
                <w:rFonts w:ascii="Arial" w:hAnsi="Arial" w:cs="Arial"/>
                <w:bCs/>
                <w:sz w:val="18"/>
                <w:szCs w:val="18"/>
                <w:lang w:val="es-MX" w:eastAsia="es-MX"/>
              </w:rPr>
            </w:pPr>
            <w:r w:rsidRPr="000A532D">
              <w:rPr>
                <w:rFonts w:ascii="Arial" w:hAnsi="Arial" w:cs="Arial"/>
                <w:bCs/>
                <w:sz w:val="18"/>
                <w:szCs w:val="18"/>
                <w:lang w:val="es-MX" w:eastAsia="es-MX"/>
              </w:rPr>
              <w:t>N.A</w:t>
            </w:r>
            <w:r w:rsidR="00416DD7">
              <w:rPr>
                <w:rFonts w:ascii="Arial" w:hAnsi="Arial" w:cs="Arial"/>
                <w:bCs/>
                <w:sz w:val="18"/>
                <w:szCs w:val="18"/>
                <w:lang w:val="es-MX" w:eastAsia="es-MX"/>
              </w:rPr>
              <w:t>.</w:t>
            </w:r>
          </w:p>
        </w:tc>
      </w:tr>
    </w:tbl>
    <w:p w14:paraId="5026BD49" w14:textId="33EA82B3" w:rsidR="00C177C7" w:rsidRDefault="00C177C7" w:rsidP="008068F1">
      <w:pPr>
        <w:pStyle w:val="p1"/>
        <w:keepLines w:val="0"/>
        <w:spacing w:before="0"/>
        <w:ind w:left="567"/>
        <w:rPr>
          <w:rFonts w:cs="Arial"/>
          <w:color w:val="000000" w:themeColor="text1"/>
          <w:sz w:val="16"/>
          <w:szCs w:val="16"/>
        </w:rPr>
      </w:pPr>
      <w:r w:rsidRPr="004A49E1">
        <w:rPr>
          <w:rFonts w:cs="Arial"/>
          <w:color w:val="000000" w:themeColor="text1"/>
          <w:sz w:val="16"/>
          <w:szCs w:val="16"/>
          <w:vertAlign w:val="superscript"/>
        </w:rPr>
        <w:t>P/</w:t>
      </w:r>
      <w:r w:rsidRPr="004A49E1">
        <w:rPr>
          <w:rFonts w:cs="Arial"/>
          <w:color w:val="000000" w:themeColor="text1"/>
          <w:sz w:val="16"/>
          <w:szCs w:val="16"/>
        </w:rPr>
        <w:t xml:space="preserve"> Cifras preliminares.</w:t>
      </w:r>
    </w:p>
    <w:p w14:paraId="2CBED81E" w14:textId="14EFE96A" w:rsidR="00B025A1" w:rsidRPr="00CF64DE" w:rsidRDefault="00B025A1" w:rsidP="00B025A1">
      <w:pPr>
        <w:pStyle w:val="p0"/>
        <w:keepNext/>
        <w:spacing w:before="0"/>
        <w:ind w:left="993" w:hanging="426"/>
        <w:rPr>
          <w:rFonts w:cs="Arial"/>
          <w:color w:val="auto"/>
          <w:sz w:val="16"/>
          <w:szCs w:val="16"/>
        </w:rPr>
      </w:pPr>
      <w:r w:rsidRPr="00CE4772">
        <w:rPr>
          <w:rFonts w:cs="Arial"/>
          <w:color w:val="auto"/>
          <w:sz w:val="16"/>
          <w:szCs w:val="16"/>
          <w:vertAlign w:val="superscript"/>
        </w:rPr>
        <w:t>R/</w:t>
      </w:r>
      <w:r>
        <w:rPr>
          <w:rFonts w:cs="Arial"/>
          <w:color w:val="auto"/>
          <w:sz w:val="16"/>
          <w:szCs w:val="16"/>
        </w:rPr>
        <w:t xml:space="preserve"> Cifras revisadas</w:t>
      </w:r>
      <w:r w:rsidR="00A361DC">
        <w:rPr>
          <w:rFonts w:cs="Arial"/>
          <w:color w:val="auto"/>
          <w:sz w:val="16"/>
          <w:szCs w:val="16"/>
        </w:rPr>
        <w:t>.</w:t>
      </w:r>
    </w:p>
    <w:p w14:paraId="4D6B4401" w14:textId="7AE6097F" w:rsidR="000A532D" w:rsidRPr="004A49E1" w:rsidRDefault="000A532D" w:rsidP="008068F1">
      <w:pPr>
        <w:pStyle w:val="p1"/>
        <w:keepLines w:val="0"/>
        <w:spacing w:before="0"/>
        <w:ind w:left="567"/>
        <w:rPr>
          <w:rFonts w:cs="Arial"/>
          <w:color w:val="000000" w:themeColor="text1"/>
          <w:sz w:val="16"/>
          <w:szCs w:val="16"/>
        </w:rPr>
      </w:pPr>
      <w:proofErr w:type="gramStart"/>
      <w:r w:rsidRPr="001425AD">
        <w:rPr>
          <w:rFonts w:cs="Arial"/>
          <w:color w:val="auto"/>
          <w:sz w:val="16"/>
          <w:szCs w:val="16"/>
          <w:lang w:val="es-MX" w:eastAsia="es-MX"/>
        </w:rPr>
        <w:t>N.A  No</w:t>
      </w:r>
      <w:proofErr w:type="gramEnd"/>
      <w:r w:rsidRPr="001425AD">
        <w:rPr>
          <w:rFonts w:cs="Arial"/>
          <w:color w:val="auto"/>
          <w:sz w:val="16"/>
          <w:szCs w:val="16"/>
          <w:lang w:val="es-MX" w:eastAsia="es-MX"/>
        </w:rPr>
        <w:t xml:space="preserve"> aplica.</w:t>
      </w:r>
    </w:p>
    <w:p w14:paraId="793876A7" w14:textId="77777777" w:rsidR="00C177C7" w:rsidRPr="004A49E1" w:rsidRDefault="00C177C7" w:rsidP="008068F1">
      <w:pPr>
        <w:pStyle w:val="p1"/>
        <w:keepLines w:val="0"/>
        <w:spacing w:before="0"/>
        <w:ind w:left="567"/>
        <w:rPr>
          <w:color w:val="auto"/>
          <w:sz w:val="16"/>
          <w:szCs w:val="16"/>
        </w:rPr>
      </w:pPr>
      <w:r w:rsidRPr="004A49E1">
        <w:rPr>
          <w:rFonts w:cs="Arial"/>
          <w:color w:val="000000"/>
          <w:sz w:val="16"/>
          <w:szCs w:val="16"/>
        </w:rPr>
        <w:t>Fuente:  INEGI</w:t>
      </w:r>
      <w:r w:rsidRPr="004A49E1">
        <w:rPr>
          <w:rFonts w:cs="Arial"/>
          <w:color w:val="000000" w:themeColor="text1"/>
          <w:sz w:val="16"/>
          <w:szCs w:val="16"/>
        </w:rPr>
        <w:t>.</w:t>
      </w:r>
    </w:p>
    <w:p w14:paraId="062CDC68" w14:textId="77777777" w:rsidR="00C177C7" w:rsidRDefault="00C177C7" w:rsidP="00C177C7">
      <w:pPr>
        <w:widowControl/>
        <w:jc w:val="center"/>
        <w:rPr>
          <w:rFonts w:ascii="Arial" w:hAnsi="Arial" w:cs="Arial"/>
          <w:szCs w:val="22"/>
        </w:rPr>
      </w:pPr>
    </w:p>
    <w:p w14:paraId="02103F74" w14:textId="45427B58" w:rsidR="00C177C7" w:rsidRDefault="00C177C7" w:rsidP="00C177C7">
      <w:pPr>
        <w:widowControl/>
        <w:rPr>
          <w:rFonts w:ascii="Arial" w:hAnsi="Arial" w:cs="Arial"/>
          <w:szCs w:val="22"/>
        </w:rPr>
      </w:pPr>
    </w:p>
    <w:p w14:paraId="445EE50F" w14:textId="77777777" w:rsidR="00C177C7" w:rsidRDefault="00C177C7" w:rsidP="00C177C7">
      <w:pPr>
        <w:widowControl/>
        <w:jc w:val="center"/>
        <w:rPr>
          <w:rFonts w:ascii="Arial" w:hAnsi="Arial" w:cs="Arial"/>
          <w:szCs w:val="22"/>
        </w:rPr>
      </w:pPr>
    </w:p>
    <w:p w14:paraId="078658D5" w14:textId="77777777" w:rsidR="00C177C7" w:rsidRPr="0057720D" w:rsidRDefault="00C177C7" w:rsidP="00C177C7">
      <w:pPr>
        <w:widowControl/>
        <w:jc w:val="center"/>
        <w:rPr>
          <w:rFonts w:ascii="Arial" w:hAnsi="Arial" w:cs="Arial"/>
          <w:szCs w:val="22"/>
        </w:rPr>
      </w:pPr>
      <w:r>
        <w:rPr>
          <w:rFonts w:ascii="Arial" w:hAnsi="Arial" w:cs="Arial"/>
          <w:szCs w:val="22"/>
        </w:rPr>
        <w:t>Cuadro 3</w:t>
      </w:r>
    </w:p>
    <w:p w14:paraId="480A8878" w14:textId="77777777" w:rsidR="00C177C7" w:rsidRDefault="00C177C7" w:rsidP="00C177C7">
      <w:pPr>
        <w:pStyle w:val="titdoc"/>
        <w:widowControl w:val="0"/>
        <w:spacing w:before="0"/>
        <w:ind w:left="0" w:firstLine="0"/>
        <w:jc w:val="center"/>
        <w:rPr>
          <w:smallCaps/>
          <w:sz w:val="22"/>
        </w:rPr>
      </w:pPr>
      <w:r w:rsidRPr="008D2992">
        <w:rPr>
          <w:smallCaps/>
          <w:sz w:val="22"/>
        </w:rPr>
        <w:t>Fuentes del crecimiento del PIB</w:t>
      </w:r>
      <w:r>
        <w:rPr>
          <w:smallCaps/>
          <w:sz w:val="22"/>
        </w:rPr>
        <w:t xml:space="preserve"> real</w:t>
      </w:r>
      <w:r w:rsidRPr="008D2992">
        <w:rPr>
          <w:smallCaps/>
          <w:sz w:val="22"/>
        </w:rPr>
        <w:t xml:space="preserve"> según componentes</w:t>
      </w:r>
      <w:r>
        <w:rPr>
          <w:smallCaps/>
          <w:sz w:val="22"/>
        </w:rPr>
        <w:t xml:space="preserve"> </w:t>
      </w:r>
      <w:r w:rsidRPr="008D2992">
        <w:rPr>
          <w:smallCaps/>
          <w:sz w:val="22"/>
        </w:rPr>
        <w:t>de la demanda final</w:t>
      </w:r>
    </w:p>
    <w:p w14:paraId="57223A0F" w14:textId="77777777" w:rsidR="00C177C7" w:rsidRPr="00100026" w:rsidRDefault="00C177C7" w:rsidP="00C177C7">
      <w:pPr>
        <w:pStyle w:val="titdoc"/>
        <w:keepNext/>
        <w:keepLines/>
        <w:spacing w:before="0"/>
        <w:ind w:left="0" w:firstLine="0"/>
        <w:jc w:val="center"/>
        <w:rPr>
          <w:b w:val="0"/>
          <w:sz w:val="18"/>
          <w:szCs w:val="18"/>
        </w:rPr>
      </w:pPr>
      <w:r w:rsidRPr="00100026">
        <w:rPr>
          <w:b w:val="0"/>
          <w:sz w:val="18"/>
          <w:szCs w:val="18"/>
        </w:rPr>
        <w:t>(Variación porcentual real ponderada respecto al mismo periodo del año anterior)</w:t>
      </w:r>
    </w:p>
    <w:tbl>
      <w:tblPr>
        <w:tblStyle w:val="Tablaconcuadrcula"/>
        <w:tblW w:w="7923" w:type="dxa"/>
        <w:jc w:val="center"/>
        <w:tblLayout w:type="fixed"/>
        <w:tblLook w:val="04A0" w:firstRow="1" w:lastRow="0" w:firstColumn="1" w:lastColumn="0" w:noHBand="0" w:noVBand="1"/>
      </w:tblPr>
      <w:tblGrid>
        <w:gridCol w:w="4805"/>
        <w:gridCol w:w="1559"/>
        <w:gridCol w:w="1559"/>
      </w:tblGrid>
      <w:tr w:rsidR="00B17A65" w:rsidRPr="00B17A65" w14:paraId="2D1A43B7" w14:textId="66B74AC1" w:rsidTr="00856F76">
        <w:trPr>
          <w:trHeight w:val="329"/>
          <w:jc w:val="center"/>
        </w:trPr>
        <w:tc>
          <w:tcPr>
            <w:tcW w:w="4805" w:type="dxa"/>
            <w:vMerge w:val="restart"/>
            <w:tcBorders>
              <w:top w:val="double" w:sz="4" w:space="0" w:color="auto"/>
              <w:left w:val="double" w:sz="4" w:space="0" w:color="auto"/>
              <w:right w:val="single" w:sz="4" w:space="0" w:color="auto"/>
            </w:tcBorders>
            <w:shd w:val="clear" w:color="auto" w:fill="C2D69B" w:themeFill="accent3" w:themeFillTint="99"/>
            <w:vAlign w:val="center"/>
          </w:tcPr>
          <w:p w14:paraId="571A42D1" w14:textId="77777777" w:rsidR="00B17A65" w:rsidRDefault="00B17A65" w:rsidP="00856F76">
            <w:pPr>
              <w:pStyle w:val="not31"/>
              <w:widowControl w:val="0"/>
              <w:spacing w:before="120" w:line="140" w:lineRule="exact"/>
              <w:ind w:right="0"/>
              <w:jc w:val="center"/>
              <w:rPr>
                <w:rFonts w:cs="Arial"/>
                <w:b/>
                <w:color w:val="auto"/>
                <w:sz w:val="18"/>
                <w:szCs w:val="18"/>
                <w:lang w:val="es-MX" w:eastAsia="es-MX"/>
              </w:rPr>
            </w:pPr>
            <w:r>
              <w:rPr>
                <w:rFonts w:cs="Arial"/>
                <w:b/>
                <w:color w:val="auto"/>
                <w:sz w:val="18"/>
                <w:szCs w:val="18"/>
                <w:lang w:val="es-MX" w:eastAsia="es-MX"/>
              </w:rPr>
              <w:t>Concepto</w:t>
            </w:r>
          </w:p>
          <w:p w14:paraId="25821EF3" w14:textId="77777777" w:rsidR="00B17A65" w:rsidRPr="008D2992" w:rsidRDefault="00B17A65" w:rsidP="00856F76">
            <w:pPr>
              <w:pStyle w:val="not31"/>
              <w:widowControl w:val="0"/>
              <w:spacing w:before="0" w:line="140" w:lineRule="exact"/>
              <w:ind w:right="0"/>
              <w:jc w:val="center"/>
              <w:rPr>
                <w:rFonts w:cs="Arial"/>
                <w:b/>
                <w:color w:val="auto"/>
                <w:sz w:val="18"/>
                <w:szCs w:val="18"/>
                <w:lang w:val="es-MX" w:eastAsia="es-MX"/>
              </w:rPr>
            </w:pPr>
          </w:p>
        </w:tc>
        <w:tc>
          <w:tcPr>
            <w:tcW w:w="3118" w:type="dxa"/>
            <w:gridSpan w:val="2"/>
            <w:tcBorders>
              <w:top w:val="double" w:sz="4" w:space="0" w:color="auto"/>
              <w:left w:val="single" w:sz="4" w:space="0" w:color="auto"/>
              <w:right w:val="double" w:sz="4" w:space="0" w:color="auto"/>
            </w:tcBorders>
            <w:shd w:val="clear" w:color="auto" w:fill="C2D69B" w:themeFill="accent3" w:themeFillTint="99"/>
            <w:vAlign w:val="center"/>
          </w:tcPr>
          <w:p w14:paraId="20BBB3A5" w14:textId="53920E19" w:rsidR="00B17A65" w:rsidRPr="008D2992" w:rsidRDefault="00B17A65" w:rsidP="00856F76">
            <w:pPr>
              <w:pStyle w:val="not31"/>
              <w:keepLines w:val="0"/>
              <w:widowControl w:val="0"/>
              <w:spacing w:before="120" w:after="60" w:line="140" w:lineRule="exact"/>
              <w:ind w:right="0"/>
              <w:jc w:val="center"/>
              <w:rPr>
                <w:rFonts w:cs="Arial"/>
                <w:b/>
                <w:color w:val="auto"/>
                <w:sz w:val="18"/>
                <w:szCs w:val="18"/>
                <w:lang w:val="es-MX" w:eastAsia="es-MX"/>
              </w:rPr>
            </w:pPr>
            <w:r w:rsidRPr="008D2992">
              <w:rPr>
                <w:rFonts w:cs="Arial"/>
                <w:b/>
                <w:color w:val="auto"/>
                <w:sz w:val="18"/>
                <w:szCs w:val="18"/>
                <w:lang w:val="es-MX" w:eastAsia="es-MX"/>
              </w:rPr>
              <w:t>202</w:t>
            </w:r>
            <w:r>
              <w:rPr>
                <w:rFonts w:cs="Arial"/>
                <w:b/>
                <w:color w:val="auto"/>
                <w:sz w:val="18"/>
                <w:szCs w:val="18"/>
                <w:lang w:val="es-MX" w:eastAsia="es-MX"/>
              </w:rPr>
              <w:t>1</w:t>
            </w:r>
            <w:r w:rsidRPr="008D2992">
              <w:rPr>
                <w:rFonts w:cs="Arial"/>
                <w:b/>
                <w:color w:val="auto"/>
                <w:sz w:val="18"/>
                <w:szCs w:val="18"/>
                <w:vertAlign w:val="superscript"/>
                <w:lang w:val="es-MX" w:eastAsia="es-MX"/>
              </w:rPr>
              <w:t>P/</w:t>
            </w:r>
          </w:p>
        </w:tc>
      </w:tr>
      <w:tr w:rsidR="00B17A65" w:rsidRPr="00B17A65" w14:paraId="5D7312F8" w14:textId="5BE77923" w:rsidTr="00077490">
        <w:trPr>
          <w:trHeight w:val="201"/>
          <w:jc w:val="center"/>
        </w:trPr>
        <w:tc>
          <w:tcPr>
            <w:tcW w:w="4805" w:type="dxa"/>
            <w:vMerge/>
            <w:tcBorders>
              <w:left w:val="double" w:sz="4" w:space="0" w:color="auto"/>
              <w:bottom w:val="double" w:sz="4" w:space="0" w:color="auto"/>
              <w:right w:val="single" w:sz="4" w:space="0" w:color="auto"/>
            </w:tcBorders>
            <w:shd w:val="clear" w:color="auto" w:fill="C2D69B" w:themeFill="accent3" w:themeFillTint="99"/>
          </w:tcPr>
          <w:p w14:paraId="63A495FA" w14:textId="77777777" w:rsidR="00B17A65" w:rsidRPr="008D2992" w:rsidRDefault="00B17A65" w:rsidP="00856F76">
            <w:pPr>
              <w:pStyle w:val="not31"/>
              <w:widowControl w:val="0"/>
              <w:spacing w:before="120" w:line="140" w:lineRule="exact"/>
              <w:ind w:right="0"/>
              <w:rPr>
                <w:rFonts w:cs="Arial"/>
                <w:b/>
                <w:color w:val="auto"/>
                <w:sz w:val="18"/>
                <w:szCs w:val="18"/>
                <w:lang w:val="es-MX" w:eastAsia="es-MX"/>
              </w:rPr>
            </w:pPr>
          </w:p>
        </w:tc>
        <w:tc>
          <w:tcPr>
            <w:tcW w:w="1559" w:type="dxa"/>
            <w:tcBorders>
              <w:left w:val="single" w:sz="4" w:space="0" w:color="auto"/>
              <w:bottom w:val="double" w:sz="4" w:space="0" w:color="auto"/>
              <w:right w:val="single" w:sz="4" w:space="0" w:color="000000"/>
            </w:tcBorders>
            <w:shd w:val="clear" w:color="auto" w:fill="C2D69B" w:themeFill="accent3" w:themeFillTint="99"/>
            <w:vAlign w:val="center"/>
          </w:tcPr>
          <w:p w14:paraId="3C1A7123" w14:textId="7B5029AC" w:rsidR="00B17A65" w:rsidRPr="008D2992" w:rsidRDefault="00B17A65" w:rsidP="00077490">
            <w:pPr>
              <w:pStyle w:val="not31"/>
              <w:widowControl w:val="0"/>
              <w:spacing w:before="120" w:line="140" w:lineRule="exact"/>
              <w:ind w:left="-108" w:right="0"/>
              <w:jc w:val="center"/>
              <w:rPr>
                <w:rFonts w:cs="Arial"/>
                <w:b/>
                <w:color w:val="auto"/>
                <w:sz w:val="18"/>
                <w:szCs w:val="18"/>
                <w:lang w:val="es-MX" w:eastAsia="es-MX"/>
              </w:rPr>
            </w:pPr>
            <w:r>
              <w:rPr>
                <w:rFonts w:cs="Arial"/>
                <w:b/>
                <w:color w:val="auto"/>
                <w:sz w:val="18"/>
                <w:szCs w:val="18"/>
                <w:lang w:val="es-MX" w:eastAsia="es-MX"/>
              </w:rPr>
              <w:t>Trimestre I</w:t>
            </w:r>
            <w:r w:rsidR="007917F2" w:rsidRPr="00383DA5">
              <w:rPr>
                <w:rFonts w:cs="Arial"/>
                <w:b/>
                <w:color w:val="auto"/>
                <w:sz w:val="18"/>
                <w:szCs w:val="18"/>
                <w:lang w:val="es-MX" w:eastAsia="es-MX"/>
              </w:rPr>
              <w:t>I</w:t>
            </w:r>
          </w:p>
        </w:tc>
        <w:tc>
          <w:tcPr>
            <w:tcW w:w="1559" w:type="dxa"/>
            <w:tcBorders>
              <w:left w:val="single" w:sz="4" w:space="0" w:color="000000"/>
              <w:bottom w:val="double" w:sz="4" w:space="0" w:color="auto"/>
              <w:right w:val="double" w:sz="4" w:space="0" w:color="auto"/>
            </w:tcBorders>
            <w:shd w:val="clear" w:color="auto" w:fill="C2D69B" w:themeFill="accent3" w:themeFillTint="99"/>
            <w:vAlign w:val="center"/>
          </w:tcPr>
          <w:p w14:paraId="5A1F1665" w14:textId="568835B0" w:rsidR="00B17A65" w:rsidRDefault="00B17A65" w:rsidP="007917F2">
            <w:pPr>
              <w:pStyle w:val="not31"/>
              <w:widowControl w:val="0"/>
              <w:spacing w:before="120" w:line="140" w:lineRule="exact"/>
              <w:ind w:left="-108" w:right="0"/>
              <w:jc w:val="center"/>
              <w:rPr>
                <w:rFonts w:cs="Arial"/>
                <w:b/>
                <w:color w:val="auto"/>
                <w:sz w:val="18"/>
                <w:szCs w:val="18"/>
                <w:lang w:val="es-MX" w:eastAsia="es-MX"/>
              </w:rPr>
            </w:pPr>
            <w:r>
              <w:rPr>
                <w:rFonts w:cs="Arial"/>
                <w:b/>
                <w:color w:val="auto"/>
                <w:sz w:val="18"/>
                <w:szCs w:val="18"/>
                <w:lang w:val="es-MX" w:eastAsia="es-MX"/>
              </w:rPr>
              <w:t xml:space="preserve">6 </w:t>
            </w:r>
            <w:proofErr w:type="gramStart"/>
            <w:r>
              <w:rPr>
                <w:rFonts w:cs="Arial"/>
                <w:b/>
                <w:color w:val="auto"/>
                <w:sz w:val="18"/>
                <w:szCs w:val="18"/>
                <w:lang w:val="es-MX" w:eastAsia="es-MX"/>
              </w:rPr>
              <w:t>Meses</w:t>
            </w:r>
            <w:proofErr w:type="gramEnd"/>
          </w:p>
        </w:tc>
      </w:tr>
      <w:tr w:rsidR="00B17A65" w14:paraId="08E03517" w14:textId="75AB02FF" w:rsidTr="00B17A65">
        <w:trPr>
          <w:jc w:val="center"/>
        </w:trPr>
        <w:tc>
          <w:tcPr>
            <w:tcW w:w="4805" w:type="dxa"/>
            <w:tcBorders>
              <w:top w:val="double" w:sz="4" w:space="0" w:color="auto"/>
              <w:left w:val="double" w:sz="4" w:space="0" w:color="auto"/>
              <w:bottom w:val="nil"/>
              <w:right w:val="single" w:sz="4" w:space="0" w:color="auto"/>
            </w:tcBorders>
            <w:shd w:val="clear" w:color="auto" w:fill="auto"/>
          </w:tcPr>
          <w:p w14:paraId="22ABAA55" w14:textId="77777777" w:rsidR="00B17A65" w:rsidRPr="008D2992" w:rsidRDefault="00B17A65" w:rsidP="00856F76">
            <w:pPr>
              <w:pStyle w:val="titdoc"/>
              <w:keepNext/>
              <w:keepLines/>
              <w:widowControl w:val="0"/>
              <w:spacing w:before="84"/>
              <w:ind w:left="0" w:firstLine="0"/>
              <w:jc w:val="left"/>
              <w:rPr>
                <w:rFonts w:cs="Arial"/>
                <w:sz w:val="18"/>
                <w:szCs w:val="18"/>
              </w:rPr>
            </w:pPr>
            <w:r w:rsidRPr="008D2992">
              <w:rPr>
                <w:rFonts w:cs="Arial"/>
                <w:sz w:val="18"/>
                <w:szCs w:val="18"/>
              </w:rPr>
              <w:t>Contribución en puntos porcentuales al crecimiento del PIB, proveniente de la variación del</w:t>
            </w:r>
            <w:r w:rsidRPr="00416DD7">
              <w:rPr>
                <w:rFonts w:cs="Arial"/>
                <w:b w:val="0"/>
                <w:position w:val="6"/>
                <w:sz w:val="18"/>
                <w:szCs w:val="18"/>
                <w:vertAlign w:val="superscript"/>
              </w:rPr>
              <w:t>1/</w:t>
            </w:r>
            <w:r w:rsidRPr="008D2992">
              <w:rPr>
                <w:rFonts w:cs="Arial"/>
                <w:sz w:val="18"/>
                <w:szCs w:val="18"/>
              </w:rPr>
              <w:t>:</w:t>
            </w:r>
          </w:p>
        </w:tc>
        <w:tc>
          <w:tcPr>
            <w:tcW w:w="1559" w:type="dxa"/>
            <w:tcBorders>
              <w:top w:val="double" w:sz="4" w:space="0" w:color="auto"/>
              <w:left w:val="nil"/>
              <w:bottom w:val="nil"/>
              <w:right w:val="single" w:sz="4" w:space="0" w:color="000000"/>
            </w:tcBorders>
            <w:shd w:val="clear" w:color="auto" w:fill="auto"/>
          </w:tcPr>
          <w:p w14:paraId="2EB24A7C" w14:textId="77777777" w:rsidR="00B17A65" w:rsidRPr="008D2992" w:rsidRDefault="00B17A65" w:rsidP="00856F76">
            <w:pPr>
              <w:keepNext/>
              <w:keepLines/>
              <w:ind w:left="57"/>
              <w:jc w:val="right"/>
              <w:rPr>
                <w:rFonts w:ascii="Arial" w:hAnsi="Arial" w:cs="Arial"/>
                <w:sz w:val="18"/>
                <w:szCs w:val="18"/>
              </w:rPr>
            </w:pPr>
          </w:p>
        </w:tc>
        <w:tc>
          <w:tcPr>
            <w:tcW w:w="1559" w:type="dxa"/>
            <w:tcBorders>
              <w:top w:val="double" w:sz="4" w:space="0" w:color="auto"/>
              <w:left w:val="single" w:sz="4" w:space="0" w:color="000000"/>
              <w:bottom w:val="nil"/>
              <w:right w:val="double" w:sz="4" w:space="0" w:color="auto"/>
            </w:tcBorders>
          </w:tcPr>
          <w:p w14:paraId="3C9ED677" w14:textId="77777777" w:rsidR="00B17A65" w:rsidRPr="008D2992" w:rsidRDefault="00B17A65" w:rsidP="00856F76">
            <w:pPr>
              <w:keepNext/>
              <w:keepLines/>
              <w:ind w:left="57"/>
              <w:jc w:val="right"/>
              <w:rPr>
                <w:rFonts w:ascii="Arial" w:hAnsi="Arial" w:cs="Arial"/>
                <w:sz w:val="18"/>
                <w:szCs w:val="18"/>
              </w:rPr>
            </w:pPr>
          </w:p>
        </w:tc>
      </w:tr>
      <w:tr w:rsidR="00B17A65" w:rsidRPr="0006330E" w14:paraId="4940ECCF" w14:textId="34966760" w:rsidTr="00B17A65">
        <w:trPr>
          <w:jc w:val="center"/>
        </w:trPr>
        <w:tc>
          <w:tcPr>
            <w:tcW w:w="4805" w:type="dxa"/>
            <w:tcBorders>
              <w:top w:val="nil"/>
              <w:left w:val="double" w:sz="4" w:space="0" w:color="auto"/>
              <w:bottom w:val="nil"/>
              <w:right w:val="single" w:sz="4" w:space="0" w:color="auto"/>
            </w:tcBorders>
            <w:shd w:val="clear" w:color="auto" w:fill="auto"/>
            <w:vAlign w:val="center"/>
          </w:tcPr>
          <w:p w14:paraId="1C61761E" w14:textId="77777777" w:rsidR="00B17A65" w:rsidRPr="008D2992" w:rsidRDefault="00B17A65" w:rsidP="00B17A65">
            <w:pPr>
              <w:pStyle w:val="titdoc"/>
              <w:keepNext/>
              <w:keepLines/>
              <w:widowControl w:val="0"/>
              <w:spacing w:before="20" w:after="20" w:line="180" w:lineRule="atLeast"/>
              <w:ind w:left="176" w:firstLine="0"/>
              <w:jc w:val="left"/>
              <w:rPr>
                <w:rFonts w:cs="Arial"/>
                <w:b w:val="0"/>
                <w:sz w:val="18"/>
                <w:szCs w:val="18"/>
              </w:rPr>
            </w:pPr>
            <w:r w:rsidRPr="008D2992">
              <w:rPr>
                <w:rFonts w:cs="Arial"/>
                <w:b w:val="0"/>
                <w:sz w:val="18"/>
                <w:szCs w:val="18"/>
              </w:rPr>
              <w:t>Consumo Privado</w:t>
            </w:r>
          </w:p>
        </w:tc>
        <w:tc>
          <w:tcPr>
            <w:tcW w:w="1559" w:type="dxa"/>
            <w:tcBorders>
              <w:top w:val="nil"/>
              <w:left w:val="nil"/>
              <w:bottom w:val="nil"/>
              <w:right w:val="single" w:sz="4" w:space="0" w:color="000000"/>
            </w:tcBorders>
            <w:shd w:val="clear" w:color="auto" w:fill="auto"/>
            <w:vAlign w:val="bottom"/>
          </w:tcPr>
          <w:p w14:paraId="61FD30AB" w14:textId="4A50EFD9" w:rsidR="00B17A65" w:rsidRPr="008D2992" w:rsidRDefault="0020744F" w:rsidP="00B17A65">
            <w:pPr>
              <w:spacing w:before="20" w:after="20" w:line="180" w:lineRule="atLeast"/>
              <w:ind w:right="454"/>
              <w:jc w:val="right"/>
              <w:rPr>
                <w:rFonts w:ascii="Arial" w:hAnsi="Arial" w:cs="Arial"/>
                <w:sz w:val="18"/>
                <w:szCs w:val="18"/>
              </w:rPr>
            </w:pPr>
            <w:r>
              <w:rPr>
                <w:rFonts w:ascii="Arial" w:hAnsi="Arial" w:cs="Arial"/>
                <w:sz w:val="18"/>
                <w:szCs w:val="18"/>
              </w:rPr>
              <w:t>14.7</w:t>
            </w:r>
          </w:p>
        </w:tc>
        <w:tc>
          <w:tcPr>
            <w:tcW w:w="1559" w:type="dxa"/>
            <w:tcBorders>
              <w:top w:val="nil"/>
              <w:left w:val="single" w:sz="4" w:space="0" w:color="000000"/>
              <w:bottom w:val="nil"/>
              <w:right w:val="double" w:sz="4" w:space="0" w:color="auto"/>
            </w:tcBorders>
            <w:vAlign w:val="bottom"/>
          </w:tcPr>
          <w:p w14:paraId="0908A70B" w14:textId="0982BA10" w:rsidR="00B17A65" w:rsidRPr="008D2992" w:rsidRDefault="0038750E" w:rsidP="00B17A65">
            <w:pPr>
              <w:spacing w:before="20" w:after="20" w:line="180" w:lineRule="atLeast"/>
              <w:ind w:right="454"/>
              <w:jc w:val="right"/>
              <w:rPr>
                <w:rFonts w:ascii="Arial" w:hAnsi="Arial" w:cs="Arial"/>
                <w:sz w:val="18"/>
                <w:szCs w:val="18"/>
              </w:rPr>
            </w:pPr>
            <w:r>
              <w:rPr>
                <w:rFonts w:ascii="Arial" w:hAnsi="Arial" w:cs="Arial"/>
                <w:sz w:val="18"/>
                <w:szCs w:val="18"/>
              </w:rPr>
              <w:t>5.1</w:t>
            </w:r>
          </w:p>
        </w:tc>
      </w:tr>
      <w:tr w:rsidR="00B17A65" w:rsidRPr="0006330E" w14:paraId="564FE51C" w14:textId="2BFD0A51" w:rsidTr="00B17A65">
        <w:trPr>
          <w:trHeight w:val="113"/>
          <w:jc w:val="center"/>
        </w:trPr>
        <w:tc>
          <w:tcPr>
            <w:tcW w:w="4805" w:type="dxa"/>
            <w:tcBorders>
              <w:top w:val="nil"/>
              <w:left w:val="double" w:sz="4" w:space="0" w:color="auto"/>
              <w:bottom w:val="nil"/>
              <w:right w:val="single" w:sz="4" w:space="0" w:color="auto"/>
            </w:tcBorders>
            <w:shd w:val="clear" w:color="auto" w:fill="auto"/>
            <w:vAlign w:val="center"/>
          </w:tcPr>
          <w:p w14:paraId="5AC98F20" w14:textId="77777777" w:rsidR="00B17A65" w:rsidRPr="008D2992" w:rsidRDefault="00B17A65" w:rsidP="00B17A65">
            <w:pPr>
              <w:pStyle w:val="titdoc"/>
              <w:keepNext/>
              <w:keepLines/>
              <w:widowControl w:val="0"/>
              <w:spacing w:before="20" w:after="20" w:line="180" w:lineRule="atLeast"/>
              <w:ind w:left="176" w:firstLine="0"/>
              <w:jc w:val="left"/>
              <w:rPr>
                <w:rFonts w:cs="Arial"/>
                <w:b w:val="0"/>
                <w:sz w:val="18"/>
                <w:szCs w:val="18"/>
              </w:rPr>
            </w:pPr>
            <w:r w:rsidRPr="008D2992">
              <w:rPr>
                <w:rFonts w:cs="Arial"/>
                <w:b w:val="0"/>
                <w:sz w:val="18"/>
                <w:szCs w:val="18"/>
              </w:rPr>
              <w:t>Consumo de Gobierno</w:t>
            </w:r>
          </w:p>
        </w:tc>
        <w:tc>
          <w:tcPr>
            <w:tcW w:w="1559" w:type="dxa"/>
            <w:tcBorders>
              <w:top w:val="nil"/>
              <w:left w:val="nil"/>
              <w:bottom w:val="nil"/>
              <w:right w:val="single" w:sz="4" w:space="0" w:color="000000"/>
            </w:tcBorders>
            <w:shd w:val="clear" w:color="auto" w:fill="auto"/>
            <w:vAlign w:val="bottom"/>
          </w:tcPr>
          <w:p w14:paraId="018494DF" w14:textId="7D42BAE3" w:rsidR="00B17A65" w:rsidRPr="008D2992" w:rsidRDefault="0020744F" w:rsidP="00B17A65">
            <w:pPr>
              <w:spacing w:before="20" w:after="20" w:line="180" w:lineRule="atLeast"/>
              <w:ind w:right="454"/>
              <w:jc w:val="right"/>
              <w:rPr>
                <w:rFonts w:ascii="Arial" w:hAnsi="Arial" w:cs="Arial"/>
                <w:sz w:val="18"/>
                <w:szCs w:val="18"/>
              </w:rPr>
            </w:pPr>
            <w:r>
              <w:rPr>
                <w:rFonts w:ascii="Arial" w:hAnsi="Arial" w:cs="Arial"/>
                <w:sz w:val="18"/>
                <w:szCs w:val="18"/>
              </w:rPr>
              <w:t>0.6</w:t>
            </w:r>
          </w:p>
        </w:tc>
        <w:tc>
          <w:tcPr>
            <w:tcW w:w="1559" w:type="dxa"/>
            <w:tcBorders>
              <w:top w:val="nil"/>
              <w:left w:val="single" w:sz="4" w:space="0" w:color="000000"/>
              <w:bottom w:val="nil"/>
              <w:right w:val="double" w:sz="4" w:space="0" w:color="auto"/>
            </w:tcBorders>
            <w:vAlign w:val="bottom"/>
          </w:tcPr>
          <w:p w14:paraId="25819D8B" w14:textId="6B166A04" w:rsidR="00B17A65" w:rsidRDefault="0038750E" w:rsidP="00B17A65">
            <w:pPr>
              <w:spacing w:before="20" w:after="20" w:line="180" w:lineRule="atLeast"/>
              <w:ind w:right="454"/>
              <w:jc w:val="right"/>
              <w:rPr>
                <w:rFonts w:ascii="Arial" w:hAnsi="Arial" w:cs="Arial"/>
                <w:sz w:val="18"/>
                <w:szCs w:val="18"/>
              </w:rPr>
            </w:pPr>
            <w:r>
              <w:rPr>
                <w:rFonts w:ascii="Arial" w:hAnsi="Arial" w:cs="Arial"/>
                <w:sz w:val="18"/>
                <w:szCs w:val="18"/>
              </w:rPr>
              <w:t>0.2</w:t>
            </w:r>
          </w:p>
        </w:tc>
      </w:tr>
      <w:tr w:rsidR="00B17A65" w:rsidRPr="0006330E" w14:paraId="6CDC1359" w14:textId="7885A859" w:rsidTr="00B17A65">
        <w:trPr>
          <w:jc w:val="center"/>
        </w:trPr>
        <w:tc>
          <w:tcPr>
            <w:tcW w:w="4805" w:type="dxa"/>
            <w:tcBorders>
              <w:top w:val="nil"/>
              <w:left w:val="double" w:sz="4" w:space="0" w:color="auto"/>
              <w:bottom w:val="nil"/>
              <w:right w:val="single" w:sz="4" w:space="0" w:color="auto"/>
            </w:tcBorders>
            <w:shd w:val="clear" w:color="auto" w:fill="auto"/>
            <w:vAlign w:val="center"/>
          </w:tcPr>
          <w:p w14:paraId="5215428E" w14:textId="77777777" w:rsidR="00B17A65" w:rsidRPr="008D2992" w:rsidRDefault="00B17A65" w:rsidP="00B17A65">
            <w:pPr>
              <w:pStyle w:val="titdoc"/>
              <w:keepNext/>
              <w:keepLines/>
              <w:widowControl w:val="0"/>
              <w:spacing w:before="20" w:after="20" w:line="180" w:lineRule="atLeast"/>
              <w:ind w:left="176" w:firstLine="0"/>
              <w:jc w:val="left"/>
              <w:rPr>
                <w:rFonts w:cs="Arial"/>
                <w:b w:val="0"/>
                <w:sz w:val="18"/>
                <w:szCs w:val="18"/>
              </w:rPr>
            </w:pPr>
            <w:r w:rsidRPr="008D2992">
              <w:rPr>
                <w:rFonts w:cs="Arial"/>
                <w:b w:val="0"/>
                <w:sz w:val="18"/>
                <w:szCs w:val="18"/>
              </w:rPr>
              <w:t>Formación Bruta de Capital Fijo</w:t>
            </w:r>
          </w:p>
        </w:tc>
        <w:tc>
          <w:tcPr>
            <w:tcW w:w="1559" w:type="dxa"/>
            <w:tcBorders>
              <w:top w:val="nil"/>
              <w:left w:val="nil"/>
              <w:bottom w:val="nil"/>
              <w:right w:val="single" w:sz="4" w:space="0" w:color="000000"/>
            </w:tcBorders>
            <w:shd w:val="clear" w:color="auto" w:fill="auto"/>
            <w:vAlign w:val="bottom"/>
          </w:tcPr>
          <w:p w14:paraId="14A72FA9" w14:textId="4E766FA4" w:rsidR="00B17A65" w:rsidRPr="008D2992" w:rsidRDefault="0020744F" w:rsidP="00B17A65">
            <w:pPr>
              <w:spacing w:before="20" w:after="20" w:line="180" w:lineRule="atLeast"/>
              <w:ind w:right="454"/>
              <w:jc w:val="right"/>
              <w:rPr>
                <w:rFonts w:ascii="Arial" w:hAnsi="Arial" w:cs="Arial"/>
                <w:sz w:val="18"/>
                <w:szCs w:val="18"/>
              </w:rPr>
            </w:pPr>
            <w:r>
              <w:rPr>
                <w:rFonts w:ascii="Arial" w:hAnsi="Arial" w:cs="Arial"/>
                <w:sz w:val="18"/>
                <w:szCs w:val="18"/>
              </w:rPr>
              <w:t>5.3</w:t>
            </w:r>
          </w:p>
        </w:tc>
        <w:tc>
          <w:tcPr>
            <w:tcW w:w="1559" w:type="dxa"/>
            <w:tcBorders>
              <w:top w:val="nil"/>
              <w:left w:val="single" w:sz="4" w:space="0" w:color="000000"/>
              <w:bottom w:val="nil"/>
              <w:right w:val="double" w:sz="4" w:space="0" w:color="auto"/>
            </w:tcBorders>
            <w:vAlign w:val="bottom"/>
          </w:tcPr>
          <w:p w14:paraId="3A9849C8" w14:textId="3B0F11C3" w:rsidR="00B17A65" w:rsidRPr="008D2992" w:rsidRDefault="0038750E" w:rsidP="00B17A65">
            <w:pPr>
              <w:spacing w:before="20" w:after="20" w:line="180" w:lineRule="atLeast"/>
              <w:ind w:right="454"/>
              <w:jc w:val="right"/>
              <w:rPr>
                <w:rFonts w:ascii="Arial" w:hAnsi="Arial" w:cs="Arial"/>
                <w:sz w:val="18"/>
                <w:szCs w:val="18"/>
              </w:rPr>
            </w:pPr>
            <w:r>
              <w:rPr>
                <w:rFonts w:ascii="Arial" w:hAnsi="Arial" w:cs="Arial"/>
                <w:sz w:val="18"/>
                <w:szCs w:val="18"/>
              </w:rPr>
              <w:t>1.9</w:t>
            </w:r>
          </w:p>
        </w:tc>
      </w:tr>
      <w:tr w:rsidR="00B17A65" w:rsidRPr="0006330E" w14:paraId="12909330" w14:textId="7F534369" w:rsidTr="00B17A65">
        <w:trPr>
          <w:jc w:val="center"/>
        </w:trPr>
        <w:tc>
          <w:tcPr>
            <w:tcW w:w="4805" w:type="dxa"/>
            <w:tcBorders>
              <w:top w:val="nil"/>
              <w:left w:val="double" w:sz="4" w:space="0" w:color="auto"/>
              <w:bottom w:val="nil"/>
              <w:right w:val="single" w:sz="4" w:space="0" w:color="auto"/>
            </w:tcBorders>
            <w:shd w:val="clear" w:color="auto" w:fill="auto"/>
            <w:vAlign w:val="center"/>
          </w:tcPr>
          <w:p w14:paraId="51DF3CEF" w14:textId="77777777" w:rsidR="00B17A65" w:rsidRPr="008D2992" w:rsidRDefault="00B17A65" w:rsidP="00B17A65">
            <w:pPr>
              <w:pStyle w:val="titdoc"/>
              <w:keepNext/>
              <w:keepLines/>
              <w:widowControl w:val="0"/>
              <w:spacing w:before="20" w:after="20" w:line="180" w:lineRule="atLeast"/>
              <w:ind w:left="176" w:firstLine="0"/>
              <w:jc w:val="left"/>
              <w:rPr>
                <w:rFonts w:cs="Arial"/>
                <w:b w:val="0"/>
                <w:sz w:val="18"/>
                <w:szCs w:val="18"/>
              </w:rPr>
            </w:pPr>
            <w:r w:rsidRPr="008D2992">
              <w:rPr>
                <w:rFonts w:cs="Arial"/>
                <w:b w:val="0"/>
                <w:sz w:val="18"/>
                <w:szCs w:val="18"/>
              </w:rPr>
              <w:t>Exportación de Bienes y Servicios</w:t>
            </w:r>
          </w:p>
        </w:tc>
        <w:tc>
          <w:tcPr>
            <w:tcW w:w="1559" w:type="dxa"/>
            <w:tcBorders>
              <w:top w:val="nil"/>
              <w:left w:val="nil"/>
              <w:bottom w:val="nil"/>
              <w:right w:val="single" w:sz="4" w:space="0" w:color="000000"/>
            </w:tcBorders>
            <w:shd w:val="clear" w:color="auto" w:fill="auto"/>
            <w:vAlign w:val="bottom"/>
          </w:tcPr>
          <w:p w14:paraId="7C31838C" w14:textId="79881214" w:rsidR="00B17A65" w:rsidRPr="008D2992" w:rsidRDefault="0020744F" w:rsidP="00B17A65">
            <w:pPr>
              <w:spacing w:before="20" w:after="20" w:line="180" w:lineRule="atLeast"/>
              <w:ind w:right="454"/>
              <w:jc w:val="right"/>
              <w:rPr>
                <w:rFonts w:ascii="Arial" w:hAnsi="Arial" w:cs="Arial"/>
                <w:sz w:val="18"/>
                <w:szCs w:val="18"/>
              </w:rPr>
            </w:pPr>
            <w:r>
              <w:rPr>
                <w:rFonts w:ascii="Arial" w:hAnsi="Arial" w:cs="Arial"/>
                <w:sz w:val="18"/>
                <w:szCs w:val="18"/>
              </w:rPr>
              <w:t>13.9</w:t>
            </w:r>
          </w:p>
        </w:tc>
        <w:tc>
          <w:tcPr>
            <w:tcW w:w="1559" w:type="dxa"/>
            <w:tcBorders>
              <w:top w:val="nil"/>
              <w:left w:val="single" w:sz="4" w:space="0" w:color="000000"/>
              <w:bottom w:val="nil"/>
              <w:right w:val="double" w:sz="4" w:space="0" w:color="auto"/>
            </w:tcBorders>
            <w:vAlign w:val="bottom"/>
          </w:tcPr>
          <w:p w14:paraId="384E1778" w14:textId="330611B9" w:rsidR="00B17A65" w:rsidRPr="008D2992" w:rsidRDefault="0038750E" w:rsidP="00B17A65">
            <w:pPr>
              <w:spacing w:before="20" w:after="20" w:line="180" w:lineRule="atLeast"/>
              <w:ind w:right="454"/>
              <w:jc w:val="right"/>
              <w:rPr>
                <w:rFonts w:ascii="Arial" w:hAnsi="Arial" w:cs="Arial"/>
                <w:sz w:val="18"/>
                <w:szCs w:val="18"/>
              </w:rPr>
            </w:pPr>
            <w:r>
              <w:rPr>
                <w:rFonts w:ascii="Arial" w:hAnsi="Arial" w:cs="Arial"/>
                <w:sz w:val="18"/>
                <w:szCs w:val="18"/>
              </w:rPr>
              <w:t>5.5</w:t>
            </w:r>
          </w:p>
        </w:tc>
      </w:tr>
      <w:tr w:rsidR="00B17A65" w:rsidRPr="0006330E" w14:paraId="56521CBC" w14:textId="26E7280B" w:rsidTr="00B17A65">
        <w:trPr>
          <w:jc w:val="center"/>
        </w:trPr>
        <w:tc>
          <w:tcPr>
            <w:tcW w:w="4805" w:type="dxa"/>
            <w:tcBorders>
              <w:top w:val="nil"/>
              <w:left w:val="double" w:sz="4" w:space="0" w:color="auto"/>
              <w:bottom w:val="nil"/>
              <w:right w:val="single" w:sz="4" w:space="0" w:color="auto"/>
            </w:tcBorders>
            <w:shd w:val="clear" w:color="auto" w:fill="auto"/>
            <w:vAlign w:val="center"/>
          </w:tcPr>
          <w:p w14:paraId="4F6B5FB2" w14:textId="77777777" w:rsidR="00B17A65" w:rsidRPr="008D2992" w:rsidRDefault="00B17A65" w:rsidP="00B17A65">
            <w:pPr>
              <w:pStyle w:val="titdoc"/>
              <w:keepNext/>
              <w:keepLines/>
              <w:widowControl w:val="0"/>
              <w:spacing w:before="20" w:after="20" w:line="180" w:lineRule="atLeast"/>
              <w:ind w:left="176" w:firstLine="0"/>
              <w:jc w:val="left"/>
              <w:rPr>
                <w:rFonts w:cs="Arial"/>
                <w:b w:val="0"/>
                <w:sz w:val="18"/>
                <w:szCs w:val="18"/>
              </w:rPr>
            </w:pPr>
            <w:r w:rsidRPr="008D2992">
              <w:rPr>
                <w:rFonts w:cs="Arial"/>
                <w:b w:val="0"/>
                <w:sz w:val="18"/>
                <w:szCs w:val="18"/>
              </w:rPr>
              <w:t>(-) Importación de Bienes y Servicios</w:t>
            </w:r>
          </w:p>
        </w:tc>
        <w:tc>
          <w:tcPr>
            <w:tcW w:w="1559" w:type="dxa"/>
            <w:tcBorders>
              <w:top w:val="nil"/>
              <w:left w:val="nil"/>
              <w:bottom w:val="single" w:sz="4" w:space="0" w:color="auto"/>
              <w:right w:val="single" w:sz="4" w:space="0" w:color="000000"/>
            </w:tcBorders>
            <w:shd w:val="clear" w:color="auto" w:fill="auto"/>
            <w:vAlign w:val="bottom"/>
          </w:tcPr>
          <w:p w14:paraId="6542FF89" w14:textId="72C82A0C" w:rsidR="00B17A65" w:rsidRPr="008D2992" w:rsidRDefault="0020744F" w:rsidP="00B17A65">
            <w:pPr>
              <w:spacing w:before="20" w:after="20" w:line="180" w:lineRule="atLeast"/>
              <w:ind w:right="454"/>
              <w:jc w:val="right"/>
              <w:rPr>
                <w:rFonts w:ascii="Arial" w:hAnsi="Arial" w:cs="Arial"/>
                <w:sz w:val="18"/>
                <w:szCs w:val="18"/>
              </w:rPr>
            </w:pPr>
            <w:r>
              <w:rPr>
                <w:rFonts w:ascii="Arial" w:hAnsi="Arial" w:cs="Arial"/>
                <w:sz w:val="18"/>
                <w:szCs w:val="18"/>
              </w:rPr>
              <w:t>11.2</w:t>
            </w:r>
          </w:p>
        </w:tc>
        <w:tc>
          <w:tcPr>
            <w:tcW w:w="1559" w:type="dxa"/>
            <w:tcBorders>
              <w:top w:val="nil"/>
              <w:left w:val="single" w:sz="4" w:space="0" w:color="000000"/>
              <w:bottom w:val="single" w:sz="4" w:space="0" w:color="auto"/>
              <w:right w:val="double" w:sz="4" w:space="0" w:color="auto"/>
            </w:tcBorders>
            <w:vAlign w:val="bottom"/>
          </w:tcPr>
          <w:p w14:paraId="0CF7F27C" w14:textId="572320AE" w:rsidR="00B17A65" w:rsidRPr="008D2992" w:rsidRDefault="0038750E" w:rsidP="00B17A65">
            <w:pPr>
              <w:spacing w:before="20" w:after="20" w:line="180" w:lineRule="atLeast"/>
              <w:ind w:right="454"/>
              <w:jc w:val="right"/>
              <w:rPr>
                <w:rFonts w:ascii="Arial" w:hAnsi="Arial" w:cs="Arial"/>
                <w:sz w:val="18"/>
                <w:szCs w:val="18"/>
              </w:rPr>
            </w:pPr>
            <w:r>
              <w:rPr>
                <w:rFonts w:ascii="Arial" w:hAnsi="Arial" w:cs="Arial"/>
                <w:sz w:val="18"/>
                <w:szCs w:val="18"/>
              </w:rPr>
              <w:t>4.9</w:t>
            </w:r>
          </w:p>
        </w:tc>
      </w:tr>
      <w:tr w:rsidR="00B17A65" w:rsidRPr="0006330E" w14:paraId="5BF213F0" w14:textId="1F1E3346" w:rsidTr="00B17A65">
        <w:trPr>
          <w:trHeight w:val="225"/>
          <w:jc w:val="center"/>
        </w:trPr>
        <w:tc>
          <w:tcPr>
            <w:tcW w:w="4805" w:type="dxa"/>
            <w:tcBorders>
              <w:top w:val="nil"/>
              <w:left w:val="double" w:sz="4" w:space="0" w:color="auto"/>
              <w:bottom w:val="double" w:sz="4" w:space="0" w:color="auto"/>
              <w:right w:val="single" w:sz="4" w:space="0" w:color="auto"/>
            </w:tcBorders>
            <w:shd w:val="clear" w:color="auto" w:fill="auto"/>
            <w:vAlign w:val="center"/>
          </w:tcPr>
          <w:p w14:paraId="27253CB4" w14:textId="77777777" w:rsidR="00B17A65" w:rsidRPr="008D2992" w:rsidRDefault="00B17A65" w:rsidP="00B17A65">
            <w:pPr>
              <w:pStyle w:val="titdoc"/>
              <w:keepNext/>
              <w:keepLines/>
              <w:widowControl w:val="0"/>
              <w:spacing w:before="20" w:after="20" w:line="180" w:lineRule="atLeast"/>
              <w:ind w:left="176" w:firstLine="0"/>
              <w:jc w:val="left"/>
              <w:rPr>
                <w:rFonts w:cs="Arial"/>
                <w:sz w:val="18"/>
                <w:szCs w:val="18"/>
              </w:rPr>
            </w:pPr>
            <w:r w:rsidRPr="008D2992">
              <w:rPr>
                <w:rFonts w:cs="Arial"/>
                <w:sz w:val="18"/>
                <w:szCs w:val="18"/>
              </w:rPr>
              <w:t>SUMA</w:t>
            </w:r>
          </w:p>
        </w:tc>
        <w:tc>
          <w:tcPr>
            <w:tcW w:w="1559" w:type="dxa"/>
            <w:tcBorders>
              <w:top w:val="single" w:sz="4" w:space="0" w:color="auto"/>
              <w:left w:val="nil"/>
              <w:bottom w:val="double" w:sz="4" w:space="0" w:color="auto"/>
              <w:right w:val="single" w:sz="4" w:space="0" w:color="000000"/>
            </w:tcBorders>
            <w:shd w:val="clear" w:color="auto" w:fill="auto"/>
            <w:vAlign w:val="center"/>
          </w:tcPr>
          <w:p w14:paraId="5A968827" w14:textId="05C0A865" w:rsidR="00B17A65" w:rsidRPr="008D2992" w:rsidRDefault="0020744F" w:rsidP="00B17A65">
            <w:pPr>
              <w:spacing w:before="20" w:after="20" w:line="180" w:lineRule="atLeast"/>
              <w:ind w:right="454"/>
              <w:jc w:val="right"/>
              <w:rPr>
                <w:rFonts w:ascii="Arial" w:hAnsi="Arial" w:cs="Arial"/>
                <w:b/>
                <w:sz w:val="18"/>
                <w:szCs w:val="18"/>
              </w:rPr>
            </w:pPr>
            <w:r>
              <w:rPr>
                <w:rFonts w:ascii="Arial" w:hAnsi="Arial" w:cs="Arial"/>
                <w:b/>
                <w:sz w:val="18"/>
                <w:szCs w:val="18"/>
              </w:rPr>
              <w:t>19.6</w:t>
            </w:r>
          </w:p>
        </w:tc>
        <w:tc>
          <w:tcPr>
            <w:tcW w:w="1559" w:type="dxa"/>
            <w:tcBorders>
              <w:top w:val="single" w:sz="4" w:space="0" w:color="auto"/>
              <w:left w:val="single" w:sz="4" w:space="0" w:color="000000"/>
              <w:bottom w:val="double" w:sz="4" w:space="0" w:color="auto"/>
              <w:right w:val="double" w:sz="4" w:space="0" w:color="auto"/>
            </w:tcBorders>
            <w:vAlign w:val="center"/>
          </w:tcPr>
          <w:p w14:paraId="64A1CF0E" w14:textId="74A36BB8" w:rsidR="00B17A65" w:rsidRPr="008D2992" w:rsidRDefault="0038750E" w:rsidP="00B17A65">
            <w:pPr>
              <w:spacing w:before="20" w:after="20" w:line="180" w:lineRule="atLeast"/>
              <w:ind w:right="454"/>
              <w:jc w:val="right"/>
              <w:rPr>
                <w:rFonts w:ascii="Arial" w:hAnsi="Arial" w:cs="Arial"/>
                <w:b/>
                <w:sz w:val="18"/>
                <w:szCs w:val="18"/>
              </w:rPr>
            </w:pPr>
            <w:r>
              <w:rPr>
                <w:rFonts w:ascii="Arial" w:hAnsi="Arial" w:cs="Arial"/>
                <w:b/>
                <w:sz w:val="18"/>
                <w:szCs w:val="18"/>
              </w:rPr>
              <w:t>6.</w:t>
            </w:r>
            <w:r w:rsidR="00E83523">
              <w:rPr>
                <w:rFonts w:ascii="Arial" w:hAnsi="Arial" w:cs="Arial"/>
                <w:b/>
                <w:sz w:val="18"/>
                <w:szCs w:val="18"/>
              </w:rPr>
              <w:t>9</w:t>
            </w:r>
          </w:p>
        </w:tc>
      </w:tr>
    </w:tbl>
    <w:p w14:paraId="5154F14D" w14:textId="11831A1A" w:rsidR="00C177C7" w:rsidRPr="00D03231" w:rsidRDefault="00C177C7" w:rsidP="00B17A65">
      <w:pPr>
        <w:pStyle w:val="Textoindependiente"/>
        <w:spacing w:before="0"/>
        <w:ind w:left="567" w:right="114" w:hanging="141"/>
        <w:rPr>
          <w:rFonts w:cs="Arial"/>
          <w:sz w:val="18"/>
          <w:szCs w:val="18"/>
        </w:rPr>
      </w:pPr>
      <w:r w:rsidRPr="008D2992">
        <w:rPr>
          <w:rFonts w:cs="Arial"/>
          <w:position w:val="-2"/>
          <w:sz w:val="16"/>
          <w:szCs w:val="16"/>
          <w:vertAlign w:val="superscript"/>
        </w:rPr>
        <w:t>1</w:t>
      </w:r>
      <w:r w:rsidRPr="00D03231">
        <w:rPr>
          <w:rFonts w:cs="Arial"/>
          <w:position w:val="-2"/>
          <w:sz w:val="18"/>
          <w:szCs w:val="18"/>
          <w:vertAlign w:val="superscript"/>
        </w:rPr>
        <w:t>/</w:t>
      </w:r>
      <w:r w:rsidRPr="00D03231">
        <w:rPr>
          <w:rFonts w:cs="Arial"/>
          <w:position w:val="4"/>
          <w:sz w:val="18"/>
          <w:szCs w:val="18"/>
        </w:rPr>
        <w:t xml:space="preserve"> </w:t>
      </w:r>
      <w:r w:rsidRPr="004A49E1">
        <w:rPr>
          <w:rFonts w:cs="Arial"/>
          <w:sz w:val="16"/>
          <w:szCs w:val="16"/>
        </w:rPr>
        <w:t>La suma de las contribuciones difiere del total del crecimiento del PIB debido a que no se incluye la variación de</w:t>
      </w:r>
      <w:r w:rsidR="00D50DB5">
        <w:rPr>
          <w:rFonts w:cs="Arial"/>
          <w:sz w:val="16"/>
          <w:szCs w:val="16"/>
        </w:rPr>
        <w:t xml:space="preserve"> </w:t>
      </w:r>
      <w:r w:rsidRPr="004A49E1">
        <w:rPr>
          <w:rFonts w:cs="Arial"/>
          <w:sz w:val="16"/>
          <w:szCs w:val="16"/>
        </w:rPr>
        <w:t>existencias ni la discrepancia estadística.</w:t>
      </w:r>
    </w:p>
    <w:p w14:paraId="42B9ED37" w14:textId="7D96B968" w:rsidR="00C177C7" w:rsidRDefault="00C177C7" w:rsidP="00B17A65">
      <w:pPr>
        <w:pStyle w:val="not31"/>
        <w:keepLines w:val="0"/>
        <w:widowControl w:val="0"/>
        <w:spacing w:before="0"/>
        <w:ind w:left="1560" w:right="985" w:hanging="1134"/>
        <w:rPr>
          <w:rFonts w:cs="Arial"/>
          <w:color w:val="auto"/>
          <w:sz w:val="16"/>
          <w:szCs w:val="16"/>
          <w:lang w:val="es-MX" w:eastAsia="es-MX"/>
        </w:rPr>
      </w:pPr>
      <w:r w:rsidRPr="00D03231">
        <w:rPr>
          <w:rFonts w:cs="Arial"/>
          <w:color w:val="auto"/>
          <w:sz w:val="18"/>
          <w:szCs w:val="18"/>
          <w:vertAlign w:val="superscript"/>
          <w:lang w:val="es-MX" w:eastAsia="es-MX"/>
        </w:rPr>
        <w:t>P/</w:t>
      </w:r>
      <w:r>
        <w:rPr>
          <w:rFonts w:cs="Arial"/>
          <w:color w:val="auto"/>
          <w:sz w:val="18"/>
          <w:szCs w:val="18"/>
          <w:vertAlign w:val="superscript"/>
          <w:lang w:val="es-MX" w:eastAsia="es-MX"/>
        </w:rPr>
        <w:t xml:space="preserve"> </w:t>
      </w:r>
      <w:r w:rsidRPr="004A49E1">
        <w:rPr>
          <w:rFonts w:cs="Arial"/>
          <w:color w:val="auto"/>
          <w:sz w:val="16"/>
          <w:szCs w:val="16"/>
          <w:lang w:val="es-MX" w:eastAsia="es-MX"/>
        </w:rPr>
        <w:t>Cifras preliminares.</w:t>
      </w:r>
    </w:p>
    <w:p w14:paraId="4CC1A1EA" w14:textId="77777777" w:rsidR="000A532D" w:rsidRPr="004A49E1" w:rsidRDefault="000A532D" w:rsidP="00B17A65">
      <w:pPr>
        <w:pStyle w:val="p1"/>
        <w:keepLines w:val="0"/>
        <w:spacing w:before="0"/>
        <w:ind w:left="1560" w:hanging="1134"/>
        <w:rPr>
          <w:color w:val="auto"/>
          <w:sz w:val="16"/>
          <w:szCs w:val="16"/>
        </w:rPr>
      </w:pPr>
      <w:r w:rsidRPr="004A49E1">
        <w:rPr>
          <w:rFonts w:cs="Arial"/>
          <w:color w:val="000000"/>
          <w:sz w:val="16"/>
          <w:szCs w:val="16"/>
        </w:rPr>
        <w:t>Fuente:  INEGI</w:t>
      </w:r>
      <w:r w:rsidRPr="004A49E1">
        <w:rPr>
          <w:rFonts w:cs="Arial"/>
          <w:color w:val="000000" w:themeColor="text1"/>
          <w:sz w:val="16"/>
          <w:szCs w:val="16"/>
        </w:rPr>
        <w:t>.</w:t>
      </w:r>
    </w:p>
    <w:p w14:paraId="71CE3370" w14:textId="77777777" w:rsidR="00C177C7" w:rsidRPr="00215435" w:rsidRDefault="00C177C7" w:rsidP="00DA3BDB">
      <w:pPr>
        <w:pStyle w:val="Textoindependiente"/>
        <w:rPr>
          <w:rFonts w:cs="Arial"/>
          <w:b/>
          <w:i/>
          <w:szCs w:val="24"/>
        </w:rPr>
      </w:pPr>
      <w:r w:rsidRPr="00215435">
        <w:rPr>
          <w:rFonts w:cs="Arial"/>
          <w:b/>
          <w:i/>
          <w:szCs w:val="24"/>
        </w:rPr>
        <w:t xml:space="preserve">Oferta y Demanda Global en pesos corrientes </w:t>
      </w:r>
    </w:p>
    <w:p w14:paraId="0E985570" w14:textId="510037E3" w:rsidR="00C177C7" w:rsidRPr="00215435" w:rsidRDefault="00C177C7" w:rsidP="00C177C7">
      <w:pPr>
        <w:pStyle w:val="Textoindependiente"/>
        <w:spacing w:before="240"/>
        <w:rPr>
          <w:rFonts w:cs="Arial"/>
          <w:szCs w:val="24"/>
        </w:rPr>
      </w:pPr>
      <w:r w:rsidRPr="00215435">
        <w:rPr>
          <w:rFonts w:cs="Arial"/>
          <w:szCs w:val="24"/>
        </w:rPr>
        <w:t xml:space="preserve">La </w:t>
      </w:r>
      <w:r w:rsidRPr="00215435">
        <w:rPr>
          <w:rFonts w:cs="Arial"/>
          <w:b/>
          <w:szCs w:val="24"/>
        </w:rPr>
        <w:t>Oferta Global</w:t>
      </w:r>
      <w:r w:rsidRPr="00215435">
        <w:rPr>
          <w:rFonts w:cs="Arial"/>
          <w:szCs w:val="24"/>
        </w:rPr>
        <w:t xml:space="preserve"> (igual a la Demanda Global) de Bienes y Servicios a precios corrientes sumó </w:t>
      </w:r>
      <w:r w:rsidR="00474FFB" w:rsidRPr="009B6B7E">
        <w:rPr>
          <w:rFonts w:cs="Arial"/>
          <w:szCs w:val="24"/>
        </w:rPr>
        <w:t>36,398,144</w:t>
      </w:r>
      <w:r w:rsidRPr="009B6B7E">
        <w:rPr>
          <w:rFonts w:cs="Arial"/>
          <w:szCs w:val="24"/>
        </w:rPr>
        <w:t xml:space="preserve"> millones de pesos (3</w:t>
      </w:r>
      <w:r w:rsidR="00474FFB" w:rsidRPr="009B6B7E">
        <w:rPr>
          <w:rFonts w:cs="Arial"/>
          <w:szCs w:val="24"/>
        </w:rPr>
        <w:t>6</w:t>
      </w:r>
      <w:r w:rsidRPr="009B6B7E">
        <w:rPr>
          <w:rFonts w:cs="Arial"/>
          <w:szCs w:val="24"/>
        </w:rPr>
        <w:t>.</w:t>
      </w:r>
      <w:r w:rsidR="00474FFB" w:rsidRPr="009B6B7E">
        <w:rPr>
          <w:rFonts w:cs="Arial"/>
          <w:szCs w:val="24"/>
        </w:rPr>
        <w:t>4</w:t>
      </w:r>
      <w:r w:rsidRPr="00215435">
        <w:rPr>
          <w:rFonts w:cs="Arial"/>
          <w:szCs w:val="24"/>
        </w:rPr>
        <w:t xml:space="preserve"> billones de pesos) en el </w:t>
      </w:r>
      <w:r w:rsidR="00A93796">
        <w:rPr>
          <w:rFonts w:cs="Arial"/>
          <w:szCs w:val="24"/>
        </w:rPr>
        <w:t>segundo</w:t>
      </w:r>
      <w:r w:rsidRPr="00215435">
        <w:rPr>
          <w:rFonts w:cs="Arial"/>
          <w:szCs w:val="24"/>
        </w:rPr>
        <w:t xml:space="preserve"> trimestre de 202</w:t>
      </w:r>
      <w:r>
        <w:rPr>
          <w:rFonts w:cs="Arial"/>
          <w:szCs w:val="24"/>
        </w:rPr>
        <w:t>1</w:t>
      </w:r>
      <w:r w:rsidRPr="00215435">
        <w:rPr>
          <w:rFonts w:cs="Arial"/>
          <w:szCs w:val="24"/>
        </w:rPr>
        <w:t>.</w:t>
      </w:r>
    </w:p>
    <w:p w14:paraId="05126602" w14:textId="77777777" w:rsidR="00C177C7" w:rsidRPr="0057720D" w:rsidRDefault="00C177C7" w:rsidP="00C177C7">
      <w:pPr>
        <w:widowControl/>
        <w:spacing w:before="240"/>
        <w:jc w:val="center"/>
        <w:rPr>
          <w:rFonts w:ascii="Arial" w:hAnsi="Arial" w:cs="Arial"/>
          <w:szCs w:val="22"/>
        </w:rPr>
      </w:pPr>
      <w:r>
        <w:rPr>
          <w:rFonts w:ascii="Arial" w:hAnsi="Arial" w:cs="Arial"/>
          <w:szCs w:val="22"/>
        </w:rPr>
        <w:t>Cuadro 4</w:t>
      </w:r>
    </w:p>
    <w:p w14:paraId="2DE016AC" w14:textId="6B4A1D99" w:rsidR="00C177C7" w:rsidRPr="00AB6295" w:rsidRDefault="00C177C7" w:rsidP="00C177C7">
      <w:pPr>
        <w:pStyle w:val="p0"/>
        <w:keepNext/>
        <w:widowControl/>
        <w:spacing w:before="0" w:line="240" w:lineRule="atLeast"/>
        <w:jc w:val="center"/>
        <w:rPr>
          <w:rFonts w:cs="Arial"/>
          <w:b/>
          <w:smallCaps/>
          <w:snapToGrid/>
          <w:color w:val="auto"/>
          <w:sz w:val="22"/>
          <w:szCs w:val="22"/>
          <w:lang w:eastAsia="es-MX"/>
        </w:rPr>
      </w:pPr>
      <w:r w:rsidRPr="00AB6295">
        <w:rPr>
          <w:rFonts w:cs="Arial"/>
          <w:b/>
          <w:smallCaps/>
          <w:snapToGrid/>
          <w:color w:val="auto"/>
          <w:sz w:val="22"/>
          <w:szCs w:val="22"/>
          <w:lang w:eastAsia="es-MX"/>
        </w:rPr>
        <w:t xml:space="preserve">Oferta y Demanda Global de Bienes y Servicios </w:t>
      </w:r>
      <w:r w:rsidR="00DA3BDB">
        <w:rPr>
          <w:rFonts w:cs="Arial"/>
          <w:b/>
          <w:smallCaps/>
          <w:snapToGrid/>
          <w:color w:val="auto"/>
          <w:sz w:val="22"/>
          <w:szCs w:val="22"/>
          <w:lang w:eastAsia="es-MX"/>
        </w:rPr>
        <w:t>por componentes</w:t>
      </w:r>
    </w:p>
    <w:p w14:paraId="08D283F4" w14:textId="5CC31AE7" w:rsidR="00C177C7" w:rsidRPr="00AB6295" w:rsidRDefault="00C177C7" w:rsidP="00C177C7">
      <w:pPr>
        <w:pStyle w:val="p0"/>
        <w:keepNext/>
        <w:widowControl/>
        <w:spacing w:before="0" w:line="240" w:lineRule="atLeast"/>
        <w:jc w:val="center"/>
        <w:rPr>
          <w:rFonts w:cs="Arial"/>
          <w:b/>
          <w:smallCaps/>
          <w:snapToGrid/>
          <w:color w:val="auto"/>
          <w:sz w:val="20"/>
          <w:lang w:eastAsia="es-MX"/>
        </w:rPr>
      </w:pPr>
      <w:r w:rsidRPr="00AB6295">
        <w:rPr>
          <w:rFonts w:cs="Arial"/>
          <w:b/>
          <w:smallCaps/>
          <w:snapToGrid/>
          <w:color w:val="auto"/>
          <w:sz w:val="22"/>
          <w:szCs w:val="22"/>
          <w:lang w:eastAsia="es-MX"/>
        </w:rPr>
        <w:t xml:space="preserve">al </w:t>
      </w:r>
      <w:r w:rsidR="00A93796">
        <w:rPr>
          <w:rFonts w:cs="Arial"/>
          <w:b/>
          <w:smallCaps/>
          <w:snapToGrid/>
          <w:color w:val="auto"/>
          <w:sz w:val="22"/>
          <w:szCs w:val="22"/>
          <w:lang w:eastAsia="es-MX"/>
        </w:rPr>
        <w:t>segundo</w:t>
      </w:r>
      <w:r w:rsidRPr="00AB6295">
        <w:rPr>
          <w:rFonts w:cs="Arial"/>
          <w:b/>
          <w:smallCaps/>
          <w:snapToGrid/>
          <w:color w:val="auto"/>
          <w:sz w:val="22"/>
          <w:szCs w:val="22"/>
          <w:lang w:eastAsia="es-MX"/>
        </w:rPr>
        <w:t xml:space="preserve"> trimestre de 202</w:t>
      </w:r>
      <w:r>
        <w:rPr>
          <w:rFonts w:cs="Arial"/>
          <w:b/>
          <w:smallCaps/>
          <w:snapToGrid/>
          <w:color w:val="auto"/>
          <w:sz w:val="22"/>
          <w:szCs w:val="22"/>
          <w:lang w:eastAsia="es-MX"/>
        </w:rPr>
        <w:t>1</w:t>
      </w:r>
    </w:p>
    <w:p w14:paraId="0F1CD55A" w14:textId="77777777" w:rsidR="00C177C7" w:rsidRPr="00F35110" w:rsidRDefault="00C177C7" w:rsidP="00C177C7">
      <w:pPr>
        <w:pStyle w:val="Textoindependiente"/>
        <w:keepNext/>
        <w:keepLines/>
        <w:spacing w:before="0" w:line="240" w:lineRule="atLeast"/>
        <w:ind w:left="142" w:right="-57"/>
        <w:jc w:val="center"/>
        <w:rPr>
          <w:rFonts w:cs="Arial"/>
          <w:sz w:val="16"/>
          <w:szCs w:val="16"/>
          <w:vertAlign w:val="superscript"/>
        </w:rPr>
      </w:pPr>
      <w:r w:rsidRPr="00F35110">
        <w:rPr>
          <w:rFonts w:cs="Arial"/>
          <w:sz w:val="18"/>
        </w:rPr>
        <w:t>(Estructura porcentual)</w:t>
      </w:r>
      <w:r w:rsidRPr="00F35110">
        <w:rPr>
          <w:rFonts w:cs="Arial"/>
          <w:sz w:val="16"/>
          <w:szCs w:val="16"/>
          <w:vertAlign w:val="superscript"/>
        </w:rPr>
        <w:t xml:space="preserve"> </w:t>
      </w:r>
    </w:p>
    <w:tbl>
      <w:tblPr>
        <w:tblStyle w:val="Tablaconcuadrcula"/>
        <w:tblW w:w="10083" w:type="dxa"/>
        <w:jc w:val="center"/>
        <w:tblLayout w:type="fixed"/>
        <w:tblLook w:val="04A0" w:firstRow="1" w:lastRow="0" w:firstColumn="1" w:lastColumn="0" w:noHBand="0" w:noVBand="1"/>
      </w:tblPr>
      <w:tblGrid>
        <w:gridCol w:w="3842"/>
        <w:gridCol w:w="850"/>
        <w:gridCol w:w="851"/>
        <w:gridCol w:w="1135"/>
        <w:gridCol w:w="1135"/>
        <w:gridCol w:w="1135"/>
        <w:gridCol w:w="1135"/>
      </w:tblGrid>
      <w:tr w:rsidR="00B17A65" w14:paraId="576B7CC7" w14:textId="77443C12" w:rsidTr="00856F76">
        <w:trPr>
          <w:jc w:val="center"/>
        </w:trPr>
        <w:tc>
          <w:tcPr>
            <w:tcW w:w="3842" w:type="dxa"/>
            <w:vMerge w:val="restart"/>
            <w:tcBorders>
              <w:top w:val="double" w:sz="4" w:space="0" w:color="auto"/>
              <w:left w:val="double" w:sz="4" w:space="0" w:color="auto"/>
              <w:bottom w:val="double" w:sz="4" w:space="0" w:color="auto"/>
              <w:right w:val="single" w:sz="4" w:space="0" w:color="auto"/>
            </w:tcBorders>
            <w:shd w:val="clear" w:color="auto" w:fill="C2D69B" w:themeFill="accent3" w:themeFillTint="99"/>
            <w:vAlign w:val="center"/>
          </w:tcPr>
          <w:p w14:paraId="60318987" w14:textId="77777777" w:rsidR="00B17A65" w:rsidRPr="00AB6295" w:rsidRDefault="00B17A65" w:rsidP="00856F76">
            <w:pPr>
              <w:pStyle w:val="not31"/>
              <w:widowControl w:val="0"/>
              <w:spacing w:before="20" w:after="20" w:line="180" w:lineRule="atLeast"/>
              <w:ind w:right="0"/>
              <w:jc w:val="center"/>
              <w:rPr>
                <w:rFonts w:cs="Arial"/>
                <w:b/>
                <w:color w:val="auto"/>
                <w:sz w:val="18"/>
                <w:szCs w:val="18"/>
                <w:lang w:val="es-MX" w:eastAsia="es-MX"/>
              </w:rPr>
            </w:pPr>
            <w:r w:rsidRPr="00AB6295">
              <w:rPr>
                <w:rFonts w:cs="Arial"/>
                <w:b/>
                <w:color w:val="auto"/>
                <w:sz w:val="18"/>
                <w:szCs w:val="18"/>
                <w:lang w:val="es-MX" w:eastAsia="es-MX"/>
              </w:rPr>
              <w:t>Concepto</w:t>
            </w:r>
          </w:p>
        </w:tc>
        <w:tc>
          <w:tcPr>
            <w:tcW w:w="2836" w:type="dxa"/>
            <w:gridSpan w:val="3"/>
            <w:tcBorders>
              <w:top w:val="double" w:sz="4" w:space="0" w:color="auto"/>
              <w:left w:val="single" w:sz="4" w:space="0" w:color="auto"/>
              <w:right w:val="double" w:sz="4" w:space="0" w:color="auto"/>
            </w:tcBorders>
            <w:shd w:val="clear" w:color="auto" w:fill="C2D69B" w:themeFill="accent3" w:themeFillTint="99"/>
            <w:vAlign w:val="center"/>
          </w:tcPr>
          <w:p w14:paraId="6775E3D8" w14:textId="67644E6C" w:rsidR="00B17A65" w:rsidRPr="00AB6295" w:rsidRDefault="00B17A65" w:rsidP="00856F76">
            <w:pPr>
              <w:pStyle w:val="not31"/>
              <w:keepLines w:val="0"/>
              <w:widowControl w:val="0"/>
              <w:spacing w:before="60" w:after="20" w:line="180" w:lineRule="atLeast"/>
              <w:ind w:right="0"/>
              <w:jc w:val="center"/>
              <w:rPr>
                <w:rFonts w:cs="Arial"/>
                <w:b/>
                <w:color w:val="auto"/>
                <w:sz w:val="18"/>
                <w:szCs w:val="18"/>
                <w:lang w:val="es-MX" w:eastAsia="es-MX"/>
              </w:rPr>
            </w:pPr>
            <w:r w:rsidRPr="00AB6295">
              <w:rPr>
                <w:rFonts w:cs="Arial"/>
                <w:b/>
                <w:color w:val="auto"/>
                <w:sz w:val="18"/>
                <w:szCs w:val="18"/>
                <w:lang w:val="es-MX" w:eastAsia="es-MX"/>
              </w:rPr>
              <w:t>2020</w:t>
            </w:r>
            <w:r w:rsidR="00D428DC">
              <w:rPr>
                <w:rFonts w:cs="Arial"/>
                <w:b/>
                <w:color w:val="auto"/>
                <w:sz w:val="18"/>
                <w:szCs w:val="18"/>
                <w:vertAlign w:val="superscript"/>
                <w:lang w:val="es-MX" w:eastAsia="es-MX"/>
              </w:rPr>
              <w:t>P</w:t>
            </w:r>
            <w:r w:rsidRPr="00AB6295">
              <w:rPr>
                <w:rFonts w:cs="Arial"/>
                <w:b/>
                <w:color w:val="auto"/>
                <w:sz w:val="18"/>
                <w:szCs w:val="18"/>
                <w:vertAlign w:val="superscript"/>
                <w:lang w:val="es-MX" w:eastAsia="es-MX"/>
              </w:rPr>
              <w:t>/</w:t>
            </w:r>
          </w:p>
        </w:tc>
        <w:tc>
          <w:tcPr>
            <w:tcW w:w="3405" w:type="dxa"/>
            <w:gridSpan w:val="3"/>
            <w:tcBorders>
              <w:top w:val="double" w:sz="4" w:space="0" w:color="auto"/>
              <w:left w:val="single" w:sz="4" w:space="0" w:color="auto"/>
              <w:right w:val="double" w:sz="4" w:space="0" w:color="auto"/>
            </w:tcBorders>
            <w:shd w:val="clear" w:color="auto" w:fill="C2D69B" w:themeFill="accent3" w:themeFillTint="99"/>
          </w:tcPr>
          <w:p w14:paraId="0FC16B6A" w14:textId="3E987CC3" w:rsidR="00B17A65" w:rsidRDefault="00B17A65" w:rsidP="00856F76">
            <w:pPr>
              <w:pStyle w:val="not31"/>
              <w:keepLines w:val="0"/>
              <w:widowControl w:val="0"/>
              <w:spacing w:before="60" w:after="20" w:line="180" w:lineRule="atLeast"/>
              <w:ind w:right="0"/>
              <w:jc w:val="center"/>
              <w:rPr>
                <w:rFonts w:cs="Arial"/>
                <w:b/>
                <w:color w:val="auto"/>
                <w:sz w:val="18"/>
                <w:szCs w:val="18"/>
                <w:lang w:val="es-MX" w:eastAsia="es-MX"/>
              </w:rPr>
            </w:pPr>
            <w:r>
              <w:rPr>
                <w:rFonts w:cs="Arial"/>
                <w:b/>
                <w:color w:val="auto"/>
                <w:sz w:val="18"/>
                <w:szCs w:val="18"/>
                <w:lang w:val="es-MX" w:eastAsia="es-MX"/>
              </w:rPr>
              <w:t>2021</w:t>
            </w:r>
            <w:r w:rsidR="00B025A1" w:rsidRPr="00B025A1">
              <w:rPr>
                <w:rFonts w:cs="Arial"/>
                <w:b/>
                <w:color w:val="auto"/>
                <w:sz w:val="18"/>
                <w:szCs w:val="18"/>
                <w:vertAlign w:val="superscript"/>
                <w:lang w:val="es-MX" w:eastAsia="es-MX"/>
              </w:rPr>
              <w:t>R/</w:t>
            </w:r>
          </w:p>
        </w:tc>
      </w:tr>
      <w:tr w:rsidR="00B17A65" w:rsidRPr="0045371C" w14:paraId="56FCA1B7" w14:textId="0A427224" w:rsidTr="00B17A65">
        <w:trPr>
          <w:jc w:val="center"/>
        </w:trPr>
        <w:tc>
          <w:tcPr>
            <w:tcW w:w="3842" w:type="dxa"/>
            <w:vMerge/>
            <w:tcBorders>
              <w:top w:val="double" w:sz="4" w:space="0" w:color="auto"/>
              <w:left w:val="double" w:sz="4" w:space="0" w:color="auto"/>
              <w:bottom w:val="double" w:sz="4" w:space="0" w:color="auto"/>
              <w:right w:val="single" w:sz="4" w:space="0" w:color="auto"/>
            </w:tcBorders>
            <w:shd w:val="clear" w:color="auto" w:fill="C2D69B" w:themeFill="accent3" w:themeFillTint="99"/>
          </w:tcPr>
          <w:p w14:paraId="519EB7FB" w14:textId="77777777" w:rsidR="00B17A65" w:rsidRPr="00AB6295" w:rsidRDefault="00B17A65" w:rsidP="00856F76">
            <w:pPr>
              <w:pStyle w:val="not31"/>
              <w:widowControl w:val="0"/>
              <w:spacing w:before="20" w:after="20" w:line="180" w:lineRule="atLeast"/>
              <w:ind w:right="0"/>
              <w:rPr>
                <w:rFonts w:cs="Arial"/>
                <w:b/>
                <w:color w:val="auto"/>
                <w:sz w:val="18"/>
                <w:szCs w:val="18"/>
                <w:lang w:val="es-MX" w:eastAsia="es-MX"/>
              </w:rPr>
            </w:pPr>
          </w:p>
        </w:tc>
        <w:tc>
          <w:tcPr>
            <w:tcW w:w="1701" w:type="dxa"/>
            <w:gridSpan w:val="2"/>
            <w:tcBorders>
              <w:top w:val="nil"/>
              <w:left w:val="single" w:sz="4" w:space="0" w:color="auto"/>
              <w:right w:val="single" w:sz="4" w:space="0" w:color="auto"/>
            </w:tcBorders>
            <w:shd w:val="clear" w:color="auto" w:fill="C2D69B" w:themeFill="accent3" w:themeFillTint="99"/>
            <w:vAlign w:val="center"/>
          </w:tcPr>
          <w:p w14:paraId="51050248" w14:textId="79FA653A" w:rsidR="00B17A65" w:rsidRPr="00AB6295" w:rsidRDefault="00B17A65" w:rsidP="00856F76">
            <w:pPr>
              <w:pStyle w:val="not31"/>
              <w:widowControl w:val="0"/>
              <w:spacing w:before="20" w:after="20" w:line="180" w:lineRule="atLeast"/>
              <w:ind w:right="0"/>
              <w:jc w:val="center"/>
              <w:rPr>
                <w:rFonts w:cs="Arial"/>
                <w:b/>
                <w:color w:val="auto"/>
                <w:sz w:val="18"/>
                <w:szCs w:val="18"/>
                <w:lang w:val="es-MX" w:eastAsia="es-MX"/>
              </w:rPr>
            </w:pPr>
            <w:r w:rsidRPr="00AB6295">
              <w:rPr>
                <w:rFonts w:cs="Arial"/>
                <w:b/>
                <w:color w:val="auto"/>
                <w:sz w:val="18"/>
                <w:szCs w:val="18"/>
                <w:lang w:val="es-MX" w:eastAsia="es-MX"/>
              </w:rPr>
              <w:t>Trimestre</w:t>
            </w:r>
          </w:p>
        </w:tc>
        <w:tc>
          <w:tcPr>
            <w:tcW w:w="1135" w:type="dxa"/>
            <w:vMerge w:val="restart"/>
            <w:tcBorders>
              <w:left w:val="single" w:sz="4" w:space="0" w:color="auto"/>
              <w:right w:val="double" w:sz="4" w:space="0" w:color="auto"/>
            </w:tcBorders>
            <w:shd w:val="clear" w:color="auto" w:fill="C2D69B" w:themeFill="accent3" w:themeFillTint="99"/>
            <w:vAlign w:val="center"/>
          </w:tcPr>
          <w:p w14:paraId="483565CA" w14:textId="77777777" w:rsidR="00B17A65" w:rsidRPr="00AB6295" w:rsidRDefault="00B17A65" w:rsidP="00856F76">
            <w:pPr>
              <w:pStyle w:val="not31"/>
              <w:widowControl w:val="0"/>
              <w:spacing w:before="20" w:after="20" w:line="180" w:lineRule="atLeast"/>
              <w:ind w:left="-108" w:right="0" w:firstLine="108"/>
              <w:jc w:val="center"/>
              <w:rPr>
                <w:rFonts w:cs="Arial"/>
                <w:b/>
                <w:color w:val="auto"/>
                <w:sz w:val="18"/>
                <w:szCs w:val="18"/>
                <w:lang w:val="es-MX" w:eastAsia="es-MX"/>
              </w:rPr>
            </w:pPr>
            <w:r>
              <w:rPr>
                <w:rFonts w:cs="Arial"/>
                <w:b/>
                <w:color w:val="auto"/>
                <w:sz w:val="18"/>
                <w:szCs w:val="18"/>
                <w:lang w:val="es-MX" w:eastAsia="es-MX"/>
              </w:rPr>
              <w:t>Anual</w:t>
            </w:r>
          </w:p>
        </w:tc>
        <w:tc>
          <w:tcPr>
            <w:tcW w:w="2270" w:type="dxa"/>
            <w:gridSpan w:val="2"/>
            <w:tcBorders>
              <w:left w:val="single" w:sz="4" w:space="0" w:color="auto"/>
              <w:right w:val="single" w:sz="4" w:space="0" w:color="000000"/>
            </w:tcBorders>
            <w:shd w:val="clear" w:color="auto" w:fill="C2D69B" w:themeFill="accent3" w:themeFillTint="99"/>
          </w:tcPr>
          <w:p w14:paraId="2C795C19" w14:textId="48D79D23" w:rsidR="00B17A65" w:rsidRPr="00AB6295" w:rsidRDefault="00B17A65" w:rsidP="00856F76">
            <w:pPr>
              <w:pStyle w:val="not31"/>
              <w:widowControl w:val="0"/>
              <w:spacing w:before="20" w:after="20" w:line="180" w:lineRule="atLeast"/>
              <w:ind w:left="-108" w:right="0" w:firstLine="108"/>
              <w:jc w:val="center"/>
              <w:rPr>
                <w:rFonts w:cs="Arial"/>
                <w:b/>
                <w:color w:val="auto"/>
                <w:sz w:val="18"/>
                <w:szCs w:val="18"/>
                <w:lang w:val="es-MX" w:eastAsia="es-MX"/>
              </w:rPr>
            </w:pPr>
            <w:r w:rsidRPr="00AB6295">
              <w:rPr>
                <w:rFonts w:cs="Arial"/>
                <w:b/>
                <w:color w:val="auto"/>
                <w:sz w:val="18"/>
                <w:szCs w:val="18"/>
                <w:lang w:val="es-MX" w:eastAsia="es-MX"/>
              </w:rPr>
              <w:t>Trimestre</w:t>
            </w:r>
          </w:p>
        </w:tc>
        <w:tc>
          <w:tcPr>
            <w:tcW w:w="1135" w:type="dxa"/>
            <w:vMerge w:val="restart"/>
            <w:tcBorders>
              <w:left w:val="single" w:sz="4" w:space="0" w:color="000000"/>
              <w:right w:val="double" w:sz="4" w:space="0" w:color="auto"/>
            </w:tcBorders>
            <w:shd w:val="clear" w:color="auto" w:fill="C2D69B" w:themeFill="accent3" w:themeFillTint="99"/>
          </w:tcPr>
          <w:p w14:paraId="79098B80" w14:textId="77777777" w:rsidR="00B17A65" w:rsidRDefault="00B17A65" w:rsidP="00856F76">
            <w:pPr>
              <w:pStyle w:val="not31"/>
              <w:widowControl w:val="0"/>
              <w:spacing w:before="20" w:after="20" w:line="180" w:lineRule="atLeast"/>
              <w:ind w:left="-108" w:right="0" w:firstLine="108"/>
              <w:jc w:val="center"/>
              <w:rPr>
                <w:rFonts w:cs="Arial"/>
                <w:b/>
                <w:color w:val="auto"/>
                <w:sz w:val="18"/>
                <w:szCs w:val="18"/>
                <w:lang w:val="es-MX" w:eastAsia="es-MX"/>
              </w:rPr>
            </w:pPr>
            <w:r>
              <w:rPr>
                <w:rFonts w:cs="Arial"/>
                <w:b/>
                <w:color w:val="auto"/>
                <w:sz w:val="18"/>
                <w:szCs w:val="18"/>
                <w:lang w:val="es-MX" w:eastAsia="es-MX"/>
              </w:rPr>
              <w:t xml:space="preserve">6 </w:t>
            </w:r>
          </w:p>
          <w:p w14:paraId="32217E22" w14:textId="02AE6FF4" w:rsidR="00B17A65" w:rsidRPr="00AB6295" w:rsidRDefault="00B17A65" w:rsidP="00856F76">
            <w:pPr>
              <w:pStyle w:val="not31"/>
              <w:widowControl w:val="0"/>
              <w:spacing w:before="20" w:after="20" w:line="180" w:lineRule="atLeast"/>
              <w:ind w:left="-108" w:right="0" w:firstLine="108"/>
              <w:jc w:val="center"/>
              <w:rPr>
                <w:rFonts w:cs="Arial"/>
                <w:b/>
                <w:color w:val="auto"/>
                <w:sz w:val="18"/>
                <w:szCs w:val="18"/>
                <w:lang w:val="es-MX" w:eastAsia="es-MX"/>
              </w:rPr>
            </w:pPr>
            <w:r>
              <w:rPr>
                <w:rFonts w:cs="Arial"/>
                <w:b/>
                <w:color w:val="auto"/>
                <w:sz w:val="18"/>
                <w:szCs w:val="18"/>
                <w:lang w:val="es-MX" w:eastAsia="es-MX"/>
              </w:rPr>
              <w:t>Meses</w:t>
            </w:r>
          </w:p>
        </w:tc>
      </w:tr>
      <w:tr w:rsidR="00B17A65" w14:paraId="2B505E45" w14:textId="49F0BAE3" w:rsidTr="004358CE">
        <w:trPr>
          <w:jc w:val="center"/>
        </w:trPr>
        <w:tc>
          <w:tcPr>
            <w:tcW w:w="3842" w:type="dxa"/>
            <w:vMerge/>
            <w:tcBorders>
              <w:top w:val="double" w:sz="4" w:space="0" w:color="auto"/>
              <w:left w:val="double" w:sz="4" w:space="0" w:color="auto"/>
              <w:bottom w:val="double" w:sz="4" w:space="0" w:color="auto"/>
              <w:right w:val="single" w:sz="4" w:space="0" w:color="auto"/>
            </w:tcBorders>
            <w:shd w:val="clear" w:color="auto" w:fill="C2D69B" w:themeFill="accent3" w:themeFillTint="99"/>
          </w:tcPr>
          <w:p w14:paraId="34D4DEAB" w14:textId="77777777" w:rsidR="00B17A65" w:rsidRPr="00AB6295" w:rsidRDefault="00B17A65" w:rsidP="00856F76">
            <w:pPr>
              <w:pStyle w:val="not31"/>
              <w:keepLines w:val="0"/>
              <w:widowControl w:val="0"/>
              <w:spacing w:before="80" w:line="180" w:lineRule="atLeast"/>
              <w:ind w:right="0"/>
              <w:rPr>
                <w:rFonts w:cs="Arial"/>
                <w:color w:val="auto"/>
                <w:sz w:val="18"/>
                <w:szCs w:val="18"/>
                <w:lang w:val="es-MX" w:eastAsia="es-MX"/>
              </w:rPr>
            </w:pPr>
          </w:p>
        </w:tc>
        <w:tc>
          <w:tcPr>
            <w:tcW w:w="850" w:type="dxa"/>
            <w:tcBorders>
              <w:left w:val="single" w:sz="4" w:space="0" w:color="auto"/>
              <w:bottom w:val="double" w:sz="4" w:space="0" w:color="auto"/>
              <w:right w:val="single" w:sz="4" w:space="0" w:color="auto"/>
            </w:tcBorders>
            <w:shd w:val="clear" w:color="auto" w:fill="C2D69B" w:themeFill="accent3" w:themeFillTint="99"/>
          </w:tcPr>
          <w:p w14:paraId="1F517637" w14:textId="77777777" w:rsidR="00B17A65" w:rsidRPr="00AB6295" w:rsidRDefault="00B17A65" w:rsidP="00856F76">
            <w:pPr>
              <w:pStyle w:val="not31"/>
              <w:keepLines w:val="0"/>
              <w:widowControl w:val="0"/>
              <w:spacing w:before="20" w:after="20" w:line="180" w:lineRule="atLeast"/>
              <w:ind w:right="0"/>
              <w:jc w:val="center"/>
              <w:rPr>
                <w:rFonts w:cs="Arial"/>
                <w:b/>
                <w:color w:val="auto"/>
                <w:sz w:val="18"/>
                <w:szCs w:val="18"/>
                <w:lang w:val="es-MX" w:eastAsia="es-MX"/>
              </w:rPr>
            </w:pPr>
            <w:r w:rsidRPr="00AB6295">
              <w:rPr>
                <w:rFonts w:cs="Arial"/>
                <w:b/>
                <w:color w:val="auto"/>
                <w:sz w:val="18"/>
                <w:szCs w:val="18"/>
                <w:lang w:val="es-MX" w:eastAsia="es-MX"/>
              </w:rPr>
              <w:t>III</w:t>
            </w:r>
          </w:p>
        </w:tc>
        <w:tc>
          <w:tcPr>
            <w:tcW w:w="851" w:type="dxa"/>
            <w:tcBorders>
              <w:left w:val="single" w:sz="4" w:space="0" w:color="auto"/>
              <w:bottom w:val="double" w:sz="4" w:space="0" w:color="auto"/>
              <w:right w:val="single" w:sz="4" w:space="0" w:color="auto"/>
            </w:tcBorders>
            <w:shd w:val="clear" w:color="auto" w:fill="C2D69B" w:themeFill="accent3" w:themeFillTint="99"/>
            <w:vAlign w:val="center"/>
          </w:tcPr>
          <w:p w14:paraId="1330D468" w14:textId="77777777" w:rsidR="00B17A65" w:rsidRPr="00AB6295" w:rsidRDefault="00B17A65" w:rsidP="00856F76">
            <w:pPr>
              <w:pStyle w:val="not31"/>
              <w:keepLines w:val="0"/>
              <w:widowControl w:val="0"/>
              <w:spacing w:before="20" w:after="20" w:line="180" w:lineRule="atLeast"/>
              <w:ind w:right="0"/>
              <w:jc w:val="center"/>
              <w:rPr>
                <w:rFonts w:cs="Arial"/>
                <w:b/>
                <w:color w:val="auto"/>
                <w:sz w:val="18"/>
                <w:szCs w:val="18"/>
                <w:lang w:val="es-MX" w:eastAsia="es-MX"/>
              </w:rPr>
            </w:pPr>
            <w:r>
              <w:rPr>
                <w:rFonts w:cs="Arial"/>
                <w:b/>
                <w:color w:val="auto"/>
                <w:sz w:val="18"/>
                <w:szCs w:val="18"/>
                <w:lang w:val="es-MX" w:eastAsia="es-MX"/>
              </w:rPr>
              <w:t>IV</w:t>
            </w:r>
          </w:p>
        </w:tc>
        <w:tc>
          <w:tcPr>
            <w:tcW w:w="1135" w:type="dxa"/>
            <w:vMerge/>
            <w:tcBorders>
              <w:left w:val="single" w:sz="4" w:space="0" w:color="auto"/>
              <w:bottom w:val="double" w:sz="4" w:space="0" w:color="auto"/>
              <w:right w:val="double" w:sz="4" w:space="0" w:color="auto"/>
            </w:tcBorders>
            <w:shd w:val="clear" w:color="auto" w:fill="C2D69B" w:themeFill="accent3" w:themeFillTint="99"/>
          </w:tcPr>
          <w:p w14:paraId="535144A4" w14:textId="77777777" w:rsidR="00B17A65" w:rsidRPr="00AB6295" w:rsidRDefault="00B17A65" w:rsidP="00856F76">
            <w:pPr>
              <w:pStyle w:val="not31"/>
              <w:keepLines w:val="0"/>
              <w:widowControl w:val="0"/>
              <w:spacing w:before="20" w:after="20" w:line="180" w:lineRule="atLeast"/>
              <w:ind w:right="0"/>
              <w:jc w:val="center"/>
              <w:rPr>
                <w:rFonts w:cs="Arial"/>
                <w:b/>
                <w:color w:val="auto"/>
                <w:sz w:val="18"/>
                <w:szCs w:val="18"/>
                <w:lang w:val="es-MX" w:eastAsia="es-MX"/>
              </w:rPr>
            </w:pPr>
          </w:p>
        </w:tc>
        <w:tc>
          <w:tcPr>
            <w:tcW w:w="1135" w:type="dxa"/>
            <w:tcBorders>
              <w:left w:val="single" w:sz="4" w:space="0" w:color="auto"/>
              <w:bottom w:val="double" w:sz="4" w:space="0" w:color="auto"/>
              <w:right w:val="single" w:sz="4" w:space="0" w:color="000000"/>
            </w:tcBorders>
            <w:shd w:val="clear" w:color="auto" w:fill="C2D69B" w:themeFill="accent3" w:themeFillTint="99"/>
          </w:tcPr>
          <w:p w14:paraId="6FC31D85" w14:textId="77777777" w:rsidR="00B17A65" w:rsidRPr="00AB6295" w:rsidRDefault="00B17A65" w:rsidP="00856F76">
            <w:pPr>
              <w:pStyle w:val="not31"/>
              <w:keepLines w:val="0"/>
              <w:widowControl w:val="0"/>
              <w:spacing w:before="20" w:after="20" w:line="180" w:lineRule="atLeast"/>
              <w:ind w:right="0"/>
              <w:jc w:val="center"/>
              <w:rPr>
                <w:rFonts w:cs="Arial"/>
                <w:b/>
                <w:color w:val="auto"/>
                <w:sz w:val="18"/>
                <w:szCs w:val="18"/>
                <w:lang w:val="es-MX" w:eastAsia="es-MX"/>
              </w:rPr>
            </w:pPr>
            <w:r>
              <w:rPr>
                <w:rFonts w:cs="Arial"/>
                <w:b/>
                <w:color w:val="auto"/>
                <w:sz w:val="18"/>
                <w:szCs w:val="18"/>
                <w:lang w:val="es-MX" w:eastAsia="es-MX"/>
              </w:rPr>
              <w:t>I</w:t>
            </w:r>
          </w:p>
        </w:tc>
        <w:tc>
          <w:tcPr>
            <w:tcW w:w="1135" w:type="dxa"/>
            <w:tcBorders>
              <w:left w:val="single" w:sz="4" w:space="0" w:color="000000"/>
              <w:bottom w:val="double" w:sz="4" w:space="0" w:color="auto"/>
              <w:right w:val="single" w:sz="4" w:space="0" w:color="000000"/>
            </w:tcBorders>
            <w:shd w:val="clear" w:color="auto" w:fill="C2D69B" w:themeFill="accent3" w:themeFillTint="99"/>
          </w:tcPr>
          <w:p w14:paraId="0C678128" w14:textId="288CE89F" w:rsidR="00B17A65" w:rsidRDefault="00B17A65" w:rsidP="00856F76">
            <w:pPr>
              <w:pStyle w:val="not31"/>
              <w:keepLines w:val="0"/>
              <w:widowControl w:val="0"/>
              <w:spacing w:before="20" w:after="20" w:line="180" w:lineRule="atLeast"/>
              <w:ind w:right="0"/>
              <w:jc w:val="center"/>
              <w:rPr>
                <w:rFonts w:cs="Arial"/>
                <w:b/>
                <w:color w:val="auto"/>
                <w:sz w:val="18"/>
                <w:szCs w:val="18"/>
                <w:lang w:val="es-MX" w:eastAsia="es-MX"/>
              </w:rPr>
            </w:pPr>
            <w:r>
              <w:rPr>
                <w:rFonts w:cs="Arial"/>
                <w:b/>
                <w:color w:val="auto"/>
                <w:sz w:val="18"/>
                <w:szCs w:val="18"/>
                <w:lang w:val="es-MX" w:eastAsia="es-MX"/>
              </w:rPr>
              <w:t>I</w:t>
            </w:r>
            <w:r w:rsidR="00D428DC">
              <w:rPr>
                <w:rFonts w:cs="Arial"/>
                <w:b/>
                <w:color w:val="auto"/>
                <w:sz w:val="18"/>
                <w:szCs w:val="18"/>
                <w:lang w:val="es-MX" w:eastAsia="es-MX"/>
              </w:rPr>
              <w:t>I</w:t>
            </w:r>
            <w:r w:rsidR="00D428DC" w:rsidRPr="002F7463">
              <w:rPr>
                <w:rFonts w:cs="Arial"/>
                <w:b/>
                <w:color w:val="auto"/>
                <w:sz w:val="18"/>
                <w:szCs w:val="18"/>
                <w:vertAlign w:val="superscript"/>
                <w:lang w:val="es-MX" w:eastAsia="es-MX"/>
              </w:rPr>
              <w:t>P</w:t>
            </w:r>
            <w:r w:rsidR="00D428DC" w:rsidRPr="00CF678A">
              <w:rPr>
                <w:rFonts w:cs="Arial"/>
                <w:b/>
                <w:color w:val="auto"/>
                <w:sz w:val="18"/>
                <w:szCs w:val="18"/>
                <w:vertAlign w:val="superscript"/>
                <w:lang w:val="es-MX" w:eastAsia="es-MX"/>
              </w:rPr>
              <w:t>/</w:t>
            </w:r>
          </w:p>
        </w:tc>
        <w:tc>
          <w:tcPr>
            <w:tcW w:w="1135" w:type="dxa"/>
            <w:vMerge/>
            <w:tcBorders>
              <w:left w:val="single" w:sz="4" w:space="0" w:color="000000"/>
              <w:bottom w:val="double" w:sz="4" w:space="0" w:color="auto"/>
              <w:right w:val="double" w:sz="4" w:space="0" w:color="auto"/>
            </w:tcBorders>
            <w:shd w:val="clear" w:color="auto" w:fill="C2D69B" w:themeFill="accent3" w:themeFillTint="99"/>
          </w:tcPr>
          <w:p w14:paraId="333E7CD1" w14:textId="77777777" w:rsidR="00B17A65" w:rsidRDefault="00B17A65" w:rsidP="00856F76">
            <w:pPr>
              <w:pStyle w:val="not31"/>
              <w:keepLines w:val="0"/>
              <w:widowControl w:val="0"/>
              <w:spacing w:before="20" w:after="20" w:line="180" w:lineRule="atLeast"/>
              <w:ind w:right="0"/>
              <w:jc w:val="center"/>
              <w:rPr>
                <w:rFonts w:cs="Arial"/>
                <w:b/>
                <w:color w:val="auto"/>
                <w:sz w:val="18"/>
                <w:szCs w:val="18"/>
                <w:lang w:val="es-MX" w:eastAsia="es-MX"/>
              </w:rPr>
            </w:pPr>
          </w:p>
        </w:tc>
      </w:tr>
      <w:tr w:rsidR="00B17A65" w14:paraId="3C8FFF0C" w14:textId="7F473C68" w:rsidTr="004358CE">
        <w:trPr>
          <w:jc w:val="center"/>
        </w:trPr>
        <w:tc>
          <w:tcPr>
            <w:tcW w:w="3842" w:type="dxa"/>
            <w:tcBorders>
              <w:top w:val="double" w:sz="4" w:space="0" w:color="auto"/>
              <w:left w:val="double" w:sz="4" w:space="0" w:color="auto"/>
              <w:bottom w:val="nil"/>
              <w:right w:val="single" w:sz="4" w:space="0" w:color="auto"/>
            </w:tcBorders>
            <w:shd w:val="clear" w:color="auto" w:fill="auto"/>
            <w:vAlign w:val="center"/>
          </w:tcPr>
          <w:p w14:paraId="453D46B9" w14:textId="77777777" w:rsidR="00B17A65" w:rsidRPr="00AB6295" w:rsidRDefault="00B17A65" w:rsidP="00B17A65">
            <w:pPr>
              <w:pStyle w:val="not31"/>
              <w:keepLines w:val="0"/>
              <w:widowControl w:val="0"/>
              <w:spacing w:before="20" w:after="20"/>
              <w:ind w:left="72" w:right="-79"/>
              <w:jc w:val="left"/>
              <w:rPr>
                <w:rFonts w:cs="Arial"/>
                <w:color w:val="auto"/>
                <w:sz w:val="18"/>
                <w:szCs w:val="18"/>
                <w:lang w:val="es-MX" w:eastAsia="es-MX"/>
              </w:rPr>
            </w:pPr>
            <w:r w:rsidRPr="00AB6295">
              <w:rPr>
                <w:rFonts w:cs="Arial"/>
                <w:color w:val="auto"/>
                <w:sz w:val="18"/>
                <w:szCs w:val="18"/>
                <w:lang w:val="es-MX" w:eastAsia="es-MX"/>
              </w:rPr>
              <w:t>Producto Interno Bruto</w:t>
            </w:r>
          </w:p>
        </w:tc>
        <w:tc>
          <w:tcPr>
            <w:tcW w:w="850" w:type="dxa"/>
            <w:tcBorders>
              <w:top w:val="double" w:sz="4" w:space="0" w:color="auto"/>
              <w:left w:val="nil"/>
              <w:bottom w:val="nil"/>
              <w:right w:val="nil"/>
            </w:tcBorders>
            <w:shd w:val="clear" w:color="auto" w:fill="auto"/>
            <w:vAlign w:val="bottom"/>
          </w:tcPr>
          <w:p w14:paraId="55198255" w14:textId="77777777" w:rsidR="00B17A65" w:rsidRPr="00AB6295" w:rsidRDefault="00B17A65" w:rsidP="00B17A65">
            <w:pPr>
              <w:spacing w:before="20" w:after="20" w:line="180" w:lineRule="atLeast"/>
              <w:ind w:left="-108" w:right="113"/>
              <w:jc w:val="right"/>
              <w:rPr>
                <w:rFonts w:ascii="Arial" w:hAnsi="Arial" w:cs="Arial"/>
                <w:sz w:val="18"/>
                <w:szCs w:val="18"/>
                <w:lang w:eastAsia="es-MX"/>
              </w:rPr>
            </w:pPr>
            <w:r w:rsidRPr="00AB6295">
              <w:rPr>
                <w:rFonts w:ascii="Arial" w:hAnsi="Arial" w:cs="Arial"/>
                <w:sz w:val="18"/>
                <w:szCs w:val="18"/>
                <w:lang w:eastAsia="es-MX"/>
              </w:rPr>
              <w:t>7</w:t>
            </w:r>
            <w:r>
              <w:rPr>
                <w:rFonts w:ascii="Arial" w:hAnsi="Arial" w:cs="Arial"/>
                <w:sz w:val="18"/>
                <w:szCs w:val="18"/>
                <w:lang w:eastAsia="es-MX"/>
              </w:rPr>
              <w:t>1.9</w:t>
            </w:r>
          </w:p>
        </w:tc>
        <w:tc>
          <w:tcPr>
            <w:tcW w:w="851" w:type="dxa"/>
            <w:tcBorders>
              <w:top w:val="double" w:sz="4" w:space="0" w:color="auto"/>
              <w:left w:val="nil"/>
              <w:bottom w:val="nil"/>
              <w:right w:val="nil"/>
            </w:tcBorders>
            <w:shd w:val="clear" w:color="auto" w:fill="auto"/>
            <w:vAlign w:val="bottom"/>
          </w:tcPr>
          <w:p w14:paraId="4EA9E267" w14:textId="77777777" w:rsidR="00B17A65" w:rsidRPr="00AB6295" w:rsidRDefault="00B17A65" w:rsidP="00B17A65">
            <w:pPr>
              <w:spacing w:before="20" w:after="20" w:line="180" w:lineRule="atLeast"/>
              <w:ind w:left="-108" w:right="113"/>
              <w:jc w:val="right"/>
              <w:rPr>
                <w:rFonts w:ascii="Arial" w:hAnsi="Arial" w:cs="Arial"/>
                <w:sz w:val="18"/>
                <w:szCs w:val="18"/>
              </w:rPr>
            </w:pPr>
            <w:r w:rsidRPr="00AB6295">
              <w:rPr>
                <w:rFonts w:ascii="Arial" w:hAnsi="Arial" w:cs="Arial"/>
                <w:sz w:val="18"/>
                <w:szCs w:val="18"/>
                <w:lang w:eastAsia="es-MX"/>
              </w:rPr>
              <w:t>72.</w:t>
            </w:r>
            <w:r>
              <w:rPr>
                <w:rFonts w:ascii="Arial" w:hAnsi="Arial" w:cs="Arial"/>
                <w:sz w:val="18"/>
                <w:szCs w:val="18"/>
                <w:lang w:eastAsia="es-MX"/>
              </w:rPr>
              <w:t>3</w:t>
            </w:r>
          </w:p>
        </w:tc>
        <w:tc>
          <w:tcPr>
            <w:tcW w:w="1135" w:type="dxa"/>
            <w:tcBorders>
              <w:top w:val="double" w:sz="4" w:space="0" w:color="auto"/>
              <w:left w:val="nil"/>
              <w:bottom w:val="nil"/>
              <w:right w:val="double" w:sz="4" w:space="0" w:color="auto"/>
            </w:tcBorders>
            <w:shd w:val="clear" w:color="auto" w:fill="auto"/>
            <w:vAlign w:val="bottom"/>
          </w:tcPr>
          <w:p w14:paraId="665F55FE" w14:textId="77777777" w:rsidR="00B17A65" w:rsidRPr="00AB6295" w:rsidRDefault="00B17A65" w:rsidP="00B17A65">
            <w:pPr>
              <w:spacing w:before="20" w:after="20" w:line="180" w:lineRule="atLeast"/>
              <w:ind w:right="284"/>
              <w:jc w:val="right"/>
              <w:rPr>
                <w:rFonts w:ascii="Arial" w:hAnsi="Arial" w:cs="Arial"/>
                <w:sz w:val="18"/>
                <w:szCs w:val="18"/>
              </w:rPr>
            </w:pPr>
            <w:r w:rsidRPr="00AB6295">
              <w:rPr>
                <w:rFonts w:ascii="Arial" w:hAnsi="Arial" w:cs="Arial"/>
                <w:sz w:val="18"/>
                <w:szCs w:val="18"/>
                <w:lang w:eastAsia="es-MX"/>
              </w:rPr>
              <w:t>72.5</w:t>
            </w:r>
          </w:p>
        </w:tc>
        <w:tc>
          <w:tcPr>
            <w:tcW w:w="1135" w:type="dxa"/>
            <w:tcBorders>
              <w:top w:val="double" w:sz="4" w:space="0" w:color="auto"/>
              <w:left w:val="nil"/>
              <w:bottom w:val="nil"/>
              <w:right w:val="nil"/>
            </w:tcBorders>
            <w:shd w:val="clear" w:color="auto" w:fill="auto"/>
            <w:vAlign w:val="bottom"/>
          </w:tcPr>
          <w:p w14:paraId="7272E389" w14:textId="77777777" w:rsidR="00B17A65" w:rsidRPr="00AB6295" w:rsidRDefault="00B17A65" w:rsidP="00B17A65">
            <w:pPr>
              <w:spacing w:before="20" w:after="20" w:line="180" w:lineRule="atLeast"/>
              <w:ind w:right="284"/>
              <w:jc w:val="right"/>
              <w:rPr>
                <w:rFonts w:ascii="Arial" w:hAnsi="Arial" w:cs="Arial"/>
                <w:sz w:val="18"/>
                <w:szCs w:val="18"/>
                <w:lang w:eastAsia="es-MX"/>
              </w:rPr>
            </w:pPr>
            <w:r>
              <w:rPr>
                <w:rFonts w:ascii="Arial" w:hAnsi="Arial" w:cs="Arial"/>
                <w:sz w:val="18"/>
                <w:szCs w:val="18"/>
                <w:lang w:eastAsia="es-MX"/>
              </w:rPr>
              <w:t>71.6</w:t>
            </w:r>
          </w:p>
        </w:tc>
        <w:tc>
          <w:tcPr>
            <w:tcW w:w="1135" w:type="dxa"/>
            <w:tcBorders>
              <w:top w:val="double" w:sz="4" w:space="0" w:color="auto"/>
              <w:left w:val="nil"/>
              <w:bottom w:val="nil"/>
              <w:right w:val="nil"/>
            </w:tcBorders>
            <w:vAlign w:val="bottom"/>
          </w:tcPr>
          <w:p w14:paraId="1C04A593" w14:textId="0AB0643D" w:rsidR="00B17A65" w:rsidRDefault="00B17A65" w:rsidP="00B17A65">
            <w:pPr>
              <w:spacing w:before="20" w:after="20" w:line="180" w:lineRule="atLeast"/>
              <w:ind w:right="284"/>
              <w:jc w:val="right"/>
              <w:rPr>
                <w:rFonts w:ascii="Arial" w:hAnsi="Arial" w:cs="Arial"/>
                <w:sz w:val="18"/>
                <w:szCs w:val="18"/>
                <w:lang w:eastAsia="es-MX"/>
              </w:rPr>
            </w:pPr>
            <w:r>
              <w:rPr>
                <w:rFonts w:ascii="Arial" w:hAnsi="Arial" w:cs="Arial"/>
                <w:sz w:val="18"/>
                <w:szCs w:val="18"/>
                <w:lang w:eastAsia="es-MX"/>
              </w:rPr>
              <w:t>71.</w:t>
            </w:r>
            <w:r w:rsidR="00896417">
              <w:rPr>
                <w:rFonts w:ascii="Arial" w:hAnsi="Arial" w:cs="Arial"/>
                <w:sz w:val="18"/>
                <w:szCs w:val="18"/>
                <w:lang w:eastAsia="es-MX"/>
              </w:rPr>
              <w:t>2</w:t>
            </w:r>
          </w:p>
        </w:tc>
        <w:tc>
          <w:tcPr>
            <w:tcW w:w="1135" w:type="dxa"/>
            <w:tcBorders>
              <w:top w:val="double" w:sz="4" w:space="0" w:color="auto"/>
              <w:left w:val="nil"/>
              <w:bottom w:val="nil"/>
              <w:right w:val="double" w:sz="4" w:space="0" w:color="auto"/>
            </w:tcBorders>
            <w:vAlign w:val="bottom"/>
          </w:tcPr>
          <w:p w14:paraId="6AE563DB" w14:textId="3A2252F1" w:rsidR="00B17A65" w:rsidRDefault="00B17A65" w:rsidP="00B17A65">
            <w:pPr>
              <w:spacing w:before="20" w:after="20" w:line="180" w:lineRule="atLeast"/>
              <w:ind w:right="284"/>
              <w:jc w:val="right"/>
              <w:rPr>
                <w:rFonts w:ascii="Arial" w:hAnsi="Arial" w:cs="Arial"/>
                <w:sz w:val="18"/>
                <w:szCs w:val="18"/>
                <w:lang w:eastAsia="es-MX"/>
              </w:rPr>
            </w:pPr>
            <w:r>
              <w:rPr>
                <w:rFonts w:ascii="Arial" w:hAnsi="Arial" w:cs="Arial"/>
                <w:sz w:val="18"/>
                <w:szCs w:val="18"/>
                <w:lang w:eastAsia="es-MX"/>
              </w:rPr>
              <w:t>71.</w:t>
            </w:r>
            <w:r w:rsidR="00896417">
              <w:rPr>
                <w:rFonts w:ascii="Arial" w:hAnsi="Arial" w:cs="Arial"/>
                <w:sz w:val="18"/>
                <w:szCs w:val="18"/>
                <w:lang w:eastAsia="es-MX"/>
              </w:rPr>
              <w:t>4</w:t>
            </w:r>
          </w:p>
        </w:tc>
      </w:tr>
      <w:tr w:rsidR="00B17A65" w14:paraId="7876A2B4" w14:textId="7D34AEFB" w:rsidTr="004358CE">
        <w:trPr>
          <w:jc w:val="center"/>
        </w:trPr>
        <w:tc>
          <w:tcPr>
            <w:tcW w:w="3842" w:type="dxa"/>
            <w:tcBorders>
              <w:top w:val="nil"/>
              <w:left w:val="double" w:sz="4" w:space="0" w:color="auto"/>
              <w:bottom w:val="nil"/>
              <w:right w:val="single" w:sz="4" w:space="0" w:color="auto"/>
            </w:tcBorders>
            <w:shd w:val="clear" w:color="auto" w:fill="auto"/>
            <w:vAlign w:val="center"/>
          </w:tcPr>
          <w:p w14:paraId="7B3847FF" w14:textId="77777777" w:rsidR="00B17A65" w:rsidRPr="00AB6295" w:rsidRDefault="00B17A65" w:rsidP="00B17A65">
            <w:pPr>
              <w:pStyle w:val="not31"/>
              <w:keepLines w:val="0"/>
              <w:widowControl w:val="0"/>
              <w:spacing w:before="20" w:after="20"/>
              <w:ind w:left="72" w:right="-79"/>
              <w:jc w:val="left"/>
              <w:rPr>
                <w:rFonts w:cs="Arial"/>
                <w:color w:val="auto"/>
                <w:sz w:val="18"/>
                <w:szCs w:val="18"/>
                <w:lang w:val="es-MX" w:eastAsia="es-MX"/>
              </w:rPr>
            </w:pPr>
            <w:r w:rsidRPr="00AB6295">
              <w:rPr>
                <w:rFonts w:cs="Arial"/>
                <w:color w:val="auto"/>
                <w:sz w:val="18"/>
                <w:szCs w:val="18"/>
                <w:lang w:val="es-MX" w:eastAsia="es-MX"/>
              </w:rPr>
              <w:t>Importación de Bienes y Servicios</w:t>
            </w:r>
          </w:p>
        </w:tc>
        <w:tc>
          <w:tcPr>
            <w:tcW w:w="850" w:type="dxa"/>
            <w:tcBorders>
              <w:top w:val="nil"/>
              <w:left w:val="nil"/>
              <w:bottom w:val="nil"/>
              <w:right w:val="nil"/>
            </w:tcBorders>
            <w:shd w:val="clear" w:color="auto" w:fill="auto"/>
            <w:vAlign w:val="center"/>
          </w:tcPr>
          <w:p w14:paraId="3BC03E18" w14:textId="77777777" w:rsidR="00B17A65" w:rsidRPr="00AB6295" w:rsidRDefault="00B17A65" w:rsidP="00B17A65">
            <w:pPr>
              <w:pStyle w:val="not31"/>
              <w:keepLines w:val="0"/>
              <w:widowControl w:val="0"/>
              <w:spacing w:before="20" w:after="20" w:line="180" w:lineRule="atLeast"/>
              <w:ind w:left="-108" w:right="113"/>
              <w:jc w:val="right"/>
              <w:rPr>
                <w:rFonts w:cs="Arial"/>
                <w:color w:val="auto"/>
                <w:sz w:val="18"/>
                <w:szCs w:val="18"/>
                <w:lang w:val="es-MX" w:eastAsia="es-MX"/>
              </w:rPr>
            </w:pPr>
            <w:r w:rsidRPr="00AB6295">
              <w:rPr>
                <w:rFonts w:cs="Arial"/>
                <w:color w:val="auto"/>
                <w:sz w:val="18"/>
                <w:szCs w:val="18"/>
                <w:lang w:val="es-MX" w:eastAsia="es-MX"/>
              </w:rPr>
              <w:t>28.</w:t>
            </w:r>
            <w:r>
              <w:rPr>
                <w:rFonts w:cs="Arial"/>
                <w:color w:val="auto"/>
                <w:sz w:val="18"/>
                <w:szCs w:val="18"/>
                <w:lang w:val="es-MX" w:eastAsia="es-MX"/>
              </w:rPr>
              <w:t>1</w:t>
            </w:r>
          </w:p>
        </w:tc>
        <w:tc>
          <w:tcPr>
            <w:tcW w:w="851" w:type="dxa"/>
            <w:tcBorders>
              <w:top w:val="nil"/>
              <w:left w:val="nil"/>
              <w:bottom w:val="nil"/>
              <w:right w:val="nil"/>
            </w:tcBorders>
            <w:shd w:val="clear" w:color="auto" w:fill="auto"/>
            <w:vAlign w:val="center"/>
          </w:tcPr>
          <w:p w14:paraId="591AF436" w14:textId="77777777" w:rsidR="00B17A65" w:rsidRPr="00AB6295" w:rsidRDefault="00B17A65" w:rsidP="00B17A65">
            <w:pPr>
              <w:pStyle w:val="not31"/>
              <w:keepLines w:val="0"/>
              <w:widowControl w:val="0"/>
              <w:spacing w:before="20" w:after="20" w:line="180" w:lineRule="atLeast"/>
              <w:ind w:left="-108" w:right="113"/>
              <w:jc w:val="right"/>
              <w:rPr>
                <w:rFonts w:cs="Arial"/>
                <w:color w:val="auto"/>
                <w:sz w:val="18"/>
                <w:szCs w:val="18"/>
                <w:lang w:val="es-MX" w:eastAsia="es-MX"/>
              </w:rPr>
            </w:pPr>
            <w:r w:rsidRPr="00AB6295">
              <w:rPr>
                <w:rFonts w:cs="Arial"/>
                <w:color w:val="auto"/>
                <w:sz w:val="18"/>
                <w:szCs w:val="18"/>
                <w:lang w:val="es-MX" w:eastAsia="es-MX"/>
              </w:rPr>
              <w:t>2</w:t>
            </w:r>
            <w:r>
              <w:rPr>
                <w:rFonts w:cs="Arial"/>
                <w:color w:val="auto"/>
                <w:sz w:val="18"/>
                <w:szCs w:val="18"/>
                <w:lang w:val="es-MX" w:eastAsia="es-MX"/>
              </w:rPr>
              <w:t>7.7</w:t>
            </w:r>
          </w:p>
        </w:tc>
        <w:tc>
          <w:tcPr>
            <w:tcW w:w="1135" w:type="dxa"/>
            <w:tcBorders>
              <w:top w:val="nil"/>
              <w:left w:val="nil"/>
              <w:bottom w:val="nil"/>
              <w:right w:val="double" w:sz="4" w:space="0" w:color="auto"/>
            </w:tcBorders>
            <w:shd w:val="clear" w:color="auto" w:fill="auto"/>
            <w:vAlign w:val="center"/>
          </w:tcPr>
          <w:p w14:paraId="7A179F1E" w14:textId="77777777" w:rsidR="00B17A65" w:rsidRPr="00AB6295" w:rsidRDefault="00B17A65" w:rsidP="00B17A65">
            <w:pPr>
              <w:pStyle w:val="not31"/>
              <w:keepLines w:val="0"/>
              <w:widowControl w:val="0"/>
              <w:spacing w:before="20" w:after="20" w:line="180" w:lineRule="atLeast"/>
              <w:ind w:right="284"/>
              <w:jc w:val="right"/>
              <w:rPr>
                <w:rFonts w:cs="Arial"/>
                <w:color w:val="auto"/>
                <w:sz w:val="18"/>
                <w:szCs w:val="18"/>
                <w:lang w:val="es-MX" w:eastAsia="es-MX"/>
              </w:rPr>
            </w:pPr>
            <w:r w:rsidRPr="00AB6295">
              <w:rPr>
                <w:rFonts w:cs="Arial"/>
                <w:color w:val="auto"/>
                <w:sz w:val="18"/>
                <w:szCs w:val="18"/>
                <w:lang w:val="es-MX" w:eastAsia="es-MX"/>
              </w:rPr>
              <w:t>27.5</w:t>
            </w:r>
          </w:p>
        </w:tc>
        <w:tc>
          <w:tcPr>
            <w:tcW w:w="1135" w:type="dxa"/>
            <w:tcBorders>
              <w:top w:val="nil"/>
              <w:left w:val="nil"/>
              <w:bottom w:val="nil"/>
              <w:right w:val="nil"/>
            </w:tcBorders>
            <w:shd w:val="clear" w:color="auto" w:fill="auto"/>
            <w:vAlign w:val="center"/>
          </w:tcPr>
          <w:p w14:paraId="77404A7D" w14:textId="77777777" w:rsidR="00B17A65" w:rsidRPr="00AB6295" w:rsidRDefault="00B17A65" w:rsidP="00B17A65">
            <w:pPr>
              <w:pStyle w:val="not31"/>
              <w:keepLines w:val="0"/>
              <w:widowControl w:val="0"/>
              <w:spacing w:before="20" w:after="20" w:line="180" w:lineRule="atLeast"/>
              <w:ind w:right="284"/>
              <w:jc w:val="right"/>
              <w:rPr>
                <w:rFonts w:cs="Arial"/>
                <w:color w:val="auto"/>
                <w:sz w:val="18"/>
                <w:szCs w:val="18"/>
                <w:lang w:val="es-MX" w:eastAsia="es-MX"/>
              </w:rPr>
            </w:pPr>
            <w:r w:rsidRPr="00AB6295">
              <w:rPr>
                <w:rFonts w:cs="Arial"/>
                <w:color w:val="auto"/>
                <w:sz w:val="18"/>
                <w:szCs w:val="18"/>
                <w:lang w:val="es-MX" w:eastAsia="es-MX"/>
              </w:rPr>
              <w:t>2</w:t>
            </w:r>
            <w:r>
              <w:rPr>
                <w:rFonts w:cs="Arial"/>
                <w:color w:val="auto"/>
                <w:sz w:val="18"/>
                <w:szCs w:val="18"/>
                <w:lang w:val="es-MX" w:eastAsia="es-MX"/>
              </w:rPr>
              <w:t>8.4</w:t>
            </w:r>
          </w:p>
        </w:tc>
        <w:tc>
          <w:tcPr>
            <w:tcW w:w="1135" w:type="dxa"/>
            <w:tcBorders>
              <w:top w:val="nil"/>
              <w:left w:val="nil"/>
              <w:bottom w:val="nil"/>
              <w:right w:val="nil"/>
            </w:tcBorders>
            <w:vAlign w:val="center"/>
          </w:tcPr>
          <w:p w14:paraId="2B2E76C0" w14:textId="6B9B6F03" w:rsidR="00B17A65" w:rsidRPr="00AB6295" w:rsidRDefault="00B17A65" w:rsidP="00B17A65">
            <w:pPr>
              <w:pStyle w:val="not31"/>
              <w:keepLines w:val="0"/>
              <w:widowControl w:val="0"/>
              <w:spacing w:before="20" w:after="20" w:line="180" w:lineRule="atLeast"/>
              <w:ind w:right="284"/>
              <w:jc w:val="right"/>
              <w:rPr>
                <w:rFonts w:cs="Arial"/>
                <w:color w:val="auto"/>
                <w:sz w:val="18"/>
                <w:szCs w:val="18"/>
                <w:lang w:val="es-MX" w:eastAsia="es-MX"/>
              </w:rPr>
            </w:pPr>
            <w:r w:rsidRPr="00AB6295">
              <w:rPr>
                <w:rFonts w:cs="Arial"/>
                <w:color w:val="auto"/>
                <w:sz w:val="18"/>
                <w:szCs w:val="18"/>
                <w:lang w:val="es-MX" w:eastAsia="es-MX"/>
              </w:rPr>
              <w:t>2</w:t>
            </w:r>
            <w:r>
              <w:rPr>
                <w:rFonts w:cs="Arial"/>
                <w:color w:val="auto"/>
                <w:sz w:val="18"/>
                <w:szCs w:val="18"/>
                <w:lang w:val="es-MX" w:eastAsia="es-MX"/>
              </w:rPr>
              <w:t>8.</w:t>
            </w:r>
            <w:r w:rsidR="00896417">
              <w:rPr>
                <w:rFonts w:cs="Arial"/>
                <w:color w:val="auto"/>
                <w:sz w:val="18"/>
                <w:szCs w:val="18"/>
                <w:lang w:val="es-MX" w:eastAsia="es-MX"/>
              </w:rPr>
              <w:t>8</w:t>
            </w:r>
          </w:p>
        </w:tc>
        <w:tc>
          <w:tcPr>
            <w:tcW w:w="1135" w:type="dxa"/>
            <w:tcBorders>
              <w:top w:val="nil"/>
              <w:left w:val="nil"/>
              <w:bottom w:val="nil"/>
              <w:right w:val="double" w:sz="4" w:space="0" w:color="auto"/>
            </w:tcBorders>
            <w:vAlign w:val="center"/>
          </w:tcPr>
          <w:p w14:paraId="6929DF13" w14:textId="69CCADD8" w:rsidR="00B17A65" w:rsidRPr="00AB6295" w:rsidRDefault="00B17A65" w:rsidP="00B17A65">
            <w:pPr>
              <w:pStyle w:val="not31"/>
              <w:keepLines w:val="0"/>
              <w:widowControl w:val="0"/>
              <w:spacing w:before="20" w:after="20" w:line="180" w:lineRule="atLeast"/>
              <w:ind w:right="284"/>
              <w:jc w:val="right"/>
              <w:rPr>
                <w:rFonts w:cs="Arial"/>
                <w:color w:val="auto"/>
                <w:sz w:val="18"/>
                <w:szCs w:val="18"/>
                <w:lang w:val="es-MX" w:eastAsia="es-MX"/>
              </w:rPr>
            </w:pPr>
            <w:r w:rsidRPr="00AB6295">
              <w:rPr>
                <w:rFonts w:cs="Arial"/>
                <w:color w:val="auto"/>
                <w:sz w:val="18"/>
                <w:szCs w:val="18"/>
                <w:lang w:val="es-MX" w:eastAsia="es-MX"/>
              </w:rPr>
              <w:t>2</w:t>
            </w:r>
            <w:r>
              <w:rPr>
                <w:rFonts w:cs="Arial"/>
                <w:color w:val="auto"/>
                <w:sz w:val="18"/>
                <w:szCs w:val="18"/>
                <w:lang w:val="es-MX" w:eastAsia="es-MX"/>
              </w:rPr>
              <w:t>8.</w:t>
            </w:r>
            <w:r w:rsidR="00896417">
              <w:rPr>
                <w:rFonts w:cs="Arial"/>
                <w:color w:val="auto"/>
                <w:sz w:val="18"/>
                <w:szCs w:val="18"/>
                <w:lang w:val="es-MX" w:eastAsia="es-MX"/>
              </w:rPr>
              <w:t>6</w:t>
            </w:r>
          </w:p>
        </w:tc>
      </w:tr>
      <w:tr w:rsidR="00B17A65" w14:paraId="255A3DF9" w14:textId="065FBA8A" w:rsidTr="004358CE">
        <w:trPr>
          <w:jc w:val="center"/>
        </w:trPr>
        <w:tc>
          <w:tcPr>
            <w:tcW w:w="3842" w:type="dxa"/>
            <w:tcBorders>
              <w:top w:val="nil"/>
              <w:left w:val="double" w:sz="4" w:space="0" w:color="auto"/>
              <w:bottom w:val="nil"/>
              <w:right w:val="single" w:sz="4" w:space="0" w:color="auto"/>
            </w:tcBorders>
            <w:vAlign w:val="center"/>
          </w:tcPr>
          <w:p w14:paraId="7A4CD8FC" w14:textId="43CA93CF" w:rsidR="00B17A65" w:rsidRPr="00AB6295" w:rsidRDefault="00B17A65" w:rsidP="00B17A65">
            <w:pPr>
              <w:pStyle w:val="not31"/>
              <w:keepLines w:val="0"/>
              <w:widowControl w:val="0"/>
              <w:spacing w:before="20" w:after="20"/>
              <w:ind w:right="-79"/>
              <w:jc w:val="left"/>
              <w:rPr>
                <w:rFonts w:cs="Arial"/>
                <w:b/>
                <w:color w:val="auto"/>
                <w:sz w:val="18"/>
                <w:szCs w:val="18"/>
                <w:lang w:val="es-MX" w:eastAsia="es-MX"/>
              </w:rPr>
            </w:pPr>
            <w:r w:rsidRPr="00AB6295">
              <w:rPr>
                <w:rFonts w:cs="Arial"/>
                <w:b/>
                <w:color w:val="auto"/>
                <w:sz w:val="18"/>
                <w:szCs w:val="18"/>
                <w:lang w:val="es-MX" w:eastAsia="es-MX"/>
              </w:rPr>
              <w:t xml:space="preserve">Oferta </w:t>
            </w:r>
            <w:r>
              <w:rPr>
                <w:rFonts w:cs="Arial"/>
                <w:b/>
                <w:color w:val="auto"/>
                <w:sz w:val="18"/>
                <w:szCs w:val="18"/>
                <w:lang w:val="es-MX" w:eastAsia="es-MX"/>
              </w:rPr>
              <w:t>=</w:t>
            </w:r>
            <w:r w:rsidRPr="00AB6295">
              <w:rPr>
                <w:rFonts w:cs="Arial"/>
                <w:b/>
                <w:color w:val="auto"/>
                <w:sz w:val="18"/>
                <w:szCs w:val="18"/>
                <w:lang w:val="es-MX" w:eastAsia="es-MX"/>
              </w:rPr>
              <w:t xml:space="preserve"> Demanda</w:t>
            </w:r>
          </w:p>
        </w:tc>
        <w:tc>
          <w:tcPr>
            <w:tcW w:w="850" w:type="dxa"/>
            <w:tcBorders>
              <w:top w:val="nil"/>
              <w:left w:val="nil"/>
              <w:bottom w:val="nil"/>
              <w:right w:val="nil"/>
            </w:tcBorders>
            <w:shd w:val="clear" w:color="auto" w:fill="FFFFFF" w:themeFill="background1"/>
            <w:vAlign w:val="bottom"/>
          </w:tcPr>
          <w:p w14:paraId="2103F602" w14:textId="77777777" w:rsidR="00B17A65" w:rsidRPr="00AB6295" w:rsidRDefault="00B17A65" w:rsidP="00B17A65">
            <w:pPr>
              <w:pStyle w:val="not31"/>
              <w:keepLines w:val="0"/>
              <w:widowControl w:val="0"/>
              <w:spacing w:before="20" w:after="20" w:line="180" w:lineRule="atLeast"/>
              <w:ind w:left="-108" w:right="113"/>
              <w:jc w:val="right"/>
              <w:rPr>
                <w:rFonts w:cs="Arial"/>
                <w:b/>
                <w:color w:val="auto"/>
                <w:sz w:val="18"/>
                <w:szCs w:val="18"/>
                <w:lang w:val="es-MX" w:eastAsia="es-MX"/>
              </w:rPr>
            </w:pPr>
            <w:r w:rsidRPr="00AB6295">
              <w:rPr>
                <w:rFonts w:cs="Arial"/>
                <w:b/>
                <w:color w:val="auto"/>
                <w:sz w:val="18"/>
                <w:szCs w:val="18"/>
                <w:lang w:val="es-MX" w:eastAsia="es-MX"/>
              </w:rPr>
              <w:t>100.0</w:t>
            </w:r>
          </w:p>
        </w:tc>
        <w:tc>
          <w:tcPr>
            <w:tcW w:w="851" w:type="dxa"/>
            <w:tcBorders>
              <w:top w:val="nil"/>
              <w:left w:val="nil"/>
              <w:bottom w:val="nil"/>
              <w:right w:val="nil"/>
            </w:tcBorders>
            <w:shd w:val="clear" w:color="auto" w:fill="FFFFFF" w:themeFill="background1"/>
            <w:vAlign w:val="bottom"/>
          </w:tcPr>
          <w:p w14:paraId="30016266" w14:textId="77777777" w:rsidR="00B17A65" w:rsidRPr="00AB6295" w:rsidRDefault="00B17A65" w:rsidP="00B17A65">
            <w:pPr>
              <w:pStyle w:val="not31"/>
              <w:keepLines w:val="0"/>
              <w:widowControl w:val="0"/>
              <w:spacing w:before="20" w:after="20" w:line="180" w:lineRule="atLeast"/>
              <w:ind w:left="-108" w:right="113"/>
              <w:jc w:val="right"/>
              <w:rPr>
                <w:rFonts w:cs="Arial"/>
                <w:b/>
                <w:color w:val="auto"/>
                <w:sz w:val="18"/>
                <w:szCs w:val="18"/>
                <w:lang w:val="es-MX" w:eastAsia="es-MX"/>
              </w:rPr>
            </w:pPr>
            <w:r w:rsidRPr="00AB6295">
              <w:rPr>
                <w:rFonts w:cs="Arial"/>
                <w:b/>
                <w:color w:val="auto"/>
                <w:sz w:val="18"/>
                <w:szCs w:val="18"/>
                <w:lang w:val="es-MX" w:eastAsia="es-MX"/>
              </w:rPr>
              <w:t>100.0</w:t>
            </w:r>
          </w:p>
        </w:tc>
        <w:tc>
          <w:tcPr>
            <w:tcW w:w="1135" w:type="dxa"/>
            <w:tcBorders>
              <w:top w:val="nil"/>
              <w:left w:val="nil"/>
              <w:bottom w:val="nil"/>
              <w:right w:val="double" w:sz="4" w:space="0" w:color="auto"/>
            </w:tcBorders>
            <w:shd w:val="clear" w:color="auto" w:fill="FFFFFF" w:themeFill="background1"/>
            <w:vAlign w:val="bottom"/>
          </w:tcPr>
          <w:p w14:paraId="4028BB52" w14:textId="77777777" w:rsidR="00B17A65" w:rsidRPr="00AB6295" w:rsidRDefault="00B17A65" w:rsidP="00B17A65">
            <w:pPr>
              <w:pStyle w:val="not31"/>
              <w:keepLines w:val="0"/>
              <w:widowControl w:val="0"/>
              <w:spacing w:before="20" w:after="20" w:line="180" w:lineRule="atLeast"/>
              <w:ind w:right="284"/>
              <w:jc w:val="right"/>
              <w:rPr>
                <w:rFonts w:cs="Arial"/>
                <w:b/>
                <w:color w:val="auto"/>
                <w:sz w:val="18"/>
                <w:szCs w:val="18"/>
                <w:lang w:val="es-MX" w:eastAsia="es-MX"/>
              </w:rPr>
            </w:pPr>
            <w:r w:rsidRPr="00AB6295">
              <w:rPr>
                <w:rFonts w:cs="Arial"/>
                <w:b/>
                <w:color w:val="auto"/>
                <w:sz w:val="18"/>
                <w:szCs w:val="18"/>
                <w:lang w:val="es-MX" w:eastAsia="es-MX"/>
              </w:rPr>
              <w:t>100.0</w:t>
            </w:r>
          </w:p>
        </w:tc>
        <w:tc>
          <w:tcPr>
            <w:tcW w:w="1135" w:type="dxa"/>
            <w:tcBorders>
              <w:top w:val="nil"/>
              <w:left w:val="nil"/>
              <w:bottom w:val="nil"/>
              <w:right w:val="nil"/>
            </w:tcBorders>
            <w:shd w:val="clear" w:color="auto" w:fill="FFFFFF" w:themeFill="background1"/>
            <w:vAlign w:val="bottom"/>
          </w:tcPr>
          <w:p w14:paraId="75A71193" w14:textId="77777777" w:rsidR="00B17A65" w:rsidRPr="00AB6295" w:rsidRDefault="00B17A65" w:rsidP="00B17A65">
            <w:pPr>
              <w:pStyle w:val="not31"/>
              <w:keepLines w:val="0"/>
              <w:widowControl w:val="0"/>
              <w:spacing w:before="20" w:after="20" w:line="180" w:lineRule="atLeast"/>
              <w:ind w:right="284"/>
              <w:jc w:val="right"/>
              <w:rPr>
                <w:rFonts w:cs="Arial"/>
                <w:b/>
                <w:color w:val="auto"/>
                <w:sz w:val="18"/>
                <w:szCs w:val="18"/>
                <w:lang w:val="es-MX" w:eastAsia="es-MX"/>
              </w:rPr>
            </w:pPr>
            <w:r w:rsidRPr="00AB6295">
              <w:rPr>
                <w:rFonts w:cs="Arial"/>
                <w:b/>
                <w:color w:val="auto"/>
                <w:sz w:val="18"/>
                <w:szCs w:val="18"/>
                <w:lang w:val="es-MX" w:eastAsia="es-MX"/>
              </w:rPr>
              <w:t>100.0</w:t>
            </w:r>
          </w:p>
        </w:tc>
        <w:tc>
          <w:tcPr>
            <w:tcW w:w="1135" w:type="dxa"/>
            <w:tcBorders>
              <w:top w:val="nil"/>
              <w:left w:val="nil"/>
              <w:bottom w:val="nil"/>
              <w:right w:val="nil"/>
            </w:tcBorders>
            <w:shd w:val="clear" w:color="auto" w:fill="FFFFFF" w:themeFill="background1"/>
            <w:vAlign w:val="bottom"/>
          </w:tcPr>
          <w:p w14:paraId="63F96C99" w14:textId="6409D800" w:rsidR="00B17A65" w:rsidRPr="00AB6295" w:rsidRDefault="00B17A65" w:rsidP="00B17A65">
            <w:pPr>
              <w:pStyle w:val="not31"/>
              <w:keepLines w:val="0"/>
              <w:widowControl w:val="0"/>
              <w:spacing w:before="20" w:after="20" w:line="180" w:lineRule="atLeast"/>
              <w:ind w:right="284"/>
              <w:jc w:val="right"/>
              <w:rPr>
                <w:rFonts w:cs="Arial"/>
                <w:b/>
                <w:color w:val="auto"/>
                <w:sz w:val="18"/>
                <w:szCs w:val="18"/>
                <w:lang w:val="es-MX" w:eastAsia="es-MX"/>
              </w:rPr>
            </w:pPr>
            <w:r w:rsidRPr="00AB6295">
              <w:rPr>
                <w:rFonts w:cs="Arial"/>
                <w:b/>
                <w:color w:val="auto"/>
                <w:sz w:val="18"/>
                <w:szCs w:val="18"/>
                <w:lang w:val="es-MX" w:eastAsia="es-MX"/>
              </w:rPr>
              <w:t>100.0</w:t>
            </w:r>
          </w:p>
        </w:tc>
        <w:tc>
          <w:tcPr>
            <w:tcW w:w="1135" w:type="dxa"/>
            <w:tcBorders>
              <w:top w:val="nil"/>
              <w:left w:val="nil"/>
              <w:bottom w:val="nil"/>
              <w:right w:val="double" w:sz="4" w:space="0" w:color="auto"/>
            </w:tcBorders>
            <w:shd w:val="clear" w:color="auto" w:fill="FFFFFF" w:themeFill="background1"/>
            <w:vAlign w:val="bottom"/>
          </w:tcPr>
          <w:p w14:paraId="2184036C" w14:textId="70AC01A3" w:rsidR="00B17A65" w:rsidRPr="00AB6295" w:rsidRDefault="00B17A65" w:rsidP="00B17A65">
            <w:pPr>
              <w:pStyle w:val="not31"/>
              <w:keepLines w:val="0"/>
              <w:widowControl w:val="0"/>
              <w:spacing w:before="20" w:after="20" w:line="180" w:lineRule="atLeast"/>
              <w:ind w:right="284"/>
              <w:jc w:val="right"/>
              <w:rPr>
                <w:rFonts w:cs="Arial"/>
                <w:b/>
                <w:color w:val="auto"/>
                <w:sz w:val="18"/>
                <w:szCs w:val="18"/>
                <w:lang w:val="es-MX" w:eastAsia="es-MX"/>
              </w:rPr>
            </w:pPr>
            <w:r w:rsidRPr="00AB6295">
              <w:rPr>
                <w:rFonts w:cs="Arial"/>
                <w:b/>
                <w:color w:val="auto"/>
                <w:sz w:val="18"/>
                <w:szCs w:val="18"/>
                <w:lang w:val="es-MX" w:eastAsia="es-MX"/>
              </w:rPr>
              <w:t>100.0</w:t>
            </w:r>
          </w:p>
        </w:tc>
      </w:tr>
      <w:tr w:rsidR="00B17A65" w14:paraId="7C67D6A1" w14:textId="6083FE0E" w:rsidTr="004358CE">
        <w:trPr>
          <w:jc w:val="center"/>
        </w:trPr>
        <w:tc>
          <w:tcPr>
            <w:tcW w:w="3842" w:type="dxa"/>
            <w:tcBorders>
              <w:top w:val="nil"/>
              <w:left w:val="double" w:sz="4" w:space="0" w:color="auto"/>
              <w:bottom w:val="nil"/>
              <w:right w:val="single" w:sz="4" w:space="0" w:color="auto"/>
            </w:tcBorders>
            <w:vAlign w:val="center"/>
          </w:tcPr>
          <w:p w14:paraId="12083FD1" w14:textId="77777777" w:rsidR="00B17A65" w:rsidRPr="00AB6295" w:rsidRDefault="00B17A65" w:rsidP="00B17A65">
            <w:pPr>
              <w:pStyle w:val="not31"/>
              <w:keepLines w:val="0"/>
              <w:widowControl w:val="0"/>
              <w:spacing w:before="20" w:after="20"/>
              <w:ind w:left="72" w:right="-79"/>
              <w:jc w:val="left"/>
              <w:rPr>
                <w:rFonts w:cs="Arial"/>
                <w:color w:val="auto"/>
                <w:sz w:val="18"/>
                <w:szCs w:val="18"/>
                <w:lang w:val="es-MX" w:eastAsia="es-MX"/>
              </w:rPr>
            </w:pPr>
            <w:r w:rsidRPr="00AB6295">
              <w:rPr>
                <w:rFonts w:cs="Arial"/>
                <w:color w:val="auto"/>
                <w:sz w:val="18"/>
                <w:szCs w:val="18"/>
                <w:lang w:val="es-MX" w:eastAsia="es-MX"/>
              </w:rPr>
              <w:t>Consumo Privado</w:t>
            </w:r>
          </w:p>
        </w:tc>
        <w:tc>
          <w:tcPr>
            <w:tcW w:w="850" w:type="dxa"/>
            <w:tcBorders>
              <w:top w:val="nil"/>
              <w:left w:val="nil"/>
              <w:bottom w:val="nil"/>
              <w:right w:val="nil"/>
            </w:tcBorders>
            <w:shd w:val="clear" w:color="auto" w:fill="FFFFFF" w:themeFill="background1"/>
            <w:vAlign w:val="bottom"/>
          </w:tcPr>
          <w:p w14:paraId="0F8CC75E" w14:textId="77777777" w:rsidR="00B17A65" w:rsidRPr="00AB6295" w:rsidRDefault="00B17A65" w:rsidP="00B17A65">
            <w:pPr>
              <w:pStyle w:val="not31"/>
              <w:keepLines w:val="0"/>
              <w:widowControl w:val="0"/>
              <w:spacing w:before="20" w:after="20" w:line="180" w:lineRule="atLeast"/>
              <w:ind w:left="-108" w:right="113"/>
              <w:jc w:val="right"/>
              <w:rPr>
                <w:rFonts w:cs="Arial"/>
                <w:color w:val="auto"/>
                <w:sz w:val="18"/>
                <w:szCs w:val="18"/>
                <w:lang w:val="es-MX" w:eastAsia="es-MX"/>
              </w:rPr>
            </w:pPr>
            <w:r w:rsidRPr="00AB6295">
              <w:rPr>
                <w:rFonts w:cs="Arial"/>
                <w:color w:val="auto"/>
                <w:sz w:val="18"/>
                <w:szCs w:val="18"/>
                <w:lang w:val="es-MX" w:eastAsia="es-MX"/>
              </w:rPr>
              <w:t>45.4</w:t>
            </w:r>
          </w:p>
        </w:tc>
        <w:tc>
          <w:tcPr>
            <w:tcW w:w="851" w:type="dxa"/>
            <w:tcBorders>
              <w:top w:val="nil"/>
              <w:left w:val="nil"/>
              <w:bottom w:val="nil"/>
              <w:right w:val="nil"/>
            </w:tcBorders>
            <w:shd w:val="clear" w:color="auto" w:fill="FFFFFF" w:themeFill="background1"/>
            <w:vAlign w:val="bottom"/>
          </w:tcPr>
          <w:p w14:paraId="26C927CF" w14:textId="77777777" w:rsidR="00B17A65" w:rsidRPr="00AB6295" w:rsidRDefault="00B17A65" w:rsidP="00B17A65">
            <w:pPr>
              <w:pStyle w:val="not31"/>
              <w:keepLines w:val="0"/>
              <w:widowControl w:val="0"/>
              <w:spacing w:before="20" w:after="20" w:line="180" w:lineRule="atLeast"/>
              <w:ind w:left="-108" w:right="113"/>
              <w:jc w:val="right"/>
              <w:rPr>
                <w:rFonts w:cs="Arial"/>
                <w:color w:val="auto"/>
                <w:sz w:val="18"/>
                <w:szCs w:val="18"/>
                <w:lang w:val="es-MX" w:eastAsia="es-MX"/>
              </w:rPr>
            </w:pPr>
            <w:r w:rsidRPr="00AB6295">
              <w:rPr>
                <w:rFonts w:cs="Arial"/>
                <w:color w:val="auto"/>
                <w:sz w:val="18"/>
                <w:szCs w:val="18"/>
                <w:lang w:val="es-MX" w:eastAsia="es-MX"/>
              </w:rPr>
              <w:t>4</w:t>
            </w:r>
            <w:r>
              <w:rPr>
                <w:rFonts w:cs="Arial"/>
                <w:color w:val="auto"/>
                <w:sz w:val="18"/>
                <w:szCs w:val="18"/>
                <w:lang w:val="es-MX" w:eastAsia="es-MX"/>
              </w:rPr>
              <w:t>6.0</w:t>
            </w:r>
          </w:p>
        </w:tc>
        <w:tc>
          <w:tcPr>
            <w:tcW w:w="1135" w:type="dxa"/>
            <w:tcBorders>
              <w:top w:val="nil"/>
              <w:left w:val="nil"/>
              <w:bottom w:val="nil"/>
              <w:right w:val="double" w:sz="4" w:space="0" w:color="auto"/>
            </w:tcBorders>
            <w:shd w:val="clear" w:color="auto" w:fill="FFFFFF" w:themeFill="background1"/>
            <w:vAlign w:val="bottom"/>
          </w:tcPr>
          <w:p w14:paraId="0E08EEB1" w14:textId="77777777" w:rsidR="00B17A65" w:rsidRPr="00AB6295" w:rsidRDefault="00B17A65" w:rsidP="00B17A65">
            <w:pPr>
              <w:pStyle w:val="not31"/>
              <w:keepLines w:val="0"/>
              <w:widowControl w:val="0"/>
              <w:spacing w:before="20" w:after="20" w:line="180" w:lineRule="atLeast"/>
              <w:ind w:right="284"/>
              <w:jc w:val="right"/>
              <w:rPr>
                <w:rFonts w:cs="Arial"/>
                <w:color w:val="auto"/>
                <w:sz w:val="18"/>
                <w:szCs w:val="18"/>
                <w:lang w:val="es-MX" w:eastAsia="es-MX"/>
              </w:rPr>
            </w:pPr>
            <w:r w:rsidRPr="00AB6295">
              <w:rPr>
                <w:rFonts w:cs="Arial"/>
                <w:color w:val="auto"/>
                <w:sz w:val="18"/>
                <w:szCs w:val="18"/>
                <w:lang w:val="es-MX" w:eastAsia="es-MX"/>
              </w:rPr>
              <w:t>46.2</w:t>
            </w:r>
          </w:p>
        </w:tc>
        <w:tc>
          <w:tcPr>
            <w:tcW w:w="1135" w:type="dxa"/>
            <w:tcBorders>
              <w:top w:val="nil"/>
              <w:left w:val="nil"/>
              <w:bottom w:val="nil"/>
              <w:right w:val="nil"/>
            </w:tcBorders>
            <w:shd w:val="clear" w:color="auto" w:fill="FFFFFF" w:themeFill="background1"/>
            <w:vAlign w:val="bottom"/>
          </w:tcPr>
          <w:p w14:paraId="07B9C283" w14:textId="477B3970" w:rsidR="00B17A65" w:rsidRPr="00AB6295" w:rsidRDefault="00B17A65" w:rsidP="00B17A65">
            <w:pPr>
              <w:pStyle w:val="not31"/>
              <w:keepLines w:val="0"/>
              <w:widowControl w:val="0"/>
              <w:spacing w:before="20" w:after="20" w:line="180" w:lineRule="atLeast"/>
              <w:ind w:right="284"/>
              <w:jc w:val="right"/>
              <w:rPr>
                <w:rFonts w:cs="Arial"/>
                <w:color w:val="auto"/>
                <w:sz w:val="18"/>
                <w:szCs w:val="18"/>
                <w:lang w:val="es-MX" w:eastAsia="es-MX"/>
              </w:rPr>
            </w:pPr>
            <w:r w:rsidRPr="00AB6295">
              <w:rPr>
                <w:rFonts w:cs="Arial"/>
                <w:color w:val="auto"/>
                <w:sz w:val="18"/>
                <w:szCs w:val="18"/>
                <w:lang w:val="es-MX" w:eastAsia="es-MX"/>
              </w:rPr>
              <w:t>4</w:t>
            </w:r>
            <w:r>
              <w:rPr>
                <w:rFonts w:cs="Arial"/>
                <w:color w:val="auto"/>
                <w:sz w:val="18"/>
                <w:szCs w:val="18"/>
                <w:lang w:val="es-MX" w:eastAsia="es-MX"/>
              </w:rPr>
              <w:t>5.</w:t>
            </w:r>
            <w:r w:rsidR="00896417">
              <w:rPr>
                <w:rFonts w:cs="Arial"/>
                <w:color w:val="auto"/>
                <w:sz w:val="18"/>
                <w:szCs w:val="18"/>
                <w:lang w:val="es-MX" w:eastAsia="es-MX"/>
              </w:rPr>
              <w:t>3</w:t>
            </w:r>
          </w:p>
        </w:tc>
        <w:tc>
          <w:tcPr>
            <w:tcW w:w="1135" w:type="dxa"/>
            <w:tcBorders>
              <w:top w:val="nil"/>
              <w:left w:val="nil"/>
              <w:bottom w:val="nil"/>
              <w:right w:val="nil"/>
            </w:tcBorders>
            <w:shd w:val="clear" w:color="auto" w:fill="FFFFFF" w:themeFill="background1"/>
            <w:vAlign w:val="bottom"/>
          </w:tcPr>
          <w:p w14:paraId="7F2F4CC8" w14:textId="7AF07519" w:rsidR="00B17A65" w:rsidRPr="00AB6295" w:rsidRDefault="00B17A65" w:rsidP="00B17A65">
            <w:pPr>
              <w:pStyle w:val="not31"/>
              <w:keepLines w:val="0"/>
              <w:widowControl w:val="0"/>
              <w:spacing w:before="20" w:after="20" w:line="180" w:lineRule="atLeast"/>
              <w:ind w:right="284"/>
              <w:jc w:val="right"/>
              <w:rPr>
                <w:rFonts w:cs="Arial"/>
                <w:color w:val="auto"/>
                <w:sz w:val="18"/>
                <w:szCs w:val="18"/>
                <w:lang w:val="es-MX" w:eastAsia="es-MX"/>
              </w:rPr>
            </w:pPr>
            <w:r w:rsidRPr="00AB6295">
              <w:rPr>
                <w:rFonts w:cs="Arial"/>
                <w:color w:val="auto"/>
                <w:sz w:val="18"/>
                <w:szCs w:val="18"/>
                <w:lang w:val="es-MX" w:eastAsia="es-MX"/>
              </w:rPr>
              <w:t>4</w:t>
            </w:r>
            <w:r>
              <w:rPr>
                <w:rFonts w:cs="Arial"/>
                <w:color w:val="auto"/>
                <w:sz w:val="18"/>
                <w:szCs w:val="18"/>
                <w:lang w:val="es-MX" w:eastAsia="es-MX"/>
              </w:rPr>
              <w:t>5.</w:t>
            </w:r>
            <w:r w:rsidR="00896417">
              <w:rPr>
                <w:rFonts w:cs="Arial"/>
                <w:color w:val="auto"/>
                <w:sz w:val="18"/>
                <w:szCs w:val="18"/>
                <w:lang w:val="es-MX" w:eastAsia="es-MX"/>
              </w:rPr>
              <w:t>7</w:t>
            </w:r>
          </w:p>
        </w:tc>
        <w:tc>
          <w:tcPr>
            <w:tcW w:w="1135" w:type="dxa"/>
            <w:tcBorders>
              <w:top w:val="nil"/>
              <w:left w:val="nil"/>
              <w:bottom w:val="nil"/>
              <w:right w:val="double" w:sz="4" w:space="0" w:color="auto"/>
            </w:tcBorders>
            <w:shd w:val="clear" w:color="auto" w:fill="FFFFFF" w:themeFill="background1"/>
            <w:vAlign w:val="bottom"/>
          </w:tcPr>
          <w:p w14:paraId="42B6454A" w14:textId="73483E17" w:rsidR="00B17A65" w:rsidRPr="00AB6295" w:rsidRDefault="00B17A65" w:rsidP="00B17A65">
            <w:pPr>
              <w:pStyle w:val="not31"/>
              <w:keepLines w:val="0"/>
              <w:widowControl w:val="0"/>
              <w:spacing w:before="20" w:after="20" w:line="180" w:lineRule="atLeast"/>
              <w:ind w:right="284"/>
              <w:jc w:val="right"/>
              <w:rPr>
                <w:rFonts w:cs="Arial"/>
                <w:color w:val="auto"/>
                <w:sz w:val="18"/>
                <w:szCs w:val="18"/>
                <w:lang w:val="es-MX" w:eastAsia="es-MX"/>
              </w:rPr>
            </w:pPr>
            <w:r w:rsidRPr="00AB6295">
              <w:rPr>
                <w:rFonts w:cs="Arial"/>
                <w:color w:val="auto"/>
                <w:sz w:val="18"/>
                <w:szCs w:val="18"/>
                <w:lang w:val="es-MX" w:eastAsia="es-MX"/>
              </w:rPr>
              <w:t>4</w:t>
            </w:r>
            <w:r>
              <w:rPr>
                <w:rFonts w:cs="Arial"/>
                <w:color w:val="auto"/>
                <w:sz w:val="18"/>
                <w:szCs w:val="18"/>
                <w:lang w:val="es-MX" w:eastAsia="es-MX"/>
              </w:rPr>
              <w:t>5.</w:t>
            </w:r>
            <w:r w:rsidR="00896417">
              <w:rPr>
                <w:rFonts w:cs="Arial"/>
                <w:color w:val="auto"/>
                <w:sz w:val="18"/>
                <w:szCs w:val="18"/>
                <w:lang w:val="es-MX" w:eastAsia="es-MX"/>
              </w:rPr>
              <w:t>5</w:t>
            </w:r>
          </w:p>
        </w:tc>
      </w:tr>
      <w:tr w:rsidR="00B17A65" w14:paraId="72F06E96" w14:textId="658CF86E" w:rsidTr="004358CE">
        <w:trPr>
          <w:jc w:val="center"/>
        </w:trPr>
        <w:tc>
          <w:tcPr>
            <w:tcW w:w="3842" w:type="dxa"/>
            <w:tcBorders>
              <w:top w:val="nil"/>
              <w:left w:val="double" w:sz="4" w:space="0" w:color="auto"/>
              <w:bottom w:val="nil"/>
              <w:right w:val="single" w:sz="4" w:space="0" w:color="auto"/>
            </w:tcBorders>
            <w:vAlign w:val="center"/>
          </w:tcPr>
          <w:p w14:paraId="36A1E3C9" w14:textId="77777777" w:rsidR="00B17A65" w:rsidRPr="00AB6295" w:rsidRDefault="00B17A65" w:rsidP="00B17A65">
            <w:pPr>
              <w:pStyle w:val="not31"/>
              <w:keepLines w:val="0"/>
              <w:widowControl w:val="0"/>
              <w:spacing w:before="20" w:after="20"/>
              <w:ind w:left="72" w:right="-79"/>
              <w:jc w:val="left"/>
              <w:rPr>
                <w:rFonts w:cs="Arial"/>
                <w:color w:val="auto"/>
                <w:sz w:val="18"/>
                <w:szCs w:val="18"/>
                <w:lang w:val="es-MX" w:eastAsia="es-MX"/>
              </w:rPr>
            </w:pPr>
            <w:r w:rsidRPr="00AB6295">
              <w:rPr>
                <w:rFonts w:cs="Arial"/>
                <w:color w:val="auto"/>
                <w:sz w:val="18"/>
                <w:szCs w:val="18"/>
                <w:lang w:val="es-MX" w:eastAsia="es-MX"/>
              </w:rPr>
              <w:t>Consumo de Gobierno</w:t>
            </w:r>
          </w:p>
        </w:tc>
        <w:tc>
          <w:tcPr>
            <w:tcW w:w="850" w:type="dxa"/>
            <w:tcBorders>
              <w:top w:val="nil"/>
              <w:left w:val="nil"/>
              <w:bottom w:val="nil"/>
              <w:right w:val="nil"/>
            </w:tcBorders>
            <w:shd w:val="clear" w:color="auto" w:fill="FFFFFF" w:themeFill="background1"/>
            <w:vAlign w:val="bottom"/>
          </w:tcPr>
          <w:p w14:paraId="03BF94E4" w14:textId="77777777" w:rsidR="00B17A65" w:rsidRPr="00AB6295" w:rsidRDefault="00B17A65" w:rsidP="00B17A65">
            <w:pPr>
              <w:pStyle w:val="not31"/>
              <w:keepLines w:val="0"/>
              <w:widowControl w:val="0"/>
              <w:spacing w:before="20" w:after="20" w:line="180" w:lineRule="atLeast"/>
              <w:ind w:left="-108" w:right="113"/>
              <w:jc w:val="right"/>
              <w:rPr>
                <w:rFonts w:cs="Arial"/>
                <w:color w:val="auto"/>
                <w:sz w:val="18"/>
                <w:szCs w:val="18"/>
                <w:lang w:val="es-MX" w:eastAsia="es-MX"/>
              </w:rPr>
            </w:pPr>
            <w:r w:rsidRPr="00AB6295">
              <w:rPr>
                <w:rFonts w:cs="Arial"/>
                <w:color w:val="auto"/>
                <w:sz w:val="18"/>
                <w:szCs w:val="18"/>
                <w:lang w:val="es-MX" w:eastAsia="es-MX"/>
              </w:rPr>
              <w:t>9.0</w:t>
            </w:r>
          </w:p>
        </w:tc>
        <w:tc>
          <w:tcPr>
            <w:tcW w:w="851" w:type="dxa"/>
            <w:tcBorders>
              <w:top w:val="nil"/>
              <w:left w:val="nil"/>
              <w:bottom w:val="nil"/>
              <w:right w:val="nil"/>
            </w:tcBorders>
            <w:shd w:val="clear" w:color="auto" w:fill="FFFFFF" w:themeFill="background1"/>
            <w:vAlign w:val="bottom"/>
          </w:tcPr>
          <w:p w14:paraId="67BF993C" w14:textId="77777777" w:rsidR="00B17A65" w:rsidRPr="00AB6295" w:rsidRDefault="00B17A65" w:rsidP="00B17A65">
            <w:pPr>
              <w:pStyle w:val="not31"/>
              <w:keepLines w:val="0"/>
              <w:widowControl w:val="0"/>
              <w:spacing w:before="20" w:after="20" w:line="180" w:lineRule="atLeast"/>
              <w:ind w:left="-108" w:right="113"/>
              <w:jc w:val="right"/>
              <w:rPr>
                <w:rFonts w:cs="Arial"/>
                <w:color w:val="auto"/>
                <w:sz w:val="18"/>
                <w:szCs w:val="18"/>
                <w:lang w:val="es-MX" w:eastAsia="es-MX"/>
              </w:rPr>
            </w:pPr>
            <w:r>
              <w:rPr>
                <w:rFonts w:cs="Arial"/>
                <w:color w:val="auto"/>
                <w:sz w:val="18"/>
                <w:szCs w:val="18"/>
                <w:lang w:val="es-MX" w:eastAsia="es-MX"/>
              </w:rPr>
              <w:t>8.8</w:t>
            </w:r>
          </w:p>
        </w:tc>
        <w:tc>
          <w:tcPr>
            <w:tcW w:w="1135" w:type="dxa"/>
            <w:tcBorders>
              <w:top w:val="nil"/>
              <w:left w:val="nil"/>
              <w:bottom w:val="nil"/>
              <w:right w:val="double" w:sz="4" w:space="0" w:color="auto"/>
            </w:tcBorders>
            <w:shd w:val="clear" w:color="auto" w:fill="FFFFFF" w:themeFill="background1"/>
            <w:vAlign w:val="bottom"/>
          </w:tcPr>
          <w:p w14:paraId="3C668BA8" w14:textId="77777777" w:rsidR="00B17A65" w:rsidRPr="00AB6295" w:rsidRDefault="00B17A65" w:rsidP="00B17A65">
            <w:pPr>
              <w:pStyle w:val="not31"/>
              <w:keepLines w:val="0"/>
              <w:widowControl w:val="0"/>
              <w:spacing w:before="20" w:after="20" w:line="180" w:lineRule="atLeast"/>
              <w:ind w:right="284"/>
              <w:jc w:val="right"/>
              <w:rPr>
                <w:rFonts w:cs="Arial"/>
                <w:color w:val="auto"/>
                <w:sz w:val="18"/>
                <w:szCs w:val="18"/>
                <w:lang w:val="es-MX" w:eastAsia="es-MX"/>
              </w:rPr>
            </w:pPr>
            <w:r w:rsidRPr="00AB6295">
              <w:rPr>
                <w:rFonts w:cs="Arial"/>
                <w:color w:val="auto"/>
                <w:sz w:val="18"/>
                <w:szCs w:val="18"/>
                <w:lang w:val="es-MX" w:eastAsia="es-MX"/>
              </w:rPr>
              <w:t>9.</w:t>
            </w:r>
            <w:r>
              <w:rPr>
                <w:rFonts w:cs="Arial"/>
                <w:color w:val="auto"/>
                <w:sz w:val="18"/>
                <w:szCs w:val="18"/>
                <w:lang w:val="es-MX" w:eastAsia="es-MX"/>
              </w:rPr>
              <w:t>3</w:t>
            </w:r>
          </w:p>
        </w:tc>
        <w:tc>
          <w:tcPr>
            <w:tcW w:w="1135" w:type="dxa"/>
            <w:tcBorders>
              <w:top w:val="nil"/>
              <w:left w:val="nil"/>
              <w:bottom w:val="nil"/>
              <w:right w:val="nil"/>
            </w:tcBorders>
            <w:shd w:val="clear" w:color="auto" w:fill="FFFFFF" w:themeFill="background1"/>
            <w:vAlign w:val="bottom"/>
          </w:tcPr>
          <w:p w14:paraId="45088559" w14:textId="77777777" w:rsidR="00B17A65" w:rsidRPr="00AB6295" w:rsidRDefault="00B17A65" w:rsidP="00B17A65">
            <w:pPr>
              <w:pStyle w:val="not31"/>
              <w:keepLines w:val="0"/>
              <w:widowControl w:val="0"/>
              <w:spacing w:before="20" w:after="20" w:line="180" w:lineRule="atLeast"/>
              <w:ind w:right="284"/>
              <w:jc w:val="right"/>
              <w:rPr>
                <w:rFonts w:cs="Arial"/>
                <w:color w:val="auto"/>
                <w:sz w:val="18"/>
                <w:szCs w:val="18"/>
                <w:lang w:val="es-MX" w:eastAsia="es-MX"/>
              </w:rPr>
            </w:pPr>
            <w:r>
              <w:rPr>
                <w:rFonts w:cs="Arial"/>
                <w:color w:val="auto"/>
                <w:sz w:val="18"/>
                <w:szCs w:val="18"/>
                <w:lang w:val="es-MX" w:eastAsia="es-MX"/>
              </w:rPr>
              <w:t>8.8</w:t>
            </w:r>
          </w:p>
        </w:tc>
        <w:tc>
          <w:tcPr>
            <w:tcW w:w="1135" w:type="dxa"/>
            <w:tcBorders>
              <w:top w:val="nil"/>
              <w:left w:val="nil"/>
              <w:bottom w:val="nil"/>
              <w:right w:val="nil"/>
            </w:tcBorders>
            <w:shd w:val="clear" w:color="auto" w:fill="FFFFFF" w:themeFill="background1"/>
            <w:vAlign w:val="bottom"/>
          </w:tcPr>
          <w:p w14:paraId="54689E39" w14:textId="52BE6E8E" w:rsidR="00B17A65" w:rsidRDefault="00B17A65" w:rsidP="00B17A65">
            <w:pPr>
              <w:pStyle w:val="not31"/>
              <w:keepLines w:val="0"/>
              <w:widowControl w:val="0"/>
              <w:spacing w:before="20" w:after="20" w:line="180" w:lineRule="atLeast"/>
              <w:ind w:right="284"/>
              <w:jc w:val="right"/>
              <w:rPr>
                <w:rFonts w:cs="Arial"/>
                <w:color w:val="auto"/>
                <w:sz w:val="18"/>
                <w:szCs w:val="18"/>
                <w:lang w:val="es-MX" w:eastAsia="es-MX"/>
              </w:rPr>
            </w:pPr>
            <w:r>
              <w:rPr>
                <w:rFonts w:cs="Arial"/>
                <w:color w:val="auto"/>
                <w:sz w:val="18"/>
                <w:szCs w:val="18"/>
                <w:lang w:val="es-MX" w:eastAsia="es-MX"/>
              </w:rPr>
              <w:t>8.8</w:t>
            </w:r>
          </w:p>
        </w:tc>
        <w:tc>
          <w:tcPr>
            <w:tcW w:w="1135" w:type="dxa"/>
            <w:tcBorders>
              <w:top w:val="nil"/>
              <w:left w:val="nil"/>
              <w:bottom w:val="nil"/>
              <w:right w:val="double" w:sz="4" w:space="0" w:color="auto"/>
            </w:tcBorders>
            <w:shd w:val="clear" w:color="auto" w:fill="FFFFFF" w:themeFill="background1"/>
            <w:vAlign w:val="bottom"/>
          </w:tcPr>
          <w:p w14:paraId="6C2377EA" w14:textId="34D348E7" w:rsidR="00B17A65" w:rsidRDefault="00B17A65" w:rsidP="00B17A65">
            <w:pPr>
              <w:pStyle w:val="not31"/>
              <w:keepLines w:val="0"/>
              <w:widowControl w:val="0"/>
              <w:spacing w:before="20" w:after="20" w:line="180" w:lineRule="atLeast"/>
              <w:ind w:right="284"/>
              <w:jc w:val="right"/>
              <w:rPr>
                <w:rFonts w:cs="Arial"/>
                <w:color w:val="auto"/>
                <w:sz w:val="18"/>
                <w:szCs w:val="18"/>
                <w:lang w:val="es-MX" w:eastAsia="es-MX"/>
              </w:rPr>
            </w:pPr>
            <w:r>
              <w:rPr>
                <w:rFonts w:cs="Arial"/>
                <w:color w:val="auto"/>
                <w:sz w:val="18"/>
                <w:szCs w:val="18"/>
                <w:lang w:val="es-MX" w:eastAsia="es-MX"/>
              </w:rPr>
              <w:t>8.8</w:t>
            </w:r>
          </w:p>
        </w:tc>
      </w:tr>
      <w:tr w:rsidR="00B17A65" w14:paraId="3CC0038B" w14:textId="27BC31B0" w:rsidTr="004358CE">
        <w:trPr>
          <w:jc w:val="center"/>
        </w:trPr>
        <w:tc>
          <w:tcPr>
            <w:tcW w:w="3842" w:type="dxa"/>
            <w:tcBorders>
              <w:top w:val="nil"/>
              <w:left w:val="double" w:sz="4" w:space="0" w:color="auto"/>
              <w:bottom w:val="nil"/>
              <w:right w:val="single" w:sz="4" w:space="0" w:color="auto"/>
            </w:tcBorders>
            <w:vAlign w:val="center"/>
          </w:tcPr>
          <w:p w14:paraId="0CCF66BC" w14:textId="77777777" w:rsidR="00B17A65" w:rsidRPr="00AB6295" w:rsidRDefault="00B17A65" w:rsidP="00B17A65">
            <w:pPr>
              <w:pStyle w:val="not31"/>
              <w:keepLines w:val="0"/>
              <w:widowControl w:val="0"/>
              <w:spacing w:before="20" w:after="20"/>
              <w:ind w:left="72" w:right="-79"/>
              <w:jc w:val="left"/>
              <w:rPr>
                <w:rFonts w:cs="Arial"/>
                <w:color w:val="auto"/>
                <w:sz w:val="18"/>
                <w:szCs w:val="18"/>
                <w:lang w:val="es-MX" w:eastAsia="es-MX"/>
              </w:rPr>
            </w:pPr>
            <w:r w:rsidRPr="00AB6295">
              <w:rPr>
                <w:rFonts w:cs="Arial"/>
                <w:color w:val="auto"/>
                <w:sz w:val="18"/>
                <w:szCs w:val="18"/>
                <w:lang w:val="es-MX" w:eastAsia="es-MX"/>
              </w:rPr>
              <w:t>Formación Bruta de Capital Fijo</w:t>
            </w:r>
          </w:p>
        </w:tc>
        <w:tc>
          <w:tcPr>
            <w:tcW w:w="850" w:type="dxa"/>
            <w:tcBorders>
              <w:top w:val="nil"/>
              <w:left w:val="nil"/>
              <w:bottom w:val="nil"/>
              <w:right w:val="nil"/>
            </w:tcBorders>
            <w:shd w:val="clear" w:color="auto" w:fill="FFFFFF" w:themeFill="background1"/>
            <w:vAlign w:val="center"/>
          </w:tcPr>
          <w:p w14:paraId="06E2A7E5" w14:textId="77777777" w:rsidR="00B17A65" w:rsidRPr="00AB6295" w:rsidRDefault="00B17A65" w:rsidP="00B17A65">
            <w:pPr>
              <w:pStyle w:val="not31"/>
              <w:keepLines w:val="0"/>
              <w:widowControl w:val="0"/>
              <w:spacing w:before="20" w:after="20" w:line="180" w:lineRule="atLeast"/>
              <w:ind w:left="-108" w:right="113"/>
              <w:jc w:val="right"/>
              <w:rPr>
                <w:rFonts w:cs="Arial"/>
                <w:color w:val="auto"/>
                <w:sz w:val="18"/>
                <w:szCs w:val="18"/>
                <w:lang w:val="es-MX" w:eastAsia="es-MX"/>
              </w:rPr>
            </w:pPr>
            <w:r w:rsidRPr="00AB6295">
              <w:rPr>
                <w:rFonts w:cs="Arial"/>
                <w:color w:val="auto"/>
                <w:sz w:val="18"/>
                <w:szCs w:val="18"/>
                <w:lang w:val="es-MX" w:eastAsia="es-MX"/>
              </w:rPr>
              <w:t>13.8</w:t>
            </w:r>
          </w:p>
        </w:tc>
        <w:tc>
          <w:tcPr>
            <w:tcW w:w="851" w:type="dxa"/>
            <w:tcBorders>
              <w:top w:val="nil"/>
              <w:left w:val="nil"/>
              <w:bottom w:val="nil"/>
              <w:right w:val="nil"/>
            </w:tcBorders>
            <w:shd w:val="clear" w:color="auto" w:fill="FFFFFF" w:themeFill="background1"/>
            <w:vAlign w:val="center"/>
          </w:tcPr>
          <w:p w14:paraId="404FAA59" w14:textId="77777777" w:rsidR="00B17A65" w:rsidRPr="00AB6295" w:rsidRDefault="00B17A65" w:rsidP="00B17A65">
            <w:pPr>
              <w:pStyle w:val="not31"/>
              <w:keepLines w:val="0"/>
              <w:widowControl w:val="0"/>
              <w:spacing w:before="20" w:after="20" w:line="180" w:lineRule="atLeast"/>
              <w:ind w:left="-108" w:right="113"/>
              <w:jc w:val="right"/>
              <w:rPr>
                <w:rFonts w:cs="Arial"/>
                <w:color w:val="auto"/>
                <w:sz w:val="18"/>
                <w:szCs w:val="18"/>
                <w:lang w:val="es-MX" w:eastAsia="es-MX"/>
              </w:rPr>
            </w:pPr>
            <w:r w:rsidRPr="00AB6295">
              <w:rPr>
                <w:rFonts w:cs="Arial"/>
                <w:color w:val="auto"/>
                <w:sz w:val="18"/>
                <w:szCs w:val="18"/>
                <w:lang w:val="es-MX" w:eastAsia="es-MX"/>
              </w:rPr>
              <w:t>13.</w:t>
            </w:r>
            <w:r>
              <w:rPr>
                <w:rFonts w:cs="Arial"/>
                <w:color w:val="auto"/>
                <w:sz w:val="18"/>
                <w:szCs w:val="18"/>
                <w:lang w:val="es-MX" w:eastAsia="es-MX"/>
              </w:rPr>
              <w:t>4</w:t>
            </w:r>
          </w:p>
        </w:tc>
        <w:tc>
          <w:tcPr>
            <w:tcW w:w="1135" w:type="dxa"/>
            <w:tcBorders>
              <w:top w:val="nil"/>
              <w:left w:val="nil"/>
              <w:bottom w:val="nil"/>
              <w:right w:val="double" w:sz="4" w:space="0" w:color="auto"/>
            </w:tcBorders>
            <w:shd w:val="clear" w:color="auto" w:fill="FFFFFF" w:themeFill="background1"/>
            <w:vAlign w:val="center"/>
          </w:tcPr>
          <w:p w14:paraId="4B46EDFA" w14:textId="77777777" w:rsidR="00B17A65" w:rsidRPr="00AB6295" w:rsidRDefault="00B17A65" w:rsidP="00B17A65">
            <w:pPr>
              <w:pStyle w:val="not31"/>
              <w:keepLines w:val="0"/>
              <w:widowControl w:val="0"/>
              <w:spacing w:before="20" w:after="20" w:line="180" w:lineRule="atLeast"/>
              <w:ind w:right="284"/>
              <w:jc w:val="right"/>
              <w:rPr>
                <w:rFonts w:cs="Arial"/>
                <w:color w:val="auto"/>
                <w:sz w:val="18"/>
                <w:szCs w:val="18"/>
                <w:lang w:val="es-MX" w:eastAsia="es-MX"/>
              </w:rPr>
            </w:pPr>
            <w:r w:rsidRPr="00AB6295">
              <w:rPr>
                <w:rFonts w:cs="Arial"/>
                <w:color w:val="auto"/>
                <w:sz w:val="18"/>
                <w:szCs w:val="18"/>
                <w:lang w:val="es-MX" w:eastAsia="es-MX"/>
              </w:rPr>
              <w:t>13.</w:t>
            </w:r>
            <w:r>
              <w:rPr>
                <w:rFonts w:cs="Arial"/>
                <w:color w:val="auto"/>
                <w:sz w:val="18"/>
                <w:szCs w:val="18"/>
                <w:lang w:val="es-MX" w:eastAsia="es-MX"/>
              </w:rPr>
              <w:t>6</w:t>
            </w:r>
          </w:p>
        </w:tc>
        <w:tc>
          <w:tcPr>
            <w:tcW w:w="1135" w:type="dxa"/>
            <w:tcBorders>
              <w:top w:val="nil"/>
              <w:left w:val="nil"/>
              <w:bottom w:val="nil"/>
              <w:right w:val="nil"/>
            </w:tcBorders>
            <w:shd w:val="clear" w:color="auto" w:fill="FFFFFF" w:themeFill="background1"/>
            <w:vAlign w:val="center"/>
          </w:tcPr>
          <w:p w14:paraId="7B245AE5" w14:textId="77777777" w:rsidR="00B17A65" w:rsidRPr="00AB6295" w:rsidRDefault="00B17A65" w:rsidP="00B17A65">
            <w:pPr>
              <w:pStyle w:val="not31"/>
              <w:keepLines w:val="0"/>
              <w:widowControl w:val="0"/>
              <w:spacing w:before="20" w:after="20" w:line="180" w:lineRule="atLeast"/>
              <w:ind w:right="284"/>
              <w:jc w:val="right"/>
              <w:rPr>
                <w:rFonts w:cs="Arial"/>
                <w:color w:val="auto"/>
                <w:sz w:val="18"/>
                <w:szCs w:val="18"/>
                <w:lang w:val="es-MX" w:eastAsia="es-MX"/>
              </w:rPr>
            </w:pPr>
            <w:r w:rsidRPr="00AB6295">
              <w:rPr>
                <w:rFonts w:cs="Arial"/>
                <w:color w:val="auto"/>
                <w:sz w:val="18"/>
                <w:szCs w:val="18"/>
                <w:lang w:val="es-MX" w:eastAsia="es-MX"/>
              </w:rPr>
              <w:t>13.</w:t>
            </w:r>
            <w:r>
              <w:rPr>
                <w:rFonts w:cs="Arial"/>
                <w:color w:val="auto"/>
                <w:sz w:val="18"/>
                <w:szCs w:val="18"/>
                <w:lang w:val="es-MX" w:eastAsia="es-MX"/>
              </w:rPr>
              <w:t>9</w:t>
            </w:r>
          </w:p>
        </w:tc>
        <w:tc>
          <w:tcPr>
            <w:tcW w:w="1135" w:type="dxa"/>
            <w:tcBorders>
              <w:top w:val="nil"/>
              <w:left w:val="nil"/>
              <w:bottom w:val="nil"/>
              <w:right w:val="nil"/>
            </w:tcBorders>
            <w:shd w:val="clear" w:color="auto" w:fill="FFFFFF" w:themeFill="background1"/>
            <w:vAlign w:val="center"/>
          </w:tcPr>
          <w:p w14:paraId="031353D6" w14:textId="45241D4C" w:rsidR="00B17A65" w:rsidRPr="00AB6295" w:rsidRDefault="00B17A65" w:rsidP="00B17A65">
            <w:pPr>
              <w:pStyle w:val="not31"/>
              <w:keepLines w:val="0"/>
              <w:widowControl w:val="0"/>
              <w:spacing w:before="20" w:after="20" w:line="180" w:lineRule="atLeast"/>
              <w:ind w:right="284"/>
              <w:jc w:val="right"/>
              <w:rPr>
                <w:rFonts w:cs="Arial"/>
                <w:color w:val="auto"/>
                <w:sz w:val="18"/>
                <w:szCs w:val="18"/>
                <w:lang w:val="es-MX" w:eastAsia="es-MX"/>
              </w:rPr>
            </w:pPr>
            <w:r w:rsidRPr="00AB6295">
              <w:rPr>
                <w:rFonts w:cs="Arial"/>
                <w:color w:val="auto"/>
                <w:sz w:val="18"/>
                <w:szCs w:val="18"/>
                <w:lang w:val="es-MX" w:eastAsia="es-MX"/>
              </w:rPr>
              <w:t>13.</w:t>
            </w:r>
            <w:r w:rsidR="00896417">
              <w:rPr>
                <w:rFonts w:cs="Arial"/>
                <w:color w:val="auto"/>
                <w:sz w:val="18"/>
                <w:szCs w:val="18"/>
                <w:lang w:val="es-MX" w:eastAsia="es-MX"/>
              </w:rPr>
              <w:t>4</w:t>
            </w:r>
          </w:p>
        </w:tc>
        <w:tc>
          <w:tcPr>
            <w:tcW w:w="1135" w:type="dxa"/>
            <w:tcBorders>
              <w:top w:val="nil"/>
              <w:left w:val="nil"/>
              <w:bottom w:val="nil"/>
              <w:right w:val="double" w:sz="4" w:space="0" w:color="auto"/>
            </w:tcBorders>
            <w:shd w:val="clear" w:color="auto" w:fill="FFFFFF" w:themeFill="background1"/>
            <w:vAlign w:val="center"/>
          </w:tcPr>
          <w:p w14:paraId="79CAF324" w14:textId="7A8C6E74" w:rsidR="00B17A65" w:rsidRPr="00AB6295" w:rsidRDefault="00B17A65" w:rsidP="00B17A65">
            <w:pPr>
              <w:pStyle w:val="not31"/>
              <w:keepLines w:val="0"/>
              <w:widowControl w:val="0"/>
              <w:spacing w:before="20" w:after="20" w:line="180" w:lineRule="atLeast"/>
              <w:ind w:right="284"/>
              <w:jc w:val="right"/>
              <w:rPr>
                <w:rFonts w:cs="Arial"/>
                <w:color w:val="auto"/>
                <w:sz w:val="18"/>
                <w:szCs w:val="18"/>
                <w:lang w:val="es-MX" w:eastAsia="es-MX"/>
              </w:rPr>
            </w:pPr>
            <w:r w:rsidRPr="00AB6295">
              <w:rPr>
                <w:rFonts w:cs="Arial"/>
                <w:color w:val="auto"/>
                <w:sz w:val="18"/>
                <w:szCs w:val="18"/>
                <w:lang w:val="es-MX" w:eastAsia="es-MX"/>
              </w:rPr>
              <w:t>13.</w:t>
            </w:r>
            <w:r w:rsidR="00896417">
              <w:rPr>
                <w:rFonts w:cs="Arial"/>
                <w:color w:val="auto"/>
                <w:sz w:val="18"/>
                <w:szCs w:val="18"/>
                <w:lang w:val="es-MX" w:eastAsia="es-MX"/>
              </w:rPr>
              <w:t>6</w:t>
            </w:r>
          </w:p>
        </w:tc>
      </w:tr>
      <w:tr w:rsidR="00B17A65" w14:paraId="0A909777" w14:textId="79DEB3D8" w:rsidTr="004358CE">
        <w:trPr>
          <w:jc w:val="center"/>
        </w:trPr>
        <w:tc>
          <w:tcPr>
            <w:tcW w:w="3842" w:type="dxa"/>
            <w:tcBorders>
              <w:top w:val="nil"/>
              <w:left w:val="double" w:sz="4" w:space="0" w:color="auto"/>
              <w:bottom w:val="nil"/>
              <w:right w:val="single" w:sz="4" w:space="0" w:color="auto"/>
            </w:tcBorders>
            <w:vAlign w:val="center"/>
          </w:tcPr>
          <w:p w14:paraId="2D54CB2E" w14:textId="77777777" w:rsidR="00B17A65" w:rsidRPr="00AB6295" w:rsidRDefault="00B17A65" w:rsidP="00B17A65">
            <w:pPr>
              <w:pStyle w:val="not31"/>
              <w:keepLines w:val="0"/>
              <w:widowControl w:val="0"/>
              <w:spacing w:before="20" w:after="20"/>
              <w:ind w:left="72" w:right="-79"/>
              <w:jc w:val="left"/>
              <w:rPr>
                <w:rFonts w:cs="Arial"/>
                <w:color w:val="auto"/>
                <w:sz w:val="18"/>
                <w:szCs w:val="18"/>
                <w:lang w:val="es-MX" w:eastAsia="es-MX"/>
              </w:rPr>
            </w:pPr>
            <w:r w:rsidRPr="00AB6295">
              <w:rPr>
                <w:rFonts w:cs="Arial"/>
                <w:color w:val="auto"/>
                <w:sz w:val="18"/>
                <w:szCs w:val="18"/>
                <w:lang w:val="es-MX" w:eastAsia="es-MX"/>
              </w:rPr>
              <w:t>Variación de Existencias</w:t>
            </w:r>
          </w:p>
        </w:tc>
        <w:tc>
          <w:tcPr>
            <w:tcW w:w="850" w:type="dxa"/>
            <w:tcBorders>
              <w:top w:val="nil"/>
              <w:left w:val="nil"/>
              <w:bottom w:val="nil"/>
              <w:right w:val="nil"/>
            </w:tcBorders>
            <w:shd w:val="clear" w:color="auto" w:fill="FFFFFF" w:themeFill="background1"/>
            <w:vAlign w:val="center"/>
          </w:tcPr>
          <w:p w14:paraId="2222B619" w14:textId="77777777" w:rsidR="00B17A65" w:rsidRPr="00AB6295" w:rsidRDefault="00B17A65" w:rsidP="00B17A65">
            <w:pPr>
              <w:pStyle w:val="not31"/>
              <w:keepLines w:val="0"/>
              <w:widowControl w:val="0"/>
              <w:spacing w:before="20" w:after="20" w:line="180" w:lineRule="atLeast"/>
              <w:ind w:left="-108" w:right="113"/>
              <w:jc w:val="right"/>
              <w:rPr>
                <w:rFonts w:cs="Arial"/>
                <w:color w:val="auto"/>
                <w:sz w:val="18"/>
                <w:szCs w:val="18"/>
                <w:lang w:val="es-MX" w:eastAsia="es-MX"/>
              </w:rPr>
            </w:pPr>
            <w:r w:rsidRPr="00AB6295">
              <w:rPr>
                <w:rFonts w:cs="Arial"/>
                <w:color w:val="auto"/>
                <w:sz w:val="18"/>
                <w:szCs w:val="18"/>
                <w:lang w:val="es-MX" w:eastAsia="es-MX"/>
              </w:rPr>
              <w:t>0.</w:t>
            </w:r>
            <w:r>
              <w:rPr>
                <w:rFonts w:cs="Arial"/>
                <w:color w:val="auto"/>
                <w:sz w:val="18"/>
                <w:szCs w:val="18"/>
                <w:lang w:val="es-MX" w:eastAsia="es-MX"/>
              </w:rPr>
              <w:t>3</w:t>
            </w:r>
          </w:p>
        </w:tc>
        <w:tc>
          <w:tcPr>
            <w:tcW w:w="851" w:type="dxa"/>
            <w:tcBorders>
              <w:top w:val="nil"/>
              <w:left w:val="nil"/>
              <w:bottom w:val="nil"/>
              <w:right w:val="nil"/>
            </w:tcBorders>
            <w:shd w:val="clear" w:color="auto" w:fill="FFFFFF" w:themeFill="background1"/>
            <w:vAlign w:val="center"/>
          </w:tcPr>
          <w:p w14:paraId="28B0A2B1" w14:textId="77777777" w:rsidR="00B17A65" w:rsidRPr="00AB6295" w:rsidRDefault="00B17A65" w:rsidP="00B17A65">
            <w:pPr>
              <w:pStyle w:val="not31"/>
              <w:keepLines w:val="0"/>
              <w:widowControl w:val="0"/>
              <w:spacing w:before="20" w:after="20" w:line="180" w:lineRule="atLeast"/>
              <w:ind w:left="-108" w:right="113"/>
              <w:jc w:val="right"/>
              <w:rPr>
                <w:rFonts w:cs="Arial"/>
                <w:color w:val="auto"/>
                <w:sz w:val="18"/>
                <w:szCs w:val="18"/>
                <w:lang w:val="es-MX" w:eastAsia="es-MX"/>
              </w:rPr>
            </w:pPr>
            <w:r w:rsidRPr="00AB6295">
              <w:rPr>
                <w:rFonts w:cs="Arial"/>
                <w:color w:val="auto"/>
                <w:sz w:val="18"/>
                <w:szCs w:val="18"/>
                <w:lang w:val="es-MX" w:eastAsia="es-MX"/>
              </w:rPr>
              <w:t>0.</w:t>
            </w:r>
            <w:r>
              <w:rPr>
                <w:rFonts w:cs="Arial"/>
                <w:color w:val="auto"/>
                <w:sz w:val="18"/>
                <w:szCs w:val="18"/>
                <w:lang w:val="es-MX" w:eastAsia="es-MX"/>
              </w:rPr>
              <w:t>3</w:t>
            </w:r>
          </w:p>
        </w:tc>
        <w:tc>
          <w:tcPr>
            <w:tcW w:w="1135" w:type="dxa"/>
            <w:tcBorders>
              <w:top w:val="nil"/>
              <w:left w:val="nil"/>
              <w:bottom w:val="nil"/>
              <w:right w:val="double" w:sz="4" w:space="0" w:color="auto"/>
            </w:tcBorders>
            <w:shd w:val="clear" w:color="auto" w:fill="FFFFFF" w:themeFill="background1"/>
            <w:vAlign w:val="center"/>
          </w:tcPr>
          <w:p w14:paraId="1B5E3054" w14:textId="77777777" w:rsidR="00B17A65" w:rsidRPr="00AB6295" w:rsidRDefault="00B17A65" w:rsidP="00B17A65">
            <w:pPr>
              <w:pStyle w:val="not31"/>
              <w:keepLines w:val="0"/>
              <w:widowControl w:val="0"/>
              <w:spacing w:before="20" w:after="20" w:line="180" w:lineRule="atLeast"/>
              <w:ind w:right="284"/>
              <w:jc w:val="right"/>
              <w:rPr>
                <w:rFonts w:cs="Arial"/>
                <w:color w:val="auto"/>
                <w:sz w:val="18"/>
                <w:szCs w:val="18"/>
                <w:lang w:val="es-MX" w:eastAsia="es-MX"/>
              </w:rPr>
            </w:pPr>
            <w:r w:rsidRPr="00AB6295">
              <w:rPr>
                <w:rFonts w:cs="Arial"/>
                <w:color w:val="auto"/>
                <w:sz w:val="18"/>
                <w:szCs w:val="18"/>
                <w:lang w:val="es-MX" w:eastAsia="es-MX"/>
              </w:rPr>
              <w:t>0.</w:t>
            </w:r>
            <w:r>
              <w:rPr>
                <w:rFonts w:cs="Arial"/>
                <w:color w:val="auto"/>
                <w:sz w:val="18"/>
                <w:szCs w:val="18"/>
                <w:lang w:val="es-MX" w:eastAsia="es-MX"/>
              </w:rPr>
              <w:t>4</w:t>
            </w:r>
          </w:p>
        </w:tc>
        <w:tc>
          <w:tcPr>
            <w:tcW w:w="1135" w:type="dxa"/>
            <w:tcBorders>
              <w:top w:val="nil"/>
              <w:left w:val="nil"/>
              <w:bottom w:val="nil"/>
              <w:right w:val="nil"/>
            </w:tcBorders>
            <w:shd w:val="clear" w:color="auto" w:fill="FFFFFF" w:themeFill="background1"/>
            <w:vAlign w:val="center"/>
          </w:tcPr>
          <w:p w14:paraId="0770B9B2" w14:textId="77777777" w:rsidR="00B17A65" w:rsidRPr="00AB6295" w:rsidRDefault="00B17A65" w:rsidP="00B17A65">
            <w:pPr>
              <w:pStyle w:val="not31"/>
              <w:keepLines w:val="0"/>
              <w:widowControl w:val="0"/>
              <w:spacing w:before="20" w:after="20" w:line="180" w:lineRule="atLeast"/>
              <w:ind w:right="284"/>
              <w:jc w:val="right"/>
              <w:rPr>
                <w:rFonts w:cs="Arial"/>
                <w:color w:val="auto"/>
                <w:sz w:val="18"/>
                <w:szCs w:val="18"/>
                <w:lang w:val="es-MX" w:eastAsia="es-MX"/>
              </w:rPr>
            </w:pPr>
            <w:r w:rsidRPr="00AB6295">
              <w:rPr>
                <w:rFonts w:cs="Arial"/>
                <w:color w:val="auto"/>
                <w:sz w:val="18"/>
                <w:szCs w:val="18"/>
                <w:lang w:val="es-MX" w:eastAsia="es-MX"/>
              </w:rPr>
              <w:t>0.</w:t>
            </w:r>
            <w:r>
              <w:rPr>
                <w:rFonts w:cs="Arial"/>
                <w:color w:val="auto"/>
                <w:sz w:val="18"/>
                <w:szCs w:val="18"/>
                <w:lang w:val="es-MX" w:eastAsia="es-MX"/>
              </w:rPr>
              <w:t>9</w:t>
            </w:r>
          </w:p>
        </w:tc>
        <w:tc>
          <w:tcPr>
            <w:tcW w:w="1135" w:type="dxa"/>
            <w:tcBorders>
              <w:top w:val="nil"/>
              <w:left w:val="nil"/>
              <w:bottom w:val="nil"/>
              <w:right w:val="nil"/>
            </w:tcBorders>
            <w:shd w:val="clear" w:color="auto" w:fill="FFFFFF" w:themeFill="background1"/>
            <w:vAlign w:val="center"/>
          </w:tcPr>
          <w:p w14:paraId="3D4BB806" w14:textId="22AF7097" w:rsidR="00B17A65" w:rsidRPr="00AB6295" w:rsidRDefault="00B17A65" w:rsidP="00B17A65">
            <w:pPr>
              <w:pStyle w:val="not31"/>
              <w:keepLines w:val="0"/>
              <w:widowControl w:val="0"/>
              <w:spacing w:before="20" w:after="20" w:line="180" w:lineRule="atLeast"/>
              <w:ind w:right="284"/>
              <w:jc w:val="right"/>
              <w:rPr>
                <w:rFonts w:cs="Arial"/>
                <w:color w:val="auto"/>
                <w:sz w:val="18"/>
                <w:szCs w:val="18"/>
                <w:lang w:val="es-MX" w:eastAsia="es-MX"/>
              </w:rPr>
            </w:pPr>
            <w:r w:rsidRPr="00AB6295">
              <w:rPr>
                <w:rFonts w:cs="Arial"/>
                <w:color w:val="auto"/>
                <w:sz w:val="18"/>
                <w:szCs w:val="18"/>
                <w:lang w:val="es-MX" w:eastAsia="es-MX"/>
              </w:rPr>
              <w:t>0.</w:t>
            </w:r>
            <w:r w:rsidR="00896417">
              <w:rPr>
                <w:rFonts w:cs="Arial"/>
                <w:color w:val="auto"/>
                <w:sz w:val="18"/>
                <w:szCs w:val="18"/>
                <w:lang w:val="es-MX" w:eastAsia="es-MX"/>
              </w:rPr>
              <w:t>4</w:t>
            </w:r>
          </w:p>
        </w:tc>
        <w:tc>
          <w:tcPr>
            <w:tcW w:w="1135" w:type="dxa"/>
            <w:tcBorders>
              <w:top w:val="nil"/>
              <w:left w:val="nil"/>
              <w:bottom w:val="nil"/>
              <w:right w:val="double" w:sz="4" w:space="0" w:color="auto"/>
            </w:tcBorders>
            <w:shd w:val="clear" w:color="auto" w:fill="FFFFFF" w:themeFill="background1"/>
            <w:vAlign w:val="center"/>
          </w:tcPr>
          <w:p w14:paraId="6FA66AC3" w14:textId="6F9814BF" w:rsidR="00B17A65" w:rsidRPr="00AB6295" w:rsidRDefault="00B17A65" w:rsidP="00B17A65">
            <w:pPr>
              <w:pStyle w:val="not31"/>
              <w:keepLines w:val="0"/>
              <w:widowControl w:val="0"/>
              <w:spacing w:before="20" w:after="20" w:line="180" w:lineRule="atLeast"/>
              <w:ind w:right="284"/>
              <w:jc w:val="right"/>
              <w:rPr>
                <w:rFonts w:cs="Arial"/>
                <w:color w:val="auto"/>
                <w:sz w:val="18"/>
                <w:szCs w:val="18"/>
                <w:lang w:val="es-MX" w:eastAsia="es-MX"/>
              </w:rPr>
            </w:pPr>
            <w:r w:rsidRPr="00AB6295">
              <w:rPr>
                <w:rFonts w:cs="Arial"/>
                <w:color w:val="auto"/>
                <w:sz w:val="18"/>
                <w:szCs w:val="18"/>
                <w:lang w:val="es-MX" w:eastAsia="es-MX"/>
              </w:rPr>
              <w:t>0.</w:t>
            </w:r>
            <w:r w:rsidR="00896417">
              <w:rPr>
                <w:rFonts w:cs="Arial"/>
                <w:color w:val="auto"/>
                <w:sz w:val="18"/>
                <w:szCs w:val="18"/>
                <w:lang w:val="es-MX" w:eastAsia="es-MX"/>
              </w:rPr>
              <w:t>4</w:t>
            </w:r>
          </w:p>
        </w:tc>
      </w:tr>
      <w:tr w:rsidR="00B17A65" w14:paraId="7803C03A" w14:textId="5E5AC06F" w:rsidTr="004358CE">
        <w:trPr>
          <w:jc w:val="center"/>
        </w:trPr>
        <w:tc>
          <w:tcPr>
            <w:tcW w:w="3842" w:type="dxa"/>
            <w:tcBorders>
              <w:top w:val="nil"/>
              <w:left w:val="double" w:sz="4" w:space="0" w:color="auto"/>
              <w:bottom w:val="nil"/>
              <w:right w:val="single" w:sz="4" w:space="0" w:color="auto"/>
            </w:tcBorders>
            <w:vAlign w:val="center"/>
          </w:tcPr>
          <w:p w14:paraId="680F73BD" w14:textId="77777777" w:rsidR="00B17A65" w:rsidRPr="00AB6295" w:rsidRDefault="00B17A65" w:rsidP="00B17A65">
            <w:pPr>
              <w:pStyle w:val="not31"/>
              <w:keepLines w:val="0"/>
              <w:widowControl w:val="0"/>
              <w:spacing w:before="20" w:after="20"/>
              <w:ind w:left="72" w:right="-79"/>
              <w:jc w:val="left"/>
              <w:rPr>
                <w:rFonts w:cs="Arial"/>
                <w:color w:val="auto"/>
                <w:sz w:val="18"/>
                <w:szCs w:val="18"/>
                <w:lang w:val="es-MX" w:eastAsia="es-MX"/>
              </w:rPr>
            </w:pPr>
            <w:r w:rsidRPr="00AB6295">
              <w:rPr>
                <w:rFonts w:cs="Arial"/>
                <w:color w:val="auto"/>
                <w:sz w:val="18"/>
                <w:szCs w:val="18"/>
                <w:lang w:val="es-MX" w:eastAsia="es-MX"/>
              </w:rPr>
              <w:t>Exportación de Bienes y Servicios</w:t>
            </w:r>
          </w:p>
        </w:tc>
        <w:tc>
          <w:tcPr>
            <w:tcW w:w="850" w:type="dxa"/>
            <w:tcBorders>
              <w:top w:val="nil"/>
              <w:left w:val="nil"/>
              <w:bottom w:val="nil"/>
              <w:right w:val="nil"/>
            </w:tcBorders>
            <w:shd w:val="clear" w:color="auto" w:fill="FFFFFF" w:themeFill="background1"/>
            <w:vAlign w:val="center"/>
          </w:tcPr>
          <w:p w14:paraId="5059A187" w14:textId="77777777" w:rsidR="00B17A65" w:rsidRPr="00AB6295" w:rsidRDefault="00B17A65" w:rsidP="00B17A65">
            <w:pPr>
              <w:pStyle w:val="not31"/>
              <w:keepLines w:val="0"/>
              <w:widowControl w:val="0"/>
              <w:spacing w:before="20" w:after="20" w:line="180" w:lineRule="atLeast"/>
              <w:ind w:left="-108" w:right="113"/>
              <w:jc w:val="right"/>
              <w:rPr>
                <w:rFonts w:cs="Arial"/>
                <w:color w:val="auto"/>
                <w:sz w:val="18"/>
                <w:szCs w:val="18"/>
                <w:lang w:val="es-MX" w:eastAsia="es-MX"/>
              </w:rPr>
            </w:pPr>
            <w:r w:rsidRPr="00AB6295">
              <w:rPr>
                <w:rFonts w:cs="Arial"/>
                <w:color w:val="auto"/>
                <w:sz w:val="18"/>
                <w:szCs w:val="18"/>
                <w:lang w:val="es-MX" w:eastAsia="es-MX"/>
              </w:rPr>
              <w:t>31.</w:t>
            </w:r>
            <w:r>
              <w:rPr>
                <w:rFonts w:cs="Arial"/>
                <w:color w:val="auto"/>
                <w:sz w:val="18"/>
                <w:szCs w:val="18"/>
                <w:lang w:val="es-MX" w:eastAsia="es-MX"/>
              </w:rPr>
              <w:t>6</w:t>
            </w:r>
          </w:p>
        </w:tc>
        <w:tc>
          <w:tcPr>
            <w:tcW w:w="851" w:type="dxa"/>
            <w:tcBorders>
              <w:top w:val="nil"/>
              <w:left w:val="nil"/>
              <w:bottom w:val="nil"/>
              <w:right w:val="nil"/>
            </w:tcBorders>
            <w:shd w:val="clear" w:color="auto" w:fill="FFFFFF" w:themeFill="background1"/>
            <w:vAlign w:val="center"/>
          </w:tcPr>
          <w:p w14:paraId="19969170" w14:textId="77777777" w:rsidR="00B17A65" w:rsidRPr="00AB6295" w:rsidRDefault="00B17A65" w:rsidP="00B17A65">
            <w:pPr>
              <w:pStyle w:val="not31"/>
              <w:keepLines w:val="0"/>
              <w:widowControl w:val="0"/>
              <w:spacing w:before="20" w:after="20" w:line="180" w:lineRule="atLeast"/>
              <w:ind w:left="-108" w:right="113"/>
              <w:jc w:val="right"/>
              <w:rPr>
                <w:rFonts w:cs="Arial"/>
                <w:color w:val="auto"/>
                <w:sz w:val="18"/>
                <w:szCs w:val="18"/>
                <w:lang w:val="es-MX" w:eastAsia="es-MX"/>
              </w:rPr>
            </w:pPr>
            <w:r w:rsidRPr="00AB6295">
              <w:rPr>
                <w:rFonts w:cs="Arial"/>
                <w:color w:val="auto"/>
                <w:sz w:val="18"/>
                <w:szCs w:val="18"/>
                <w:lang w:val="es-MX" w:eastAsia="es-MX"/>
              </w:rPr>
              <w:t>3</w:t>
            </w:r>
            <w:r>
              <w:rPr>
                <w:rFonts w:cs="Arial"/>
                <w:color w:val="auto"/>
                <w:sz w:val="18"/>
                <w:szCs w:val="18"/>
                <w:lang w:val="es-MX" w:eastAsia="es-MX"/>
              </w:rPr>
              <w:t>0.8</w:t>
            </w:r>
          </w:p>
        </w:tc>
        <w:tc>
          <w:tcPr>
            <w:tcW w:w="1135" w:type="dxa"/>
            <w:tcBorders>
              <w:top w:val="nil"/>
              <w:left w:val="nil"/>
              <w:bottom w:val="nil"/>
              <w:right w:val="double" w:sz="4" w:space="0" w:color="auto"/>
            </w:tcBorders>
            <w:shd w:val="clear" w:color="auto" w:fill="FFFFFF" w:themeFill="background1"/>
            <w:vAlign w:val="center"/>
          </w:tcPr>
          <w:p w14:paraId="4056348D" w14:textId="77777777" w:rsidR="00B17A65" w:rsidRPr="00AB6295" w:rsidRDefault="00B17A65" w:rsidP="00B17A65">
            <w:pPr>
              <w:pStyle w:val="not31"/>
              <w:keepLines w:val="0"/>
              <w:widowControl w:val="0"/>
              <w:spacing w:before="20" w:after="20" w:line="180" w:lineRule="atLeast"/>
              <w:ind w:right="284"/>
              <w:jc w:val="right"/>
              <w:rPr>
                <w:rFonts w:cs="Arial"/>
                <w:color w:val="auto"/>
                <w:sz w:val="18"/>
                <w:szCs w:val="18"/>
                <w:lang w:val="es-MX" w:eastAsia="es-MX"/>
              </w:rPr>
            </w:pPr>
            <w:r w:rsidRPr="00AB6295">
              <w:rPr>
                <w:rFonts w:cs="Arial"/>
                <w:color w:val="auto"/>
                <w:sz w:val="18"/>
                <w:szCs w:val="18"/>
                <w:lang w:val="es-MX" w:eastAsia="es-MX"/>
              </w:rPr>
              <w:t>2</w:t>
            </w:r>
            <w:r>
              <w:rPr>
                <w:rFonts w:cs="Arial"/>
                <w:color w:val="auto"/>
                <w:sz w:val="18"/>
                <w:szCs w:val="18"/>
                <w:lang w:val="es-MX" w:eastAsia="es-MX"/>
              </w:rPr>
              <w:t>9.1</w:t>
            </w:r>
          </w:p>
        </w:tc>
        <w:tc>
          <w:tcPr>
            <w:tcW w:w="1135" w:type="dxa"/>
            <w:tcBorders>
              <w:top w:val="nil"/>
              <w:left w:val="nil"/>
              <w:bottom w:val="nil"/>
              <w:right w:val="nil"/>
            </w:tcBorders>
            <w:shd w:val="clear" w:color="auto" w:fill="FFFFFF" w:themeFill="background1"/>
            <w:vAlign w:val="center"/>
          </w:tcPr>
          <w:p w14:paraId="462AEE46" w14:textId="7C74EB51" w:rsidR="00B17A65" w:rsidRPr="00AB6295" w:rsidRDefault="00B17A65" w:rsidP="00B17A65">
            <w:pPr>
              <w:pStyle w:val="not31"/>
              <w:keepLines w:val="0"/>
              <w:widowControl w:val="0"/>
              <w:spacing w:before="20" w:after="20" w:line="180" w:lineRule="atLeast"/>
              <w:ind w:right="284"/>
              <w:jc w:val="right"/>
              <w:rPr>
                <w:rFonts w:cs="Arial"/>
                <w:color w:val="auto"/>
                <w:sz w:val="18"/>
                <w:szCs w:val="18"/>
                <w:lang w:val="es-MX" w:eastAsia="es-MX"/>
              </w:rPr>
            </w:pPr>
            <w:r w:rsidRPr="00AB6295">
              <w:rPr>
                <w:rFonts w:cs="Arial"/>
                <w:color w:val="auto"/>
                <w:sz w:val="18"/>
                <w:szCs w:val="18"/>
                <w:lang w:val="es-MX" w:eastAsia="es-MX"/>
              </w:rPr>
              <w:t>2</w:t>
            </w:r>
            <w:r>
              <w:rPr>
                <w:rFonts w:cs="Arial"/>
                <w:color w:val="auto"/>
                <w:sz w:val="18"/>
                <w:szCs w:val="18"/>
                <w:lang w:val="es-MX" w:eastAsia="es-MX"/>
              </w:rPr>
              <w:t>7.</w:t>
            </w:r>
            <w:r w:rsidR="00896417">
              <w:rPr>
                <w:rFonts w:cs="Arial"/>
                <w:color w:val="auto"/>
                <w:sz w:val="18"/>
                <w:szCs w:val="18"/>
                <w:lang w:val="es-MX" w:eastAsia="es-MX"/>
              </w:rPr>
              <w:t>4</w:t>
            </w:r>
          </w:p>
        </w:tc>
        <w:tc>
          <w:tcPr>
            <w:tcW w:w="1135" w:type="dxa"/>
            <w:tcBorders>
              <w:top w:val="nil"/>
              <w:left w:val="nil"/>
              <w:bottom w:val="nil"/>
              <w:right w:val="nil"/>
            </w:tcBorders>
            <w:shd w:val="clear" w:color="auto" w:fill="FFFFFF" w:themeFill="background1"/>
            <w:vAlign w:val="center"/>
          </w:tcPr>
          <w:p w14:paraId="48D209BF" w14:textId="5CB6AF61" w:rsidR="00B17A65" w:rsidRPr="00AB6295" w:rsidRDefault="00B17A65" w:rsidP="00B17A65">
            <w:pPr>
              <w:pStyle w:val="not31"/>
              <w:keepLines w:val="0"/>
              <w:widowControl w:val="0"/>
              <w:spacing w:before="20" w:after="20" w:line="180" w:lineRule="atLeast"/>
              <w:ind w:right="284"/>
              <w:jc w:val="right"/>
              <w:rPr>
                <w:rFonts w:cs="Arial"/>
                <w:color w:val="auto"/>
                <w:sz w:val="18"/>
                <w:szCs w:val="18"/>
                <w:lang w:val="es-MX" w:eastAsia="es-MX"/>
              </w:rPr>
            </w:pPr>
            <w:r w:rsidRPr="00AB6295">
              <w:rPr>
                <w:rFonts w:cs="Arial"/>
                <w:color w:val="auto"/>
                <w:sz w:val="18"/>
                <w:szCs w:val="18"/>
                <w:lang w:val="es-MX" w:eastAsia="es-MX"/>
              </w:rPr>
              <w:t>2</w:t>
            </w:r>
            <w:r w:rsidR="00896417">
              <w:rPr>
                <w:rFonts w:cs="Arial"/>
                <w:color w:val="auto"/>
                <w:sz w:val="18"/>
                <w:szCs w:val="18"/>
                <w:lang w:val="es-MX" w:eastAsia="es-MX"/>
              </w:rPr>
              <w:t>8.9</w:t>
            </w:r>
          </w:p>
        </w:tc>
        <w:tc>
          <w:tcPr>
            <w:tcW w:w="1135" w:type="dxa"/>
            <w:tcBorders>
              <w:top w:val="nil"/>
              <w:left w:val="nil"/>
              <w:bottom w:val="nil"/>
              <w:right w:val="double" w:sz="4" w:space="0" w:color="auto"/>
            </w:tcBorders>
            <w:shd w:val="clear" w:color="auto" w:fill="FFFFFF" w:themeFill="background1"/>
            <w:vAlign w:val="center"/>
          </w:tcPr>
          <w:p w14:paraId="5A955D6E" w14:textId="16095AFF" w:rsidR="00B17A65" w:rsidRPr="00AB6295" w:rsidRDefault="00B17A65" w:rsidP="00B17A65">
            <w:pPr>
              <w:pStyle w:val="not31"/>
              <w:keepLines w:val="0"/>
              <w:widowControl w:val="0"/>
              <w:spacing w:before="20" w:after="20" w:line="180" w:lineRule="atLeast"/>
              <w:ind w:right="284"/>
              <w:jc w:val="right"/>
              <w:rPr>
                <w:rFonts w:cs="Arial"/>
                <w:color w:val="auto"/>
                <w:sz w:val="18"/>
                <w:szCs w:val="18"/>
                <w:lang w:val="es-MX" w:eastAsia="es-MX"/>
              </w:rPr>
            </w:pPr>
            <w:r w:rsidRPr="00AB6295">
              <w:rPr>
                <w:rFonts w:cs="Arial"/>
                <w:color w:val="auto"/>
                <w:sz w:val="18"/>
                <w:szCs w:val="18"/>
                <w:lang w:val="es-MX" w:eastAsia="es-MX"/>
              </w:rPr>
              <w:t>2</w:t>
            </w:r>
            <w:r w:rsidR="00896417">
              <w:rPr>
                <w:rFonts w:cs="Arial"/>
                <w:color w:val="auto"/>
                <w:sz w:val="18"/>
                <w:szCs w:val="18"/>
                <w:lang w:val="es-MX" w:eastAsia="es-MX"/>
              </w:rPr>
              <w:t>8.1</w:t>
            </w:r>
          </w:p>
        </w:tc>
      </w:tr>
      <w:tr w:rsidR="00B17A65" w14:paraId="53BB92BC" w14:textId="2F2E2F83" w:rsidTr="004358CE">
        <w:trPr>
          <w:jc w:val="center"/>
        </w:trPr>
        <w:tc>
          <w:tcPr>
            <w:tcW w:w="3842" w:type="dxa"/>
            <w:tcBorders>
              <w:top w:val="nil"/>
              <w:left w:val="double" w:sz="4" w:space="0" w:color="auto"/>
              <w:bottom w:val="double" w:sz="4" w:space="0" w:color="auto"/>
              <w:right w:val="single" w:sz="4" w:space="0" w:color="auto"/>
            </w:tcBorders>
            <w:vAlign w:val="center"/>
          </w:tcPr>
          <w:p w14:paraId="42F2783E" w14:textId="77777777" w:rsidR="00B17A65" w:rsidRPr="00AB6295" w:rsidRDefault="00B17A65" w:rsidP="00B17A65">
            <w:pPr>
              <w:pStyle w:val="not31"/>
              <w:keepLines w:val="0"/>
              <w:widowControl w:val="0"/>
              <w:spacing w:before="20" w:after="20"/>
              <w:ind w:left="72" w:right="-79"/>
              <w:jc w:val="left"/>
              <w:rPr>
                <w:rFonts w:cs="Arial"/>
                <w:color w:val="auto"/>
                <w:sz w:val="18"/>
                <w:szCs w:val="18"/>
                <w:lang w:val="es-MX" w:eastAsia="es-MX"/>
              </w:rPr>
            </w:pPr>
            <w:r w:rsidRPr="00AB6295">
              <w:rPr>
                <w:rFonts w:cs="Arial"/>
                <w:color w:val="auto"/>
                <w:sz w:val="18"/>
                <w:szCs w:val="18"/>
                <w:lang w:val="es-MX" w:eastAsia="es-MX"/>
              </w:rPr>
              <w:t>Discrepancia Estadística</w:t>
            </w:r>
          </w:p>
        </w:tc>
        <w:tc>
          <w:tcPr>
            <w:tcW w:w="850" w:type="dxa"/>
            <w:tcBorders>
              <w:top w:val="nil"/>
              <w:left w:val="nil"/>
              <w:bottom w:val="double" w:sz="4" w:space="0" w:color="auto"/>
              <w:right w:val="nil"/>
            </w:tcBorders>
            <w:shd w:val="clear" w:color="auto" w:fill="FFFFFF" w:themeFill="background1"/>
            <w:vAlign w:val="center"/>
          </w:tcPr>
          <w:p w14:paraId="64D344F9" w14:textId="77777777" w:rsidR="00B17A65" w:rsidRPr="00AB6295" w:rsidRDefault="00B17A65" w:rsidP="00B17A65">
            <w:pPr>
              <w:pStyle w:val="not31"/>
              <w:keepLines w:val="0"/>
              <w:widowControl w:val="0"/>
              <w:spacing w:before="20" w:after="20" w:line="180" w:lineRule="atLeast"/>
              <w:ind w:left="-108" w:right="113"/>
              <w:jc w:val="right"/>
              <w:rPr>
                <w:rFonts w:cs="Arial"/>
                <w:color w:val="auto"/>
                <w:sz w:val="18"/>
                <w:szCs w:val="18"/>
                <w:lang w:val="es-MX" w:eastAsia="es-MX"/>
              </w:rPr>
            </w:pPr>
            <w:r>
              <w:rPr>
                <w:rFonts w:cs="Arial"/>
                <w:color w:val="auto"/>
                <w:sz w:val="18"/>
                <w:szCs w:val="18"/>
                <w:lang w:val="es-MX" w:eastAsia="es-MX"/>
              </w:rPr>
              <w:t>(</w:t>
            </w:r>
            <w:proofErr w:type="gramStart"/>
            <w:r>
              <w:rPr>
                <w:rFonts w:cs="Arial"/>
                <w:color w:val="auto"/>
                <w:sz w:val="18"/>
                <w:szCs w:val="18"/>
                <w:lang w:val="es-MX" w:eastAsia="es-MX"/>
              </w:rPr>
              <w:noBreakHyphen/>
              <w:t xml:space="preserve">)   </w:t>
            </w:r>
            <w:proofErr w:type="gramEnd"/>
            <w:r w:rsidRPr="00AB6295">
              <w:rPr>
                <w:rFonts w:cs="Arial"/>
                <w:color w:val="auto"/>
                <w:sz w:val="18"/>
                <w:szCs w:val="18"/>
                <w:lang w:val="es-MX" w:eastAsia="es-MX"/>
              </w:rPr>
              <w:t>0.1</w:t>
            </w:r>
          </w:p>
        </w:tc>
        <w:tc>
          <w:tcPr>
            <w:tcW w:w="851" w:type="dxa"/>
            <w:tcBorders>
              <w:top w:val="nil"/>
              <w:left w:val="nil"/>
              <w:bottom w:val="double" w:sz="4" w:space="0" w:color="auto"/>
              <w:right w:val="nil"/>
            </w:tcBorders>
            <w:shd w:val="clear" w:color="auto" w:fill="FFFFFF" w:themeFill="background1"/>
            <w:vAlign w:val="center"/>
          </w:tcPr>
          <w:p w14:paraId="1809EFE8" w14:textId="77777777" w:rsidR="00B17A65" w:rsidRPr="00AB6295" w:rsidRDefault="00B17A65" w:rsidP="00B17A65">
            <w:pPr>
              <w:pStyle w:val="not31"/>
              <w:keepLines w:val="0"/>
              <w:widowControl w:val="0"/>
              <w:spacing w:before="20" w:after="20" w:line="180" w:lineRule="atLeast"/>
              <w:ind w:left="-108" w:right="113"/>
              <w:jc w:val="right"/>
              <w:rPr>
                <w:rFonts w:cs="Arial"/>
                <w:color w:val="auto"/>
                <w:sz w:val="18"/>
                <w:szCs w:val="18"/>
                <w:lang w:val="es-MX" w:eastAsia="es-MX"/>
              </w:rPr>
            </w:pPr>
            <w:r w:rsidRPr="00AB6295">
              <w:rPr>
                <w:rFonts w:cs="Arial"/>
                <w:color w:val="auto"/>
                <w:sz w:val="18"/>
                <w:szCs w:val="18"/>
                <w:lang w:val="es-MX" w:eastAsia="es-MX"/>
              </w:rPr>
              <w:t>0.</w:t>
            </w:r>
            <w:r>
              <w:rPr>
                <w:rFonts w:cs="Arial"/>
                <w:color w:val="auto"/>
                <w:sz w:val="18"/>
                <w:szCs w:val="18"/>
                <w:lang w:val="es-MX" w:eastAsia="es-MX"/>
              </w:rPr>
              <w:t>7</w:t>
            </w:r>
          </w:p>
        </w:tc>
        <w:tc>
          <w:tcPr>
            <w:tcW w:w="1135" w:type="dxa"/>
            <w:tcBorders>
              <w:top w:val="nil"/>
              <w:left w:val="nil"/>
              <w:bottom w:val="double" w:sz="4" w:space="0" w:color="auto"/>
              <w:right w:val="double" w:sz="4" w:space="0" w:color="auto"/>
            </w:tcBorders>
            <w:shd w:val="clear" w:color="auto" w:fill="FFFFFF" w:themeFill="background1"/>
            <w:vAlign w:val="center"/>
          </w:tcPr>
          <w:p w14:paraId="50455CE4" w14:textId="77777777" w:rsidR="00B17A65" w:rsidRPr="00AB6295" w:rsidRDefault="00B17A65" w:rsidP="00B17A65">
            <w:pPr>
              <w:pStyle w:val="not31"/>
              <w:keepLines w:val="0"/>
              <w:widowControl w:val="0"/>
              <w:spacing w:before="20" w:after="20" w:line="180" w:lineRule="atLeast"/>
              <w:ind w:right="284"/>
              <w:jc w:val="right"/>
              <w:rPr>
                <w:rFonts w:cs="Arial"/>
                <w:color w:val="auto"/>
                <w:sz w:val="18"/>
                <w:szCs w:val="18"/>
                <w:lang w:val="es-MX" w:eastAsia="es-MX"/>
              </w:rPr>
            </w:pPr>
            <w:r w:rsidRPr="00AB6295">
              <w:rPr>
                <w:rFonts w:cs="Arial"/>
                <w:color w:val="auto"/>
                <w:sz w:val="18"/>
                <w:szCs w:val="18"/>
                <w:lang w:val="es-MX" w:eastAsia="es-MX"/>
              </w:rPr>
              <w:t>1.</w:t>
            </w:r>
            <w:r>
              <w:rPr>
                <w:rFonts w:cs="Arial"/>
                <w:color w:val="auto"/>
                <w:sz w:val="18"/>
                <w:szCs w:val="18"/>
                <w:lang w:val="es-MX" w:eastAsia="es-MX"/>
              </w:rPr>
              <w:t>4</w:t>
            </w:r>
          </w:p>
        </w:tc>
        <w:tc>
          <w:tcPr>
            <w:tcW w:w="1135" w:type="dxa"/>
            <w:tcBorders>
              <w:top w:val="nil"/>
              <w:left w:val="nil"/>
              <w:bottom w:val="double" w:sz="4" w:space="0" w:color="auto"/>
              <w:right w:val="nil"/>
            </w:tcBorders>
            <w:shd w:val="clear" w:color="auto" w:fill="FFFFFF" w:themeFill="background1"/>
            <w:vAlign w:val="center"/>
          </w:tcPr>
          <w:p w14:paraId="100966DB" w14:textId="77777777" w:rsidR="00B17A65" w:rsidRPr="00AB6295" w:rsidRDefault="00B17A65" w:rsidP="00B17A65">
            <w:pPr>
              <w:pStyle w:val="not31"/>
              <w:keepLines w:val="0"/>
              <w:widowControl w:val="0"/>
              <w:spacing w:before="20" w:after="20" w:line="180" w:lineRule="atLeast"/>
              <w:ind w:right="284"/>
              <w:jc w:val="right"/>
              <w:rPr>
                <w:rFonts w:cs="Arial"/>
                <w:color w:val="auto"/>
                <w:sz w:val="18"/>
                <w:szCs w:val="18"/>
                <w:lang w:val="es-MX" w:eastAsia="es-MX"/>
              </w:rPr>
            </w:pPr>
            <w:r>
              <w:rPr>
                <w:rFonts w:cs="Arial"/>
                <w:color w:val="auto"/>
                <w:sz w:val="18"/>
                <w:szCs w:val="18"/>
                <w:lang w:val="es-MX" w:eastAsia="es-MX"/>
              </w:rPr>
              <w:t>3.7</w:t>
            </w:r>
          </w:p>
        </w:tc>
        <w:tc>
          <w:tcPr>
            <w:tcW w:w="1135" w:type="dxa"/>
            <w:tcBorders>
              <w:top w:val="nil"/>
              <w:left w:val="nil"/>
              <w:bottom w:val="double" w:sz="4" w:space="0" w:color="auto"/>
              <w:right w:val="nil"/>
            </w:tcBorders>
            <w:shd w:val="clear" w:color="auto" w:fill="FFFFFF" w:themeFill="background1"/>
            <w:vAlign w:val="center"/>
          </w:tcPr>
          <w:p w14:paraId="16D57B4C" w14:textId="03693B01" w:rsidR="00B17A65" w:rsidRDefault="00896417" w:rsidP="00B17A65">
            <w:pPr>
              <w:pStyle w:val="not31"/>
              <w:keepLines w:val="0"/>
              <w:widowControl w:val="0"/>
              <w:spacing w:before="20" w:after="20" w:line="180" w:lineRule="atLeast"/>
              <w:ind w:right="284"/>
              <w:jc w:val="right"/>
              <w:rPr>
                <w:rFonts w:cs="Arial"/>
                <w:color w:val="auto"/>
                <w:sz w:val="18"/>
                <w:szCs w:val="18"/>
                <w:lang w:val="es-MX" w:eastAsia="es-MX"/>
              </w:rPr>
            </w:pPr>
            <w:r>
              <w:rPr>
                <w:rFonts w:cs="Arial"/>
                <w:color w:val="auto"/>
                <w:sz w:val="18"/>
                <w:szCs w:val="18"/>
                <w:lang w:val="es-MX" w:eastAsia="es-MX"/>
              </w:rPr>
              <w:t>2.8</w:t>
            </w:r>
          </w:p>
        </w:tc>
        <w:tc>
          <w:tcPr>
            <w:tcW w:w="1135" w:type="dxa"/>
            <w:tcBorders>
              <w:top w:val="nil"/>
              <w:left w:val="nil"/>
              <w:bottom w:val="double" w:sz="4" w:space="0" w:color="auto"/>
              <w:right w:val="double" w:sz="4" w:space="0" w:color="auto"/>
            </w:tcBorders>
            <w:shd w:val="clear" w:color="auto" w:fill="FFFFFF" w:themeFill="background1"/>
            <w:vAlign w:val="center"/>
          </w:tcPr>
          <w:p w14:paraId="19E1734F" w14:textId="64C2A577" w:rsidR="00B17A65" w:rsidRDefault="00B17A65" w:rsidP="00B17A65">
            <w:pPr>
              <w:pStyle w:val="not31"/>
              <w:keepLines w:val="0"/>
              <w:widowControl w:val="0"/>
              <w:spacing w:before="20" w:after="20" w:line="180" w:lineRule="atLeast"/>
              <w:ind w:right="284"/>
              <w:jc w:val="right"/>
              <w:rPr>
                <w:rFonts w:cs="Arial"/>
                <w:color w:val="auto"/>
                <w:sz w:val="18"/>
                <w:szCs w:val="18"/>
                <w:lang w:val="es-MX" w:eastAsia="es-MX"/>
              </w:rPr>
            </w:pPr>
            <w:r>
              <w:rPr>
                <w:rFonts w:cs="Arial"/>
                <w:color w:val="auto"/>
                <w:sz w:val="18"/>
                <w:szCs w:val="18"/>
                <w:lang w:val="es-MX" w:eastAsia="es-MX"/>
              </w:rPr>
              <w:t>3.</w:t>
            </w:r>
            <w:r w:rsidR="00896417">
              <w:rPr>
                <w:rFonts w:cs="Arial"/>
                <w:color w:val="auto"/>
                <w:sz w:val="18"/>
                <w:szCs w:val="18"/>
                <w:lang w:val="es-MX" w:eastAsia="es-MX"/>
              </w:rPr>
              <w:t>4</w:t>
            </w:r>
          </w:p>
        </w:tc>
      </w:tr>
    </w:tbl>
    <w:p w14:paraId="5DF91275" w14:textId="77777777" w:rsidR="00C177C7" w:rsidRPr="00CF678A" w:rsidRDefault="00C177C7" w:rsidP="00100026">
      <w:pPr>
        <w:pStyle w:val="not31"/>
        <w:keepLines w:val="0"/>
        <w:widowControl w:val="0"/>
        <w:spacing w:before="0"/>
        <w:ind w:left="-284" w:right="0"/>
        <w:rPr>
          <w:rFonts w:cs="Arial"/>
          <w:color w:val="auto"/>
          <w:sz w:val="16"/>
          <w:szCs w:val="16"/>
          <w:lang w:val="es-MX" w:eastAsia="es-MX"/>
        </w:rPr>
      </w:pPr>
      <w:r w:rsidRPr="00CF678A">
        <w:rPr>
          <w:rFonts w:cs="Arial"/>
          <w:color w:val="auto"/>
          <w:sz w:val="16"/>
          <w:szCs w:val="16"/>
          <w:lang w:val="es-MX" w:eastAsia="es-MX"/>
        </w:rPr>
        <w:t>Nota: La sumatoria de los porcentajes puede no coincidir con el total por el redondeo de las cifras.</w:t>
      </w:r>
    </w:p>
    <w:p w14:paraId="29BEEC56" w14:textId="77777777" w:rsidR="00B025A1" w:rsidRDefault="00DA3BDB" w:rsidP="00B025A1">
      <w:pPr>
        <w:pStyle w:val="not31"/>
        <w:keepLines w:val="0"/>
        <w:widowControl w:val="0"/>
        <w:spacing w:before="0"/>
        <w:ind w:left="-284" w:right="0"/>
        <w:rPr>
          <w:rFonts w:cs="Arial"/>
          <w:color w:val="auto"/>
          <w:sz w:val="16"/>
          <w:szCs w:val="16"/>
          <w:lang w:val="es-MX" w:eastAsia="es-MX"/>
        </w:rPr>
      </w:pPr>
      <w:r w:rsidRPr="00D03231">
        <w:rPr>
          <w:rFonts w:cs="Arial"/>
          <w:color w:val="auto"/>
          <w:sz w:val="18"/>
          <w:szCs w:val="18"/>
          <w:vertAlign w:val="superscript"/>
          <w:lang w:val="es-MX" w:eastAsia="es-MX"/>
        </w:rPr>
        <w:t>P/</w:t>
      </w:r>
      <w:r w:rsidRPr="00D03231">
        <w:rPr>
          <w:rFonts w:cs="Arial"/>
          <w:color w:val="auto"/>
          <w:sz w:val="18"/>
          <w:szCs w:val="18"/>
          <w:lang w:val="es-MX" w:eastAsia="es-MX"/>
        </w:rPr>
        <w:t xml:space="preserve"> </w:t>
      </w:r>
      <w:r w:rsidRPr="00CF678A">
        <w:rPr>
          <w:rFonts w:cs="Arial"/>
          <w:color w:val="auto"/>
          <w:sz w:val="16"/>
          <w:szCs w:val="16"/>
          <w:lang w:val="es-MX" w:eastAsia="es-MX"/>
        </w:rPr>
        <w:t>Cifras preliminares.</w:t>
      </w:r>
    </w:p>
    <w:p w14:paraId="31DA824D" w14:textId="47F8EEB5" w:rsidR="00B025A1" w:rsidRPr="00B025A1" w:rsidRDefault="00B025A1" w:rsidP="00B025A1">
      <w:pPr>
        <w:pStyle w:val="not31"/>
        <w:keepLines w:val="0"/>
        <w:widowControl w:val="0"/>
        <w:spacing w:before="0"/>
        <w:ind w:left="-284" w:right="0"/>
        <w:rPr>
          <w:rFonts w:cs="Arial"/>
          <w:color w:val="auto"/>
          <w:sz w:val="16"/>
          <w:szCs w:val="16"/>
          <w:lang w:val="es-MX" w:eastAsia="es-MX"/>
        </w:rPr>
      </w:pPr>
      <w:r w:rsidRPr="00CE4772">
        <w:rPr>
          <w:rFonts w:cs="Arial"/>
          <w:color w:val="auto"/>
          <w:sz w:val="16"/>
          <w:szCs w:val="16"/>
          <w:vertAlign w:val="superscript"/>
        </w:rPr>
        <w:t>R/</w:t>
      </w:r>
      <w:r>
        <w:rPr>
          <w:rFonts w:cs="Arial"/>
          <w:color w:val="auto"/>
          <w:sz w:val="16"/>
          <w:szCs w:val="16"/>
        </w:rPr>
        <w:t xml:space="preserve"> Cifras revisadas.</w:t>
      </w:r>
    </w:p>
    <w:p w14:paraId="65E8BCD6" w14:textId="77777777" w:rsidR="000A532D" w:rsidRPr="004A49E1" w:rsidRDefault="000A532D" w:rsidP="00100026">
      <w:pPr>
        <w:pStyle w:val="p1"/>
        <w:keepLines w:val="0"/>
        <w:spacing w:before="0"/>
        <w:ind w:left="-284"/>
        <w:rPr>
          <w:color w:val="auto"/>
          <w:sz w:val="16"/>
          <w:szCs w:val="16"/>
        </w:rPr>
      </w:pPr>
      <w:r w:rsidRPr="004A49E1">
        <w:rPr>
          <w:rFonts w:cs="Arial"/>
          <w:color w:val="000000"/>
          <w:sz w:val="16"/>
          <w:szCs w:val="16"/>
        </w:rPr>
        <w:t>Fuente:  INEGI</w:t>
      </w:r>
      <w:r w:rsidRPr="004A49E1">
        <w:rPr>
          <w:rFonts w:cs="Arial"/>
          <w:color w:val="000000" w:themeColor="text1"/>
          <w:sz w:val="16"/>
          <w:szCs w:val="16"/>
        </w:rPr>
        <w:t>.</w:t>
      </w:r>
    </w:p>
    <w:p w14:paraId="1AC5FC78" w14:textId="77777777" w:rsidR="000A532D" w:rsidRPr="00D03231" w:rsidRDefault="000A532D" w:rsidP="00C177C7">
      <w:pPr>
        <w:pStyle w:val="not31"/>
        <w:keepLines w:val="0"/>
        <w:widowControl w:val="0"/>
        <w:spacing w:before="0"/>
        <w:ind w:left="142" w:right="0"/>
        <w:rPr>
          <w:rFonts w:cs="Arial"/>
          <w:color w:val="auto"/>
          <w:sz w:val="18"/>
          <w:szCs w:val="18"/>
          <w:lang w:val="es-MX" w:eastAsia="es-MX"/>
        </w:rPr>
      </w:pPr>
    </w:p>
    <w:p w14:paraId="17BC9A93" w14:textId="77777777" w:rsidR="00C177C7" w:rsidRDefault="00C177C7" w:rsidP="00C177C7">
      <w:pPr>
        <w:spacing w:before="20"/>
        <w:ind w:left="28" w:hanging="28"/>
        <w:rPr>
          <w:rFonts w:ascii="Arial" w:hAnsi="Arial" w:cs="Arial"/>
          <w:sz w:val="16"/>
          <w:szCs w:val="16"/>
        </w:rPr>
      </w:pPr>
    </w:p>
    <w:p w14:paraId="63F5B381" w14:textId="77777777" w:rsidR="00C177C7" w:rsidRDefault="00C177C7" w:rsidP="00C177C7">
      <w:pPr>
        <w:pStyle w:val="Textoindependiente"/>
        <w:spacing w:before="60" w:line="240" w:lineRule="exact"/>
        <w:rPr>
          <w:rFonts w:cs="Arial"/>
          <w:szCs w:val="24"/>
        </w:rPr>
      </w:pPr>
    </w:p>
    <w:p w14:paraId="736AFA74" w14:textId="77777777" w:rsidR="00DA3BDB" w:rsidRDefault="00DA3BDB" w:rsidP="00C177C7">
      <w:pPr>
        <w:pStyle w:val="Textoindependiente"/>
        <w:spacing w:before="0"/>
        <w:rPr>
          <w:rFonts w:cs="Arial"/>
          <w:szCs w:val="24"/>
        </w:rPr>
      </w:pPr>
    </w:p>
    <w:p w14:paraId="3900A8B7" w14:textId="77777777" w:rsidR="00F35110" w:rsidRDefault="00F35110" w:rsidP="00C177C7">
      <w:pPr>
        <w:pStyle w:val="Textoindependiente"/>
        <w:spacing w:before="0"/>
        <w:rPr>
          <w:rFonts w:cs="Arial"/>
          <w:szCs w:val="24"/>
        </w:rPr>
      </w:pPr>
    </w:p>
    <w:p w14:paraId="63F45073" w14:textId="69B0A6EC" w:rsidR="00C177C7" w:rsidRPr="00DB78BA" w:rsidRDefault="00C177C7" w:rsidP="00C177C7">
      <w:pPr>
        <w:pStyle w:val="Textoindependiente"/>
        <w:spacing w:before="0"/>
        <w:rPr>
          <w:rFonts w:cs="Arial"/>
          <w:szCs w:val="24"/>
        </w:rPr>
      </w:pPr>
      <w:r w:rsidRPr="00DB78BA">
        <w:rPr>
          <w:rFonts w:cs="Arial"/>
          <w:szCs w:val="24"/>
        </w:rPr>
        <w:t>En el cuadro siguiente se muestra el comportamiento de los precios implícitos de los componentes de la Oferta y Demanda Global de Bienes y Servicios.</w:t>
      </w:r>
    </w:p>
    <w:p w14:paraId="2EBF3DE5" w14:textId="77777777" w:rsidR="00C177C7" w:rsidRPr="0057720D" w:rsidRDefault="00C177C7" w:rsidP="00C177C7">
      <w:pPr>
        <w:widowControl/>
        <w:spacing w:before="240"/>
        <w:jc w:val="center"/>
        <w:rPr>
          <w:rFonts w:ascii="Arial" w:hAnsi="Arial" w:cs="Arial"/>
          <w:szCs w:val="22"/>
        </w:rPr>
      </w:pPr>
      <w:r>
        <w:rPr>
          <w:rFonts w:ascii="Arial" w:hAnsi="Arial" w:cs="Arial"/>
          <w:szCs w:val="22"/>
        </w:rPr>
        <w:t>Cuadro 5</w:t>
      </w:r>
    </w:p>
    <w:p w14:paraId="3AAE9DFA" w14:textId="77777777" w:rsidR="002A2B8F" w:rsidRDefault="00C177C7" w:rsidP="00C177C7">
      <w:pPr>
        <w:spacing w:line="240" w:lineRule="atLeast"/>
        <w:ind w:left="-142"/>
        <w:jc w:val="center"/>
        <w:rPr>
          <w:rFonts w:ascii="Arial" w:hAnsi="Arial" w:cs="Arial"/>
          <w:b/>
          <w:smallCaps/>
          <w:sz w:val="22"/>
          <w:szCs w:val="22"/>
          <w:lang w:eastAsia="es-MX"/>
        </w:rPr>
      </w:pPr>
      <w:r w:rsidRPr="00AB6295">
        <w:rPr>
          <w:rFonts w:ascii="Arial" w:hAnsi="Arial" w:cs="Arial"/>
          <w:b/>
          <w:smallCaps/>
          <w:sz w:val="22"/>
          <w:szCs w:val="22"/>
          <w:lang w:eastAsia="es-MX"/>
        </w:rPr>
        <w:t>Precios Implícitos de la Oferta y Demanda Global</w:t>
      </w:r>
      <w:r w:rsidR="00DA3BDB">
        <w:rPr>
          <w:rFonts w:ascii="Arial" w:hAnsi="Arial" w:cs="Arial"/>
          <w:b/>
          <w:smallCaps/>
          <w:sz w:val="22"/>
          <w:szCs w:val="22"/>
          <w:lang w:eastAsia="es-MX"/>
        </w:rPr>
        <w:t xml:space="preserve"> </w:t>
      </w:r>
    </w:p>
    <w:p w14:paraId="79B6462A" w14:textId="68918F74" w:rsidR="00C177C7" w:rsidRPr="00AB6295" w:rsidRDefault="002A2B8F" w:rsidP="00C177C7">
      <w:pPr>
        <w:spacing w:line="240" w:lineRule="atLeast"/>
        <w:ind w:left="-142"/>
        <w:jc w:val="center"/>
        <w:rPr>
          <w:rFonts w:ascii="Arial" w:hAnsi="Arial" w:cs="Arial"/>
          <w:b/>
          <w:smallCaps/>
          <w:sz w:val="22"/>
          <w:szCs w:val="22"/>
          <w:lang w:eastAsia="es-MX"/>
        </w:rPr>
      </w:pPr>
      <w:r w:rsidRPr="002A2B8F">
        <w:rPr>
          <w:rFonts w:ascii="Arial" w:hAnsi="Arial" w:cs="Arial"/>
          <w:b/>
          <w:smallCaps/>
          <w:sz w:val="22"/>
          <w:szCs w:val="22"/>
          <w:lang w:eastAsia="es-MX"/>
        </w:rPr>
        <w:t>de Bienes y Servicios</w:t>
      </w:r>
      <w:r w:rsidRPr="00AB6295">
        <w:rPr>
          <w:rFonts w:cs="Arial"/>
          <w:b/>
          <w:smallCaps/>
          <w:snapToGrid/>
          <w:sz w:val="22"/>
          <w:szCs w:val="22"/>
          <w:lang w:eastAsia="es-MX"/>
        </w:rPr>
        <w:t xml:space="preserve"> </w:t>
      </w:r>
      <w:r>
        <w:rPr>
          <w:rFonts w:ascii="Arial" w:hAnsi="Arial" w:cs="Arial"/>
          <w:b/>
          <w:smallCaps/>
          <w:sz w:val="22"/>
          <w:szCs w:val="22"/>
          <w:lang w:eastAsia="es-MX"/>
        </w:rPr>
        <w:t>según</w:t>
      </w:r>
      <w:r w:rsidR="00DA3BDB">
        <w:rPr>
          <w:rFonts w:ascii="Arial" w:hAnsi="Arial" w:cs="Arial"/>
          <w:b/>
          <w:smallCaps/>
          <w:sz w:val="22"/>
          <w:szCs w:val="22"/>
          <w:lang w:eastAsia="es-MX"/>
        </w:rPr>
        <w:t xml:space="preserve"> componentes </w:t>
      </w:r>
    </w:p>
    <w:p w14:paraId="60AEC080" w14:textId="75FCAF73" w:rsidR="00C177C7" w:rsidRDefault="00C177C7" w:rsidP="00C177C7">
      <w:pPr>
        <w:pStyle w:val="p0"/>
        <w:keepNext/>
        <w:widowControl/>
        <w:spacing w:before="0" w:line="240" w:lineRule="atLeast"/>
        <w:ind w:left="-142"/>
        <w:jc w:val="center"/>
        <w:rPr>
          <w:rFonts w:asciiTheme="minorHAnsi" w:hAnsiTheme="minorHAnsi" w:cstheme="minorHAnsi"/>
          <w:b/>
          <w:smallCaps/>
          <w:snapToGrid/>
          <w:color w:val="auto"/>
          <w:sz w:val="18"/>
          <w:szCs w:val="18"/>
          <w:lang w:eastAsia="es-MX"/>
        </w:rPr>
      </w:pPr>
      <w:r w:rsidRPr="00AB6295">
        <w:rPr>
          <w:rFonts w:cs="Arial"/>
          <w:b/>
          <w:smallCaps/>
          <w:snapToGrid/>
          <w:color w:val="auto"/>
          <w:sz w:val="22"/>
          <w:szCs w:val="22"/>
          <w:lang w:eastAsia="es-MX"/>
        </w:rPr>
        <w:t xml:space="preserve">al </w:t>
      </w:r>
      <w:r w:rsidR="00A93796">
        <w:rPr>
          <w:rFonts w:cs="Arial"/>
          <w:b/>
          <w:smallCaps/>
          <w:snapToGrid/>
          <w:color w:val="auto"/>
          <w:sz w:val="22"/>
          <w:szCs w:val="22"/>
          <w:lang w:eastAsia="es-MX"/>
        </w:rPr>
        <w:t>segundo</w:t>
      </w:r>
      <w:r w:rsidRPr="00AB6295">
        <w:rPr>
          <w:rFonts w:cs="Arial"/>
          <w:b/>
          <w:smallCaps/>
          <w:snapToGrid/>
          <w:color w:val="auto"/>
          <w:sz w:val="22"/>
          <w:szCs w:val="22"/>
          <w:lang w:eastAsia="es-MX"/>
        </w:rPr>
        <w:t xml:space="preserve"> trimestre de 202</w:t>
      </w:r>
      <w:r>
        <w:rPr>
          <w:rFonts w:cs="Arial"/>
          <w:b/>
          <w:smallCaps/>
          <w:snapToGrid/>
          <w:color w:val="auto"/>
          <w:sz w:val="22"/>
          <w:szCs w:val="22"/>
          <w:lang w:eastAsia="es-MX"/>
        </w:rPr>
        <w:t>1</w:t>
      </w:r>
    </w:p>
    <w:p w14:paraId="2B1BE975" w14:textId="77777777" w:rsidR="00C177C7" w:rsidRPr="00100026" w:rsidRDefault="00C177C7" w:rsidP="00C177C7">
      <w:pPr>
        <w:pStyle w:val="Textoindependiente"/>
        <w:keepNext/>
        <w:keepLines/>
        <w:spacing w:before="0" w:line="240" w:lineRule="atLeast"/>
        <w:ind w:left="-142"/>
        <w:jc w:val="center"/>
        <w:rPr>
          <w:rFonts w:cs="Arial"/>
          <w:sz w:val="16"/>
          <w:szCs w:val="16"/>
          <w:vertAlign w:val="superscript"/>
        </w:rPr>
      </w:pPr>
      <w:r w:rsidRPr="00100026">
        <w:rPr>
          <w:rFonts w:cs="Arial"/>
          <w:sz w:val="18"/>
        </w:rPr>
        <w:t>(Variación porcentual respecto al mismo periodo del año anterior)</w:t>
      </w:r>
      <w:r w:rsidRPr="00100026">
        <w:rPr>
          <w:rFonts w:cs="Arial"/>
          <w:sz w:val="16"/>
          <w:szCs w:val="16"/>
          <w:vertAlign w:val="superscript"/>
        </w:rPr>
        <w:t xml:space="preserve"> </w:t>
      </w:r>
    </w:p>
    <w:tbl>
      <w:tblPr>
        <w:tblStyle w:val="Tablaconcuadrcula"/>
        <w:tblW w:w="9088" w:type="dxa"/>
        <w:jc w:val="center"/>
        <w:tblLayout w:type="fixed"/>
        <w:tblLook w:val="04A0" w:firstRow="1" w:lastRow="0" w:firstColumn="1" w:lastColumn="0" w:noHBand="0" w:noVBand="1"/>
      </w:tblPr>
      <w:tblGrid>
        <w:gridCol w:w="3702"/>
        <w:gridCol w:w="725"/>
        <w:gridCol w:w="693"/>
        <w:gridCol w:w="992"/>
        <w:gridCol w:w="992"/>
        <w:gridCol w:w="992"/>
        <w:gridCol w:w="992"/>
      </w:tblGrid>
      <w:tr w:rsidR="004358CE" w:rsidRPr="004358CE" w14:paraId="4FB1B7D2" w14:textId="26603184" w:rsidTr="00856F76">
        <w:trPr>
          <w:jc w:val="center"/>
        </w:trPr>
        <w:tc>
          <w:tcPr>
            <w:tcW w:w="3702" w:type="dxa"/>
            <w:vMerge w:val="restart"/>
            <w:tcBorders>
              <w:top w:val="double" w:sz="4" w:space="0" w:color="auto"/>
              <w:left w:val="double" w:sz="4" w:space="0" w:color="auto"/>
              <w:bottom w:val="double" w:sz="4" w:space="0" w:color="auto"/>
              <w:right w:val="single" w:sz="4" w:space="0" w:color="auto"/>
            </w:tcBorders>
            <w:shd w:val="clear" w:color="auto" w:fill="C2D69B" w:themeFill="accent3" w:themeFillTint="99"/>
            <w:vAlign w:val="center"/>
          </w:tcPr>
          <w:p w14:paraId="68D80A1D" w14:textId="77777777" w:rsidR="004358CE" w:rsidRPr="00AB6295" w:rsidRDefault="004358CE" w:rsidP="00856F76">
            <w:pPr>
              <w:pStyle w:val="not31"/>
              <w:widowControl w:val="0"/>
              <w:spacing w:before="20" w:after="20" w:line="180" w:lineRule="atLeast"/>
              <w:ind w:left="48" w:right="0"/>
              <w:jc w:val="center"/>
              <w:rPr>
                <w:rFonts w:cs="Arial"/>
                <w:b/>
                <w:color w:val="auto"/>
                <w:sz w:val="18"/>
                <w:szCs w:val="18"/>
                <w:lang w:val="es-MX" w:eastAsia="es-MX"/>
              </w:rPr>
            </w:pPr>
            <w:r w:rsidRPr="00AB6295">
              <w:rPr>
                <w:rFonts w:cs="Arial"/>
                <w:b/>
                <w:color w:val="auto"/>
                <w:sz w:val="18"/>
                <w:szCs w:val="18"/>
                <w:lang w:val="es-MX" w:eastAsia="es-MX"/>
              </w:rPr>
              <w:t>Concepto</w:t>
            </w:r>
          </w:p>
        </w:tc>
        <w:tc>
          <w:tcPr>
            <w:tcW w:w="2410" w:type="dxa"/>
            <w:gridSpan w:val="3"/>
            <w:tcBorders>
              <w:top w:val="double" w:sz="4" w:space="0" w:color="auto"/>
              <w:left w:val="single" w:sz="4" w:space="0" w:color="auto"/>
              <w:right w:val="double" w:sz="4" w:space="0" w:color="auto"/>
            </w:tcBorders>
            <w:shd w:val="clear" w:color="auto" w:fill="C2D69B" w:themeFill="accent3" w:themeFillTint="99"/>
            <w:vAlign w:val="center"/>
          </w:tcPr>
          <w:p w14:paraId="4308E7DB" w14:textId="554AE746" w:rsidR="004358CE" w:rsidRPr="00AB6295" w:rsidRDefault="004358CE" w:rsidP="00856F76">
            <w:pPr>
              <w:pStyle w:val="not31"/>
              <w:keepLines w:val="0"/>
              <w:widowControl w:val="0"/>
              <w:spacing w:before="60" w:after="20" w:line="180" w:lineRule="atLeast"/>
              <w:ind w:right="0"/>
              <w:jc w:val="center"/>
              <w:rPr>
                <w:rFonts w:cs="Arial"/>
                <w:b/>
                <w:color w:val="auto"/>
                <w:sz w:val="18"/>
                <w:szCs w:val="18"/>
                <w:lang w:val="es-MX" w:eastAsia="es-MX"/>
              </w:rPr>
            </w:pPr>
            <w:r w:rsidRPr="00AB6295">
              <w:rPr>
                <w:rFonts w:cs="Arial"/>
                <w:b/>
                <w:color w:val="auto"/>
                <w:sz w:val="18"/>
                <w:szCs w:val="18"/>
                <w:lang w:val="es-MX" w:eastAsia="es-MX"/>
              </w:rPr>
              <w:t>2020</w:t>
            </w:r>
            <w:r w:rsidR="009B6B7E">
              <w:rPr>
                <w:rFonts w:cs="Arial"/>
                <w:b/>
                <w:color w:val="auto"/>
                <w:sz w:val="18"/>
                <w:szCs w:val="18"/>
                <w:vertAlign w:val="superscript"/>
                <w:lang w:val="es-MX" w:eastAsia="es-MX"/>
              </w:rPr>
              <w:t>P</w:t>
            </w:r>
            <w:r w:rsidRPr="00AB6295">
              <w:rPr>
                <w:rFonts w:cs="Arial"/>
                <w:b/>
                <w:color w:val="auto"/>
                <w:sz w:val="18"/>
                <w:szCs w:val="18"/>
                <w:vertAlign w:val="superscript"/>
                <w:lang w:val="es-MX" w:eastAsia="es-MX"/>
              </w:rPr>
              <w:t>/</w:t>
            </w:r>
          </w:p>
        </w:tc>
        <w:tc>
          <w:tcPr>
            <w:tcW w:w="2976" w:type="dxa"/>
            <w:gridSpan w:val="3"/>
            <w:tcBorders>
              <w:top w:val="double" w:sz="4" w:space="0" w:color="auto"/>
              <w:left w:val="single" w:sz="4" w:space="0" w:color="auto"/>
              <w:right w:val="double" w:sz="4" w:space="0" w:color="auto"/>
            </w:tcBorders>
            <w:shd w:val="clear" w:color="auto" w:fill="C2D69B" w:themeFill="accent3" w:themeFillTint="99"/>
          </w:tcPr>
          <w:p w14:paraId="535863B4" w14:textId="546327FC" w:rsidR="004358CE" w:rsidRDefault="004358CE" w:rsidP="00856F76">
            <w:pPr>
              <w:pStyle w:val="not31"/>
              <w:keepLines w:val="0"/>
              <w:widowControl w:val="0"/>
              <w:spacing w:before="60" w:after="20" w:line="180" w:lineRule="atLeast"/>
              <w:ind w:right="0"/>
              <w:jc w:val="center"/>
              <w:rPr>
                <w:rFonts w:cs="Arial"/>
                <w:b/>
                <w:color w:val="auto"/>
                <w:sz w:val="18"/>
                <w:szCs w:val="18"/>
                <w:lang w:val="es-MX" w:eastAsia="es-MX"/>
              </w:rPr>
            </w:pPr>
            <w:r>
              <w:rPr>
                <w:rFonts w:cs="Arial"/>
                <w:b/>
                <w:color w:val="auto"/>
                <w:sz w:val="18"/>
                <w:szCs w:val="18"/>
                <w:lang w:val="es-MX" w:eastAsia="es-MX"/>
              </w:rPr>
              <w:t>2021</w:t>
            </w:r>
            <w:r w:rsidR="00CE4772" w:rsidRPr="00CE4772">
              <w:rPr>
                <w:rFonts w:cs="Arial"/>
                <w:b/>
                <w:color w:val="auto"/>
                <w:sz w:val="18"/>
                <w:szCs w:val="18"/>
                <w:vertAlign w:val="superscript"/>
                <w:lang w:val="es-MX" w:eastAsia="es-MX"/>
              </w:rPr>
              <w:t>R/</w:t>
            </w:r>
          </w:p>
        </w:tc>
      </w:tr>
      <w:tr w:rsidR="004358CE" w:rsidRPr="004358CE" w14:paraId="4D65432E" w14:textId="00F5C690" w:rsidTr="00E8437C">
        <w:trPr>
          <w:jc w:val="center"/>
        </w:trPr>
        <w:tc>
          <w:tcPr>
            <w:tcW w:w="3702" w:type="dxa"/>
            <w:vMerge/>
            <w:tcBorders>
              <w:top w:val="double" w:sz="4" w:space="0" w:color="auto"/>
              <w:left w:val="double" w:sz="4" w:space="0" w:color="auto"/>
              <w:bottom w:val="double" w:sz="4" w:space="0" w:color="auto"/>
              <w:right w:val="single" w:sz="4" w:space="0" w:color="auto"/>
            </w:tcBorders>
            <w:shd w:val="clear" w:color="auto" w:fill="C2D69B" w:themeFill="accent3" w:themeFillTint="99"/>
          </w:tcPr>
          <w:p w14:paraId="6FE5D631" w14:textId="77777777" w:rsidR="004358CE" w:rsidRPr="00AB6295" w:rsidRDefault="004358CE" w:rsidP="00856F76">
            <w:pPr>
              <w:pStyle w:val="not31"/>
              <w:widowControl w:val="0"/>
              <w:spacing w:before="20" w:after="20" w:line="180" w:lineRule="atLeast"/>
              <w:ind w:left="48" w:right="0"/>
              <w:rPr>
                <w:rFonts w:cs="Arial"/>
                <w:b/>
                <w:color w:val="auto"/>
                <w:sz w:val="18"/>
                <w:szCs w:val="18"/>
                <w:lang w:val="es-MX" w:eastAsia="es-MX"/>
              </w:rPr>
            </w:pPr>
          </w:p>
        </w:tc>
        <w:tc>
          <w:tcPr>
            <w:tcW w:w="1418" w:type="dxa"/>
            <w:gridSpan w:val="2"/>
            <w:tcBorders>
              <w:left w:val="single" w:sz="4" w:space="0" w:color="auto"/>
              <w:right w:val="single" w:sz="4" w:space="0" w:color="auto"/>
            </w:tcBorders>
            <w:shd w:val="clear" w:color="auto" w:fill="C2D69B" w:themeFill="accent3" w:themeFillTint="99"/>
            <w:vAlign w:val="center"/>
          </w:tcPr>
          <w:p w14:paraId="5F570D03" w14:textId="08B05C94" w:rsidR="004358CE" w:rsidRPr="00AB6295" w:rsidRDefault="004358CE" w:rsidP="00856F76">
            <w:pPr>
              <w:pStyle w:val="not31"/>
              <w:widowControl w:val="0"/>
              <w:spacing w:before="20" w:after="20" w:line="180" w:lineRule="atLeast"/>
              <w:ind w:right="0"/>
              <w:jc w:val="center"/>
              <w:rPr>
                <w:rFonts w:cs="Arial"/>
                <w:b/>
                <w:color w:val="auto"/>
                <w:sz w:val="18"/>
                <w:szCs w:val="18"/>
                <w:lang w:val="es-MX" w:eastAsia="es-MX"/>
              </w:rPr>
            </w:pPr>
            <w:r w:rsidRPr="00AB6295">
              <w:rPr>
                <w:rFonts w:cs="Arial"/>
                <w:b/>
                <w:color w:val="auto"/>
                <w:sz w:val="18"/>
                <w:szCs w:val="18"/>
                <w:lang w:val="es-MX" w:eastAsia="es-MX"/>
              </w:rPr>
              <w:t>Trimestre</w:t>
            </w:r>
          </w:p>
        </w:tc>
        <w:tc>
          <w:tcPr>
            <w:tcW w:w="992" w:type="dxa"/>
            <w:vMerge w:val="restart"/>
            <w:tcBorders>
              <w:left w:val="single" w:sz="4" w:space="0" w:color="auto"/>
              <w:right w:val="double" w:sz="4" w:space="0" w:color="auto"/>
            </w:tcBorders>
            <w:shd w:val="clear" w:color="auto" w:fill="C2D69B" w:themeFill="accent3" w:themeFillTint="99"/>
            <w:vAlign w:val="center"/>
          </w:tcPr>
          <w:p w14:paraId="299B05A1" w14:textId="77777777" w:rsidR="004358CE" w:rsidRPr="00AB6295" w:rsidRDefault="004358CE" w:rsidP="00856F76">
            <w:pPr>
              <w:pStyle w:val="not31"/>
              <w:widowControl w:val="0"/>
              <w:spacing w:before="20" w:after="20" w:line="180" w:lineRule="atLeast"/>
              <w:ind w:left="-66" w:right="0"/>
              <w:jc w:val="center"/>
              <w:rPr>
                <w:rFonts w:cs="Arial"/>
                <w:b/>
                <w:color w:val="auto"/>
                <w:sz w:val="18"/>
                <w:szCs w:val="18"/>
                <w:lang w:val="es-MX" w:eastAsia="es-MX"/>
              </w:rPr>
            </w:pPr>
            <w:r>
              <w:rPr>
                <w:rFonts w:cs="Arial"/>
                <w:b/>
                <w:color w:val="auto"/>
                <w:sz w:val="18"/>
                <w:szCs w:val="18"/>
                <w:lang w:val="es-MX" w:eastAsia="es-MX"/>
              </w:rPr>
              <w:t>Anual</w:t>
            </w:r>
          </w:p>
        </w:tc>
        <w:tc>
          <w:tcPr>
            <w:tcW w:w="1984" w:type="dxa"/>
            <w:gridSpan w:val="2"/>
            <w:tcBorders>
              <w:left w:val="single" w:sz="4" w:space="0" w:color="auto"/>
              <w:right w:val="single" w:sz="4" w:space="0" w:color="000000"/>
            </w:tcBorders>
            <w:shd w:val="clear" w:color="auto" w:fill="C2D69B" w:themeFill="accent3" w:themeFillTint="99"/>
          </w:tcPr>
          <w:p w14:paraId="7D417A7E" w14:textId="5F7FA588" w:rsidR="004358CE" w:rsidRPr="00AB6295" w:rsidRDefault="004358CE" w:rsidP="00856F76">
            <w:pPr>
              <w:pStyle w:val="not31"/>
              <w:widowControl w:val="0"/>
              <w:spacing w:before="20" w:after="20" w:line="180" w:lineRule="atLeast"/>
              <w:ind w:left="-66" w:right="0"/>
              <w:jc w:val="center"/>
              <w:rPr>
                <w:rFonts w:cs="Arial"/>
                <w:b/>
                <w:color w:val="auto"/>
                <w:sz w:val="18"/>
                <w:szCs w:val="18"/>
                <w:lang w:val="es-MX" w:eastAsia="es-MX"/>
              </w:rPr>
            </w:pPr>
            <w:r w:rsidRPr="00AB6295">
              <w:rPr>
                <w:rFonts w:cs="Arial"/>
                <w:b/>
                <w:color w:val="auto"/>
                <w:sz w:val="18"/>
                <w:szCs w:val="18"/>
                <w:lang w:val="es-MX" w:eastAsia="es-MX"/>
              </w:rPr>
              <w:t>Trimestre</w:t>
            </w:r>
          </w:p>
        </w:tc>
        <w:tc>
          <w:tcPr>
            <w:tcW w:w="992" w:type="dxa"/>
            <w:vMerge w:val="restart"/>
            <w:tcBorders>
              <w:left w:val="single" w:sz="4" w:space="0" w:color="000000"/>
              <w:right w:val="double" w:sz="4" w:space="0" w:color="auto"/>
            </w:tcBorders>
            <w:shd w:val="clear" w:color="auto" w:fill="C2D69B" w:themeFill="accent3" w:themeFillTint="99"/>
          </w:tcPr>
          <w:p w14:paraId="26E472ED" w14:textId="77777777" w:rsidR="004358CE" w:rsidRDefault="004358CE" w:rsidP="00856F76">
            <w:pPr>
              <w:pStyle w:val="not31"/>
              <w:widowControl w:val="0"/>
              <w:spacing w:before="20" w:after="20" w:line="180" w:lineRule="atLeast"/>
              <w:ind w:left="-66" w:right="0"/>
              <w:jc w:val="center"/>
              <w:rPr>
                <w:rFonts w:cs="Arial"/>
                <w:b/>
                <w:color w:val="auto"/>
                <w:sz w:val="18"/>
                <w:szCs w:val="18"/>
                <w:lang w:val="es-MX" w:eastAsia="es-MX"/>
              </w:rPr>
            </w:pPr>
            <w:r>
              <w:rPr>
                <w:rFonts w:cs="Arial"/>
                <w:b/>
                <w:color w:val="auto"/>
                <w:sz w:val="18"/>
                <w:szCs w:val="18"/>
                <w:lang w:val="es-MX" w:eastAsia="es-MX"/>
              </w:rPr>
              <w:t>6</w:t>
            </w:r>
          </w:p>
          <w:p w14:paraId="6FCF3171" w14:textId="7FE68A50" w:rsidR="004358CE" w:rsidRPr="00AB6295" w:rsidRDefault="004358CE" w:rsidP="00856F76">
            <w:pPr>
              <w:pStyle w:val="not31"/>
              <w:widowControl w:val="0"/>
              <w:spacing w:before="20" w:after="20" w:line="180" w:lineRule="atLeast"/>
              <w:ind w:left="-66" w:right="0"/>
              <w:jc w:val="center"/>
              <w:rPr>
                <w:rFonts w:cs="Arial"/>
                <w:b/>
                <w:color w:val="auto"/>
                <w:sz w:val="18"/>
                <w:szCs w:val="18"/>
                <w:lang w:val="es-MX" w:eastAsia="es-MX"/>
              </w:rPr>
            </w:pPr>
            <w:r>
              <w:rPr>
                <w:rFonts w:cs="Arial"/>
                <w:b/>
                <w:color w:val="auto"/>
                <w:sz w:val="18"/>
                <w:szCs w:val="18"/>
                <w:lang w:val="es-MX" w:eastAsia="es-MX"/>
              </w:rPr>
              <w:t>Meses</w:t>
            </w:r>
          </w:p>
        </w:tc>
      </w:tr>
      <w:tr w:rsidR="004358CE" w:rsidRPr="004358CE" w14:paraId="2015649D" w14:textId="7AA89F8E" w:rsidTr="00E8437C">
        <w:trPr>
          <w:jc w:val="center"/>
        </w:trPr>
        <w:tc>
          <w:tcPr>
            <w:tcW w:w="3702" w:type="dxa"/>
            <w:vMerge/>
            <w:tcBorders>
              <w:top w:val="double" w:sz="4" w:space="0" w:color="auto"/>
              <w:left w:val="double" w:sz="4" w:space="0" w:color="auto"/>
              <w:bottom w:val="double" w:sz="4" w:space="0" w:color="auto"/>
              <w:right w:val="single" w:sz="4" w:space="0" w:color="auto"/>
            </w:tcBorders>
            <w:shd w:val="clear" w:color="auto" w:fill="C2D69B" w:themeFill="accent3" w:themeFillTint="99"/>
          </w:tcPr>
          <w:p w14:paraId="40CF0870" w14:textId="77777777" w:rsidR="004358CE" w:rsidRPr="00AB6295" w:rsidRDefault="004358CE" w:rsidP="00856F76">
            <w:pPr>
              <w:pStyle w:val="not31"/>
              <w:keepLines w:val="0"/>
              <w:widowControl w:val="0"/>
              <w:spacing w:before="80" w:line="180" w:lineRule="atLeast"/>
              <w:ind w:left="48" w:right="0"/>
              <w:rPr>
                <w:rFonts w:cs="Arial"/>
                <w:color w:val="auto"/>
                <w:sz w:val="18"/>
                <w:szCs w:val="18"/>
                <w:lang w:val="es-MX" w:eastAsia="es-MX"/>
              </w:rPr>
            </w:pPr>
          </w:p>
        </w:tc>
        <w:tc>
          <w:tcPr>
            <w:tcW w:w="725" w:type="dxa"/>
            <w:tcBorders>
              <w:left w:val="single" w:sz="4" w:space="0" w:color="auto"/>
              <w:bottom w:val="double" w:sz="4" w:space="0" w:color="auto"/>
              <w:right w:val="single" w:sz="4" w:space="0" w:color="auto"/>
            </w:tcBorders>
            <w:shd w:val="clear" w:color="auto" w:fill="C2D69B" w:themeFill="accent3" w:themeFillTint="99"/>
          </w:tcPr>
          <w:p w14:paraId="011AFBE0" w14:textId="77777777" w:rsidR="004358CE" w:rsidRPr="00AB6295" w:rsidRDefault="004358CE" w:rsidP="00856F76">
            <w:pPr>
              <w:pStyle w:val="not31"/>
              <w:keepLines w:val="0"/>
              <w:widowControl w:val="0"/>
              <w:spacing w:before="20" w:after="20" w:line="180" w:lineRule="atLeast"/>
              <w:ind w:right="0"/>
              <w:jc w:val="center"/>
              <w:rPr>
                <w:rFonts w:cs="Arial"/>
                <w:b/>
                <w:color w:val="auto"/>
                <w:sz w:val="18"/>
                <w:szCs w:val="18"/>
                <w:lang w:val="es-MX" w:eastAsia="es-MX"/>
              </w:rPr>
            </w:pPr>
            <w:r w:rsidRPr="00AB6295">
              <w:rPr>
                <w:rFonts w:cs="Arial"/>
                <w:b/>
                <w:color w:val="auto"/>
                <w:sz w:val="18"/>
                <w:szCs w:val="18"/>
                <w:lang w:val="es-MX" w:eastAsia="es-MX"/>
              </w:rPr>
              <w:t>III</w:t>
            </w:r>
          </w:p>
        </w:tc>
        <w:tc>
          <w:tcPr>
            <w:tcW w:w="693" w:type="dxa"/>
            <w:tcBorders>
              <w:left w:val="single" w:sz="4" w:space="0" w:color="auto"/>
              <w:bottom w:val="double" w:sz="4" w:space="0" w:color="auto"/>
              <w:right w:val="single" w:sz="4" w:space="0" w:color="auto"/>
            </w:tcBorders>
            <w:shd w:val="clear" w:color="auto" w:fill="C2D69B" w:themeFill="accent3" w:themeFillTint="99"/>
            <w:vAlign w:val="center"/>
          </w:tcPr>
          <w:p w14:paraId="033D683E" w14:textId="77777777" w:rsidR="004358CE" w:rsidRPr="00AB6295" w:rsidRDefault="004358CE" w:rsidP="00856F76">
            <w:pPr>
              <w:pStyle w:val="not31"/>
              <w:keepLines w:val="0"/>
              <w:widowControl w:val="0"/>
              <w:spacing w:before="20" w:after="20" w:line="180" w:lineRule="atLeast"/>
              <w:ind w:right="0"/>
              <w:jc w:val="center"/>
              <w:rPr>
                <w:rFonts w:cs="Arial"/>
                <w:b/>
                <w:color w:val="auto"/>
                <w:sz w:val="18"/>
                <w:szCs w:val="18"/>
                <w:lang w:val="es-MX" w:eastAsia="es-MX"/>
              </w:rPr>
            </w:pPr>
            <w:r>
              <w:rPr>
                <w:rFonts w:cs="Arial"/>
                <w:b/>
                <w:color w:val="auto"/>
                <w:sz w:val="18"/>
                <w:szCs w:val="18"/>
                <w:lang w:val="es-MX" w:eastAsia="es-MX"/>
              </w:rPr>
              <w:t>IV</w:t>
            </w:r>
          </w:p>
        </w:tc>
        <w:tc>
          <w:tcPr>
            <w:tcW w:w="992" w:type="dxa"/>
            <w:vMerge/>
            <w:tcBorders>
              <w:left w:val="single" w:sz="4" w:space="0" w:color="auto"/>
              <w:bottom w:val="double" w:sz="4" w:space="0" w:color="auto"/>
              <w:right w:val="double" w:sz="4" w:space="0" w:color="auto"/>
            </w:tcBorders>
            <w:shd w:val="clear" w:color="auto" w:fill="C2D69B" w:themeFill="accent3" w:themeFillTint="99"/>
          </w:tcPr>
          <w:p w14:paraId="65D4B7E9" w14:textId="77777777" w:rsidR="004358CE" w:rsidRPr="00AB6295" w:rsidRDefault="004358CE" w:rsidP="00856F76">
            <w:pPr>
              <w:pStyle w:val="not31"/>
              <w:keepLines w:val="0"/>
              <w:widowControl w:val="0"/>
              <w:spacing w:before="20" w:after="20" w:line="180" w:lineRule="atLeast"/>
              <w:ind w:right="0"/>
              <w:jc w:val="center"/>
              <w:rPr>
                <w:rFonts w:cs="Arial"/>
                <w:b/>
                <w:color w:val="auto"/>
                <w:sz w:val="18"/>
                <w:szCs w:val="18"/>
                <w:lang w:val="es-MX" w:eastAsia="es-MX"/>
              </w:rPr>
            </w:pPr>
          </w:p>
        </w:tc>
        <w:tc>
          <w:tcPr>
            <w:tcW w:w="992" w:type="dxa"/>
            <w:tcBorders>
              <w:left w:val="single" w:sz="4" w:space="0" w:color="auto"/>
              <w:bottom w:val="double" w:sz="4" w:space="0" w:color="auto"/>
              <w:right w:val="single" w:sz="4" w:space="0" w:color="000000"/>
            </w:tcBorders>
            <w:shd w:val="clear" w:color="auto" w:fill="C2D69B" w:themeFill="accent3" w:themeFillTint="99"/>
          </w:tcPr>
          <w:p w14:paraId="2CA0637C" w14:textId="77777777" w:rsidR="004358CE" w:rsidRPr="00AB6295" w:rsidRDefault="004358CE" w:rsidP="00856F76">
            <w:pPr>
              <w:pStyle w:val="not31"/>
              <w:keepLines w:val="0"/>
              <w:widowControl w:val="0"/>
              <w:spacing w:before="20" w:after="20" w:line="180" w:lineRule="atLeast"/>
              <w:ind w:right="0"/>
              <w:jc w:val="center"/>
              <w:rPr>
                <w:rFonts w:cs="Arial"/>
                <w:b/>
                <w:color w:val="auto"/>
                <w:sz w:val="18"/>
                <w:szCs w:val="18"/>
                <w:lang w:val="es-MX" w:eastAsia="es-MX"/>
              </w:rPr>
            </w:pPr>
            <w:r>
              <w:rPr>
                <w:rFonts w:cs="Arial"/>
                <w:b/>
                <w:color w:val="auto"/>
                <w:sz w:val="18"/>
                <w:szCs w:val="18"/>
                <w:lang w:val="es-MX" w:eastAsia="es-MX"/>
              </w:rPr>
              <w:t>I</w:t>
            </w:r>
          </w:p>
        </w:tc>
        <w:tc>
          <w:tcPr>
            <w:tcW w:w="992" w:type="dxa"/>
            <w:tcBorders>
              <w:left w:val="single" w:sz="4" w:space="0" w:color="000000"/>
              <w:bottom w:val="double" w:sz="4" w:space="0" w:color="auto"/>
              <w:right w:val="single" w:sz="4" w:space="0" w:color="000000"/>
            </w:tcBorders>
            <w:shd w:val="clear" w:color="auto" w:fill="C2D69B" w:themeFill="accent3" w:themeFillTint="99"/>
          </w:tcPr>
          <w:p w14:paraId="63F5EE9A" w14:textId="5A1EC085" w:rsidR="004358CE" w:rsidRDefault="004358CE" w:rsidP="00856F76">
            <w:pPr>
              <w:pStyle w:val="not31"/>
              <w:keepLines w:val="0"/>
              <w:widowControl w:val="0"/>
              <w:spacing w:before="20" w:after="20" w:line="180" w:lineRule="atLeast"/>
              <w:ind w:right="0"/>
              <w:jc w:val="center"/>
              <w:rPr>
                <w:rFonts w:cs="Arial"/>
                <w:b/>
                <w:color w:val="auto"/>
                <w:sz w:val="18"/>
                <w:szCs w:val="18"/>
                <w:lang w:val="es-MX" w:eastAsia="es-MX"/>
              </w:rPr>
            </w:pPr>
            <w:r>
              <w:rPr>
                <w:rFonts w:cs="Arial"/>
                <w:b/>
                <w:color w:val="auto"/>
                <w:sz w:val="18"/>
                <w:szCs w:val="18"/>
                <w:lang w:val="es-MX" w:eastAsia="es-MX"/>
              </w:rPr>
              <w:t>II</w:t>
            </w:r>
            <w:r w:rsidR="009B6B7E" w:rsidRPr="002F7463">
              <w:rPr>
                <w:rFonts w:cs="Arial"/>
                <w:b/>
                <w:color w:val="auto"/>
                <w:sz w:val="18"/>
                <w:szCs w:val="18"/>
                <w:vertAlign w:val="superscript"/>
                <w:lang w:val="es-MX" w:eastAsia="es-MX"/>
              </w:rPr>
              <w:t>P/</w:t>
            </w:r>
          </w:p>
        </w:tc>
        <w:tc>
          <w:tcPr>
            <w:tcW w:w="992" w:type="dxa"/>
            <w:vMerge/>
            <w:tcBorders>
              <w:left w:val="single" w:sz="4" w:space="0" w:color="000000"/>
              <w:bottom w:val="double" w:sz="4" w:space="0" w:color="auto"/>
              <w:right w:val="double" w:sz="4" w:space="0" w:color="auto"/>
            </w:tcBorders>
            <w:shd w:val="clear" w:color="auto" w:fill="C2D69B" w:themeFill="accent3" w:themeFillTint="99"/>
          </w:tcPr>
          <w:p w14:paraId="31FDF85B" w14:textId="77777777" w:rsidR="004358CE" w:rsidRDefault="004358CE" w:rsidP="00856F76">
            <w:pPr>
              <w:pStyle w:val="not31"/>
              <w:keepLines w:val="0"/>
              <w:widowControl w:val="0"/>
              <w:spacing w:before="20" w:after="20" w:line="180" w:lineRule="atLeast"/>
              <w:ind w:right="0"/>
              <w:jc w:val="center"/>
              <w:rPr>
                <w:rFonts w:cs="Arial"/>
                <w:b/>
                <w:color w:val="auto"/>
                <w:sz w:val="18"/>
                <w:szCs w:val="18"/>
                <w:lang w:val="es-MX" w:eastAsia="es-MX"/>
              </w:rPr>
            </w:pPr>
          </w:p>
        </w:tc>
      </w:tr>
      <w:tr w:rsidR="00E8437C" w:rsidRPr="004358CE" w14:paraId="5764C8C6" w14:textId="772D98F1" w:rsidTr="00E8437C">
        <w:trPr>
          <w:jc w:val="center"/>
        </w:trPr>
        <w:tc>
          <w:tcPr>
            <w:tcW w:w="3702" w:type="dxa"/>
            <w:tcBorders>
              <w:top w:val="double" w:sz="4" w:space="0" w:color="auto"/>
              <w:left w:val="double" w:sz="4" w:space="0" w:color="auto"/>
              <w:bottom w:val="nil"/>
              <w:right w:val="single" w:sz="4" w:space="0" w:color="auto"/>
            </w:tcBorders>
            <w:vAlign w:val="center"/>
          </w:tcPr>
          <w:p w14:paraId="6FC1A955" w14:textId="77777777" w:rsidR="00E8437C" w:rsidRPr="00AB6295" w:rsidRDefault="00E8437C" w:rsidP="00E8437C">
            <w:pPr>
              <w:pStyle w:val="not31"/>
              <w:keepLines w:val="0"/>
              <w:widowControl w:val="0"/>
              <w:spacing w:before="20" w:after="20"/>
              <w:ind w:left="48" w:right="-79"/>
              <w:jc w:val="left"/>
              <w:rPr>
                <w:rFonts w:cs="Arial"/>
                <w:color w:val="auto"/>
                <w:sz w:val="18"/>
                <w:szCs w:val="18"/>
                <w:lang w:val="es-MX" w:eastAsia="es-MX"/>
              </w:rPr>
            </w:pPr>
            <w:r w:rsidRPr="00AB6295">
              <w:rPr>
                <w:rFonts w:cs="Arial"/>
                <w:color w:val="auto"/>
                <w:sz w:val="18"/>
                <w:szCs w:val="18"/>
                <w:lang w:val="es-MX" w:eastAsia="es-MX"/>
              </w:rPr>
              <w:t>Producto Interno Bruto</w:t>
            </w:r>
          </w:p>
        </w:tc>
        <w:tc>
          <w:tcPr>
            <w:tcW w:w="725" w:type="dxa"/>
            <w:tcBorders>
              <w:top w:val="double" w:sz="4" w:space="0" w:color="auto"/>
              <w:left w:val="nil"/>
              <w:bottom w:val="nil"/>
              <w:right w:val="nil"/>
            </w:tcBorders>
            <w:shd w:val="clear" w:color="auto" w:fill="FFFFFF" w:themeFill="background1"/>
            <w:vAlign w:val="center"/>
          </w:tcPr>
          <w:p w14:paraId="72FC84D2" w14:textId="77777777" w:rsidR="00E8437C" w:rsidRPr="00AB6295" w:rsidRDefault="00E8437C" w:rsidP="00E8437C">
            <w:pPr>
              <w:spacing w:before="20" w:after="20"/>
              <w:ind w:left="-108" w:right="113"/>
              <w:jc w:val="right"/>
              <w:rPr>
                <w:rFonts w:ascii="Arial" w:hAnsi="Arial" w:cs="Arial"/>
                <w:sz w:val="18"/>
                <w:szCs w:val="18"/>
                <w:lang w:eastAsia="es-MX"/>
              </w:rPr>
            </w:pPr>
            <w:r>
              <w:rPr>
                <w:rFonts w:ascii="Arial" w:hAnsi="Arial" w:cs="Arial"/>
                <w:sz w:val="18"/>
                <w:szCs w:val="18"/>
                <w:lang w:eastAsia="es-MX"/>
              </w:rPr>
              <w:t>3.8</w:t>
            </w:r>
          </w:p>
        </w:tc>
        <w:tc>
          <w:tcPr>
            <w:tcW w:w="693" w:type="dxa"/>
            <w:tcBorders>
              <w:top w:val="double" w:sz="4" w:space="0" w:color="auto"/>
              <w:left w:val="nil"/>
              <w:bottom w:val="nil"/>
              <w:right w:val="nil"/>
            </w:tcBorders>
            <w:shd w:val="clear" w:color="auto" w:fill="FFFFFF" w:themeFill="background1"/>
            <w:vAlign w:val="center"/>
          </w:tcPr>
          <w:p w14:paraId="5C806A9E" w14:textId="77777777" w:rsidR="00E8437C" w:rsidRPr="00AB6295" w:rsidRDefault="00E8437C" w:rsidP="00E8437C">
            <w:pPr>
              <w:spacing w:before="20" w:after="20"/>
              <w:ind w:left="-108" w:right="113"/>
              <w:jc w:val="right"/>
              <w:rPr>
                <w:rFonts w:ascii="Arial" w:hAnsi="Arial" w:cs="Arial"/>
                <w:sz w:val="18"/>
                <w:szCs w:val="18"/>
              </w:rPr>
            </w:pPr>
            <w:r w:rsidRPr="00AB6295">
              <w:rPr>
                <w:rFonts w:ascii="Arial" w:hAnsi="Arial" w:cs="Arial"/>
                <w:sz w:val="18"/>
                <w:szCs w:val="18"/>
                <w:lang w:eastAsia="es-MX"/>
              </w:rPr>
              <w:t>4.</w:t>
            </w:r>
            <w:r>
              <w:rPr>
                <w:rFonts w:ascii="Arial" w:hAnsi="Arial" w:cs="Arial"/>
                <w:sz w:val="18"/>
                <w:szCs w:val="18"/>
                <w:lang w:eastAsia="es-MX"/>
              </w:rPr>
              <w:t>2</w:t>
            </w:r>
          </w:p>
        </w:tc>
        <w:tc>
          <w:tcPr>
            <w:tcW w:w="992" w:type="dxa"/>
            <w:tcBorders>
              <w:top w:val="double" w:sz="4" w:space="0" w:color="auto"/>
              <w:left w:val="nil"/>
              <w:bottom w:val="nil"/>
              <w:right w:val="double" w:sz="4" w:space="0" w:color="auto"/>
            </w:tcBorders>
            <w:shd w:val="clear" w:color="auto" w:fill="FFFFFF" w:themeFill="background1"/>
            <w:vAlign w:val="center"/>
          </w:tcPr>
          <w:p w14:paraId="458712D4" w14:textId="77777777" w:rsidR="00E8437C" w:rsidRPr="00AB6295" w:rsidRDefault="00E8437C" w:rsidP="00E8437C">
            <w:pPr>
              <w:spacing w:before="20" w:after="20"/>
              <w:ind w:right="227"/>
              <w:jc w:val="right"/>
              <w:rPr>
                <w:rFonts w:ascii="Arial" w:hAnsi="Arial" w:cs="Arial"/>
                <w:sz w:val="18"/>
                <w:szCs w:val="18"/>
              </w:rPr>
            </w:pPr>
            <w:r w:rsidRPr="00AB6295">
              <w:rPr>
                <w:rFonts w:ascii="Arial" w:hAnsi="Arial" w:cs="Arial"/>
                <w:sz w:val="18"/>
                <w:szCs w:val="18"/>
                <w:lang w:eastAsia="es-MX"/>
              </w:rPr>
              <w:t>2.</w:t>
            </w:r>
            <w:r>
              <w:rPr>
                <w:rFonts w:ascii="Arial" w:hAnsi="Arial" w:cs="Arial"/>
                <w:sz w:val="18"/>
                <w:szCs w:val="18"/>
                <w:lang w:eastAsia="es-MX"/>
              </w:rPr>
              <w:t>9</w:t>
            </w:r>
          </w:p>
        </w:tc>
        <w:tc>
          <w:tcPr>
            <w:tcW w:w="992" w:type="dxa"/>
            <w:tcBorders>
              <w:top w:val="double" w:sz="4" w:space="0" w:color="auto"/>
              <w:left w:val="nil"/>
              <w:bottom w:val="nil"/>
              <w:right w:val="nil"/>
            </w:tcBorders>
            <w:shd w:val="clear" w:color="auto" w:fill="FFFFFF" w:themeFill="background1"/>
            <w:vAlign w:val="center"/>
          </w:tcPr>
          <w:p w14:paraId="69EA2A47" w14:textId="77777777" w:rsidR="00E8437C" w:rsidRPr="00AB6295" w:rsidRDefault="00E8437C" w:rsidP="00E8437C">
            <w:pPr>
              <w:spacing w:before="20" w:after="20"/>
              <w:ind w:right="227"/>
              <w:jc w:val="right"/>
              <w:rPr>
                <w:rFonts w:ascii="Arial" w:hAnsi="Arial" w:cs="Arial"/>
                <w:sz w:val="18"/>
                <w:szCs w:val="18"/>
                <w:lang w:eastAsia="es-MX"/>
              </w:rPr>
            </w:pPr>
            <w:r>
              <w:rPr>
                <w:rFonts w:ascii="Arial" w:hAnsi="Arial" w:cs="Arial"/>
                <w:sz w:val="18"/>
                <w:szCs w:val="18"/>
                <w:lang w:eastAsia="es-MX"/>
              </w:rPr>
              <w:t>5</w:t>
            </w:r>
            <w:r w:rsidRPr="00AB6295">
              <w:rPr>
                <w:rFonts w:ascii="Arial" w:hAnsi="Arial" w:cs="Arial"/>
                <w:sz w:val="18"/>
                <w:szCs w:val="18"/>
                <w:lang w:eastAsia="es-MX"/>
              </w:rPr>
              <w:t>.6</w:t>
            </w:r>
          </w:p>
        </w:tc>
        <w:tc>
          <w:tcPr>
            <w:tcW w:w="992" w:type="dxa"/>
            <w:tcBorders>
              <w:top w:val="double" w:sz="4" w:space="0" w:color="auto"/>
              <w:left w:val="nil"/>
              <w:bottom w:val="nil"/>
              <w:right w:val="nil"/>
            </w:tcBorders>
            <w:shd w:val="clear" w:color="auto" w:fill="FFFFFF" w:themeFill="background1"/>
            <w:vAlign w:val="center"/>
          </w:tcPr>
          <w:p w14:paraId="70ABC8B5" w14:textId="7742CDFE" w:rsidR="00E8437C" w:rsidRDefault="0001069D" w:rsidP="00E8437C">
            <w:pPr>
              <w:spacing w:before="20" w:after="20"/>
              <w:ind w:right="227"/>
              <w:jc w:val="right"/>
              <w:rPr>
                <w:rFonts w:ascii="Arial" w:hAnsi="Arial" w:cs="Arial"/>
                <w:sz w:val="18"/>
                <w:szCs w:val="18"/>
                <w:lang w:eastAsia="es-MX"/>
              </w:rPr>
            </w:pPr>
            <w:r>
              <w:rPr>
                <w:rFonts w:ascii="Arial" w:hAnsi="Arial" w:cs="Arial"/>
                <w:sz w:val="18"/>
                <w:szCs w:val="18"/>
                <w:lang w:eastAsia="es-MX"/>
              </w:rPr>
              <w:t>8.4</w:t>
            </w:r>
          </w:p>
        </w:tc>
        <w:tc>
          <w:tcPr>
            <w:tcW w:w="992" w:type="dxa"/>
            <w:tcBorders>
              <w:top w:val="double" w:sz="4" w:space="0" w:color="auto"/>
              <w:left w:val="nil"/>
              <w:bottom w:val="nil"/>
              <w:right w:val="double" w:sz="4" w:space="0" w:color="auto"/>
            </w:tcBorders>
            <w:shd w:val="clear" w:color="auto" w:fill="FFFFFF" w:themeFill="background1"/>
            <w:vAlign w:val="center"/>
          </w:tcPr>
          <w:p w14:paraId="2B51463F" w14:textId="1B6DA871" w:rsidR="00E8437C" w:rsidRDefault="0001069D" w:rsidP="00E8437C">
            <w:pPr>
              <w:spacing w:before="20" w:after="20"/>
              <w:ind w:right="227"/>
              <w:jc w:val="right"/>
              <w:rPr>
                <w:rFonts w:ascii="Arial" w:hAnsi="Arial" w:cs="Arial"/>
                <w:sz w:val="18"/>
                <w:szCs w:val="18"/>
                <w:lang w:eastAsia="es-MX"/>
              </w:rPr>
            </w:pPr>
            <w:r>
              <w:rPr>
                <w:rFonts w:ascii="Arial" w:hAnsi="Arial" w:cs="Arial"/>
                <w:sz w:val="18"/>
                <w:szCs w:val="18"/>
                <w:lang w:eastAsia="es-MX"/>
              </w:rPr>
              <w:t>6.9</w:t>
            </w:r>
          </w:p>
        </w:tc>
      </w:tr>
      <w:tr w:rsidR="00E8437C" w:rsidRPr="004358CE" w14:paraId="3FAF7CA4" w14:textId="6800998E" w:rsidTr="00E8437C">
        <w:trPr>
          <w:jc w:val="center"/>
        </w:trPr>
        <w:tc>
          <w:tcPr>
            <w:tcW w:w="3702" w:type="dxa"/>
            <w:tcBorders>
              <w:top w:val="nil"/>
              <w:left w:val="double" w:sz="4" w:space="0" w:color="auto"/>
              <w:bottom w:val="nil"/>
              <w:right w:val="single" w:sz="4" w:space="0" w:color="auto"/>
            </w:tcBorders>
            <w:vAlign w:val="center"/>
          </w:tcPr>
          <w:p w14:paraId="50772BBF" w14:textId="77777777" w:rsidR="00E8437C" w:rsidRPr="00AB6295" w:rsidRDefault="00E8437C" w:rsidP="00E8437C">
            <w:pPr>
              <w:pStyle w:val="not31"/>
              <w:keepLines w:val="0"/>
              <w:widowControl w:val="0"/>
              <w:spacing w:before="20" w:after="20"/>
              <w:ind w:left="48" w:right="-79"/>
              <w:jc w:val="left"/>
              <w:rPr>
                <w:rFonts w:cs="Arial"/>
                <w:color w:val="auto"/>
                <w:sz w:val="18"/>
                <w:szCs w:val="18"/>
                <w:lang w:val="es-MX" w:eastAsia="es-MX"/>
              </w:rPr>
            </w:pPr>
            <w:r w:rsidRPr="00AB6295">
              <w:rPr>
                <w:rFonts w:cs="Arial"/>
                <w:color w:val="auto"/>
                <w:sz w:val="18"/>
                <w:szCs w:val="18"/>
                <w:lang w:val="es-MX" w:eastAsia="es-MX"/>
              </w:rPr>
              <w:t>Importación de Bienes y Servicios</w:t>
            </w:r>
          </w:p>
        </w:tc>
        <w:tc>
          <w:tcPr>
            <w:tcW w:w="725" w:type="dxa"/>
            <w:tcBorders>
              <w:top w:val="nil"/>
              <w:left w:val="nil"/>
              <w:bottom w:val="nil"/>
              <w:right w:val="nil"/>
            </w:tcBorders>
            <w:shd w:val="clear" w:color="auto" w:fill="FFFFFF" w:themeFill="background1"/>
            <w:vAlign w:val="center"/>
          </w:tcPr>
          <w:p w14:paraId="209592FA" w14:textId="77777777" w:rsidR="00E8437C" w:rsidRPr="00AB6295" w:rsidRDefault="00E8437C" w:rsidP="00E8437C">
            <w:pPr>
              <w:pStyle w:val="not31"/>
              <w:keepLines w:val="0"/>
              <w:widowControl w:val="0"/>
              <w:spacing w:before="20" w:after="20"/>
              <w:ind w:left="-108" w:right="113"/>
              <w:jc w:val="right"/>
              <w:rPr>
                <w:rFonts w:cs="Arial"/>
                <w:color w:val="auto"/>
                <w:sz w:val="18"/>
                <w:szCs w:val="18"/>
                <w:lang w:val="es-MX" w:eastAsia="es-MX"/>
              </w:rPr>
            </w:pPr>
            <w:r w:rsidRPr="00AB6295">
              <w:rPr>
                <w:rFonts w:cs="Arial"/>
                <w:color w:val="auto"/>
                <w:sz w:val="18"/>
                <w:szCs w:val="18"/>
                <w:lang w:val="es-MX" w:eastAsia="es-MX"/>
              </w:rPr>
              <w:t>10.</w:t>
            </w:r>
            <w:r>
              <w:rPr>
                <w:rFonts w:cs="Arial"/>
                <w:color w:val="auto"/>
                <w:sz w:val="18"/>
                <w:szCs w:val="18"/>
                <w:lang w:val="es-MX" w:eastAsia="es-MX"/>
              </w:rPr>
              <w:t>4</w:t>
            </w:r>
          </w:p>
        </w:tc>
        <w:tc>
          <w:tcPr>
            <w:tcW w:w="693" w:type="dxa"/>
            <w:tcBorders>
              <w:top w:val="nil"/>
              <w:left w:val="nil"/>
              <w:bottom w:val="nil"/>
              <w:right w:val="nil"/>
            </w:tcBorders>
            <w:shd w:val="clear" w:color="auto" w:fill="FFFFFF" w:themeFill="background1"/>
            <w:vAlign w:val="center"/>
          </w:tcPr>
          <w:p w14:paraId="25343892" w14:textId="77777777" w:rsidR="00E8437C" w:rsidRPr="00AB6295" w:rsidRDefault="00E8437C" w:rsidP="00E8437C">
            <w:pPr>
              <w:pStyle w:val="not31"/>
              <w:keepLines w:val="0"/>
              <w:widowControl w:val="0"/>
              <w:spacing w:before="20" w:after="20"/>
              <w:ind w:left="-108" w:right="113"/>
              <w:jc w:val="right"/>
              <w:rPr>
                <w:rFonts w:cs="Arial"/>
                <w:color w:val="auto"/>
                <w:sz w:val="18"/>
                <w:szCs w:val="18"/>
                <w:lang w:val="es-MX" w:eastAsia="es-MX"/>
              </w:rPr>
            </w:pPr>
            <w:r>
              <w:rPr>
                <w:rFonts w:cs="Arial"/>
                <w:color w:val="auto"/>
                <w:sz w:val="18"/>
                <w:szCs w:val="18"/>
                <w:lang w:val="es-MX" w:eastAsia="es-MX"/>
              </w:rPr>
              <w:t>6.5</w:t>
            </w:r>
          </w:p>
        </w:tc>
        <w:tc>
          <w:tcPr>
            <w:tcW w:w="992" w:type="dxa"/>
            <w:tcBorders>
              <w:top w:val="nil"/>
              <w:left w:val="nil"/>
              <w:bottom w:val="nil"/>
              <w:right w:val="double" w:sz="4" w:space="0" w:color="auto"/>
            </w:tcBorders>
            <w:shd w:val="clear" w:color="auto" w:fill="FFFFFF" w:themeFill="background1"/>
            <w:vAlign w:val="center"/>
          </w:tcPr>
          <w:p w14:paraId="5F6AF1E8" w14:textId="77777777" w:rsidR="00E8437C" w:rsidRPr="00AB6295" w:rsidRDefault="00E8437C" w:rsidP="00E8437C">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7.5</w:t>
            </w:r>
          </w:p>
        </w:tc>
        <w:tc>
          <w:tcPr>
            <w:tcW w:w="992" w:type="dxa"/>
            <w:tcBorders>
              <w:top w:val="nil"/>
              <w:left w:val="nil"/>
              <w:bottom w:val="nil"/>
              <w:right w:val="nil"/>
            </w:tcBorders>
            <w:shd w:val="clear" w:color="auto" w:fill="FFFFFF" w:themeFill="background1"/>
            <w:vAlign w:val="center"/>
          </w:tcPr>
          <w:p w14:paraId="24CF4C51" w14:textId="43D08FAF" w:rsidR="00E8437C" w:rsidRPr="00AB6295" w:rsidRDefault="00E8437C" w:rsidP="00E8437C">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10</w:t>
            </w:r>
            <w:r w:rsidRPr="00AB6295">
              <w:rPr>
                <w:rFonts w:cs="Arial"/>
                <w:color w:val="auto"/>
                <w:sz w:val="18"/>
                <w:szCs w:val="18"/>
                <w:lang w:val="es-MX" w:eastAsia="es-MX"/>
              </w:rPr>
              <w:t>.</w:t>
            </w:r>
            <w:r w:rsidR="0001069D">
              <w:rPr>
                <w:rFonts w:cs="Arial"/>
                <w:color w:val="auto"/>
                <w:sz w:val="18"/>
                <w:szCs w:val="18"/>
                <w:lang w:val="es-MX" w:eastAsia="es-MX"/>
              </w:rPr>
              <w:t>2</w:t>
            </w:r>
          </w:p>
        </w:tc>
        <w:tc>
          <w:tcPr>
            <w:tcW w:w="992" w:type="dxa"/>
            <w:tcBorders>
              <w:top w:val="nil"/>
              <w:left w:val="nil"/>
              <w:bottom w:val="nil"/>
              <w:right w:val="nil"/>
            </w:tcBorders>
            <w:shd w:val="clear" w:color="auto" w:fill="FFFFFF" w:themeFill="background1"/>
            <w:vAlign w:val="center"/>
          </w:tcPr>
          <w:p w14:paraId="6D09A937" w14:textId="16064395" w:rsidR="00E8437C" w:rsidRDefault="0001069D" w:rsidP="00E8437C">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2.3</w:t>
            </w:r>
          </w:p>
        </w:tc>
        <w:tc>
          <w:tcPr>
            <w:tcW w:w="992" w:type="dxa"/>
            <w:tcBorders>
              <w:top w:val="nil"/>
              <w:left w:val="nil"/>
              <w:bottom w:val="nil"/>
              <w:right w:val="double" w:sz="4" w:space="0" w:color="auto"/>
            </w:tcBorders>
            <w:shd w:val="clear" w:color="auto" w:fill="FFFFFF" w:themeFill="background1"/>
            <w:vAlign w:val="center"/>
          </w:tcPr>
          <w:p w14:paraId="7A0FBF0A" w14:textId="10683400" w:rsidR="00E8437C" w:rsidRDefault="0001069D" w:rsidP="00E8437C">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6.9</w:t>
            </w:r>
          </w:p>
        </w:tc>
      </w:tr>
      <w:tr w:rsidR="00E8437C" w:rsidRPr="004358CE" w14:paraId="4ED0A16B" w14:textId="4920D666" w:rsidTr="00E8437C">
        <w:trPr>
          <w:jc w:val="center"/>
        </w:trPr>
        <w:tc>
          <w:tcPr>
            <w:tcW w:w="3702" w:type="dxa"/>
            <w:tcBorders>
              <w:top w:val="nil"/>
              <w:left w:val="double" w:sz="4" w:space="0" w:color="auto"/>
              <w:bottom w:val="nil"/>
              <w:right w:val="single" w:sz="4" w:space="0" w:color="auto"/>
            </w:tcBorders>
            <w:vAlign w:val="center"/>
          </w:tcPr>
          <w:p w14:paraId="4A4D88C7" w14:textId="77777777" w:rsidR="00E8437C" w:rsidRPr="00AB6295" w:rsidRDefault="00E8437C" w:rsidP="00E8437C">
            <w:pPr>
              <w:pStyle w:val="not31"/>
              <w:keepLines w:val="0"/>
              <w:widowControl w:val="0"/>
              <w:spacing w:before="20" w:after="20"/>
              <w:ind w:right="-79"/>
              <w:jc w:val="left"/>
              <w:rPr>
                <w:rFonts w:cs="Arial"/>
                <w:b/>
                <w:color w:val="auto"/>
                <w:sz w:val="18"/>
                <w:szCs w:val="18"/>
                <w:lang w:val="es-MX" w:eastAsia="es-MX"/>
              </w:rPr>
            </w:pPr>
            <w:r w:rsidRPr="00AB6295">
              <w:rPr>
                <w:rFonts w:cs="Arial"/>
                <w:b/>
                <w:color w:val="auto"/>
                <w:sz w:val="18"/>
                <w:szCs w:val="18"/>
                <w:lang w:val="es-MX" w:eastAsia="es-MX"/>
              </w:rPr>
              <w:t>Oferta y Demanda</w:t>
            </w:r>
          </w:p>
        </w:tc>
        <w:tc>
          <w:tcPr>
            <w:tcW w:w="725" w:type="dxa"/>
            <w:tcBorders>
              <w:top w:val="nil"/>
              <w:left w:val="nil"/>
              <w:bottom w:val="nil"/>
              <w:right w:val="nil"/>
            </w:tcBorders>
            <w:shd w:val="clear" w:color="auto" w:fill="FFFFFF" w:themeFill="background1"/>
            <w:vAlign w:val="center"/>
          </w:tcPr>
          <w:p w14:paraId="0BD96C43" w14:textId="77777777" w:rsidR="00E8437C" w:rsidRPr="00AB6295" w:rsidRDefault="00E8437C" w:rsidP="00E8437C">
            <w:pPr>
              <w:pStyle w:val="not31"/>
              <w:keepLines w:val="0"/>
              <w:widowControl w:val="0"/>
              <w:spacing w:before="20" w:after="20"/>
              <w:ind w:left="-108" w:right="113"/>
              <w:jc w:val="right"/>
              <w:rPr>
                <w:rFonts w:cs="Arial"/>
                <w:b/>
                <w:color w:val="auto"/>
                <w:sz w:val="18"/>
                <w:szCs w:val="18"/>
                <w:lang w:val="es-MX" w:eastAsia="es-MX"/>
              </w:rPr>
            </w:pPr>
            <w:r w:rsidRPr="00AB6295">
              <w:rPr>
                <w:rFonts w:cs="Arial"/>
                <w:b/>
                <w:color w:val="auto"/>
                <w:sz w:val="18"/>
                <w:szCs w:val="18"/>
                <w:lang w:val="es-MX" w:eastAsia="es-MX"/>
              </w:rPr>
              <w:t>5.</w:t>
            </w:r>
            <w:r>
              <w:rPr>
                <w:rFonts w:cs="Arial"/>
                <w:b/>
                <w:color w:val="auto"/>
                <w:sz w:val="18"/>
                <w:szCs w:val="18"/>
                <w:lang w:val="es-MX" w:eastAsia="es-MX"/>
              </w:rPr>
              <w:t>4</w:t>
            </w:r>
          </w:p>
        </w:tc>
        <w:tc>
          <w:tcPr>
            <w:tcW w:w="693" w:type="dxa"/>
            <w:tcBorders>
              <w:top w:val="nil"/>
              <w:left w:val="nil"/>
              <w:bottom w:val="nil"/>
              <w:right w:val="nil"/>
            </w:tcBorders>
            <w:shd w:val="clear" w:color="auto" w:fill="FFFFFF" w:themeFill="background1"/>
            <w:vAlign w:val="center"/>
          </w:tcPr>
          <w:p w14:paraId="2F1AF2B3" w14:textId="77777777" w:rsidR="00E8437C" w:rsidRPr="00AB6295" w:rsidRDefault="00E8437C" w:rsidP="00E8437C">
            <w:pPr>
              <w:pStyle w:val="not31"/>
              <w:keepLines w:val="0"/>
              <w:widowControl w:val="0"/>
              <w:spacing w:before="20" w:after="20"/>
              <w:ind w:left="-108" w:right="113"/>
              <w:jc w:val="right"/>
              <w:rPr>
                <w:rFonts w:cs="Arial"/>
                <w:b/>
                <w:color w:val="auto"/>
                <w:sz w:val="18"/>
                <w:szCs w:val="18"/>
                <w:lang w:val="es-MX" w:eastAsia="es-MX"/>
              </w:rPr>
            </w:pPr>
            <w:r>
              <w:rPr>
                <w:rFonts w:cs="Arial"/>
                <w:b/>
                <w:color w:val="auto"/>
                <w:sz w:val="18"/>
                <w:szCs w:val="18"/>
                <w:lang w:val="es-MX" w:eastAsia="es-MX"/>
              </w:rPr>
              <w:t>4.8</w:t>
            </w:r>
          </w:p>
        </w:tc>
        <w:tc>
          <w:tcPr>
            <w:tcW w:w="992" w:type="dxa"/>
            <w:tcBorders>
              <w:top w:val="nil"/>
              <w:left w:val="nil"/>
              <w:bottom w:val="nil"/>
              <w:right w:val="double" w:sz="4" w:space="0" w:color="auto"/>
            </w:tcBorders>
            <w:shd w:val="clear" w:color="auto" w:fill="FFFFFF" w:themeFill="background1"/>
            <w:vAlign w:val="center"/>
          </w:tcPr>
          <w:p w14:paraId="37DD84E2" w14:textId="77777777" w:rsidR="00E8437C" w:rsidRPr="00AB6295" w:rsidRDefault="00E8437C" w:rsidP="00E8437C">
            <w:pPr>
              <w:pStyle w:val="not31"/>
              <w:keepLines w:val="0"/>
              <w:widowControl w:val="0"/>
              <w:spacing w:before="20" w:after="20"/>
              <w:ind w:right="227"/>
              <w:jc w:val="right"/>
              <w:rPr>
                <w:rFonts w:cs="Arial"/>
                <w:b/>
                <w:color w:val="auto"/>
                <w:sz w:val="18"/>
                <w:szCs w:val="18"/>
                <w:lang w:val="es-MX" w:eastAsia="es-MX"/>
              </w:rPr>
            </w:pPr>
            <w:r w:rsidRPr="00AB6295">
              <w:rPr>
                <w:rFonts w:cs="Arial"/>
                <w:b/>
                <w:color w:val="auto"/>
                <w:sz w:val="18"/>
                <w:szCs w:val="18"/>
                <w:lang w:val="es-MX" w:eastAsia="es-MX"/>
              </w:rPr>
              <w:t>4.</w:t>
            </w:r>
            <w:r>
              <w:rPr>
                <w:rFonts w:cs="Arial"/>
                <w:b/>
                <w:color w:val="auto"/>
                <w:sz w:val="18"/>
                <w:szCs w:val="18"/>
                <w:lang w:val="es-MX" w:eastAsia="es-MX"/>
              </w:rPr>
              <w:t>1</w:t>
            </w:r>
          </w:p>
        </w:tc>
        <w:tc>
          <w:tcPr>
            <w:tcW w:w="992" w:type="dxa"/>
            <w:tcBorders>
              <w:top w:val="nil"/>
              <w:left w:val="nil"/>
              <w:bottom w:val="nil"/>
              <w:right w:val="nil"/>
            </w:tcBorders>
            <w:shd w:val="clear" w:color="auto" w:fill="FFFFFF" w:themeFill="background1"/>
            <w:vAlign w:val="center"/>
          </w:tcPr>
          <w:p w14:paraId="483FB35C" w14:textId="2C6E7976" w:rsidR="00E8437C" w:rsidRPr="00AB6295" w:rsidRDefault="00E8437C" w:rsidP="00E8437C">
            <w:pPr>
              <w:pStyle w:val="not31"/>
              <w:keepLines w:val="0"/>
              <w:widowControl w:val="0"/>
              <w:spacing w:before="20" w:after="20"/>
              <w:ind w:right="227"/>
              <w:jc w:val="right"/>
              <w:rPr>
                <w:rFonts w:cs="Arial"/>
                <w:b/>
                <w:color w:val="auto"/>
                <w:sz w:val="18"/>
                <w:szCs w:val="18"/>
                <w:lang w:val="es-MX" w:eastAsia="es-MX"/>
              </w:rPr>
            </w:pPr>
            <w:r>
              <w:rPr>
                <w:rFonts w:cs="Arial"/>
                <w:b/>
                <w:color w:val="auto"/>
                <w:sz w:val="18"/>
                <w:szCs w:val="18"/>
                <w:lang w:val="es-MX" w:eastAsia="es-MX"/>
              </w:rPr>
              <w:t>6.</w:t>
            </w:r>
            <w:r w:rsidR="0001069D">
              <w:rPr>
                <w:rFonts w:cs="Arial"/>
                <w:b/>
                <w:color w:val="auto"/>
                <w:sz w:val="18"/>
                <w:szCs w:val="18"/>
                <w:lang w:val="es-MX" w:eastAsia="es-MX"/>
              </w:rPr>
              <w:t>9</w:t>
            </w:r>
          </w:p>
        </w:tc>
        <w:tc>
          <w:tcPr>
            <w:tcW w:w="992" w:type="dxa"/>
            <w:tcBorders>
              <w:top w:val="nil"/>
              <w:left w:val="nil"/>
              <w:bottom w:val="nil"/>
              <w:right w:val="nil"/>
            </w:tcBorders>
            <w:shd w:val="clear" w:color="auto" w:fill="FFFFFF" w:themeFill="background1"/>
            <w:vAlign w:val="center"/>
          </w:tcPr>
          <w:p w14:paraId="6E5CF39D" w14:textId="065122E6" w:rsidR="00E8437C" w:rsidRDefault="0001069D" w:rsidP="00E8437C">
            <w:pPr>
              <w:pStyle w:val="not31"/>
              <w:keepLines w:val="0"/>
              <w:widowControl w:val="0"/>
              <w:spacing w:before="20" w:after="20"/>
              <w:ind w:right="227"/>
              <w:jc w:val="right"/>
              <w:rPr>
                <w:rFonts w:cs="Arial"/>
                <w:b/>
                <w:color w:val="auto"/>
                <w:sz w:val="18"/>
                <w:szCs w:val="18"/>
                <w:lang w:val="es-MX" w:eastAsia="es-MX"/>
              </w:rPr>
            </w:pPr>
            <w:r>
              <w:rPr>
                <w:rFonts w:cs="Arial"/>
                <w:b/>
                <w:color w:val="auto"/>
                <w:sz w:val="18"/>
                <w:szCs w:val="18"/>
                <w:lang w:val="es-MX" w:eastAsia="es-MX"/>
              </w:rPr>
              <w:t>7.0</w:t>
            </w:r>
          </w:p>
        </w:tc>
        <w:tc>
          <w:tcPr>
            <w:tcW w:w="992" w:type="dxa"/>
            <w:tcBorders>
              <w:top w:val="nil"/>
              <w:left w:val="nil"/>
              <w:bottom w:val="nil"/>
              <w:right w:val="double" w:sz="4" w:space="0" w:color="auto"/>
            </w:tcBorders>
            <w:shd w:val="clear" w:color="auto" w:fill="FFFFFF" w:themeFill="background1"/>
            <w:vAlign w:val="center"/>
          </w:tcPr>
          <w:p w14:paraId="0BCDD2F6" w14:textId="4A4A0118" w:rsidR="00E8437C" w:rsidRDefault="0001069D" w:rsidP="00E8437C">
            <w:pPr>
              <w:pStyle w:val="not31"/>
              <w:keepLines w:val="0"/>
              <w:widowControl w:val="0"/>
              <w:spacing w:before="20" w:after="20"/>
              <w:ind w:right="227"/>
              <w:jc w:val="right"/>
              <w:rPr>
                <w:rFonts w:cs="Arial"/>
                <w:b/>
                <w:color w:val="auto"/>
                <w:sz w:val="18"/>
                <w:szCs w:val="18"/>
                <w:lang w:val="es-MX" w:eastAsia="es-MX"/>
              </w:rPr>
            </w:pPr>
            <w:r>
              <w:rPr>
                <w:rFonts w:cs="Arial"/>
                <w:b/>
                <w:color w:val="auto"/>
                <w:sz w:val="18"/>
                <w:szCs w:val="18"/>
                <w:lang w:val="es-MX" w:eastAsia="es-MX"/>
              </w:rPr>
              <w:t>7.0</w:t>
            </w:r>
          </w:p>
        </w:tc>
      </w:tr>
      <w:tr w:rsidR="00E8437C" w:rsidRPr="004358CE" w14:paraId="226A544A" w14:textId="7222DAEA" w:rsidTr="00E8437C">
        <w:trPr>
          <w:jc w:val="center"/>
        </w:trPr>
        <w:tc>
          <w:tcPr>
            <w:tcW w:w="3702" w:type="dxa"/>
            <w:tcBorders>
              <w:top w:val="nil"/>
              <w:left w:val="double" w:sz="4" w:space="0" w:color="auto"/>
              <w:bottom w:val="nil"/>
              <w:right w:val="single" w:sz="4" w:space="0" w:color="auto"/>
            </w:tcBorders>
            <w:vAlign w:val="center"/>
          </w:tcPr>
          <w:p w14:paraId="34CD6D46" w14:textId="77777777" w:rsidR="00E8437C" w:rsidRPr="00AB6295" w:rsidRDefault="00E8437C" w:rsidP="00E8437C">
            <w:pPr>
              <w:pStyle w:val="not31"/>
              <w:keepLines w:val="0"/>
              <w:widowControl w:val="0"/>
              <w:spacing w:before="20" w:after="20"/>
              <w:ind w:left="48" w:right="-79"/>
              <w:jc w:val="left"/>
              <w:rPr>
                <w:rFonts w:cs="Arial"/>
                <w:color w:val="auto"/>
                <w:sz w:val="18"/>
                <w:szCs w:val="18"/>
                <w:lang w:val="es-MX" w:eastAsia="es-MX"/>
              </w:rPr>
            </w:pPr>
            <w:r w:rsidRPr="00AB6295">
              <w:rPr>
                <w:rFonts w:cs="Arial"/>
                <w:color w:val="auto"/>
                <w:sz w:val="18"/>
                <w:szCs w:val="18"/>
                <w:lang w:val="es-MX" w:eastAsia="es-MX"/>
              </w:rPr>
              <w:t>Consumo Privado</w:t>
            </w:r>
          </w:p>
        </w:tc>
        <w:tc>
          <w:tcPr>
            <w:tcW w:w="725" w:type="dxa"/>
            <w:tcBorders>
              <w:top w:val="nil"/>
              <w:left w:val="nil"/>
              <w:bottom w:val="nil"/>
              <w:right w:val="nil"/>
            </w:tcBorders>
            <w:shd w:val="clear" w:color="auto" w:fill="FFFFFF" w:themeFill="background1"/>
            <w:vAlign w:val="center"/>
          </w:tcPr>
          <w:p w14:paraId="10ECFEDC" w14:textId="77777777" w:rsidR="00E8437C" w:rsidRPr="00AB6295" w:rsidRDefault="00E8437C" w:rsidP="00E8437C">
            <w:pPr>
              <w:pStyle w:val="not31"/>
              <w:keepLines w:val="0"/>
              <w:widowControl w:val="0"/>
              <w:spacing w:before="20" w:after="20"/>
              <w:ind w:left="-108" w:right="113"/>
              <w:jc w:val="right"/>
              <w:rPr>
                <w:rFonts w:cs="Arial"/>
                <w:color w:val="auto"/>
                <w:sz w:val="18"/>
                <w:szCs w:val="18"/>
                <w:lang w:val="es-MX" w:eastAsia="es-MX"/>
              </w:rPr>
            </w:pPr>
            <w:r w:rsidRPr="00AB6295">
              <w:rPr>
                <w:rFonts w:cs="Arial"/>
                <w:color w:val="auto"/>
                <w:sz w:val="18"/>
                <w:szCs w:val="18"/>
                <w:lang w:val="es-MX" w:eastAsia="es-MX"/>
              </w:rPr>
              <w:t>3.7</w:t>
            </w:r>
          </w:p>
        </w:tc>
        <w:tc>
          <w:tcPr>
            <w:tcW w:w="693" w:type="dxa"/>
            <w:tcBorders>
              <w:top w:val="nil"/>
              <w:left w:val="nil"/>
              <w:bottom w:val="nil"/>
              <w:right w:val="nil"/>
            </w:tcBorders>
            <w:shd w:val="clear" w:color="auto" w:fill="FFFFFF" w:themeFill="background1"/>
            <w:vAlign w:val="center"/>
          </w:tcPr>
          <w:p w14:paraId="6EF9F212" w14:textId="77777777" w:rsidR="00E8437C" w:rsidRPr="00AB6295" w:rsidRDefault="00E8437C" w:rsidP="00E8437C">
            <w:pPr>
              <w:pStyle w:val="not31"/>
              <w:keepLines w:val="0"/>
              <w:widowControl w:val="0"/>
              <w:spacing w:before="20" w:after="20"/>
              <w:ind w:left="-108" w:right="113"/>
              <w:jc w:val="right"/>
              <w:rPr>
                <w:rFonts w:cs="Arial"/>
                <w:color w:val="auto"/>
                <w:sz w:val="18"/>
                <w:szCs w:val="18"/>
                <w:lang w:val="es-MX" w:eastAsia="es-MX"/>
              </w:rPr>
            </w:pPr>
            <w:r w:rsidRPr="00AB6295">
              <w:rPr>
                <w:rFonts w:cs="Arial"/>
                <w:color w:val="auto"/>
                <w:sz w:val="18"/>
                <w:szCs w:val="18"/>
                <w:lang w:val="es-MX" w:eastAsia="es-MX"/>
              </w:rPr>
              <w:t>3.</w:t>
            </w:r>
            <w:r>
              <w:rPr>
                <w:rFonts w:cs="Arial"/>
                <w:color w:val="auto"/>
                <w:sz w:val="18"/>
                <w:szCs w:val="18"/>
                <w:lang w:val="es-MX" w:eastAsia="es-MX"/>
              </w:rPr>
              <w:t>8</w:t>
            </w:r>
          </w:p>
        </w:tc>
        <w:tc>
          <w:tcPr>
            <w:tcW w:w="992" w:type="dxa"/>
            <w:tcBorders>
              <w:top w:val="nil"/>
              <w:left w:val="nil"/>
              <w:bottom w:val="nil"/>
              <w:right w:val="double" w:sz="4" w:space="0" w:color="auto"/>
            </w:tcBorders>
            <w:shd w:val="clear" w:color="auto" w:fill="FFFFFF" w:themeFill="background1"/>
            <w:vAlign w:val="center"/>
          </w:tcPr>
          <w:p w14:paraId="05C88691" w14:textId="77777777" w:rsidR="00E8437C" w:rsidRPr="00AB6295" w:rsidRDefault="00E8437C" w:rsidP="00E8437C">
            <w:pPr>
              <w:pStyle w:val="not31"/>
              <w:keepLines w:val="0"/>
              <w:widowControl w:val="0"/>
              <w:spacing w:before="20" w:after="20"/>
              <w:ind w:right="227"/>
              <w:jc w:val="right"/>
              <w:rPr>
                <w:rFonts w:cs="Arial"/>
                <w:color w:val="auto"/>
                <w:sz w:val="18"/>
                <w:szCs w:val="18"/>
                <w:lang w:val="es-MX" w:eastAsia="es-MX"/>
              </w:rPr>
            </w:pPr>
            <w:r w:rsidRPr="00AB6295">
              <w:rPr>
                <w:rFonts w:cs="Arial"/>
                <w:color w:val="auto"/>
                <w:sz w:val="18"/>
                <w:szCs w:val="18"/>
                <w:lang w:val="es-MX" w:eastAsia="es-MX"/>
              </w:rPr>
              <w:t>3.</w:t>
            </w:r>
            <w:r>
              <w:rPr>
                <w:rFonts w:cs="Arial"/>
                <w:color w:val="auto"/>
                <w:sz w:val="18"/>
                <w:szCs w:val="18"/>
                <w:lang w:val="es-MX" w:eastAsia="es-MX"/>
              </w:rPr>
              <w:t>5</w:t>
            </w:r>
          </w:p>
        </w:tc>
        <w:tc>
          <w:tcPr>
            <w:tcW w:w="992" w:type="dxa"/>
            <w:tcBorders>
              <w:top w:val="nil"/>
              <w:left w:val="nil"/>
              <w:bottom w:val="nil"/>
              <w:right w:val="nil"/>
            </w:tcBorders>
            <w:shd w:val="clear" w:color="auto" w:fill="FFFFFF" w:themeFill="background1"/>
            <w:vAlign w:val="center"/>
          </w:tcPr>
          <w:p w14:paraId="78DF1D0C" w14:textId="329EC72C" w:rsidR="00E8437C" w:rsidRPr="00AB6295" w:rsidRDefault="00E8437C" w:rsidP="00E8437C">
            <w:pPr>
              <w:pStyle w:val="not31"/>
              <w:keepLines w:val="0"/>
              <w:widowControl w:val="0"/>
              <w:spacing w:before="20" w:after="20"/>
              <w:ind w:right="227"/>
              <w:jc w:val="right"/>
              <w:rPr>
                <w:rFonts w:cs="Arial"/>
                <w:color w:val="auto"/>
                <w:sz w:val="18"/>
                <w:szCs w:val="18"/>
                <w:lang w:val="es-MX" w:eastAsia="es-MX"/>
              </w:rPr>
            </w:pPr>
            <w:r w:rsidRPr="00AB6295">
              <w:rPr>
                <w:rFonts w:cs="Arial"/>
                <w:color w:val="auto"/>
                <w:sz w:val="18"/>
                <w:szCs w:val="18"/>
                <w:lang w:val="es-MX" w:eastAsia="es-MX"/>
              </w:rPr>
              <w:t>4</w:t>
            </w:r>
            <w:r>
              <w:rPr>
                <w:rFonts w:cs="Arial"/>
                <w:color w:val="auto"/>
                <w:sz w:val="18"/>
                <w:szCs w:val="18"/>
                <w:lang w:val="es-MX" w:eastAsia="es-MX"/>
              </w:rPr>
              <w:t>.</w:t>
            </w:r>
            <w:r w:rsidR="0001069D">
              <w:rPr>
                <w:rFonts w:cs="Arial"/>
                <w:color w:val="auto"/>
                <w:sz w:val="18"/>
                <w:szCs w:val="18"/>
                <w:lang w:val="es-MX" w:eastAsia="es-MX"/>
              </w:rPr>
              <w:t>7</w:t>
            </w:r>
          </w:p>
        </w:tc>
        <w:tc>
          <w:tcPr>
            <w:tcW w:w="992" w:type="dxa"/>
            <w:tcBorders>
              <w:top w:val="nil"/>
              <w:left w:val="nil"/>
              <w:bottom w:val="nil"/>
              <w:right w:val="nil"/>
            </w:tcBorders>
            <w:shd w:val="clear" w:color="auto" w:fill="FFFFFF" w:themeFill="background1"/>
            <w:vAlign w:val="center"/>
          </w:tcPr>
          <w:p w14:paraId="761773DE" w14:textId="5E36188D" w:rsidR="00E8437C" w:rsidRPr="00AB6295" w:rsidRDefault="0001069D" w:rsidP="00E8437C">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6.0</w:t>
            </w:r>
          </w:p>
        </w:tc>
        <w:tc>
          <w:tcPr>
            <w:tcW w:w="992" w:type="dxa"/>
            <w:tcBorders>
              <w:top w:val="nil"/>
              <w:left w:val="nil"/>
              <w:bottom w:val="nil"/>
              <w:right w:val="double" w:sz="4" w:space="0" w:color="auto"/>
            </w:tcBorders>
            <w:shd w:val="clear" w:color="auto" w:fill="FFFFFF" w:themeFill="background1"/>
            <w:vAlign w:val="center"/>
          </w:tcPr>
          <w:p w14:paraId="3E354203" w14:textId="7013D1A1" w:rsidR="00E8437C" w:rsidRPr="00AB6295" w:rsidRDefault="0001069D" w:rsidP="00E8437C">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5.4</w:t>
            </w:r>
          </w:p>
        </w:tc>
      </w:tr>
      <w:tr w:rsidR="00E8437C" w:rsidRPr="004358CE" w14:paraId="72202B44" w14:textId="1C324270" w:rsidTr="00E8437C">
        <w:trPr>
          <w:jc w:val="center"/>
        </w:trPr>
        <w:tc>
          <w:tcPr>
            <w:tcW w:w="3702" w:type="dxa"/>
            <w:tcBorders>
              <w:top w:val="nil"/>
              <w:left w:val="double" w:sz="4" w:space="0" w:color="auto"/>
              <w:bottom w:val="nil"/>
              <w:right w:val="single" w:sz="4" w:space="0" w:color="auto"/>
            </w:tcBorders>
            <w:vAlign w:val="center"/>
          </w:tcPr>
          <w:p w14:paraId="64306955" w14:textId="77777777" w:rsidR="00E8437C" w:rsidRPr="00AB6295" w:rsidRDefault="00E8437C" w:rsidP="00E8437C">
            <w:pPr>
              <w:pStyle w:val="not31"/>
              <w:keepLines w:val="0"/>
              <w:widowControl w:val="0"/>
              <w:spacing w:before="20" w:after="20"/>
              <w:ind w:right="-79"/>
              <w:jc w:val="left"/>
              <w:rPr>
                <w:rFonts w:cs="Arial"/>
                <w:color w:val="auto"/>
                <w:sz w:val="18"/>
                <w:szCs w:val="18"/>
                <w:lang w:val="es-MX" w:eastAsia="es-MX"/>
              </w:rPr>
            </w:pPr>
            <w:r>
              <w:rPr>
                <w:rFonts w:cs="Arial"/>
                <w:color w:val="auto"/>
                <w:sz w:val="18"/>
                <w:szCs w:val="18"/>
                <w:lang w:val="es-MX" w:eastAsia="es-MX"/>
              </w:rPr>
              <w:t xml:space="preserve"> </w:t>
            </w:r>
            <w:r w:rsidRPr="00AB6295">
              <w:rPr>
                <w:rFonts w:cs="Arial"/>
                <w:color w:val="auto"/>
                <w:sz w:val="18"/>
                <w:szCs w:val="18"/>
                <w:lang w:val="es-MX" w:eastAsia="es-MX"/>
              </w:rPr>
              <w:t>Consumo de Gobierno</w:t>
            </w:r>
          </w:p>
        </w:tc>
        <w:tc>
          <w:tcPr>
            <w:tcW w:w="725" w:type="dxa"/>
            <w:tcBorders>
              <w:top w:val="nil"/>
              <w:left w:val="nil"/>
              <w:bottom w:val="nil"/>
              <w:right w:val="nil"/>
            </w:tcBorders>
            <w:shd w:val="clear" w:color="auto" w:fill="FFFFFF" w:themeFill="background1"/>
            <w:vAlign w:val="center"/>
          </w:tcPr>
          <w:p w14:paraId="117B6C65" w14:textId="77777777" w:rsidR="00E8437C" w:rsidRPr="00AB6295" w:rsidRDefault="00E8437C" w:rsidP="00E8437C">
            <w:pPr>
              <w:pStyle w:val="not31"/>
              <w:keepLines w:val="0"/>
              <w:widowControl w:val="0"/>
              <w:spacing w:before="20" w:after="20"/>
              <w:ind w:left="-108" w:right="113"/>
              <w:jc w:val="right"/>
              <w:rPr>
                <w:rFonts w:cs="Arial"/>
                <w:color w:val="auto"/>
                <w:sz w:val="18"/>
                <w:szCs w:val="18"/>
                <w:lang w:val="es-MX" w:eastAsia="es-MX"/>
              </w:rPr>
            </w:pPr>
            <w:r w:rsidRPr="00AB6295">
              <w:rPr>
                <w:rFonts w:cs="Arial"/>
                <w:color w:val="auto"/>
                <w:sz w:val="18"/>
                <w:szCs w:val="18"/>
                <w:lang w:val="es-MX" w:eastAsia="es-MX"/>
              </w:rPr>
              <w:t>4.</w:t>
            </w:r>
            <w:r>
              <w:rPr>
                <w:rFonts w:cs="Arial"/>
                <w:color w:val="auto"/>
                <w:sz w:val="18"/>
                <w:szCs w:val="18"/>
                <w:lang w:val="es-MX" w:eastAsia="es-MX"/>
              </w:rPr>
              <w:t>0</w:t>
            </w:r>
          </w:p>
        </w:tc>
        <w:tc>
          <w:tcPr>
            <w:tcW w:w="693" w:type="dxa"/>
            <w:tcBorders>
              <w:top w:val="nil"/>
              <w:left w:val="nil"/>
              <w:bottom w:val="nil"/>
              <w:right w:val="nil"/>
            </w:tcBorders>
            <w:shd w:val="clear" w:color="auto" w:fill="FFFFFF" w:themeFill="background1"/>
            <w:vAlign w:val="center"/>
          </w:tcPr>
          <w:p w14:paraId="46FA28A5" w14:textId="77777777" w:rsidR="00E8437C" w:rsidRPr="00AB6295" w:rsidRDefault="00E8437C" w:rsidP="00E8437C">
            <w:pPr>
              <w:pStyle w:val="not31"/>
              <w:keepLines w:val="0"/>
              <w:widowControl w:val="0"/>
              <w:spacing w:before="20" w:after="20"/>
              <w:ind w:left="-108" w:right="113"/>
              <w:jc w:val="right"/>
              <w:rPr>
                <w:rFonts w:cs="Arial"/>
                <w:color w:val="auto"/>
                <w:sz w:val="18"/>
                <w:szCs w:val="18"/>
                <w:lang w:val="es-MX" w:eastAsia="es-MX"/>
              </w:rPr>
            </w:pPr>
            <w:r>
              <w:rPr>
                <w:rFonts w:cs="Arial"/>
                <w:color w:val="auto"/>
                <w:sz w:val="18"/>
                <w:szCs w:val="18"/>
                <w:lang w:val="es-MX" w:eastAsia="es-MX"/>
              </w:rPr>
              <w:t>3.7</w:t>
            </w:r>
          </w:p>
        </w:tc>
        <w:tc>
          <w:tcPr>
            <w:tcW w:w="992" w:type="dxa"/>
            <w:tcBorders>
              <w:top w:val="nil"/>
              <w:left w:val="nil"/>
              <w:bottom w:val="nil"/>
              <w:right w:val="double" w:sz="4" w:space="0" w:color="auto"/>
            </w:tcBorders>
            <w:shd w:val="clear" w:color="auto" w:fill="FFFFFF" w:themeFill="background1"/>
            <w:vAlign w:val="center"/>
          </w:tcPr>
          <w:p w14:paraId="05F62680" w14:textId="77777777" w:rsidR="00E8437C" w:rsidRPr="00AB6295" w:rsidRDefault="00E8437C" w:rsidP="00E8437C">
            <w:pPr>
              <w:pStyle w:val="not31"/>
              <w:keepLines w:val="0"/>
              <w:widowControl w:val="0"/>
              <w:spacing w:before="20" w:after="20"/>
              <w:ind w:right="227"/>
              <w:jc w:val="right"/>
              <w:rPr>
                <w:rFonts w:cs="Arial"/>
                <w:color w:val="auto"/>
                <w:sz w:val="18"/>
                <w:szCs w:val="18"/>
                <w:lang w:val="es-MX" w:eastAsia="es-MX"/>
              </w:rPr>
            </w:pPr>
            <w:r w:rsidRPr="00AB6295">
              <w:rPr>
                <w:rFonts w:cs="Arial"/>
                <w:color w:val="auto"/>
                <w:sz w:val="18"/>
                <w:szCs w:val="18"/>
                <w:lang w:val="es-MX" w:eastAsia="es-MX"/>
              </w:rPr>
              <w:t>3.8</w:t>
            </w:r>
          </w:p>
        </w:tc>
        <w:tc>
          <w:tcPr>
            <w:tcW w:w="992" w:type="dxa"/>
            <w:tcBorders>
              <w:top w:val="nil"/>
              <w:left w:val="nil"/>
              <w:bottom w:val="nil"/>
              <w:right w:val="nil"/>
            </w:tcBorders>
            <w:shd w:val="clear" w:color="auto" w:fill="FFFFFF" w:themeFill="background1"/>
            <w:vAlign w:val="center"/>
          </w:tcPr>
          <w:p w14:paraId="4F2FA6D5" w14:textId="77777777" w:rsidR="00E8437C" w:rsidRPr="00AB6295" w:rsidRDefault="00E8437C" w:rsidP="00E8437C">
            <w:pPr>
              <w:pStyle w:val="not31"/>
              <w:keepLines w:val="0"/>
              <w:widowControl w:val="0"/>
              <w:spacing w:before="20" w:after="20"/>
              <w:ind w:right="227"/>
              <w:jc w:val="right"/>
              <w:rPr>
                <w:rFonts w:cs="Arial"/>
                <w:color w:val="auto"/>
                <w:sz w:val="18"/>
                <w:szCs w:val="18"/>
                <w:lang w:val="es-MX" w:eastAsia="es-MX"/>
              </w:rPr>
            </w:pPr>
            <w:r w:rsidRPr="00AB6295">
              <w:rPr>
                <w:rFonts w:cs="Arial"/>
                <w:color w:val="auto"/>
                <w:sz w:val="18"/>
                <w:szCs w:val="18"/>
                <w:lang w:val="es-MX" w:eastAsia="es-MX"/>
              </w:rPr>
              <w:t>3.8</w:t>
            </w:r>
          </w:p>
        </w:tc>
        <w:tc>
          <w:tcPr>
            <w:tcW w:w="992" w:type="dxa"/>
            <w:tcBorders>
              <w:top w:val="nil"/>
              <w:left w:val="nil"/>
              <w:bottom w:val="nil"/>
              <w:right w:val="nil"/>
            </w:tcBorders>
            <w:shd w:val="clear" w:color="auto" w:fill="FFFFFF" w:themeFill="background1"/>
            <w:vAlign w:val="center"/>
          </w:tcPr>
          <w:p w14:paraId="2DDA8227" w14:textId="1CD29757" w:rsidR="00E8437C" w:rsidRPr="00AB6295" w:rsidRDefault="0001069D" w:rsidP="00E8437C">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4.5</w:t>
            </w:r>
          </w:p>
        </w:tc>
        <w:tc>
          <w:tcPr>
            <w:tcW w:w="992" w:type="dxa"/>
            <w:tcBorders>
              <w:top w:val="nil"/>
              <w:left w:val="nil"/>
              <w:bottom w:val="nil"/>
              <w:right w:val="double" w:sz="4" w:space="0" w:color="auto"/>
            </w:tcBorders>
            <w:shd w:val="clear" w:color="auto" w:fill="FFFFFF" w:themeFill="background1"/>
            <w:vAlign w:val="center"/>
          </w:tcPr>
          <w:p w14:paraId="4F2B71E4" w14:textId="51CF8FB1" w:rsidR="00E8437C" w:rsidRPr="00AB6295" w:rsidRDefault="0001069D" w:rsidP="00E8437C">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4.2</w:t>
            </w:r>
          </w:p>
        </w:tc>
      </w:tr>
      <w:tr w:rsidR="00E8437C" w:rsidRPr="004358CE" w14:paraId="4276FFE7" w14:textId="50BD224D" w:rsidTr="00E8437C">
        <w:trPr>
          <w:jc w:val="center"/>
        </w:trPr>
        <w:tc>
          <w:tcPr>
            <w:tcW w:w="3702" w:type="dxa"/>
            <w:tcBorders>
              <w:top w:val="nil"/>
              <w:left w:val="double" w:sz="4" w:space="0" w:color="auto"/>
              <w:bottom w:val="nil"/>
              <w:right w:val="single" w:sz="4" w:space="0" w:color="auto"/>
            </w:tcBorders>
            <w:vAlign w:val="center"/>
          </w:tcPr>
          <w:p w14:paraId="5728D380" w14:textId="77777777" w:rsidR="00E8437C" w:rsidRPr="00AB6295" w:rsidRDefault="00E8437C" w:rsidP="00E8437C">
            <w:pPr>
              <w:pStyle w:val="not31"/>
              <w:keepLines w:val="0"/>
              <w:widowControl w:val="0"/>
              <w:spacing w:before="20" w:after="20"/>
              <w:ind w:left="48" w:right="-79"/>
              <w:jc w:val="left"/>
              <w:rPr>
                <w:rFonts w:cs="Arial"/>
                <w:color w:val="auto"/>
                <w:sz w:val="18"/>
                <w:szCs w:val="18"/>
                <w:lang w:val="es-MX" w:eastAsia="es-MX"/>
              </w:rPr>
            </w:pPr>
            <w:r w:rsidRPr="00AB6295">
              <w:rPr>
                <w:rFonts w:cs="Arial"/>
                <w:color w:val="auto"/>
                <w:sz w:val="18"/>
                <w:szCs w:val="18"/>
                <w:lang w:val="es-MX" w:eastAsia="es-MX"/>
              </w:rPr>
              <w:t>Formación Bruta de Capital Fijo</w:t>
            </w:r>
          </w:p>
        </w:tc>
        <w:tc>
          <w:tcPr>
            <w:tcW w:w="725" w:type="dxa"/>
            <w:tcBorders>
              <w:top w:val="nil"/>
              <w:left w:val="nil"/>
              <w:bottom w:val="nil"/>
              <w:right w:val="nil"/>
            </w:tcBorders>
            <w:shd w:val="clear" w:color="auto" w:fill="FFFFFF" w:themeFill="background1"/>
            <w:vAlign w:val="center"/>
          </w:tcPr>
          <w:p w14:paraId="3533FEC1" w14:textId="77777777" w:rsidR="00E8437C" w:rsidRPr="00AB6295" w:rsidRDefault="00E8437C" w:rsidP="00E8437C">
            <w:pPr>
              <w:pStyle w:val="not31"/>
              <w:keepLines w:val="0"/>
              <w:widowControl w:val="0"/>
              <w:spacing w:before="20" w:after="20"/>
              <w:ind w:left="-108" w:right="113"/>
              <w:jc w:val="right"/>
              <w:rPr>
                <w:rFonts w:cs="Arial"/>
                <w:color w:val="auto"/>
                <w:sz w:val="18"/>
                <w:szCs w:val="18"/>
                <w:lang w:val="es-MX" w:eastAsia="es-MX"/>
              </w:rPr>
            </w:pPr>
            <w:r w:rsidRPr="00AB6295">
              <w:rPr>
                <w:rFonts w:cs="Arial"/>
                <w:color w:val="auto"/>
                <w:sz w:val="18"/>
                <w:szCs w:val="18"/>
                <w:lang w:val="es-MX" w:eastAsia="es-MX"/>
              </w:rPr>
              <w:t>6.</w:t>
            </w:r>
            <w:r>
              <w:rPr>
                <w:rFonts w:cs="Arial"/>
                <w:color w:val="auto"/>
                <w:sz w:val="18"/>
                <w:szCs w:val="18"/>
                <w:lang w:val="es-MX" w:eastAsia="es-MX"/>
              </w:rPr>
              <w:t>3</w:t>
            </w:r>
          </w:p>
        </w:tc>
        <w:tc>
          <w:tcPr>
            <w:tcW w:w="693" w:type="dxa"/>
            <w:tcBorders>
              <w:top w:val="nil"/>
              <w:left w:val="nil"/>
              <w:bottom w:val="nil"/>
              <w:right w:val="nil"/>
            </w:tcBorders>
            <w:shd w:val="clear" w:color="auto" w:fill="FFFFFF" w:themeFill="background1"/>
            <w:vAlign w:val="center"/>
          </w:tcPr>
          <w:p w14:paraId="26C11505" w14:textId="77777777" w:rsidR="00E8437C" w:rsidRPr="00AB6295" w:rsidRDefault="00E8437C" w:rsidP="00E8437C">
            <w:pPr>
              <w:pStyle w:val="not31"/>
              <w:keepLines w:val="0"/>
              <w:widowControl w:val="0"/>
              <w:spacing w:before="20" w:after="20"/>
              <w:ind w:left="-108" w:right="113"/>
              <w:jc w:val="right"/>
              <w:rPr>
                <w:rFonts w:cs="Arial"/>
                <w:color w:val="auto"/>
                <w:sz w:val="18"/>
                <w:szCs w:val="18"/>
                <w:lang w:val="es-MX" w:eastAsia="es-MX"/>
              </w:rPr>
            </w:pPr>
            <w:r>
              <w:rPr>
                <w:rFonts w:cs="Arial"/>
                <w:color w:val="auto"/>
                <w:sz w:val="18"/>
                <w:szCs w:val="18"/>
                <w:lang w:val="es-MX" w:eastAsia="es-MX"/>
              </w:rPr>
              <w:t>5</w:t>
            </w:r>
            <w:r w:rsidRPr="00AB6295">
              <w:rPr>
                <w:rFonts w:cs="Arial"/>
                <w:color w:val="auto"/>
                <w:sz w:val="18"/>
                <w:szCs w:val="18"/>
                <w:lang w:val="es-MX" w:eastAsia="es-MX"/>
              </w:rPr>
              <w:t>.4</w:t>
            </w:r>
          </w:p>
        </w:tc>
        <w:tc>
          <w:tcPr>
            <w:tcW w:w="992" w:type="dxa"/>
            <w:tcBorders>
              <w:top w:val="nil"/>
              <w:left w:val="nil"/>
              <w:bottom w:val="nil"/>
              <w:right w:val="double" w:sz="4" w:space="0" w:color="auto"/>
            </w:tcBorders>
            <w:shd w:val="clear" w:color="auto" w:fill="FFFFFF" w:themeFill="background1"/>
            <w:vAlign w:val="center"/>
          </w:tcPr>
          <w:p w14:paraId="585031AA" w14:textId="77777777" w:rsidR="00E8437C" w:rsidRPr="00AB6295" w:rsidRDefault="00E8437C" w:rsidP="00E8437C">
            <w:pPr>
              <w:pStyle w:val="not31"/>
              <w:keepLines w:val="0"/>
              <w:widowControl w:val="0"/>
              <w:spacing w:before="20" w:after="20"/>
              <w:ind w:right="227"/>
              <w:jc w:val="right"/>
              <w:rPr>
                <w:rFonts w:cs="Arial"/>
                <w:color w:val="auto"/>
                <w:sz w:val="18"/>
                <w:szCs w:val="18"/>
                <w:lang w:val="es-MX" w:eastAsia="es-MX"/>
              </w:rPr>
            </w:pPr>
            <w:r w:rsidRPr="00AB6295">
              <w:rPr>
                <w:rFonts w:cs="Arial"/>
                <w:color w:val="auto"/>
                <w:sz w:val="18"/>
                <w:szCs w:val="18"/>
                <w:lang w:val="es-MX" w:eastAsia="es-MX"/>
              </w:rPr>
              <w:t>5.1</w:t>
            </w:r>
          </w:p>
        </w:tc>
        <w:tc>
          <w:tcPr>
            <w:tcW w:w="992" w:type="dxa"/>
            <w:tcBorders>
              <w:top w:val="nil"/>
              <w:left w:val="nil"/>
              <w:bottom w:val="nil"/>
              <w:right w:val="nil"/>
            </w:tcBorders>
            <w:shd w:val="clear" w:color="auto" w:fill="FFFFFF" w:themeFill="background1"/>
            <w:vAlign w:val="center"/>
          </w:tcPr>
          <w:p w14:paraId="178E203A" w14:textId="457DB1FA" w:rsidR="00E8437C" w:rsidRPr="00AB6295" w:rsidRDefault="00E8437C" w:rsidP="00E8437C">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6.</w:t>
            </w:r>
            <w:r w:rsidR="0001069D">
              <w:rPr>
                <w:rFonts w:cs="Arial"/>
                <w:color w:val="auto"/>
                <w:sz w:val="18"/>
                <w:szCs w:val="18"/>
                <w:lang w:val="es-MX" w:eastAsia="es-MX"/>
              </w:rPr>
              <w:t>8</w:t>
            </w:r>
          </w:p>
        </w:tc>
        <w:tc>
          <w:tcPr>
            <w:tcW w:w="992" w:type="dxa"/>
            <w:tcBorders>
              <w:top w:val="nil"/>
              <w:left w:val="nil"/>
              <w:bottom w:val="nil"/>
              <w:right w:val="nil"/>
            </w:tcBorders>
            <w:shd w:val="clear" w:color="auto" w:fill="FFFFFF" w:themeFill="background1"/>
            <w:vAlign w:val="center"/>
          </w:tcPr>
          <w:p w14:paraId="03F106E4" w14:textId="44B818CE" w:rsidR="00E8437C" w:rsidRDefault="0001069D" w:rsidP="00E8437C">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1.8</w:t>
            </w:r>
          </w:p>
        </w:tc>
        <w:tc>
          <w:tcPr>
            <w:tcW w:w="992" w:type="dxa"/>
            <w:tcBorders>
              <w:top w:val="nil"/>
              <w:left w:val="nil"/>
              <w:bottom w:val="nil"/>
              <w:right w:val="double" w:sz="4" w:space="0" w:color="auto"/>
            </w:tcBorders>
            <w:shd w:val="clear" w:color="auto" w:fill="FFFFFF" w:themeFill="background1"/>
            <w:vAlign w:val="center"/>
          </w:tcPr>
          <w:p w14:paraId="02D9C216" w14:textId="20B441ED" w:rsidR="00E8437C" w:rsidRDefault="0001069D" w:rsidP="00E8437C">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4.8</w:t>
            </w:r>
          </w:p>
        </w:tc>
      </w:tr>
      <w:tr w:rsidR="00E8437C" w:rsidRPr="004358CE" w14:paraId="48E71928" w14:textId="76F77EDC" w:rsidTr="00E8437C">
        <w:trPr>
          <w:jc w:val="center"/>
        </w:trPr>
        <w:tc>
          <w:tcPr>
            <w:tcW w:w="3702" w:type="dxa"/>
            <w:tcBorders>
              <w:top w:val="nil"/>
              <w:left w:val="double" w:sz="4" w:space="0" w:color="auto"/>
              <w:bottom w:val="nil"/>
              <w:right w:val="single" w:sz="4" w:space="0" w:color="auto"/>
            </w:tcBorders>
            <w:vAlign w:val="center"/>
          </w:tcPr>
          <w:p w14:paraId="6A44088C" w14:textId="77777777" w:rsidR="00E8437C" w:rsidRPr="00AB6295" w:rsidRDefault="00E8437C" w:rsidP="00E8437C">
            <w:pPr>
              <w:pStyle w:val="not31"/>
              <w:keepLines w:val="0"/>
              <w:widowControl w:val="0"/>
              <w:spacing w:before="20" w:after="20"/>
              <w:ind w:left="48" w:right="-79"/>
              <w:jc w:val="left"/>
              <w:rPr>
                <w:rFonts w:cs="Arial"/>
                <w:color w:val="auto"/>
                <w:sz w:val="18"/>
                <w:szCs w:val="18"/>
                <w:lang w:val="es-MX" w:eastAsia="es-MX"/>
              </w:rPr>
            </w:pPr>
            <w:r w:rsidRPr="00AB6295">
              <w:rPr>
                <w:rFonts w:cs="Arial"/>
                <w:color w:val="auto"/>
                <w:sz w:val="18"/>
                <w:szCs w:val="18"/>
                <w:lang w:val="es-MX" w:eastAsia="es-MX"/>
              </w:rPr>
              <w:t>Variación de Existencias</w:t>
            </w:r>
          </w:p>
        </w:tc>
        <w:tc>
          <w:tcPr>
            <w:tcW w:w="725" w:type="dxa"/>
            <w:tcBorders>
              <w:top w:val="nil"/>
              <w:left w:val="nil"/>
              <w:bottom w:val="nil"/>
              <w:right w:val="nil"/>
            </w:tcBorders>
            <w:shd w:val="clear" w:color="auto" w:fill="FFFFFF" w:themeFill="background1"/>
            <w:vAlign w:val="center"/>
          </w:tcPr>
          <w:p w14:paraId="22DF301E" w14:textId="7268CBEE" w:rsidR="00E8437C" w:rsidRPr="00AB6295" w:rsidRDefault="00E8437C" w:rsidP="00E8437C">
            <w:pPr>
              <w:pStyle w:val="not31"/>
              <w:keepLines w:val="0"/>
              <w:widowControl w:val="0"/>
              <w:spacing w:before="20" w:after="20"/>
              <w:ind w:left="-108" w:right="113"/>
              <w:jc w:val="right"/>
              <w:rPr>
                <w:rFonts w:cs="Arial"/>
                <w:color w:val="auto"/>
                <w:sz w:val="18"/>
                <w:szCs w:val="18"/>
                <w:lang w:val="es-MX" w:eastAsia="es-MX"/>
              </w:rPr>
            </w:pPr>
            <w:r w:rsidRPr="00AB6295">
              <w:rPr>
                <w:rFonts w:cs="Arial"/>
                <w:color w:val="auto"/>
                <w:sz w:val="18"/>
                <w:szCs w:val="18"/>
                <w:lang w:val="es-MX" w:eastAsia="es-MX"/>
              </w:rPr>
              <w:t>N.A</w:t>
            </w:r>
            <w:r w:rsidR="00416DD7">
              <w:rPr>
                <w:rFonts w:cs="Arial"/>
                <w:color w:val="auto"/>
                <w:sz w:val="18"/>
                <w:szCs w:val="18"/>
                <w:lang w:val="es-MX" w:eastAsia="es-MX"/>
              </w:rPr>
              <w:t>.</w:t>
            </w:r>
          </w:p>
        </w:tc>
        <w:tc>
          <w:tcPr>
            <w:tcW w:w="693" w:type="dxa"/>
            <w:tcBorders>
              <w:top w:val="nil"/>
              <w:left w:val="nil"/>
              <w:bottom w:val="nil"/>
              <w:right w:val="nil"/>
            </w:tcBorders>
            <w:shd w:val="clear" w:color="auto" w:fill="FFFFFF" w:themeFill="background1"/>
            <w:vAlign w:val="center"/>
          </w:tcPr>
          <w:p w14:paraId="6745C66A" w14:textId="5C504F44" w:rsidR="00E8437C" w:rsidRPr="00AB6295" w:rsidRDefault="00E8437C" w:rsidP="00E8437C">
            <w:pPr>
              <w:pStyle w:val="not31"/>
              <w:keepLines w:val="0"/>
              <w:widowControl w:val="0"/>
              <w:spacing w:before="20" w:after="20"/>
              <w:ind w:left="-108" w:right="113"/>
              <w:jc w:val="right"/>
              <w:rPr>
                <w:rFonts w:cs="Arial"/>
                <w:color w:val="auto"/>
                <w:sz w:val="18"/>
                <w:szCs w:val="18"/>
                <w:lang w:val="es-MX" w:eastAsia="es-MX"/>
              </w:rPr>
            </w:pPr>
            <w:r w:rsidRPr="00AB6295">
              <w:rPr>
                <w:rFonts w:cs="Arial"/>
                <w:color w:val="auto"/>
                <w:sz w:val="18"/>
                <w:szCs w:val="18"/>
                <w:lang w:val="es-MX" w:eastAsia="es-MX"/>
              </w:rPr>
              <w:t>N.A</w:t>
            </w:r>
            <w:r w:rsidR="00416DD7">
              <w:rPr>
                <w:rFonts w:cs="Arial"/>
                <w:color w:val="auto"/>
                <w:sz w:val="18"/>
                <w:szCs w:val="18"/>
                <w:lang w:val="es-MX" w:eastAsia="es-MX"/>
              </w:rPr>
              <w:t>.</w:t>
            </w:r>
          </w:p>
        </w:tc>
        <w:tc>
          <w:tcPr>
            <w:tcW w:w="992" w:type="dxa"/>
            <w:tcBorders>
              <w:top w:val="nil"/>
              <w:left w:val="nil"/>
              <w:bottom w:val="nil"/>
              <w:right w:val="double" w:sz="4" w:space="0" w:color="auto"/>
            </w:tcBorders>
            <w:shd w:val="clear" w:color="auto" w:fill="FFFFFF" w:themeFill="background1"/>
            <w:vAlign w:val="center"/>
          </w:tcPr>
          <w:p w14:paraId="7AD9B056" w14:textId="147CEDC0" w:rsidR="00E8437C" w:rsidRPr="00AB6295" w:rsidRDefault="00E8437C" w:rsidP="00E8437C">
            <w:pPr>
              <w:pStyle w:val="not31"/>
              <w:keepLines w:val="0"/>
              <w:widowControl w:val="0"/>
              <w:spacing w:before="20" w:after="20"/>
              <w:ind w:right="227"/>
              <w:jc w:val="right"/>
              <w:rPr>
                <w:rFonts w:cs="Arial"/>
                <w:color w:val="auto"/>
                <w:sz w:val="18"/>
                <w:szCs w:val="18"/>
                <w:lang w:val="es-MX" w:eastAsia="es-MX"/>
              </w:rPr>
            </w:pPr>
            <w:r w:rsidRPr="00AB6295">
              <w:rPr>
                <w:rFonts w:cs="Arial"/>
                <w:color w:val="auto"/>
                <w:sz w:val="18"/>
                <w:szCs w:val="18"/>
                <w:lang w:val="es-MX" w:eastAsia="es-MX"/>
              </w:rPr>
              <w:t>N.A</w:t>
            </w:r>
            <w:r w:rsidR="00416DD7">
              <w:rPr>
                <w:rFonts w:cs="Arial"/>
                <w:color w:val="auto"/>
                <w:sz w:val="18"/>
                <w:szCs w:val="18"/>
                <w:lang w:val="es-MX" w:eastAsia="es-MX"/>
              </w:rPr>
              <w:t>.</w:t>
            </w:r>
          </w:p>
        </w:tc>
        <w:tc>
          <w:tcPr>
            <w:tcW w:w="992" w:type="dxa"/>
            <w:tcBorders>
              <w:top w:val="nil"/>
              <w:left w:val="nil"/>
              <w:bottom w:val="nil"/>
              <w:right w:val="nil"/>
            </w:tcBorders>
            <w:shd w:val="clear" w:color="auto" w:fill="FFFFFF" w:themeFill="background1"/>
            <w:vAlign w:val="center"/>
          </w:tcPr>
          <w:p w14:paraId="0C4EDFA9" w14:textId="440EF98C" w:rsidR="00E8437C" w:rsidRPr="00AB6295" w:rsidRDefault="00E8437C" w:rsidP="00E8437C">
            <w:pPr>
              <w:pStyle w:val="not31"/>
              <w:keepLines w:val="0"/>
              <w:widowControl w:val="0"/>
              <w:spacing w:before="20" w:after="20"/>
              <w:ind w:right="227"/>
              <w:jc w:val="right"/>
              <w:rPr>
                <w:rFonts w:cs="Arial"/>
                <w:color w:val="auto"/>
                <w:sz w:val="18"/>
                <w:szCs w:val="18"/>
                <w:lang w:val="es-MX" w:eastAsia="es-MX"/>
              </w:rPr>
            </w:pPr>
            <w:r w:rsidRPr="00AB6295">
              <w:rPr>
                <w:rFonts w:cs="Arial"/>
                <w:color w:val="auto"/>
                <w:sz w:val="18"/>
                <w:szCs w:val="18"/>
                <w:lang w:val="es-MX" w:eastAsia="es-MX"/>
              </w:rPr>
              <w:t>N.A</w:t>
            </w:r>
            <w:r w:rsidR="00416DD7">
              <w:rPr>
                <w:rFonts w:cs="Arial"/>
                <w:color w:val="auto"/>
                <w:sz w:val="18"/>
                <w:szCs w:val="18"/>
                <w:lang w:val="es-MX" w:eastAsia="es-MX"/>
              </w:rPr>
              <w:t>.</w:t>
            </w:r>
          </w:p>
        </w:tc>
        <w:tc>
          <w:tcPr>
            <w:tcW w:w="992" w:type="dxa"/>
            <w:tcBorders>
              <w:top w:val="nil"/>
              <w:left w:val="nil"/>
              <w:bottom w:val="nil"/>
              <w:right w:val="nil"/>
            </w:tcBorders>
            <w:shd w:val="clear" w:color="auto" w:fill="FFFFFF" w:themeFill="background1"/>
            <w:vAlign w:val="center"/>
          </w:tcPr>
          <w:p w14:paraId="7368A1E2" w14:textId="3E5562A9" w:rsidR="00E8437C" w:rsidRPr="00AB6295" w:rsidRDefault="00E8437C" w:rsidP="00E8437C">
            <w:pPr>
              <w:pStyle w:val="not31"/>
              <w:keepLines w:val="0"/>
              <w:widowControl w:val="0"/>
              <w:spacing w:before="20" w:after="20"/>
              <w:ind w:right="227"/>
              <w:jc w:val="right"/>
              <w:rPr>
                <w:rFonts w:cs="Arial"/>
                <w:color w:val="auto"/>
                <w:sz w:val="18"/>
                <w:szCs w:val="18"/>
                <w:lang w:val="es-MX" w:eastAsia="es-MX"/>
              </w:rPr>
            </w:pPr>
            <w:r w:rsidRPr="00AB6295">
              <w:rPr>
                <w:rFonts w:cs="Arial"/>
                <w:color w:val="auto"/>
                <w:sz w:val="18"/>
                <w:szCs w:val="18"/>
                <w:lang w:val="es-MX" w:eastAsia="es-MX"/>
              </w:rPr>
              <w:t>N.A</w:t>
            </w:r>
            <w:r w:rsidR="00416DD7">
              <w:rPr>
                <w:rFonts w:cs="Arial"/>
                <w:color w:val="auto"/>
                <w:sz w:val="18"/>
                <w:szCs w:val="18"/>
                <w:lang w:val="es-MX" w:eastAsia="es-MX"/>
              </w:rPr>
              <w:t>.</w:t>
            </w:r>
          </w:p>
        </w:tc>
        <w:tc>
          <w:tcPr>
            <w:tcW w:w="992" w:type="dxa"/>
            <w:tcBorders>
              <w:top w:val="nil"/>
              <w:left w:val="nil"/>
              <w:bottom w:val="nil"/>
              <w:right w:val="double" w:sz="4" w:space="0" w:color="auto"/>
            </w:tcBorders>
            <w:shd w:val="clear" w:color="auto" w:fill="FFFFFF" w:themeFill="background1"/>
            <w:vAlign w:val="center"/>
          </w:tcPr>
          <w:p w14:paraId="0FCAB8F6" w14:textId="396B0CF7" w:rsidR="00E8437C" w:rsidRPr="00AB6295" w:rsidRDefault="00E8437C" w:rsidP="00E8437C">
            <w:pPr>
              <w:pStyle w:val="not31"/>
              <w:keepLines w:val="0"/>
              <w:widowControl w:val="0"/>
              <w:spacing w:before="20" w:after="20"/>
              <w:ind w:right="227"/>
              <w:jc w:val="right"/>
              <w:rPr>
                <w:rFonts w:cs="Arial"/>
                <w:color w:val="auto"/>
                <w:sz w:val="18"/>
                <w:szCs w:val="18"/>
                <w:lang w:val="es-MX" w:eastAsia="es-MX"/>
              </w:rPr>
            </w:pPr>
            <w:r w:rsidRPr="00AB6295">
              <w:rPr>
                <w:rFonts w:cs="Arial"/>
                <w:color w:val="auto"/>
                <w:sz w:val="18"/>
                <w:szCs w:val="18"/>
                <w:lang w:val="es-MX" w:eastAsia="es-MX"/>
              </w:rPr>
              <w:t>N.A</w:t>
            </w:r>
            <w:r w:rsidR="00416DD7">
              <w:rPr>
                <w:rFonts w:cs="Arial"/>
                <w:color w:val="auto"/>
                <w:sz w:val="18"/>
                <w:szCs w:val="18"/>
                <w:lang w:val="es-MX" w:eastAsia="es-MX"/>
              </w:rPr>
              <w:t>.</w:t>
            </w:r>
          </w:p>
        </w:tc>
      </w:tr>
      <w:tr w:rsidR="00E8437C" w:rsidRPr="004358CE" w14:paraId="02CCFAAD" w14:textId="6F26634C" w:rsidTr="00E8437C">
        <w:trPr>
          <w:jc w:val="center"/>
        </w:trPr>
        <w:tc>
          <w:tcPr>
            <w:tcW w:w="3702" w:type="dxa"/>
            <w:tcBorders>
              <w:top w:val="nil"/>
              <w:left w:val="double" w:sz="4" w:space="0" w:color="auto"/>
              <w:bottom w:val="nil"/>
              <w:right w:val="single" w:sz="4" w:space="0" w:color="auto"/>
            </w:tcBorders>
            <w:vAlign w:val="center"/>
          </w:tcPr>
          <w:p w14:paraId="64BCE74D" w14:textId="77777777" w:rsidR="00E8437C" w:rsidRPr="00AB6295" w:rsidRDefault="00E8437C" w:rsidP="00E8437C">
            <w:pPr>
              <w:pStyle w:val="not31"/>
              <w:keepLines w:val="0"/>
              <w:widowControl w:val="0"/>
              <w:spacing w:before="20" w:after="20"/>
              <w:ind w:left="48" w:right="-79"/>
              <w:jc w:val="left"/>
              <w:rPr>
                <w:rFonts w:cs="Arial"/>
                <w:color w:val="auto"/>
                <w:sz w:val="18"/>
                <w:szCs w:val="18"/>
                <w:lang w:val="es-MX" w:eastAsia="es-MX"/>
              </w:rPr>
            </w:pPr>
            <w:r w:rsidRPr="00AB6295">
              <w:rPr>
                <w:rFonts w:cs="Arial"/>
                <w:color w:val="auto"/>
                <w:sz w:val="18"/>
                <w:szCs w:val="18"/>
                <w:lang w:val="es-MX" w:eastAsia="es-MX"/>
              </w:rPr>
              <w:t>Exportación de Bienes y Servicios</w:t>
            </w:r>
          </w:p>
        </w:tc>
        <w:tc>
          <w:tcPr>
            <w:tcW w:w="725" w:type="dxa"/>
            <w:tcBorders>
              <w:top w:val="nil"/>
              <w:left w:val="nil"/>
              <w:bottom w:val="nil"/>
              <w:right w:val="nil"/>
            </w:tcBorders>
            <w:shd w:val="clear" w:color="auto" w:fill="FFFFFF" w:themeFill="background1"/>
            <w:vAlign w:val="center"/>
          </w:tcPr>
          <w:p w14:paraId="7577B607" w14:textId="77777777" w:rsidR="00E8437C" w:rsidRPr="00AB6295" w:rsidRDefault="00E8437C" w:rsidP="00E8437C">
            <w:pPr>
              <w:pStyle w:val="not31"/>
              <w:keepLines w:val="0"/>
              <w:widowControl w:val="0"/>
              <w:spacing w:before="20" w:after="20"/>
              <w:ind w:left="-108" w:right="113"/>
              <w:jc w:val="right"/>
              <w:rPr>
                <w:rFonts w:cs="Arial"/>
                <w:color w:val="auto"/>
                <w:sz w:val="18"/>
                <w:szCs w:val="18"/>
                <w:lang w:val="es-MX" w:eastAsia="es-MX"/>
              </w:rPr>
            </w:pPr>
            <w:r w:rsidRPr="00AB6295">
              <w:rPr>
                <w:rFonts w:cs="Arial"/>
                <w:color w:val="auto"/>
                <w:sz w:val="18"/>
                <w:szCs w:val="18"/>
                <w:lang w:val="es-MX" w:eastAsia="es-MX"/>
              </w:rPr>
              <w:t>8.1</w:t>
            </w:r>
          </w:p>
        </w:tc>
        <w:tc>
          <w:tcPr>
            <w:tcW w:w="693" w:type="dxa"/>
            <w:tcBorders>
              <w:top w:val="nil"/>
              <w:left w:val="nil"/>
              <w:bottom w:val="nil"/>
              <w:right w:val="nil"/>
            </w:tcBorders>
            <w:shd w:val="clear" w:color="auto" w:fill="FFFFFF" w:themeFill="background1"/>
            <w:vAlign w:val="center"/>
          </w:tcPr>
          <w:p w14:paraId="0C8F2D72" w14:textId="77777777" w:rsidR="00E8437C" w:rsidRPr="00AB6295" w:rsidRDefault="00E8437C" w:rsidP="00E8437C">
            <w:pPr>
              <w:pStyle w:val="not31"/>
              <w:keepLines w:val="0"/>
              <w:widowControl w:val="0"/>
              <w:spacing w:before="20" w:after="20"/>
              <w:ind w:left="-108" w:right="113"/>
              <w:jc w:val="right"/>
              <w:rPr>
                <w:rFonts w:cs="Arial"/>
                <w:color w:val="auto"/>
                <w:sz w:val="18"/>
                <w:szCs w:val="18"/>
                <w:lang w:val="es-MX" w:eastAsia="es-MX"/>
              </w:rPr>
            </w:pPr>
            <w:r>
              <w:rPr>
                <w:rFonts w:cs="Arial"/>
                <w:color w:val="auto"/>
                <w:sz w:val="18"/>
                <w:szCs w:val="18"/>
                <w:lang w:val="es-MX" w:eastAsia="es-MX"/>
              </w:rPr>
              <w:t>5.</w:t>
            </w:r>
            <w:r w:rsidRPr="00AB6295">
              <w:rPr>
                <w:rFonts w:cs="Arial"/>
                <w:color w:val="auto"/>
                <w:sz w:val="18"/>
                <w:szCs w:val="18"/>
                <w:lang w:val="es-MX" w:eastAsia="es-MX"/>
              </w:rPr>
              <w:t>8</w:t>
            </w:r>
          </w:p>
        </w:tc>
        <w:tc>
          <w:tcPr>
            <w:tcW w:w="992" w:type="dxa"/>
            <w:tcBorders>
              <w:top w:val="nil"/>
              <w:left w:val="nil"/>
              <w:bottom w:val="nil"/>
              <w:right w:val="double" w:sz="4" w:space="0" w:color="auto"/>
            </w:tcBorders>
            <w:shd w:val="clear" w:color="auto" w:fill="FFFFFF" w:themeFill="background1"/>
            <w:vAlign w:val="center"/>
          </w:tcPr>
          <w:p w14:paraId="6BCF2E7A" w14:textId="77777777" w:rsidR="00E8437C" w:rsidRPr="00AB6295" w:rsidRDefault="00E8437C" w:rsidP="00E8437C">
            <w:pPr>
              <w:pStyle w:val="not31"/>
              <w:keepLines w:val="0"/>
              <w:widowControl w:val="0"/>
              <w:spacing w:before="20" w:after="20"/>
              <w:ind w:right="227"/>
              <w:jc w:val="right"/>
              <w:rPr>
                <w:rFonts w:cs="Arial"/>
                <w:color w:val="auto"/>
                <w:sz w:val="18"/>
                <w:szCs w:val="18"/>
                <w:lang w:val="es-MX" w:eastAsia="es-MX"/>
              </w:rPr>
            </w:pPr>
            <w:r w:rsidRPr="00AB6295">
              <w:rPr>
                <w:rFonts w:cs="Arial"/>
                <w:color w:val="auto"/>
                <w:sz w:val="18"/>
                <w:szCs w:val="18"/>
                <w:lang w:val="es-MX" w:eastAsia="es-MX"/>
              </w:rPr>
              <w:t>5.</w:t>
            </w:r>
            <w:r>
              <w:rPr>
                <w:rFonts w:cs="Arial"/>
                <w:color w:val="auto"/>
                <w:sz w:val="18"/>
                <w:szCs w:val="18"/>
                <w:lang w:val="es-MX" w:eastAsia="es-MX"/>
              </w:rPr>
              <w:t>3</w:t>
            </w:r>
          </w:p>
        </w:tc>
        <w:tc>
          <w:tcPr>
            <w:tcW w:w="992" w:type="dxa"/>
            <w:tcBorders>
              <w:top w:val="nil"/>
              <w:left w:val="nil"/>
              <w:bottom w:val="nil"/>
              <w:right w:val="nil"/>
            </w:tcBorders>
            <w:shd w:val="clear" w:color="auto" w:fill="FFFFFF" w:themeFill="background1"/>
            <w:vAlign w:val="center"/>
          </w:tcPr>
          <w:p w14:paraId="0636E3C7" w14:textId="60EED3F1" w:rsidR="00E8437C" w:rsidRPr="00AB6295" w:rsidRDefault="00E8437C" w:rsidP="00E8437C">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6.</w:t>
            </w:r>
            <w:r w:rsidR="0001069D">
              <w:rPr>
                <w:rFonts w:cs="Arial"/>
                <w:color w:val="auto"/>
                <w:sz w:val="18"/>
                <w:szCs w:val="18"/>
                <w:lang w:val="es-MX" w:eastAsia="es-MX"/>
              </w:rPr>
              <w:t>7</w:t>
            </w:r>
          </w:p>
        </w:tc>
        <w:tc>
          <w:tcPr>
            <w:tcW w:w="992" w:type="dxa"/>
            <w:tcBorders>
              <w:top w:val="nil"/>
              <w:left w:val="nil"/>
              <w:bottom w:val="nil"/>
              <w:right w:val="nil"/>
            </w:tcBorders>
            <w:shd w:val="clear" w:color="auto" w:fill="FFFFFF" w:themeFill="background1"/>
            <w:vAlign w:val="center"/>
          </w:tcPr>
          <w:p w14:paraId="6C4D031D" w14:textId="5D710D35" w:rsidR="00E8437C" w:rsidRDefault="0001069D" w:rsidP="00E8437C">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4.3</w:t>
            </w:r>
          </w:p>
        </w:tc>
        <w:tc>
          <w:tcPr>
            <w:tcW w:w="992" w:type="dxa"/>
            <w:tcBorders>
              <w:top w:val="nil"/>
              <w:left w:val="nil"/>
              <w:bottom w:val="nil"/>
              <w:right w:val="double" w:sz="4" w:space="0" w:color="auto"/>
            </w:tcBorders>
            <w:shd w:val="clear" w:color="auto" w:fill="FFFFFF" w:themeFill="background1"/>
            <w:vAlign w:val="center"/>
          </w:tcPr>
          <w:p w14:paraId="2EBC41B6" w14:textId="21680AB7" w:rsidR="00E8437C" w:rsidRDefault="0001069D" w:rsidP="00E8437C">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5.7</w:t>
            </w:r>
          </w:p>
        </w:tc>
      </w:tr>
      <w:tr w:rsidR="00E8437C" w:rsidRPr="004358CE" w14:paraId="3EA8F521" w14:textId="0731BA90" w:rsidTr="00E8437C">
        <w:trPr>
          <w:jc w:val="center"/>
        </w:trPr>
        <w:tc>
          <w:tcPr>
            <w:tcW w:w="3702" w:type="dxa"/>
            <w:tcBorders>
              <w:top w:val="nil"/>
              <w:left w:val="double" w:sz="4" w:space="0" w:color="auto"/>
              <w:bottom w:val="double" w:sz="4" w:space="0" w:color="auto"/>
              <w:right w:val="single" w:sz="4" w:space="0" w:color="auto"/>
            </w:tcBorders>
            <w:vAlign w:val="center"/>
          </w:tcPr>
          <w:p w14:paraId="0CB966DD" w14:textId="77777777" w:rsidR="00E8437C" w:rsidRPr="00AB6295" w:rsidRDefault="00E8437C" w:rsidP="00E8437C">
            <w:pPr>
              <w:pStyle w:val="not31"/>
              <w:keepLines w:val="0"/>
              <w:widowControl w:val="0"/>
              <w:spacing w:before="20" w:after="20"/>
              <w:ind w:left="48" w:right="-79"/>
              <w:jc w:val="left"/>
              <w:rPr>
                <w:rFonts w:cs="Arial"/>
                <w:color w:val="auto"/>
                <w:sz w:val="18"/>
                <w:szCs w:val="18"/>
                <w:lang w:val="es-MX" w:eastAsia="es-MX"/>
              </w:rPr>
            </w:pPr>
            <w:r w:rsidRPr="00AB6295">
              <w:rPr>
                <w:rFonts w:cs="Arial"/>
                <w:color w:val="auto"/>
                <w:sz w:val="18"/>
                <w:szCs w:val="18"/>
                <w:lang w:val="es-MX" w:eastAsia="es-MX"/>
              </w:rPr>
              <w:t>Discrepancia Estadística</w:t>
            </w:r>
          </w:p>
        </w:tc>
        <w:tc>
          <w:tcPr>
            <w:tcW w:w="725" w:type="dxa"/>
            <w:tcBorders>
              <w:top w:val="nil"/>
              <w:left w:val="nil"/>
              <w:bottom w:val="double" w:sz="4" w:space="0" w:color="auto"/>
              <w:right w:val="nil"/>
            </w:tcBorders>
            <w:shd w:val="clear" w:color="auto" w:fill="FFFFFF" w:themeFill="background1"/>
            <w:vAlign w:val="center"/>
          </w:tcPr>
          <w:p w14:paraId="205C7C7C" w14:textId="39646A57" w:rsidR="00E8437C" w:rsidRPr="00AB6295" w:rsidRDefault="00E8437C" w:rsidP="00E8437C">
            <w:pPr>
              <w:pStyle w:val="not31"/>
              <w:keepLines w:val="0"/>
              <w:widowControl w:val="0"/>
              <w:spacing w:before="20" w:after="20"/>
              <w:ind w:left="-108" w:right="113"/>
              <w:jc w:val="right"/>
              <w:rPr>
                <w:rFonts w:cs="Arial"/>
                <w:color w:val="auto"/>
                <w:sz w:val="18"/>
                <w:szCs w:val="18"/>
                <w:lang w:val="es-MX" w:eastAsia="es-MX"/>
              </w:rPr>
            </w:pPr>
            <w:r w:rsidRPr="00AB6295">
              <w:rPr>
                <w:rFonts w:cs="Arial"/>
                <w:color w:val="auto"/>
                <w:sz w:val="18"/>
                <w:szCs w:val="18"/>
                <w:lang w:val="es-MX" w:eastAsia="es-MX"/>
              </w:rPr>
              <w:t>N.A</w:t>
            </w:r>
            <w:r w:rsidR="00416DD7">
              <w:rPr>
                <w:rFonts w:cs="Arial"/>
                <w:color w:val="auto"/>
                <w:sz w:val="18"/>
                <w:szCs w:val="18"/>
                <w:lang w:val="es-MX" w:eastAsia="es-MX"/>
              </w:rPr>
              <w:t>.</w:t>
            </w:r>
          </w:p>
        </w:tc>
        <w:tc>
          <w:tcPr>
            <w:tcW w:w="693" w:type="dxa"/>
            <w:tcBorders>
              <w:top w:val="nil"/>
              <w:left w:val="nil"/>
              <w:bottom w:val="double" w:sz="4" w:space="0" w:color="auto"/>
              <w:right w:val="nil"/>
            </w:tcBorders>
            <w:shd w:val="clear" w:color="auto" w:fill="FFFFFF" w:themeFill="background1"/>
            <w:vAlign w:val="center"/>
          </w:tcPr>
          <w:p w14:paraId="17206D40" w14:textId="0FFDBE5F" w:rsidR="00E8437C" w:rsidRPr="00AB6295" w:rsidRDefault="00E8437C" w:rsidP="00E8437C">
            <w:pPr>
              <w:pStyle w:val="not31"/>
              <w:keepLines w:val="0"/>
              <w:widowControl w:val="0"/>
              <w:spacing w:before="20" w:after="20"/>
              <w:ind w:left="-108" w:right="113"/>
              <w:jc w:val="right"/>
              <w:rPr>
                <w:rFonts w:cs="Arial"/>
                <w:color w:val="auto"/>
                <w:sz w:val="18"/>
                <w:szCs w:val="18"/>
                <w:lang w:val="es-MX" w:eastAsia="es-MX"/>
              </w:rPr>
            </w:pPr>
            <w:r w:rsidRPr="00AB6295">
              <w:rPr>
                <w:rFonts w:cs="Arial"/>
                <w:color w:val="auto"/>
                <w:sz w:val="18"/>
                <w:szCs w:val="18"/>
                <w:lang w:val="es-MX" w:eastAsia="es-MX"/>
              </w:rPr>
              <w:t>N.A</w:t>
            </w:r>
            <w:r w:rsidR="00416DD7">
              <w:rPr>
                <w:rFonts w:cs="Arial"/>
                <w:color w:val="auto"/>
                <w:sz w:val="18"/>
                <w:szCs w:val="18"/>
                <w:lang w:val="es-MX" w:eastAsia="es-MX"/>
              </w:rPr>
              <w:t>.</w:t>
            </w:r>
          </w:p>
        </w:tc>
        <w:tc>
          <w:tcPr>
            <w:tcW w:w="992" w:type="dxa"/>
            <w:tcBorders>
              <w:top w:val="nil"/>
              <w:left w:val="nil"/>
              <w:bottom w:val="double" w:sz="4" w:space="0" w:color="auto"/>
              <w:right w:val="double" w:sz="4" w:space="0" w:color="auto"/>
            </w:tcBorders>
            <w:shd w:val="clear" w:color="auto" w:fill="FFFFFF" w:themeFill="background1"/>
            <w:vAlign w:val="center"/>
          </w:tcPr>
          <w:p w14:paraId="520BFFAC" w14:textId="17B98AD0" w:rsidR="00E8437C" w:rsidRPr="00AB6295" w:rsidRDefault="00E8437C" w:rsidP="00E8437C">
            <w:pPr>
              <w:pStyle w:val="not31"/>
              <w:keepLines w:val="0"/>
              <w:widowControl w:val="0"/>
              <w:spacing w:before="20" w:after="20"/>
              <w:ind w:right="227"/>
              <w:jc w:val="right"/>
              <w:rPr>
                <w:rFonts w:cs="Arial"/>
                <w:color w:val="auto"/>
                <w:sz w:val="18"/>
                <w:szCs w:val="18"/>
                <w:lang w:val="es-MX" w:eastAsia="es-MX"/>
              </w:rPr>
            </w:pPr>
            <w:r w:rsidRPr="00AB6295">
              <w:rPr>
                <w:rFonts w:cs="Arial"/>
                <w:color w:val="auto"/>
                <w:sz w:val="18"/>
                <w:szCs w:val="18"/>
                <w:lang w:val="es-MX" w:eastAsia="es-MX"/>
              </w:rPr>
              <w:t>N.A</w:t>
            </w:r>
            <w:r w:rsidR="00416DD7">
              <w:rPr>
                <w:rFonts w:cs="Arial"/>
                <w:color w:val="auto"/>
                <w:sz w:val="18"/>
                <w:szCs w:val="18"/>
                <w:lang w:val="es-MX" w:eastAsia="es-MX"/>
              </w:rPr>
              <w:t>.</w:t>
            </w:r>
          </w:p>
        </w:tc>
        <w:tc>
          <w:tcPr>
            <w:tcW w:w="992" w:type="dxa"/>
            <w:tcBorders>
              <w:top w:val="nil"/>
              <w:left w:val="nil"/>
              <w:bottom w:val="double" w:sz="4" w:space="0" w:color="auto"/>
              <w:right w:val="nil"/>
            </w:tcBorders>
            <w:shd w:val="clear" w:color="auto" w:fill="FFFFFF" w:themeFill="background1"/>
            <w:vAlign w:val="center"/>
          </w:tcPr>
          <w:p w14:paraId="315C5801" w14:textId="0D883B3E" w:rsidR="00E8437C" w:rsidRPr="00AB6295" w:rsidRDefault="00E8437C" w:rsidP="00E8437C">
            <w:pPr>
              <w:pStyle w:val="not31"/>
              <w:keepLines w:val="0"/>
              <w:widowControl w:val="0"/>
              <w:spacing w:before="20" w:after="20"/>
              <w:ind w:right="227"/>
              <w:jc w:val="right"/>
              <w:rPr>
                <w:rFonts w:cs="Arial"/>
                <w:color w:val="auto"/>
                <w:sz w:val="18"/>
                <w:szCs w:val="18"/>
                <w:lang w:val="es-MX" w:eastAsia="es-MX"/>
              </w:rPr>
            </w:pPr>
            <w:r w:rsidRPr="00AB6295">
              <w:rPr>
                <w:rFonts w:cs="Arial"/>
                <w:color w:val="auto"/>
                <w:sz w:val="18"/>
                <w:szCs w:val="18"/>
                <w:lang w:val="es-MX" w:eastAsia="es-MX"/>
              </w:rPr>
              <w:t>N.A</w:t>
            </w:r>
            <w:r w:rsidR="00416DD7">
              <w:rPr>
                <w:rFonts w:cs="Arial"/>
                <w:color w:val="auto"/>
                <w:sz w:val="18"/>
                <w:szCs w:val="18"/>
                <w:lang w:val="es-MX" w:eastAsia="es-MX"/>
              </w:rPr>
              <w:t>.</w:t>
            </w:r>
          </w:p>
        </w:tc>
        <w:tc>
          <w:tcPr>
            <w:tcW w:w="992" w:type="dxa"/>
            <w:tcBorders>
              <w:top w:val="nil"/>
              <w:left w:val="nil"/>
              <w:bottom w:val="double" w:sz="4" w:space="0" w:color="auto"/>
              <w:right w:val="nil"/>
            </w:tcBorders>
            <w:shd w:val="clear" w:color="auto" w:fill="FFFFFF" w:themeFill="background1"/>
            <w:vAlign w:val="center"/>
          </w:tcPr>
          <w:p w14:paraId="21B93411" w14:textId="6CB6BC84" w:rsidR="00E8437C" w:rsidRPr="00AB6295" w:rsidRDefault="00E8437C" w:rsidP="00E8437C">
            <w:pPr>
              <w:pStyle w:val="not31"/>
              <w:keepLines w:val="0"/>
              <w:widowControl w:val="0"/>
              <w:spacing w:before="20" w:after="20"/>
              <w:ind w:right="227"/>
              <w:jc w:val="right"/>
              <w:rPr>
                <w:rFonts w:cs="Arial"/>
                <w:color w:val="auto"/>
                <w:sz w:val="18"/>
                <w:szCs w:val="18"/>
                <w:lang w:val="es-MX" w:eastAsia="es-MX"/>
              </w:rPr>
            </w:pPr>
            <w:r w:rsidRPr="00AB6295">
              <w:rPr>
                <w:rFonts w:cs="Arial"/>
                <w:color w:val="auto"/>
                <w:sz w:val="18"/>
                <w:szCs w:val="18"/>
                <w:lang w:val="es-MX" w:eastAsia="es-MX"/>
              </w:rPr>
              <w:t>N.A</w:t>
            </w:r>
            <w:r w:rsidR="00416DD7">
              <w:rPr>
                <w:rFonts w:cs="Arial"/>
                <w:color w:val="auto"/>
                <w:sz w:val="18"/>
                <w:szCs w:val="18"/>
                <w:lang w:val="es-MX" w:eastAsia="es-MX"/>
              </w:rPr>
              <w:t>.</w:t>
            </w:r>
          </w:p>
        </w:tc>
        <w:tc>
          <w:tcPr>
            <w:tcW w:w="992" w:type="dxa"/>
            <w:tcBorders>
              <w:top w:val="nil"/>
              <w:left w:val="nil"/>
              <w:bottom w:val="double" w:sz="4" w:space="0" w:color="auto"/>
              <w:right w:val="double" w:sz="4" w:space="0" w:color="auto"/>
            </w:tcBorders>
            <w:shd w:val="clear" w:color="auto" w:fill="FFFFFF" w:themeFill="background1"/>
            <w:vAlign w:val="center"/>
          </w:tcPr>
          <w:p w14:paraId="19CED8D1" w14:textId="5ADD20B1" w:rsidR="00E8437C" w:rsidRPr="00AB6295" w:rsidRDefault="00E8437C" w:rsidP="00E8437C">
            <w:pPr>
              <w:pStyle w:val="not31"/>
              <w:keepLines w:val="0"/>
              <w:widowControl w:val="0"/>
              <w:spacing w:before="20" w:after="20"/>
              <w:ind w:right="227"/>
              <w:jc w:val="right"/>
              <w:rPr>
                <w:rFonts w:cs="Arial"/>
                <w:color w:val="auto"/>
                <w:sz w:val="18"/>
                <w:szCs w:val="18"/>
                <w:lang w:val="es-MX" w:eastAsia="es-MX"/>
              </w:rPr>
            </w:pPr>
            <w:r w:rsidRPr="00AB6295">
              <w:rPr>
                <w:rFonts w:cs="Arial"/>
                <w:color w:val="auto"/>
                <w:sz w:val="18"/>
                <w:szCs w:val="18"/>
                <w:lang w:val="es-MX" w:eastAsia="es-MX"/>
              </w:rPr>
              <w:t>N.A</w:t>
            </w:r>
            <w:r w:rsidR="00416DD7">
              <w:rPr>
                <w:rFonts w:cs="Arial"/>
                <w:color w:val="auto"/>
                <w:sz w:val="18"/>
                <w:szCs w:val="18"/>
                <w:lang w:val="es-MX" w:eastAsia="es-MX"/>
              </w:rPr>
              <w:t>.</w:t>
            </w:r>
          </w:p>
        </w:tc>
      </w:tr>
    </w:tbl>
    <w:p w14:paraId="56C2B33F" w14:textId="770ACF0A" w:rsidR="00DA3BDB" w:rsidRDefault="00DA3BDB" w:rsidP="00100026">
      <w:pPr>
        <w:pStyle w:val="not31"/>
        <w:keepLines w:val="0"/>
        <w:widowControl w:val="0"/>
        <w:spacing w:before="0"/>
        <w:ind w:left="142" w:right="0"/>
        <w:rPr>
          <w:rFonts w:cs="Arial"/>
          <w:color w:val="auto"/>
          <w:sz w:val="16"/>
          <w:szCs w:val="16"/>
          <w:lang w:val="es-MX" w:eastAsia="es-MX"/>
        </w:rPr>
      </w:pPr>
      <w:r w:rsidRPr="00D03231">
        <w:rPr>
          <w:rFonts w:cs="Arial"/>
          <w:color w:val="auto"/>
          <w:sz w:val="18"/>
          <w:szCs w:val="18"/>
          <w:vertAlign w:val="superscript"/>
          <w:lang w:val="es-MX" w:eastAsia="es-MX"/>
        </w:rPr>
        <w:t>P/</w:t>
      </w:r>
      <w:r w:rsidRPr="00D03231">
        <w:rPr>
          <w:rFonts w:cs="Arial"/>
          <w:color w:val="auto"/>
          <w:sz w:val="18"/>
          <w:szCs w:val="18"/>
          <w:lang w:val="es-MX" w:eastAsia="es-MX"/>
        </w:rPr>
        <w:t xml:space="preserve"> </w:t>
      </w:r>
      <w:r w:rsidRPr="00CF678A">
        <w:rPr>
          <w:rFonts w:cs="Arial"/>
          <w:color w:val="auto"/>
          <w:sz w:val="16"/>
          <w:szCs w:val="16"/>
          <w:lang w:val="es-MX" w:eastAsia="es-MX"/>
        </w:rPr>
        <w:t>Cifras preliminares.</w:t>
      </w:r>
    </w:p>
    <w:p w14:paraId="14CD8930" w14:textId="7B01C875" w:rsidR="00CE4772" w:rsidRPr="00CF64DE" w:rsidRDefault="00CE4772" w:rsidP="00CE4772">
      <w:pPr>
        <w:pStyle w:val="p0"/>
        <w:keepNext/>
        <w:spacing w:before="0"/>
        <w:ind w:left="993" w:hanging="851"/>
        <w:rPr>
          <w:rFonts w:cs="Arial"/>
          <w:color w:val="auto"/>
          <w:sz w:val="16"/>
          <w:szCs w:val="16"/>
        </w:rPr>
      </w:pPr>
      <w:r w:rsidRPr="00CE4772">
        <w:rPr>
          <w:rFonts w:cs="Arial"/>
          <w:color w:val="auto"/>
          <w:sz w:val="16"/>
          <w:szCs w:val="16"/>
          <w:vertAlign w:val="superscript"/>
        </w:rPr>
        <w:t>R/</w:t>
      </w:r>
      <w:r>
        <w:rPr>
          <w:rFonts w:cs="Arial"/>
          <w:color w:val="auto"/>
          <w:sz w:val="16"/>
          <w:szCs w:val="16"/>
        </w:rPr>
        <w:t xml:space="preserve"> Cifras revisadas.</w:t>
      </w:r>
    </w:p>
    <w:p w14:paraId="260279BF" w14:textId="3A7FFEC3" w:rsidR="004C5A6C" w:rsidRDefault="00C177C7" w:rsidP="00100026">
      <w:pPr>
        <w:pStyle w:val="not31"/>
        <w:keepLines w:val="0"/>
        <w:widowControl w:val="0"/>
        <w:spacing w:before="0"/>
        <w:ind w:left="142" w:right="0"/>
        <w:rPr>
          <w:rFonts w:cs="Arial"/>
          <w:color w:val="auto"/>
          <w:sz w:val="16"/>
          <w:szCs w:val="16"/>
          <w:lang w:val="es-MX" w:eastAsia="es-MX"/>
        </w:rPr>
      </w:pPr>
      <w:r w:rsidRPr="001425AD">
        <w:rPr>
          <w:rFonts w:cs="Arial"/>
          <w:color w:val="auto"/>
          <w:sz w:val="16"/>
          <w:szCs w:val="16"/>
          <w:lang w:val="es-MX" w:eastAsia="es-MX"/>
        </w:rPr>
        <w:t>N.A</w:t>
      </w:r>
      <w:r w:rsidR="00E83523">
        <w:rPr>
          <w:rFonts w:cs="Arial"/>
          <w:color w:val="auto"/>
          <w:sz w:val="16"/>
          <w:szCs w:val="16"/>
          <w:lang w:val="es-MX" w:eastAsia="es-MX"/>
        </w:rPr>
        <w:t>.</w:t>
      </w:r>
      <w:r w:rsidRPr="001425AD">
        <w:rPr>
          <w:rFonts w:cs="Arial"/>
          <w:color w:val="auto"/>
          <w:sz w:val="16"/>
          <w:szCs w:val="16"/>
          <w:lang w:val="es-MX" w:eastAsia="es-MX"/>
        </w:rPr>
        <w:t xml:space="preserve">  No aplica.</w:t>
      </w:r>
    </w:p>
    <w:p w14:paraId="6CED06FE" w14:textId="77777777" w:rsidR="000A532D" w:rsidRPr="004A49E1" w:rsidRDefault="000A532D" w:rsidP="00100026">
      <w:pPr>
        <w:pStyle w:val="p1"/>
        <w:keepLines w:val="0"/>
        <w:spacing w:before="0"/>
        <w:ind w:left="142"/>
        <w:rPr>
          <w:color w:val="auto"/>
          <w:sz w:val="16"/>
          <w:szCs w:val="16"/>
        </w:rPr>
      </w:pPr>
      <w:r w:rsidRPr="004A49E1">
        <w:rPr>
          <w:rFonts w:cs="Arial"/>
          <w:color w:val="000000"/>
          <w:sz w:val="16"/>
          <w:szCs w:val="16"/>
        </w:rPr>
        <w:t>Fuente:  INEGI</w:t>
      </w:r>
      <w:r w:rsidRPr="004A49E1">
        <w:rPr>
          <w:rFonts w:cs="Arial"/>
          <w:color w:val="000000" w:themeColor="text1"/>
          <w:sz w:val="16"/>
          <w:szCs w:val="16"/>
        </w:rPr>
        <w:t>.</w:t>
      </w:r>
    </w:p>
    <w:p w14:paraId="6F356882" w14:textId="6EF743A7" w:rsidR="00901E0F" w:rsidRDefault="00901E0F" w:rsidP="004C5A6C">
      <w:pPr>
        <w:pStyle w:val="Textoindependiente"/>
        <w:spacing w:before="240"/>
        <w:rPr>
          <w:rFonts w:cs="Arial"/>
          <w:szCs w:val="24"/>
        </w:rPr>
      </w:pPr>
      <w:r w:rsidRPr="00D82B83">
        <w:rPr>
          <w:b/>
          <w:bCs/>
          <w:i/>
          <w:iCs/>
        </w:rPr>
        <w:t>Indicador Trimestral del Ahorro Bruto</w:t>
      </w:r>
    </w:p>
    <w:p w14:paraId="1D0178CD" w14:textId="2C442936" w:rsidR="001107A9" w:rsidRPr="0057720D" w:rsidRDefault="001107A9" w:rsidP="001107A9">
      <w:pPr>
        <w:pStyle w:val="Textoindependiente"/>
        <w:spacing w:before="240"/>
        <w:rPr>
          <w:rFonts w:cs="Arial"/>
          <w:szCs w:val="24"/>
        </w:rPr>
      </w:pPr>
      <w:r w:rsidRPr="0057720D">
        <w:rPr>
          <w:rFonts w:cs="Arial"/>
          <w:szCs w:val="24"/>
        </w:rPr>
        <w:t xml:space="preserve">El ITAB se situó en </w:t>
      </w:r>
      <w:r>
        <w:rPr>
          <w:rFonts w:cs="Arial"/>
          <w:szCs w:val="24"/>
        </w:rPr>
        <w:t>5</w:t>
      </w:r>
      <w:r w:rsidRPr="0057720D">
        <w:rPr>
          <w:rFonts w:cs="Arial"/>
          <w:szCs w:val="24"/>
        </w:rPr>
        <w:t>,</w:t>
      </w:r>
      <w:r w:rsidR="00141A10">
        <w:rPr>
          <w:rFonts w:cs="Arial"/>
          <w:szCs w:val="24"/>
        </w:rPr>
        <w:t>003</w:t>
      </w:r>
      <w:r w:rsidRPr="0057720D">
        <w:rPr>
          <w:rFonts w:cs="Arial"/>
          <w:szCs w:val="24"/>
        </w:rPr>
        <w:t>,</w:t>
      </w:r>
      <w:r w:rsidR="00141A10">
        <w:rPr>
          <w:rFonts w:cs="Arial"/>
          <w:szCs w:val="24"/>
        </w:rPr>
        <w:t>169</w:t>
      </w:r>
      <w:r w:rsidRPr="0057720D">
        <w:rPr>
          <w:rFonts w:cs="Arial"/>
          <w:szCs w:val="24"/>
        </w:rPr>
        <w:t xml:space="preserve"> millones de pesos corrientes (5 billones de pesos) en el trimestre </w:t>
      </w:r>
      <w:r w:rsidR="00A93796">
        <w:rPr>
          <w:rFonts w:cs="Arial"/>
          <w:szCs w:val="24"/>
        </w:rPr>
        <w:t>abril-junio</w:t>
      </w:r>
      <w:r w:rsidR="00C177C7">
        <w:rPr>
          <w:rFonts w:cs="Arial"/>
          <w:szCs w:val="24"/>
        </w:rPr>
        <w:t xml:space="preserve"> de 2021</w:t>
      </w:r>
      <w:r w:rsidRPr="0057720D">
        <w:rPr>
          <w:rFonts w:cs="Arial"/>
          <w:szCs w:val="24"/>
        </w:rPr>
        <w:t xml:space="preserve"> </w:t>
      </w:r>
      <w:r w:rsidR="00DA3BDB">
        <w:rPr>
          <w:rFonts w:cs="Arial"/>
          <w:szCs w:val="24"/>
        </w:rPr>
        <w:t>y</w:t>
      </w:r>
      <w:r w:rsidRPr="0057720D">
        <w:rPr>
          <w:rFonts w:cs="Arial"/>
          <w:szCs w:val="24"/>
        </w:rPr>
        <w:t xml:space="preserve"> significó el </w:t>
      </w:r>
      <w:r w:rsidR="00141A10">
        <w:rPr>
          <w:rFonts w:cs="Arial"/>
          <w:szCs w:val="24"/>
        </w:rPr>
        <w:t>19</w:t>
      </w:r>
      <w:r w:rsidRPr="0057720D">
        <w:rPr>
          <w:rFonts w:cs="Arial"/>
          <w:szCs w:val="24"/>
        </w:rPr>
        <w:t>.</w:t>
      </w:r>
      <w:r w:rsidR="00141A10">
        <w:rPr>
          <w:rFonts w:cs="Arial"/>
          <w:szCs w:val="24"/>
        </w:rPr>
        <w:t>3</w:t>
      </w:r>
      <w:r w:rsidRPr="0057720D">
        <w:rPr>
          <w:rFonts w:cs="Arial"/>
          <w:szCs w:val="24"/>
        </w:rPr>
        <w:t>% del Producto Interno Bruto.</w:t>
      </w:r>
    </w:p>
    <w:p w14:paraId="5C841A0D" w14:textId="77DB6CEE" w:rsidR="001107A9" w:rsidRPr="0057720D" w:rsidRDefault="001107A9" w:rsidP="001107A9">
      <w:pPr>
        <w:pStyle w:val="Textoindependiente"/>
        <w:spacing w:before="240"/>
        <w:rPr>
          <w:rFonts w:cs="Arial"/>
          <w:szCs w:val="24"/>
        </w:rPr>
      </w:pPr>
      <w:r w:rsidRPr="0057720D">
        <w:rPr>
          <w:rFonts w:cs="Arial"/>
          <w:szCs w:val="24"/>
        </w:rPr>
        <w:t>Durante el periodo de referencia</w:t>
      </w:r>
      <w:r w:rsidR="000428E3">
        <w:rPr>
          <w:rFonts w:cs="Arial"/>
          <w:szCs w:val="24"/>
        </w:rPr>
        <w:t>,</w:t>
      </w:r>
      <w:r w:rsidRPr="0057720D">
        <w:rPr>
          <w:rFonts w:cs="Arial"/>
          <w:szCs w:val="24"/>
        </w:rPr>
        <w:t xml:space="preserve"> el Indicador Trimestral del Ahorro Bruto de la Economía Interna participó con el </w:t>
      </w:r>
      <w:r w:rsidR="00141A10">
        <w:rPr>
          <w:rFonts w:cs="Arial"/>
          <w:szCs w:val="24"/>
        </w:rPr>
        <w:t>2</w:t>
      </w:r>
      <w:r>
        <w:rPr>
          <w:rFonts w:cs="Arial"/>
          <w:szCs w:val="24"/>
        </w:rPr>
        <w:t>1</w:t>
      </w:r>
      <w:r w:rsidRPr="0057720D">
        <w:rPr>
          <w:rFonts w:cs="Arial"/>
          <w:szCs w:val="24"/>
        </w:rPr>
        <w:t>.</w:t>
      </w:r>
      <w:r w:rsidR="00141A10">
        <w:rPr>
          <w:rFonts w:cs="Arial"/>
          <w:szCs w:val="24"/>
        </w:rPr>
        <w:t>2</w:t>
      </w:r>
      <w:r w:rsidRPr="0057720D">
        <w:rPr>
          <w:rFonts w:cs="Arial"/>
          <w:szCs w:val="24"/>
        </w:rPr>
        <w:t xml:space="preserve">% del PIB, registrando </w:t>
      </w:r>
      <w:r w:rsidR="00141A10">
        <w:rPr>
          <w:rFonts w:cs="Arial"/>
          <w:szCs w:val="24"/>
        </w:rPr>
        <w:t>5,502,214</w:t>
      </w:r>
      <w:r w:rsidRPr="0057720D">
        <w:rPr>
          <w:rFonts w:cs="Arial"/>
          <w:szCs w:val="24"/>
        </w:rPr>
        <w:t xml:space="preserve"> millones de pesos. </w:t>
      </w:r>
    </w:p>
    <w:p w14:paraId="52E84CCC" w14:textId="51FF6E36" w:rsidR="001107A9" w:rsidRPr="0057720D" w:rsidRDefault="001107A9" w:rsidP="001107A9">
      <w:pPr>
        <w:pStyle w:val="Textoindependiente"/>
        <w:spacing w:before="240"/>
        <w:rPr>
          <w:rFonts w:cs="Arial"/>
          <w:szCs w:val="24"/>
        </w:rPr>
      </w:pPr>
      <w:r w:rsidRPr="0057720D">
        <w:rPr>
          <w:rFonts w:cs="Arial"/>
          <w:szCs w:val="24"/>
        </w:rPr>
        <w:t xml:space="preserve">Por su parte, la contribución del Resto del Mundo, que significa el financiamiento proveniente del exterior, </w:t>
      </w:r>
      <w:r w:rsidR="00446664">
        <w:rPr>
          <w:rFonts w:cs="Arial"/>
          <w:szCs w:val="24"/>
        </w:rPr>
        <w:t>fue negativa</w:t>
      </w:r>
      <w:r w:rsidR="00141A10" w:rsidRPr="00446664">
        <w:rPr>
          <w:rFonts w:cs="Arial"/>
          <w:szCs w:val="24"/>
        </w:rPr>
        <w:t xml:space="preserve"> </w:t>
      </w:r>
      <w:r w:rsidR="00416DD7">
        <w:rPr>
          <w:rFonts w:cs="Arial"/>
          <w:szCs w:val="24"/>
        </w:rPr>
        <w:t xml:space="preserve">en </w:t>
      </w:r>
      <w:r w:rsidRPr="00446664">
        <w:rPr>
          <w:rFonts w:cs="Arial"/>
          <w:szCs w:val="24"/>
        </w:rPr>
        <w:t>1.</w:t>
      </w:r>
      <w:r w:rsidR="00141A10" w:rsidRPr="00446664">
        <w:rPr>
          <w:rFonts w:cs="Arial"/>
          <w:szCs w:val="24"/>
        </w:rPr>
        <w:t>9</w:t>
      </w:r>
      <w:r w:rsidRPr="00446664">
        <w:rPr>
          <w:rFonts w:cs="Arial"/>
          <w:szCs w:val="24"/>
        </w:rPr>
        <w:t xml:space="preserve">% respecto al PIB, es decir, </w:t>
      </w:r>
      <w:r w:rsidR="00643D66">
        <w:rPr>
          <w:rFonts w:cs="Arial"/>
          <w:szCs w:val="24"/>
        </w:rPr>
        <w:t>(-)</w:t>
      </w:r>
      <w:r w:rsidRPr="00446664">
        <w:rPr>
          <w:rFonts w:cs="Arial"/>
          <w:szCs w:val="24"/>
        </w:rPr>
        <w:t>4</w:t>
      </w:r>
      <w:r w:rsidR="00141A10" w:rsidRPr="00446664">
        <w:rPr>
          <w:rFonts w:cs="Arial"/>
          <w:szCs w:val="24"/>
        </w:rPr>
        <w:t>99</w:t>
      </w:r>
      <w:r w:rsidRPr="00446664">
        <w:rPr>
          <w:rFonts w:cs="Arial"/>
          <w:szCs w:val="24"/>
        </w:rPr>
        <w:t>,</w:t>
      </w:r>
      <w:r w:rsidR="00141A10" w:rsidRPr="00446664">
        <w:rPr>
          <w:rFonts w:cs="Arial"/>
          <w:szCs w:val="24"/>
        </w:rPr>
        <w:t>0</w:t>
      </w:r>
      <w:r w:rsidRPr="00446664">
        <w:rPr>
          <w:rFonts w:cs="Arial"/>
          <w:szCs w:val="24"/>
        </w:rPr>
        <w:t>4</w:t>
      </w:r>
      <w:r w:rsidR="00141A10" w:rsidRPr="00446664">
        <w:rPr>
          <w:rFonts w:cs="Arial"/>
          <w:szCs w:val="24"/>
        </w:rPr>
        <w:t>5</w:t>
      </w:r>
      <w:r w:rsidRPr="00446664">
        <w:rPr>
          <w:rFonts w:cs="Arial"/>
          <w:szCs w:val="24"/>
        </w:rPr>
        <w:t xml:space="preserve"> millones de pesos en el</w:t>
      </w:r>
      <w:r w:rsidR="00D8399F" w:rsidRPr="00446664">
        <w:rPr>
          <w:rFonts w:cs="Arial"/>
          <w:szCs w:val="24"/>
        </w:rPr>
        <w:t xml:space="preserve"> </w:t>
      </w:r>
      <w:r w:rsidR="00A93796" w:rsidRPr="00446664">
        <w:rPr>
          <w:rFonts w:cs="Arial"/>
          <w:szCs w:val="24"/>
        </w:rPr>
        <w:t>segundo</w:t>
      </w:r>
      <w:r w:rsidRPr="00446664">
        <w:rPr>
          <w:rFonts w:cs="Arial"/>
          <w:szCs w:val="24"/>
        </w:rPr>
        <w:t xml:space="preserve"> trimestre </w:t>
      </w:r>
      <w:r w:rsidR="00D8399F" w:rsidRPr="00446664">
        <w:rPr>
          <w:rFonts w:cs="Arial"/>
          <w:szCs w:val="24"/>
        </w:rPr>
        <w:t>de este año</w:t>
      </w:r>
      <w:r w:rsidRPr="0057720D">
        <w:rPr>
          <w:rFonts w:cs="Arial"/>
          <w:szCs w:val="24"/>
        </w:rPr>
        <w:t>.</w:t>
      </w:r>
    </w:p>
    <w:p w14:paraId="3BD945EC" w14:textId="77777777" w:rsidR="001107A9" w:rsidRDefault="001107A9">
      <w:pPr>
        <w:widowControl/>
        <w:rPr>
          <w:rFonts w:ascii="Arial" w:hAnsi="Arial" w:cs="Arial"/>
          <w:szCs w:val="22"/>
        </w:rPr>
      </w:pPr>
      <w:r>
        <w:rPr>
          <w:rFonts w:cs="Arial"/>
          <w:szCs w:val="22"/>
        </w:rPr>
        <w:br w:type="page"/>
      </w:r>
    </w:p>
    <w:p w14:paraId="4F8E1663" w14:textId="77777777" w:rsidR="00CF64DE" w:rsidRDefault="00CF64DE" w:rsidP="001107A9">
      <w:pPr>
        <w:pStyle w:val="p0"/>
        <w:spacing w:before="120"/>
        <w:jc w:val="center"/>
        <w:rPr>
          <w:rFonts w:cs="Arial"/>
          <w:color w:val="auto"/>
          <w:sz w:val="20"/>
          <w:szCs w:val="22"/>
        </w:rPr>
      </w:pPr>
    </w:p>
    <w:p w14:paraId="3A10932A" w14:textId="4E593689" w:rsidR="001107A9" w:rsidRPr="001E3DC3" w:rsidRDefault="001107A9" w:rsidP="00CF64DE">
      <w:pPr>
        <w:pStyle w:val="p0"/>
        <w:spacing w:before="0"/>
        <w:jc w:val="center"/>
        <w:rPr>
          <w:rFonts w:cs="Arial"/>
          <w:color w:val="auto"/>
          <w:sz w:val="20"/>
          <w:szCs w:val="22"/>
        </w:rPr>
      </w:pPr>
      <w:r w:rsidRPr="001E3DC3">
        <w:rPr>
          <w:rFonts w:cs="Arial"/>
          <w:color w:val="auto"/>
          <w:sz w:val="20"/>
          <w:szCs w:val="22"/>
        </w:rPr>
        <w:t>Cuadro 6</w:t>
      </w:r>
    </w:p>
    <w:p w14:paraId="28EA7AF1" w14:textId="085FE189" w:rsidR="001107A9" w:rsidRDefault="001107A9" w:rsidP="001107A9">
      <w:pPr>
        <w:pStyle w:val="p0"/>
        <w:keepNext/>
        <w:widowControl/>
        <w:spacing w:before="0"/>
        <w:jc w:val="center"/>
        <w:rPr>
          <w:rFonts w:cs="Arial"/>
          <w:b/>
          <w:smallCaps/>
          <w:color w:val="auto"/>
          <w:sz w:val="22"/>
          <w:szCs w:val="22"/>
          <w:lang w:eastAsia="es-MX"/>
        </w:rPr>
      </w:pPr>
      <w:r>
        <w:rPr>
          <w:rFonts w:cs="Arial"/>
          <w:b/>
          <w:smallCaps/>
          <w:color w:val="auto"/>
          <w:sz w:val="22"/>
          <w:szCs w:val="22"/>
          <w:lang w:eastAsia="es-MX"/>
        </w:rPr>
        <w:t>Indicador Trimestral del Ahorro Bruto</w:t>
      </w:r>
      <w:r w:rsidR="00DA3BDB">
        <w:rPr>
          <w:rFonts w:cs="Arial"/>
          <w:b/>
          <w:smallCaps/>
          <w:color w:val="auto"/>
          <w:sz w:val="22"/>
          <w:szCs w:val="22"/>
          <w:lang w:eastAsia="es-MX"/>
        </w:rPr>
        <w:t xml:space="preserve"> por componentes</w:t>
      </w:r>
      <w:r>
        <w:rPr>
          <w:rFonts w:cs="Arial"/>
          <w:b/>
          <w:smallCaps/>
          <w:color w:val="auto"/>
          <w:sz w:val="22"/>
          <w:szCs w:val="22"/>
          <w:lang w:eastAsia="es-MX"/>
        </w:rPr>
        <w:t xml:space="preserve"> </w:t>
      </w:r>
      <w:r>
        <w:rPr>
          <w:rFonts w:cs="Arial"/>
          <w:b/>
          <w:smallCaps/>
          <w:color w:val="auto"/>
          <w:sz w:val="22"/>
          <w:szCs w:val="22"/>
          <w:lang w:eastAsia="es-MX"/>
        </w:rPr>
        <w:br/>
        <w:t xml:space="preserve">al </w:t>
      </w:r>
      <w:r w:rsidR="00A93796">
        <w:rPr>
          <w:rFonts w:cs="Arial"/>
          <w:b/>
          <w:smallCaps/>
          <w:color w:val="auto"/>
          <w:sz w:val="22"/>
          <w:szCs w:val="22"/>
          <w:lang w:eastAsia="es-MX"/>
        </w:rPr>
        <w:t>segundo</w:t>
      </w:r>
      <w:r>
        <w:rPr>
          <w:rFonts w:cs="Arial"/>
          <w:b/>
          <w:smallCaps/>
          <w:color w:val="auto"/>
          <w:sz w:val="22"/>
          <w:szCs w:val="22"/>
          <w:lang w:eastAsia="es-MX"/>
        </w:rPr>
        <w:t xml:space="preserve"> trimestre de 2021</w:t>
      </w:r>
    </w:p>
    <w:p w14:paraId="467B2A5F" w14:textId="3EA46B0E" w:rsidR="001107A9" w:rsidRPr="00100026" w:rsidRDefault="001107A9" w:rsidP="001107A9">
      <w:pPr>
        <w:pStyle w:val="p0"/>
        <w:keepNext/>
        <w:widowControl/>
        <w:spacing w:before="0"/>
        <w:jc w:val="center"/>
        <w:rPr>
          <w:rFonts w:cs="Arial"/>
          <w:bCs/>
          <w:color w:val="auto"/>
          <w:sz w:val="18"/>
          <w:szCs w:val="18"/>
          <w:lang w:val="es-MX" w:eastAsia="es-MX"/>
        </w:rPr>
      </w:pPr>
      <w:r w:rsidRPr="00100026">
        <w:rPr>
          <w:rFonts w:cs="Arial"/>
          <w:bCs/>
          <w:color w:val="auto"/>
          <w:sz w:val="18"/>
          <w:szCs w:val="18"/>
          <w:lang w:eastAsia="es-MX"/>
        </w:rPr>
        <w:t>(Millones de pesos</w:t>
      </w:r>
      <w:r w:rsidR="001F4FC1" w:rsidRPr="00100026">
        <w:rPr>
          <w:rFonts w:cs="Arial"/>
          <w:bCs/>
          <w:color w:val="auto"/>
          <w:sz w:val="18"/>
          <w:szCs w:val="18"/>
          <w:lang w:eastAsia="es-MX"/>
        </w:rPr>
        <w:t xml:space="preserve"> corrientes</w:t>
      </w:r>
      <w:r w:rsidRPr="00100026">
        <w:rPr>
          <w:rFonts w:cs="Arial"/>
          <w:bCs/>
          <w:color w:val="auto"/>
          <w:sz w:val="18"/>
          <w:szCs w:val="18"/>
          <w:lang w:eastAsia="es-MX"/>
        </w:rPr>
        <w:t>)</w:t>
      </w:r>
    </w:p>
    <w:tbl>
      <w:tblPr>
        <w:tblStyle w:val="Tablaconcuadrcula"/>
        <w:tblW w:w="9753" w:type="dxa"/>
        <w:jc w:val="center"/>
        <w:tblLayout w:type="fixed"/>
        <w:tblLook w:val="04A0" w:firstRow="1" w:lastRow="0" w:firstColumn="1" w:lastColumn="0" w:noHBand="0" w:noVBand="1"/>
      </w:tblPr>
      <w:tblGrid>
        <w:gridCol w:w="2263"/>
        <w:gridCol w:w="1266"/>
        <w:gridCol w:w="1286"/>
        <w:gridCol w:w="1146"/>
        <w:gridCol w:w="1264"/>
        <w:gridCol w:w="1264"/>
        <w:gridCol w:w="1264"/>
      </w:tblGrid>
      <w:tr w:rsidR="00415D86" w14:paraId="4BE90A72" w14:textId="72B8D04E" w:rsidTr="00856F76">
        <w:trPr>
          <w:trHeight w:val="255"/>
          <w:jc w:val="center"/>
        </w:trPr>
        <w:tc>
          <w:tcPr>
            <w:tcW w:w="2263" w:type="dxa"/>
            <w:vMerge w:val="restart"/>
            <w:tcBorders>
              <w:top w:val="double" w:sz="4" w:space="0" w:color="auto"/>
              <w:left w:val="double" w:sz="4" w:space="0" w:color="auto"/>
              <w:bottom w:val="single" w:sz="4" w:space="0" w:color="auto"/>
              <w:right w:val="single" w:sz="4" w:space="0" w:color="auto"/>
            </w:tcBorders>
            <w:shd w:val="clear" w:color="auto" w:fill="C2D69B" w:themeFill="accent3" w:themeFillTint="99"/>
            <w:vAlign w:val="center"/>
            <w:hideMark/>
          </w:tcPr>
          <w:p w14:paraId="7E15488A" w14:textId="77777777" w:rsidR="00415D86" w:rsidRPr="0057720D" w:rsidRDefault="00415D86" w:rsidP="00415D86">
            <w:pPr>
              <w:spacing w:before="60"/>
              <w:jc w:val="center"/>
              <w:rPr>
                <w:rFonts w:ascii="Arial" w:hAnsi="Arial" w:cs="Arial"/>
                <w:b/>
                <w:sz w:val="18"/>
                <w:szCs w:val="18"/>
                <w:lang w:val="es-ES"/>
              </w:rPr>
            </w:pPr>
            <w:r w:rsidRPr="0057720D">
              <w:rPr>
                <w:rFonts w:ascii="Arial" w:hAnsi="Arial" w:cs="Arial"/>
                <w:b/>
                <w:sz w:val="18"/>
                <w:szCs w:val="18"/>
                <w:lang w:val="es-ES"/>
              </w:rPr>
              <w:t>Concepto</w:t>
            </w:r>
          </w:p>
        </w:tc>
        <w:tc>
          <w:tcPr>
            <w:tcW w:w="3698" w:type="dxa"/>
            <w:gridSpan w:val="3"/>
            <w:tcBorders>
              <w:top w:val="double" w:sz="4" w:space="0" w:color="auto"/>
              <w:left w:val="double" w:sz="4" w:space="0" w:color="auto"/>
              <w:bottom w:val="nil"/>
              <w:right w:val="double" w:sz="4" w:space="0" w:color="auto"/>
            </w:tcBorders>
            <w:shd w:val="clear" w:color="auto" w:fill="C2D69B" w:themeFill="accent3" w:themeFillTint="99"/>
          </w:tcPr>
          <w:p w14:paraId="118CC1A8" w14:textId="4EA7F41E" w:rsidR="00415D86" w:rsidRPr="0057720D" w:rsidRDefault="00415D86" w:rsidP="00415D86">
            <w:pPr>
              <w:spacing w:before="60"/>
              <w:jc w:val="center"/>
              <w:rPr>
                <w:rFonts w:ascii="Arial" w:hAnsi="Arial" w:cs="Arial"/>
                <w:b/>
                <w:sz w:val="18"/>
                <w:szCs w:val="18"/>
                <w:lang w:val="es-ES"/>
              </w:rPr>
            </w:pPr>
            <w:r w:rsidRPr="0057720D">
              <w:rPr>
                <w:rFonts w:ascii="Arial" w:hAnsi="Arial" w:cs="Arial"/>
                <w:b/>
                <w:sz w:val="18"/>
                <w:szCs w:val="18"/>
                <w:lang w:val="es-ES"/>
              </w:rPr>
              <w:t>2020</w:t>
            </w:r>
            <w:r w:rsidR="00A06E72">
              <w:rPr>
                <w:rFonts w:ascii="Arial" w:hAnsi="Arial" w:cs="Arial"/>
                <w:b/>
                <w:sz w:val="18"/>
                <w:szCs w:val="18"/>
                <w:vertAlign w:val="superscript"/>
                <w:lang w:val="es-ES"/>
              </w:rPr>
              <w:t>P</w:t>
            </w:r>
            <w:r w:rsidRPr="0057720D">
              <w:rPr>
                <w:rFonts w:ascii="Arial" w:hAnsi="Arial" w:cs="Arial"/>
                <w:b/>
                <w:sz w:val="18"/>
                <w:szCs w:val="18"/>
                <w:vertAlign w:val="superscript"/>
                <w:lang w:val="es-ES"/>
              </w:rPr>
              <w:t>/</w:t>
            </w:r>
          </w:p>
        </w:tc>
        <w:tc>
          <w:tcPr>
            <w:tcW w:w="3792" w:type="dxa"/>
            <w:gridSpan w:val="3"/>
            <w:tcBorders>
              <w:top w:val="double" w:sz="4" w:space="0" w:color="auto"/>
              <w:left w:val="double" w:sz="4" w:space="0" w:color="auto"/>
              <w:bottom w:val="nil"/>
              <w:right w:val="double" w:sz="4" w:space="0" w:color="auto"/>
            </w:tcBorders>
            <w:shd w:val="clear" w:color="auto" w:fill="C2D69B" w:themeFill="accent3" w:themeFillTint="99"/>
          </w:tcPr>
          <w:p w14:paraId="371C227E" w14:textId="3655076E" w:rsidR="00415D86" w:rsidRDefault="00415D86" w:rsidP="00415D86">
            <w:pPr>
              <w:spacing w:before="60"/>
              <w:jc w:val="center"/>
              <w:rPr>
                <w:rFonts w:ascii="Arial" w:hAnsi="Arial" w:cs="Arial"/>
                <w:b/>
                <w:sz w:val="18"/>
                <w:szCs w:val="18"/>
                <w:lang w:val="es-ES"/>
              </w:rPr>
            </w:pPr>
            <w:r>
              <w:rPr>
                <w:rFonts w:ascii="Arial" w:hAnsi="Arial" w:cs="Arial"/>
                <w:b/>
                <w:sz w:val="18"/>
                <w:szCs w:val="18"/>
                <w:lang w:val="es-ES"/>
              </w:rPr>
              <w:t>2021</w:t>
            </w:r>
            <w:r w:rsidR="00CE4772" w:rsidRPr="00CE4772">
              <w:rPr>
                <w:rFonts w:ascii="Arial" w:hAnsi="Arial" w:cs="Arial"/>
                <w:b/>
                <w:sz w:val="18"/>
                <w:szCs w:val="18"/>
                <w:vertAlign w:val="superscript"/>
                <w:lang w:val="es-ES"/>
              </w:rPr>
              <w:t>R/</w:t>
            </w:r>
          </w:p>
        </w:tc>
      </w:tr>
      <w:tr w:rsidR="00415D86" w14:paraId="3FD0B4D5" w14:textId="4D6413D0" w:rsidTr="00415D86">
        <w:trPr>
          <w:trHeight w:val="229"/>
          <w:jc w:val="center"/>
        </w:trPr>
        <w:tc>
          <w:tcPr>
            <w:tcW w:w="2263" w:type="dxa"/>
            <w:vMerge/>
            <w:tcBorders>
              <w:top w:val="double" w:sz="4" w:space="0" w:color="auto"/>
              <w:left w:val="double" w:sz="4" w:space="0" w:color="auto"/>
              <w:bottom w:val="double" w:sz="4" w:space="0" w:color="auto"/>
              <w:right w:val="single" w:sz="4" w:space="0" w:color="auto"/>
            </w:tcBorders>
            <w:vAlign w:val="center"/>
          </w:tcPr>
          <w:p w14:paraId="46428D35" w14:textId="77777777" w:rsidR="00415D86" w:rsidRPr="0057720D" w:rsidRDefault="00415D86" w:rsidP="00415D86">
            <w:pPr>
              <w:rPr>
                <w:rFonts w:ascii="Arial" w:hAnsi="Arial" w:cs="Arial"/>
                <w:b/>
                <w:sz w:val="18"/>
                <w:szCs w:val="18"/>
                <w:lang w:val="es-ES"/>
              </w:rPr>
            </w:pPr>
          </w:p>
        </w:tc>
        <w:tc>
          <w:tcPr>
            <w:tcW w:w="2552" w:type="dxa"/>
            <w:gridSpan w:val="2"/>
            <w:tcBorders>
              <w:top w:val="single" w:sz="4" w:space="0" w:color="auto"/>
              <w:left w:val="double" w:sz="4" w:space="0" w:color="auto"/>
              <w:bottom w:val="single" w:sz="4" w:space="0" w:color="auto"/>
              <w:right w:val="single" w:sz="4" w:space="0" w:color="auto"/>
            </w:tcBorders>
            <w:shd w:val="clear" w:color="auto" w:fill="C2D69B" w:themeFill="accent3" w:themeFillTint="99"/>
            <w:vAlign w:val="center"/>
          </w:tcPr>
          <w:p w14:paraId="02300346" w14:textId="0B7ED26D" w:rsidR="00415D86" w:rsidRPr="0057720D" w:rsidRDefault="00415D86" w:rsidP="00415D86">
            <w:pPr>
              <w:spacing w:before="60"/>
              <w:jc w:val="center"/>
              <w:rPr>
                <w:rFonts w:ascii="Arial" w:hAnsi="Arial" w:cs="Arial"/>
                <w:b/>
                <w:sz w:val="18"/>
                <w:szCs w:val="18"/>
                <w:lang w:val="es-ES"/>
              </w:rPr>
            </w:pPr>
            <w:r>
              <w:rPr>
                <w:rFonts w:ascii="Arial" w:hAnsi="Arial" w:cs="Arial"/>
                <w:b/>
                <w:sz w:val="18"/>
                <w:szCs w:val="18"/>
                <w:lang w:val="es-ES"/>
              </w:rPr>
              <w:t>Trimestre</w:t>
            </w:r>
          </w:p>
        </w:tc>
        <w:tc>
          <w:tcPr>
            <w:tcW w:w="1146" w:type="dxa"/>
            <w:vMerge w:val="restart"/>
            <w:tcBorders>
              <w:top w:val="single" w:sz="4" w:space="0" w:color="auto"/>
              <w:left w:val="single" w:sz="4" w:space="0" w:color="auto"/>
              <w:right w:val="double" w:sz="4" w:space="0" w:color="auto"/>
            </w:tcBorders>
            <w:shd w:val="clear" w:color="auto" w:fill="C2D69B" w:themeFill="accent3" w:themeFillTint="99"/>
            <w:vAlign w:val="center"/>
          </w:tcPr>
          <w:p w14:paraId="06FA3FD1" w14:textId="77777777" w:rsidR="00415D86" w:rsidRPr="0057720D" w:rsidRDefault="00415D86" w:rsidP="00415D86">
            <w:pPr>
              <w:spacing w:before="60"/>
              <w:jc w:val="center"/>
              <w:rPr>
                <w:rFonts w:ascii="Arial" w:hAnsi="Arial" w:cs="Arial"/>
                <w:b/>
                <w:sz w:val="18"/>
                <w:szCs w:val="18"/>
                <w:lang w:val="es-ES"/>
              </w:rPr>
            </w:pPr>
            <w:r w:rsidRPr="0057720D">
              <w:rPr>
                <w:rFonts w:ascii="Arial" w:hAnsi="Arial" w:cs="Arial"/>
                <w:b/>
                <w:sz w:val="18"/>
                <w:szCs w:val="18"/>
                <w:lang w:val="es-ES"/>
              </w:rPr>
              <w:t>Anual</w:t>
            </w:r>
          </w:p>
        </w:tc>
        <w:tc>
          <w:tcPr>
            <w:tcW w:w="2528"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C7B43FA" w14:textId="1BB4B170" w:rsidR="00415D86" w:rsidRDefault="00415D86" w:rsidP="00415D86">
            <w:pPr>
              <w:spacing w:before="60"/>
              <w:jc w:val="center"/>
              <w:rPr>
                <w:rFonts w:ascii="Arial" w:hAnsi="Arial" w:cs="Arial"/>
                <w:b/>
                <w:sz w:val="18"/>
                <w:szCs w:val="18"/>
                <w:lang w:val="es-ES"/>
              </w:rPr>
            </w:pPr>
            <w:r>
              <w:rPr>
                <w:rFonts w:ascii="Arial" w:hAnsi="Arial" w:cs="Arial"/>
                <w:b/>
                <w:sz w:val="18"/>
                <w:szCs w:val="18"/>
                <w:lang w:val="es-ES"/>
              </w:rPr>
              <w:t>Trimestre</w:t>
            </w:r>
          </w:p>
        </w:tc>
        <w:tc>
          <w:tcPr>
            <w:tcW w:w="1264" w:type="dxa"/>
            <w:vMerge w:val="restart"/>
            <w:tcBorders>
              <w:top w:val="single" w:sz="4" w:space="0" w:color="auto"/>
              <w:left w:val="single" w:sz="4" w:space="0" w:color="auto"/>
              <w:right w:val="double" w:sz="4" w:space="0" w:color="auto"/>
            </w:tcBorders>
            <w:shd w:val="clear" w:color="auto" w:fill="C2D69B" w:themeFill="accent3" w:themeFillTint="99"/>
          </w:tcPr>
          <w:p w14:paraId="521D8292" w14:textId="77777777" w:rsidR="00415D86" w:rsidRDefault="00415D86" w:rsidP="00415D86">
            <w:pPr>
              <w:spacing w:before="60"/>
              <w:jc w:val="center"/>
              <w:rPr>
                <w:rFonts w:ascii="Arial" w:hAnsi="Arial" w:cs="Arial"/>
                <w:b/>
                <w:sz w:val="18"/>
                <w:szCs w:val="18"/>
                <w:lang w:val="es-ES"/>
              </w:rPr>
            </w:pPr>
            <w:r>
              <w:rPr>
                <w:rFonts w:ascii="Arial" w:hAnsi="Arial" w:cs="Arial"/>
                <w:b/>
                <w:sz w:val="18"/>
                <w:szCs w:val="18"/>
                <w:lang w:val="es-ES"/>
              </w:rPr>
              <w:t>6</w:t>
            </w:r>
          </w:p>
          <w:p w14:paraId="1358FCD0" w14:textId="79A1BD41" w:rsidR="00415D86" w:rsidRDefault="00415D86" w:rsidP="00415D86">
            <w:pPr>
              <w:spacing w:before="60"/>
              <w:jc w:val="center"/>
              <w:rPr>
                <w:rFonts w:ascii="Arial" w:hAnsi="Arial" w:cs="Arial"/>
                <w:b/>
                <w:sz w:val="18"/>
                <w:szCs w:val="18"/>
                <w:lang w:val="es-ES"/>
              </w:rPr>
            </w:pPr>
            <w:r>
              <w:rPr>
                <w:rFonts w:ascii="Arial" w:hAnsi="Arial" w:cs="Arial"/>
                <w:b/>
                <w:sz w:val="18"/>
                <w:szCs w:val="18"/>
                <w:lang w:val="es-ES"/>
              </w:rPr>
              <w:t>Meses</w:t>
            </w:r>
          </w:p>
        </w:tc>
      </w:tr>
      <w:tr w:rsidR="00415D86" w14:paraId="73D88AB0" w14:textId="57E780C4" w:rsidTr="006D3C25">
        <w:trPr>
          <w:trHeight w:val="229"/>
          <w:jc w:val="center"/>
        </w:trPr>
        <w:tc>
          <w:tcPr>
            <w:tcW w:w="2263" w:type="dxa"/>
            <w:vMerge/>
            <w:tcBorders>
              <w:top w:val="double" w:sz="4" w:space="0" w:color="auto"/>
              <w:left w:val="double" w:sz="4" w:space="0" w:color="auto"/>
              <w:bottom w:val="double" w:sz="4" w:space="0" w:color="auto"/>
              <w:right w:val="single" w:sz="4" w:space="0" w:color="auto"/>
            </w:tcBorders>
            <w:vAlign w:val="center"/>
            <w:hideMark/>
          </w:tcPr>
          <w:p w14:paraId="44B62985" w14:textId="77777777" w:rsidR="00415D86" w:rsidRPr="0057720D" w:rsidRDefault="00415D86" w:rsidP="00415D86">
            <w:pPr>
              <w:rPr>
                <w:rFonts w:ascii="Arial" w:hAnsi="Arial" w:cs="Arial"/>
                <w:b/>
                <w:sz w:val="18"/>
                <w:szCs w:val="18"/>
                <w:lang w:val="es-ES"/>
              </w:rPr>
            </w:pPr>
          </w:p>
        </w:tc>
        <w:tc>
          <w:tcPr>
            <w:tcW w:w="1266" w:type="dxa"/>
            <w:tcBorders>
              <w:top w:val="single" w:sz="4" w:space="0" w:color="auto"/>
              <w:left w:val="single" w:sz="4" w:space="0" w:color="auto"/>
              <w:bottom w:val="double" w:sz="4" w:space="0" w:color="auto"/>
              <w:right w:val="single" w:sz="4" w:space="0" w:color="auto"/>
            </w:tcBorders>
            <w:shd w:val="clear" w:color="auto" w:fill="C2D69B" w:themeFill="accent3" w:themeFillTint="99"/>
            <w:vAlign w:val="center"/>
            <w:hideMark/>
          </w:tcPr>
          <w:p w14:paraId="24490A82" w14:textId="77777777" w:rsidR="00415D86" w:rsidRPr="0057720D" w:rsidRDefault="00415D86" w:rsidP="00415D86">
            <w:pPr>
              <w:spacing w:before="60"/>
              <w:jc w:val="center"/>
              <w:rPr>
                <w:rFonts w:ascii="Arial" w:hAnsi="Arial" w:cs="Arial"/>
                <w:b/>
                <w:sz w:val="18"/>
                <w:szCs w:val="18"/>
                <w:lang w:val="es-ES"/>
              </w:rPr>
            </w:pPr>
            <w:r w:rsidRPr="0057720D">
              <w:rPr>
                <w:rFonts w:ascii="Arial" w:hAnsi="Arial" w:cs="Arial"/>
                <w:b/>
                <w:sz w:val="18"/>
                <w:szCs w:val="18"/>
                <w:lang w:val="es-ES"/>
              </w:rPr>
              <w:t>III</w:t>
            </w:r>
          </w:p>
        </w:tc>
        <w:tc>
          <w:tcPr>
            <w:tcW w:w="1286" w:type="dxa"/>
            <w:tcBorders>
              <w:top w:val="single" w:sz="4" w:space="0" w:color="auto"/>
              <w:left w:val="single" w:sz="4" w:space="0" w:color="auto"/>
              <w:bottom w:val="double" w:sz="4" w:space="0" w:color="auto"/>
              <w:right w:val="single" w:sz="4" w:space="0" w:color="auto"/>
            </w:tcBorders>
            <w:shd w:val="clear" w:color="auto" w:fill="C2D69B" w:themeFill="accent3" w:themeFillTint="99"/>
            <w:vAlign w:val="center"/>
            <w:hideMark/>
          </w:tcPr>
          <w:p w14:paraId="2124DAE5" w14:textId="77777777" w:rsidR="00415D86" w:rsidRPr="0057720D" w:rsidRDefault="00415D86" w:rsidP="00415D86">
            <w:pPr>
              <w:spacing w:before="60"/>
              <w:jc w:val="center"/>
              <w:rPr>
                <w:rFonts w:ascii="Arial" w:hAnsi="Arial" w:cs="Arial"/>
                <w:b/>
                <w:sz w:val="18"/>
                <w:szCs w:val="18"/>
                <w:lang w:val="es-ES"/>
              </w:rPr>
            </w:pPr>
            <w:r w:rsidRPr="0057720D">
              <w:rPr>
                <w:rFonts w:ascii="Arial" w:hAnsi="Arial" w:cs="Arial"/>
                <w:b/>
                <w:sz w:val="18"/>
                <w:szCs w:val="18"/>
                <w:lang w:val="es-ES"/>
              </w:rPr>
              <w:t>IV</w:t>
            </w:r>
          </w:p>
        </w:tc>
        <w:tc>
          <w:tcPr>
            <w:tcW w:w="1146" w:type="dxa"/>
            <w:vMerge/>
            <w:tcBorders>
              <w:left w:val="single" w:sz="4" w:space="0" w:color="auto"/>
              <w:bottom w:val="double" w:sz="4" w:space="0" w:color="auto"/>
              <w:right w:val="double" w:sz="4" w:space="0" w:color="auto"/>
            </w:tcBorders>
            <w:shd w:val="clear" w:color="auto" w:fill="C2D69B" w:themeFill="accent3" w:themeFillTint="99"/>
            <w:vAlign w:val="center"/>
            <w:hideMark/>
          </w:tcPr>
          <w:p w14:paraId="1DEE497A" w14:textId="77777777" w:rsidR="00415D86" w:rsidRPr="0057720D" w:rsidRDefault="00415D86" w:rsidP="00415D86">
            <w:pPr>
              <w:spacing w:before="60"/>
              <w:jc w:val="center"/>
              <w:rPr>
                <w:rFonts w:ascii="Arial" w:hAnsi="Arial" w:cs="Arial"/>
                <w:b/>
                <w:sz w:val="18"/>
                <w:szCs w:val="18"/>
                <w:lang w:val="es-ES"/>
              </w:rPr>
            </w:pPr>
          </w:p>
        </w:tc>
        <w:tc>
          <w:tcPr>
            <w:tcW w:w="1264" w:type="dxa"/>
            <w:tcBorders>
              <w:top w:val="single" w:sz="4" w:space="0" w:color="auto"/>
              <w:left w:val="single" w:sz="4" w:space="0" w:color="auto"/>
              <w:bottom w:val="double" w:sz="4" w:space="0" w:color="auto"/>
              <w:right w:val="single" w:sz="4" w:space="0" w:color="auto"/>
            </w:tcBorders>
            <w:shd w:val="clear" w:color="auto" w:fill="C2D69B" w:themeFill="accent3" w:themeFillTint="99"/>
          </w:tcPr>
          <w:p w14:paraId="59858F55" w14:textId="12BC18E9" w:rsidR="00415D86" w:rsidRPr="0057720D" w:rsidRDefault="00415D86" w:rsidP="00415D86">
            <w:pPr>
              <w:spacing w:before="60"/>
              <w:jc w:val="center"/>
              <w:rPr>
                <w:rFonts w:ascii="Arial" w:hAnsi="Arial" w:cs="Arial"/>
                <w:b/>
                <w:sz w:val="18"/>
                <w:szCs w:val="18"/>
                <w:lang w:val="es-ES"/>
              </w:rPr>
            </w:pPr>
            <w:r>
              <w:rPr>
                <w:rFonts w:ascii="Arial" w:hAnsi="Arial" w:cs="Arial"/>
                <w:b/>
                <w:sz w:val="18"/>
                <w:szCs w:val="18"/>
                <w:lang w:val="es-ES"/>
              </w:rPr>
              <w:t>I</w:t>
            </w:r>
          </w:p>
        </w:tc>
        <w:tc>
          <w:tcPr>
            <w:tcW w:w="1264" w:type="dxa"/>
            <w:tcBorders>
              <w:top w:val="single" w:sz="4" w:space="0" w:color="auto"/>
              <w:left w:val="single" w:sz="4" w:space="0" w:color="auto"/>
              <w:bottom w:val="double" w:sz="4" w:space="0" w:color="auto"/>
              <w:right w:val="single" w:sz="4" w:space="0" w:color="auto"/>
            </w:tcBorders>
            <w:shd w:val="clear" w:color="auto" w:fill="C2D69B" w:themeFill="accent3" w:themeFillTint="99"/>
          </w:tcPr>
          <w:p w14:paraId="3802DB56" w14:textId="319915AC" w:rsidR="00415D86" w:rsidRDefault="00415D86" w:rsidP="00415D86">
            <w:pPr>
              <w:spacing w:before="60"/>
              <w:jc w:val="center"/>
              <w:rPr>
                <w:rFonts w:ascii="Arial" w:hAnsi="Arial" w:cs="Arial"/>
                <w:b/>
                <w:sz w:val="18"/>
                <w:szCs w:val="18"/>
                <w:lang w:val="es-ES"/>
              </w:rPr>
            </w:pPr>
            <w:r>
              <w:rPr>
                <w:rFonts w:ascii="Arial" w:hAnsi="Arial" w:cs="Arial"/>
                <w:b/>
                <w:sz w:val="18"/>
                <w:szCs w:val="18"/>
                <w:lang w:val="es-ES"/>
              </w:rPr>
              <w:t>II</w:t>
            </w:r>
            <w:r w:rsidR="00A06E72" w:rsidRPr="0057720D">
              <w:rPr>
                <w:rFonts w:ascii="Arial" w:hAnsi="Arial" w:cs="Arial"/>
                <w:b/>
                <w:sz w:val="18"/>
                <w:szCs w:val="18"/>
                <w:vertAlign w:val="superscript"/>
                <w:lang w:val="es-ES"/>
              </w:rPr>
              <w:t>P/</w:t>
            </w:r>
          </w:p>
        </w:tc>
        <w:tc>
          <w:tcPr>
            <w:tcW w:w="1264" w:type="dxa"/>
            <w:vMerge/>
            <w:tcBorders>
              <w:left w:val="single" w:sz="4" w:space="0" w:color="auto"/>
              <w:bottom w:val="double" w:sz="4" w:space="0" w:color="auto"/>
              <w:right w:val="double" w:sz="4" w:space="0" w:color="auto"/>
            </w:tcBorders>
            <w:shd w:val="clear" w:color="auto" w:fill="C2D69B" w:themeFill="accent3" w:themeFillTint="99"/>
          </w:tcPr>
          <w:p w14:paraId="6743CACC" w14:textId="77777777" w:rsidR="00415D86" w:rsidRDefault="00415D86" w:rsidP="00415D86">
            <w:pPr>
              <w:spacing w:before="60"/>
              <w:jc w:val="center"/>
              <w:rPr>
                <w:rFonts w:ascii="Arial" w:hAnsi="Arial" w:cs="Arial"/>
                <w:b/>
                <w:sz w:val="18"/>
                <w:szCs w:val="18"/>
                <w:lang w:val="es-ES"/>
              </w:rPr>
            </w:pPr>
          </w:p>
        </w:tc>
      </w:tr>
      <w:tr w:rsidR="006D3C25" w14:paraId="5E310CAB" w14:textId="2EC7EE05" w:rsidTr="006D3C25">
        <w:trPr>
          <w:trHeight w:val="201"/>
          <w:jc w:val="center"/>
        </w:trPr>
        <w:tc>
          <w:tcPr>
            <w:tcW w:w="2263" w:type="dxa"/>
            <w:tcBorders>
              <w:top w:val="double" w:sz="4" w:space="0" w:color="auto"/>
              <w:left w:val="double" w:sz="4" w:space="0" w:color="auto"/>
              <w:bottom w:val="nil"/>
              <w:right w:val="single" w:sz="4" w:space="0" w:color="auto"/>
            </w:tcBorders>
            <w:shd w:val="clear" w:color="auto" w:fill="auto"/>
            <w:vAlign w:val="center"/>
            <w:hideMark/>
          </w:tcPr>
          <w:p w14:paraId="554D87D5" w14:textId="77777777" w:rsidR="006D3C25" w:rsidRPr="00DF7FA1" w:rsidRDefault="006D3C25" w:rsidP="006D3C25">
            <w:pPr>
              <w:rPr>
                <w:rFonts w:ascii="Arial" w:hAnsi="Arial" w:cs="Arial"/>
                <w:b/>
                <w:bCs/>
                <w:sz w:val="18"/>
                <w:szCs w:val="18"/>
                <w:lang w:val="es-ES"/>
              </w:rPr>
            </w:pPr>
            <w:r w:rsidRPr="00DF7FA1">
              <w:rPr>
                <w:rFonts w:ascii="Arial" w:hAnsi="Arial" w:cs="Arial"/>
                <w:b/>
                <w:bCs/>
                <w:sz w:val="18"/>
                <w:szCs w:val="18"/>
                <w:lang w:val="es-ES"/>
              </w:rPr>
              <w:t>Producto Interno Bruto</w:t>
            </w:r>
          </w:p>
        </w:tc>
        <w:tc>
          <w:tcPr>
            <w:tcW w:w="1266" w:type="dxa"/>
            <w:tcBorders>
              <w:top w:val="double" w:sz="4" w:space="0" w:color="auto"/>
              <w:left w:val="single" w:sz="4" w:space="0" w:color="auto"/>
              <w:bottom w:val="nil"/>
              <w:right w:val="nil"/>
            </w:tcBorders>
            <w:shd w:val="clear" w:color="auto" w:fill="auto"/>
            <w:vAlign w:val="center"/>
            <w:hideMark/>
          </w:tcPr>
          <w:p w14:paraId="6AF71F9A" w14:textId="77777777" w:rsidR="006D3C25" w:rsidRPr="0057720D" w:rsidRDefault="006D3C25" w:rsidP="006D3C25">
            <w:pPr>
              <w:spacing w:before="60"/>
              <w:ind w:right="-57"/>
              <w:jc w:val="right"/>
              <w:rPr>
                <w:rFonts w:ascii="Arial" w:hAnsi="Arial" w:cs="Arial"/>
                <w:b/>
                <w:sz w:val="18"/>
                <w:szCs w:val="18"/>
                <w:lang w:val="es-ES"/>
              </w:rPr>
            </w:pPr>
            <w:r w:rsidRPr="0057720D">
              <w:rPr>
                <w:rFonts w:ascii="Arial" w:hAnsi="Arial" w:cs="Arial"/>
                <w:b/>
                <w:sz w:val="18"/>
                <w:szCs w:val="18"/>
                <w:lang w:val="es-ES"/>
              </w:rPr>
              <w:t>23,</w:t>
            </w:r>
            <w:r>
              <w:rPr>
                <w:rFonts w:ascii="Arial" w:hAnsi="Arial" w:cs="Arial"/>
                <w:b/>
                <w:sz w:val="18"/>
                <w:szCs w:val="18"/>
                <w:lang w:val="es-ES"/>
              </w:rPr>
              <w:t>0</w:t>
            </w:r>
            <w:r w:rsidRPr="0057720D">
              <w:rPr>
                <w:rFonts w:ascii="Arial" w:hAnsi="Arial" w:cs="Arial"/>
                <w:b/>
                <w:sz w:val="18"/>
                <w:szCs w:val="18"/>
                <w:lang w:val="es-ES"/>
              </w:rPr>
              <w:t>10,</w:t>
            </w:r>
            <w:r>
              <w:rPr>
                <w:rFonts w:ascii="Arial" w:hAnsi="Arial" w:cs="Arial"/>
                <w:b/>
                <w:sz w:val="18"/>
                <w:szCs w:val="18"/>
                <w:lang w:val="es-ES"/>
              </w:rPr>
              <w:t>748</w:t>
            </w:r>
          </w:p>
        </w:tc>
        <w:tc>
          <w:tcPr>
            <w:tcW w:w="1286" w:type="dxa"/>
            <w:tcBorders>
              <w:top w:val="double" w:sz="4" w:space="0" w:color="auto"/>
              <w:left w:val="nil"/>
              <w:bottom w:val="nil"/>
              <w:right w:val="nil"/>
            </w:tcBorders>
            <w:shd w:val="clear" w:color="auto" w:fill="auto"/>
            <w:vAlign w:val="center"/>
            <w:hideMark/>
          </w:tcPr>
          <w:p w14:paraId="25844A56" w14:textId="77777777" w:rsidR="006D3C25" w:rsidRPr="0057720D" w:rsidRDefault="006D3C25" w:rsidP="006D3C25">
            <w:pPr>
              <w:spacing w:before="60"/>
              <w:jc w:val="right"/>
              <w:rPr>
                <w:rFonts w:ascii="Arial" w:hAnsi="Arial" w:cs="Arial"/>
                <w:b/>
                <w:sz w:val="18"/>
                <w:szCs w:val="18"/>
                <w:lang w:val="es-ES"/>
              </w:rPr>
            </w:pPr>
            <w:r w:rsidRPr="0057720D">
              <w:rPr>
                <w:rFonts w:ascii="Arial" w:hAnsi="Arial" w:cs="Arial"/>
                <w:b/>
                <w:sz w:val="18"/>
                <w:szCs w:val="18"/>
                <w:lang w:val="es-ES"/>
              </w:rPr>
              <w:t>2</w:t>
            </w:r>
            <w:r>
              <w:rPr>
                <w:rFonts w:ascii="Arial" w:hAnsi="Arial" w:cs="Arial"/>
                <w:b/>
                <w:sz w:val="18"/>
                <w:szCs w:val="18"/>
                <w:lang w:val="es-ES"/>
              </w:rPr>
              <w:t>4</w:t>
            </w:r>
            <w:r w:rsidRPr="0057720D">
              <w:rPr>
                <w:rFonts w:ascii="Arial" w:hAnsi="Arial" w:cs="Arial"/>
                <w:b/>
                <w:sz w:val="18"/>
                <w:szCs w:val="18"/>
                <w:lang w:val="es-ES"/>
              </w:rPr>
              <w:t>,</w:t>
            </w:r>
            <w:r>
              <w:rPr>
                <w:rFonts w:ascii="Arial" w:hAnsi="Arial" w:cs="Arial"/>
                <w:b/>
                <w:sz w:val="18"/>
                <w:szCs w:val="18"/>
                <w:lang w:val="es-ES"/>
              </w:rPr>
              <w:t>794</w:t>
            </w:r>
            <w:r w:rsidRPr="0057720D">
              <w:rPr>
                <w:rFonts w:ascii="Arial" w:hAnsi="Arial" w:cs="Arial"/>
                <w:b/>
                <w:sz w:val="18"/>
                <w:szCs w:val="18"/>
                <w:lang w:val="es-ES"/>
              </w:rPr>
              <w:t>,</w:t>
            </w:r>
            <w:r>
              <w:rPr>
                <w:rFonts w:ascii="Arial" w:hAnsi="Arial" w:cs="Arial"/>
                <w:b/>
                <w:sz w:val="18"/>
                <w:szCs w:val="18"/>
                <w:lang w:val="es-ES"/>
              </w:rPr>
              <w:t>734</w:t>
            </w:r>
          </w:p>
        </w:tc>
        <w:tc>
          <w:tcPr>
            <w:tcW w:w="1146" w:type="dxa"/>
            <w:tcBorders>
              <w:top w:val="double" w:sz="4" w:space="0" w:color="auto"/>
              <w:left w:val="nil"/>
              <w:bottom w:val="nil"/>
              <w:right w:val="double" w:sz="4" w:space="0" w:color="auto"/>
            </w:tcBorders>
            <w:shd w:val="clear" w:color="auto" w:fill="auto"/>
            <w:vAlign w:val="center"/>
            <w:hideMark/>
          </w:tcPr>
          <w:p w14:paraId="5F249497" w14:textId="77777777" w:rsidR="006D3C25" w:rsidRPr="0057720D" w:rsidRDefault="006D3C25" w:rsidP="006D3C25">
            <w:pPr>
              <w:spacing w:before="60"/>
              <w:jc w:val="right"/>
              <w:rPr>
                <w:rFonts w:ascii="Arial" w:hAnsi="Arial" w:cs="Arial"/>
                <w:b/>
                <w:sz w:val="18"/>
                <w:szCs w:val="18"/>
                <w:lang w:val="es-ES"/>
              </w:rPr>
            </w:pPr>
            <w:r w:rsidRPr="0057720D">
              <w:rPr>
                <w:rFonts w:ascii="Arial" w:hAnsi="Arial" w:cs="Arial"/>
                <w:b/>
                <w:sz w:val="18"/>
                <w:szCs w:val="18"/>
                <w:lang w:val="es-ES"/>
              </w:rPr>
              <w:t>2</w:t>
            </w:r>
            <w:r>
              <w:rPr>
                <w:rFonts w:ascii="Arial" w:hAnsi="Arial" w:cs="Arial"/>
                <w:b/>
                <w:sz w:val="18"/>
                <w:szCs w:val="18"/>
                <w:lang w:val="es-ES"/>
              </w:rPr>
              <w:t>3</w:t>
            </w:r>
            <w:r w:rsidRPr="0057720D">
              <w:rPr>
                <w:rFonts w:ascii="Arial" w:hAnsi="Arial" w:cs="Arial"/>
                <w:b/>
                <w:sz w:val="18"/>
                <w:szCs w:val="18"/>
                <w:lang w:val="es-ES"/>
              </w:rPr>
              <w:t>,</w:t>
            </w:r>
            <w:r>
              <w:rPr>
                <w:rFonts w:ascii="Arial" w:hAnsi="Arial" w:cs="Arial"/>
                <w:b/>
                <w:sz w:val="18"/>
                <w:szCs w:val="18"/>
                <w:lang w:val="es-ES"/>
              </w:rPr>
              <w:t>073</w:t>
            </w:r>
            <w:r w:rsidRPr="0057720D">
              <w:rPr>
                <w:rFonts w:ascii="Arial" w:hAnsi="Arial" w:cs="Arial"/>
                <w:b/>
                <w:sz w:val="18"/>
                <w:szCs w:val="18"/>
                <w:lang w:val="es-ES"/>
              </w:rPr>
              <w:t>,</w:t>
            </w:r>
            <w:r>
              <w:rPr>
                <w:rFonts w:ascii="Arial" w:hAnsi="Arial" w:cs="Arial"/>
                <w:b/>
                <w:sz w:val="18"/>
                <w:szCs w:val="18"/>
                <w:lang w:val="es-ES"/>
              </w:rPr>
              <w:t>72</w:t>
            </w:r>
            <w:r w:rsidRPr="0057720D">
              <w:rPr>
                <w:rFonts w:ascii="Arial" w:hAnsi="Arial" w:cs="Arial"/>
                <w:b/>
                <w:sz w:val="18"/>
                <w:szCs w:val="18"/>
                <w:lang w:val="es-ES"/>
              </w:rPr>
              <w:t>7</w:t>
            </w:r>
          </w:p>
        </w:tc>
        <w:tc>
          <w:tcPr>
            <w:tcW w:w="1264" w:type="dxa"/>
            <w:tcBorders>
              <w:top w:val="double" w:sz="4" w:space="0" w:color="auto"/>
              <w:left w:val="single" w:sz="4" w:space="0" w:color="auto"/>
              <w:bottom w:val="nil"/>
              <w:right w:val="nil"/>
            </w:tcBorders>
            <w:shd w:val="clear" w:color="auto" w:fill="auto"/>
            <w:vAlign w:val="center"/>
          </w:tcPr>
          <w:p w14:paraId="19654C69" w14:textId="57767901" w:rsidR="006D3C25" w:rsidRPr="0057720D" w:rsidRDefault="006D3C25" w:rsidP="006D3C25">
            <w:pPr>
              <w:spacing w:before="60"/>
              <w:jc w:val="right"/>
              <w:rPr>
                <w:rFonts w:ascii="Arial" w:hAnsi="Arial" w:cs="Arial"/>
                <w:b/>
                <w:sz w:val="18"/>
                <w:szCs w:val="18"/>
                <w:lang w:val="es-ES"/>
              </w:rPr>
            </w:pPr>
            <w:r w:rsidRPr="0057720D">
              <w:rPr>
                <w:rFonts w:ascii="Arial" w:hAnsi="Arial" w:cs="Arial"/>
                <w:b/>
                <w:sz w:val="18"/>
                <w:szCs w:val="18"/>
                <w:lang w:val="es-ES"/>
              </w:rPr>
              <w:t>2</w:t>
            </w:r>
            <w:r>
              <w:rPr>
                <w:rFonts w:ascii="Arial" w:hAnsi="Arial" w:cs="Arial"/>
                <w:b/>
                <w:sz w:val="18"/>
                <w:szCs w:val="18"/>
                <w:lang w:val="es-ES"/>
              </w:rPr>
              <w:t>4</w:t>
            </w:r>
            <w:r w:rsidRPr="0057720D">
              <w:rPr>
                <w:rFonts w:ascii="Arial" w:hAnsi="Arial" w:cs="Arial"/>
                <w:b/>
                <w:sz w:val="18"/>
                <w:szCs w:val="18"/>
                <w:lang w:val="es-ES"/>
              </w:rPr>
              <w:t>,</w:t>
            </w:r>
            <w:r>
              <w:rPr>
                <w:rFonts w:ascii="Arial" w:hAnsi="Arial" w:cs="Arial"/>
                <w:b/>
                <w:sz w:val="18"/>
                <w:szCs w:val="18"/>
                <w:lang w:val="es-ES"/>
              </w:rPr>
              <w:t>90</w:t>
            </w:r>
            <w:r w:rsidR="00141A10">
              <w:rPr>
                <w:rFonts w:ascii="Arial" w:hAnsi="Arial" w:cs="Arial"/>
                <w:b/>
                <w:sz w:val="18"/>
                <w:szCs w:val="18"/>
                <w:lang w:val="es-ES"/>
              </w:rPr>
              <w:t>7</w:t>
            </w:r>
            <w:r w:rsidRPr="0057720D">
              <w:rPr>
                <w:rFonts w:ascii="Arial" w:hAnsi="Arial" w:cs="Arial"/>
                <w:b/>
                <w:sz w:val="18"/>
                <w:szCs w:val="18"/>
                <w:lang w:val="es-ES"/>
              </w:rPr>
              <w:t>,1</w:t>
            </w:r>
            <w:r w:rsidR="00141A10">
              <w:rPr>
                <w:rFonts w:ascii="Arial" w:hAnsi="Arial" w:cs="Arial"/>
                <w:b/>
                <w:sz w:val="18"/>
                <w:szCs w:val="18"/>
                <w:lang w:val="es-ES"/>
              </w:rPr>
              <w:t>98</w:t>
            </w:r>
          </w:p>
        </w:tc>
        <w:tc>
          <w:tcPr>
            <w:tcW w:w="1264" w:type="dxa"/>
            <w:tcBorders>
              <w:top w:val="double" w:sz="4" w:space="0" w:color="auto"/>
              <w:left w:val="nil"/>
              <w:bottom w:val="nil"/>
              <w:right w:val="nil"/>
            </w:tcBorders>
            <w:vAlign w:val="center"/>
          </w:tcPr>
          <w:p w14:paraId="3D9033E4" w14:textId="3650FD6E" w:rsidR="006D3C25" w:rsidRPr="0057720D" w:rsidRDefault="006D3C25" w:rsidP="006D3C25">
            <w:pPr>
              <w:spacing w:before="60"/>
              <w:jc w:val="right"/>
              <w:rPr>
                <w:rFonts w:ascii="Arial" w:hAnsi="Arial" w:cs="Arial"/>
                <w:b/>
                <w:sz w:val="18"/>
                <w:szCs w:val="18"/>
                <w:lang w:val="es-ES"/>
              </w:rPr>
            </w:pPr>
            <w:r w:rsidRPr="0057720D">
              <w:rPr>
                <w:rFonts w:ascii="Arial" w:hAnsi="Arial" w:cs="Arial"/>
                <w:b/>
                <w:sz w:val="18"/>
                <w:szCs w:val="18"/>
                <w:lang w:val="es-ES"/>
              </w:rPr>
              <w:t>2</w:t>
            </w:r>
            <w:r w:rsidR="00141A10">
              <w:rPr>
                <w:rFonts w:ascii="Arial" w:hAnsi="Arial" w:cs="Arial"/>
                <w:b/>
                <w:sz w:val="18"/>
                <w:szCs w:val="18"/>
                <w:lang w:val="es-ES"/>
              </w:rPr>
              <w:t>5</w:t>
            </w:r>
            <w:r w:rsidRPr="0057720D">
              <w:rPr>
                <w:rFonts w:ascii="Arial" w:hAnsi="Arial" w:cs="Arial"/>
                <w:b/>
                <w:sz w:val="18"/>
                <w:szCs w:val="18"/>
                <w:lang w:val="es-ES"/>
              </w:rPr>
              <w:t>,</w:t>
            </w:r>
            <w:r>
              <w:rPr>
                <w:rFonts w:ascii="Arial" w:hAnsi="Arial" w:cs="Arial"/>
                <w:b/>
                <w:sz w:val="18"/>
                <w:szCs w:val="18"/>
                <w:lang w:val="es-ES"/>
              </w:rPr>
              <w:t>9</w:t>
            </w:r>
            <w:r w:rsidR="00141A10">
              <w:rPr>
                <w:rFonts w:ascii="Arial" w:hAnsi="Arial" w:cs="Arial"/>
                <w:b/>
                <w:sz w:val="18"/>
                <w:szCs w:val="18"/>
                <w:lang w:val="es-ES"/>
              </w:rPr>
              <w:t>31</w:t>
            </w:r>
            <w:r w:rsidRPr="0057720D">
              <w:rPr>
                <w:rFonts w:ascii="Arial" w:hAnsi="Arial" w:cs="Arial"/>
                <w:b/>
                <w:sz w:val="18"/>
                <w:szCs w:val="18"/>
                <w:lang w:val="es-ES"/>
              </w:rPr>
              <w:t>,</w:t>
            </w:r>
            <w:r w:rsidR="00141A10">
              <w:rPr>
                <w:rFonts w:ascii="Arial" w:hAnsi="Arial" w:cs="Arial"/>
                <w:b/>
                <w:sz w:val="18"/>
                <w:szCs w:val="18"/>
                <w:lang w:val="es-ES"/>
              </w:rPr>
              <w:t>369</w:t>
            </w:r>
          </w:p>
        </w:tc>
        <w:tc>
          <w:tcPr>
            <w:tcW w:w="1264" w:type="dxa"/>
            <w:tcBorders>
              <w:top w:val="double" w:sz="4" w:space="0" w:color="auto"/>
              <w:left w:val="nil"/>
              <w:bottom w:val="nil"/>
              <w:right w:val="double" w:sz="4" w:space="0" w:color="auto"/>
            </w:tcBorders>
            <w:vAlign w:val="center"/>
          </w:tcPr>
          <w:p w14:paraId="4702FD99" w14:textId="49018531" w:rsidR="006D3C25" w:rsidRPr="0057720D" w:rsidRDefault="006D3C25" w:rsidP="006D3C25">
            <w:pPr>
              <w:spacing w:before="60"/>
              <w:jc w:val="right"/>
              <w:rPr>
                <w:rFonts w:ascii="Arial" w:hAnsi="Arial" w:cs="Arial"/>
                <w:b/>
                <w:sz w:val="18"/>
                <w:szCs w:val="18"/>
                <w:lang w:val="es-ES"/>
              </w:rPr>
            </w:pPr>
            <w:r w:rsidRPr="0057720D">
              <w:rPr>
                <w:rFonts w:ascii="Arial" w:hAnsi="Arial" w:cs="Arial"/>
                <w:b/>
                <w:sz w:val="18"/>
                <w:szCs w:val="18"/>
                <w:lang w:val="es-ES"/>
              </w:rPr>
              <w:t>2</w:t>
            </w:r>
            <w:r w:rsidR="00141A10">
              <w:rPr>
                <w:rFonts w:ascii="Arial" w:hAnsi="Arial" w:cs="Arial"/>
                <w:b/>
                <w:sz w:val="18"/>
                <w:szCs w:val="18"/>
                <w:lang w:val="es-ES"/>
              </w:rPr>
              <w:t>5</w:t>
            </w:r>
            <w:r w:rsidRPr="0057720D">
              <w:rPr>
                <w:rFonts w:ascii="Arial" w:hAnsi="Arial" w:cs="Arial"/>
                <w:b/>
                <w:sz w:val="18"/>
                <w:szCs w:val="18"/>
                <w:lang w:val="es-ES"/>
              </w:rPr>
              <w:t>,</w:t>
            </w:r>
            <w:r w:rsidR="00141A10">
              <w:rPr>
                <w:rFonts w:ascii="Arial" w:hAnsi="Arial" w:cs="Arial"/>
                <w:b/>
                <w:sz w:val="18"/>
                <w:szCs w:val="18"/>
                <w:lang w:val="es-ES"/>
              </w:rPr>
              <w:t>419</w:t>
            </w:r>
            <w:r w:rsidRPr="0057720D">
              <w:rPr>
                <w:rFonts w:ascii="Arial" w:hAnsi="Arial" w:cs="Arial"/>
                <w:b/>
                <w:sz w:val="18"/>
                <w:szCs w:val="18"/>
                <w:lang w:val="es-ES"/>
              </w:rPr>
              <w:t>,</w:t>
            </w:r>
            <w:r w:rsidR="00141A10">
              <w:rPr>
                <w:rFonts w:ascii="Arial" w:hAnsi="Arial" w:cs="Arial"/>
                <w:b/>
                <w:sz w:val="18"/>
                <w:szCs w:val="18"/>
                <w:lang w:val="es-ES"/>
              </w:rPr>
              <w:t>284</w:t>
            </w:r>
          </w:p>
        </w:tc>
      </w:tr>
      <w:tr w:rsidR="006D3C25" w14:paraId="2D0CCC97" w14:textId="58C7B0DF" w:rsidTr="006D3C25">
        <w:trPr>
          <w:trHeight w:val="201"/>
          <w:jc w:val="center"/>
        </w:trPr>
        <w:tc>
          <w:tcPr>
            <w:tcW w:w="2263" w:type="dxa"/>
            <w:tcBorders>
              <w:top w:val="nil"/>
              <w:left w:val="double" w:sz="4" w:space="0" w:color="auto"/>
              <w:bottom w:val="nil"/>
              <w:right w:val="single" w:sz="4" w:space="0" w:color="auto"/>
            </w:tcBorders>
            <w:shd w:val="clear" w:color="auto" w:fill="auto"/>
            <w:vAlign w:val="center"/>
            <w:hideMark/>
          </w:tcPr>
          <w:p w14:paraId="1ABFE2A0" w14:textId="77777777" w:rsidR="006D3C25" w:rsidRPr="0057720D" w:rsidRDefault="006D3C25" w:rsidP="006D3C25">
            <w:pPr>
              <w:spacing w:before="60"/>
              <w:rPr>
                <w:rFonts w:ascii="Arial" w:hAnsi="Arial" w:cs="Arial"/>
                <w:sz w:val="18"/>
                <w:szCs w:val="18"/>
                <w:lang w:val="es-ES"/>
              </w:rPr>
            </w:pPr>
            <w:r w:rsidRPr="0057720D">
              <w:rPr>
                <w:rFonts w:ascii="Arial" w:hAnsi="Arial" w:cs="Arial"/>
                <w:sz w:val="18"/>
                <w:szCs w:val="18"/>
                <w:lang w:val="es-ES"/>
              </w:rPr>
              <w:t>Ahorro Bruto</w:t>
            </w:r>
          </w:p>
        </w:tc>
        <w:tc>
          <w:tcPr>
            <w:tcW w:w="1266" w:type="dxa"/>
            <w:tcBorders>
              <w:top w:val="nil"/>
              <w:left w:val="single" w:sz="4" w:space="0" w:color="auto"/>
              <w:bottom w:val="nil"/>
              <w:right w:val="nil"/>
            </w:tcBorders>
            <w:shd w:val="clear" w:color="auto" w:fill="auto"/>
            <w:vAlign w:val="center"/>
            <w:hideMark/>
          </w:tcPr>
          <w:p w14:paraId="4A378BAC" w14:textId="77777777" w:rsidR="006D3C25" w:rsidRPr="0057720D" w:rsidRDefault="006D3C25" w:rsidP="006D3C25">
            <w:pPr>
              <w:spacing w:before="60"/>
              <w:ind w:right="-57"/>
              <w:jc w:val="right"/>
              <w:rPr>
                <w:rFonts w:ascii="Arial" w:hAnsi="Arial" w:cs="Arial"/>
                <w:sz w:val="18"/>
                <w:szCs w:val="18"/>
                <w:lang w:val="es-ES"/>
              </w:rPr>
            </w:pPr>
            <w:r w:rsidRPr="0057720D">
              <w:rPr>
                <w:rFonts w:ascii="Arial" w:hAnsi="Arial" w:cs="Arial"/>
                <w:sz w:val="18"/>
                <w:szCs w:val="18"/>
                <w:lang w:val="es-ES"/>
              </w:rPr>
              <w:t>4,4</w:t>
            </w:r>
            <w:r>
              <w:rPr>
                <w:rFonts w:ascii="Arial" w:hAnsi="Arial" w:cs="Arial"/>
                <w:sz w:val="18"/>
                <w:szCs w:val="18"/>
                <w:lang w:val="es-ES"/>
              </w:rPr>
              <w:t>88</w:t>
            </w:r>
            <w:r w:rsidRPr="0057720D">
              <w:rPr>
                <w:rFonts w:ascii="Arial" w:hAnsi="Arial" w:cs="Arial"/>
                <w:sz w:val="18"/>
                <w:szCs w:val="18"/>
                <w:lang w:val="es-ES"/>
              </w:rPr>
              <w:t>,</w:t>
            </w:r>
            <w:r>
              <w:rPr>
                <w:rFonts w:ascii="Arial" w:hAnsi="Arial" w:cs="Arial"/>
                <w:sz w:val="18"/>
                <w:szCs w:val="18"/>
                <w:lang w:val="es-ES"/>
              </w:rPr>
              <w:t>4</w:t>
            </w:r>
            <w:r w:rsidRPr="0057720D">
              <w:rPr>
                <w:rFonts w:ascii="Arial" w:hAnsi="Arial" w:cs="Arial"/>
                <w:sz w:val="18"/>
                <w:szCs w:val="18"/>
                <w:lang w:val="es-ES"/>
              </w:rPr>
              <w:t>1</w:t>
            </w:r>
            <w:r>
              <w:rPr>
                <w:rFonts w:ascii="Arial" w:hAnsi="Arial" w:cs="Arial"/>
                <w:sz w:val="18"/>
                <w:szCs w:val="18"/>
                <w:lang w:val="es-ES"/>
              </w:rPr>
              <w:t>9</w:t>
            </w:r>
          </w:p>
        </w:tc>
        <w:tc>
          <w:tcPr>
            <w:tcW w:w="1286" w:type="dxa"/>
            <w:tcBorders>
              <w:top w:val="nil"/>
              <w:left w:val="nil"/>
              <w:bottom w:val="nil"/>
              <w:right w:val="nil"/>
            </w:tcBorders>
            <w:shd w:val="clear" w:color="auto" w:fill="auto"/>
            <w:vAlign w:val="center"/>
            <w:hideMark/>
          </w:tcPr>
          <w:p w14:paraId="4FF623E5" w14:textId="77777777" w:rsidR="006D3C25" w:rsidRPr="0057720D" w:rsidRDefault="006D3C25" w:rsidP="006D3C25">
            <w:pPr>
              <w:spacing w:before="60"/>
              <w:jc w:val="right"/>
              <w:rPr>
                <w:rFonts w:ascii="Arial" w:hAnsi="Arial" w:cs="Arial"/>
                <w:sz w:val="18"/>
                <w:szCs w:val="18"/>
                <w:lang w:val="es-ES"/>
              </w:rPr>
            </w:pPr>
            <w:r w:rsidRPr="0057720D">
              <w:rPr>
                <w:rFonts w:ascii="Arial" w:hAnsi="Arial" w:cs="Arial"/>
                <w:sz w:val="18"/>
                <w:szCs w:val="18"/>
                <w:lang w:val="es-ES"/>
              </w:rPr>
              <w:t>4,</w:t>
            </w:r>
            <w:r>
              <w:rPr>
                <w:rFonts w:ascii="Arial" w:hAnsi="Arial" w:cs="Arial"/>
                <w:sz w:val="18"/>
                <w:szCs w:val="18"/>
                <w:lang w:val="es-ES"/>
              </w:rPr>
              <w:t>6</w:t>
            </w:r>
            <w:r w:rsidRPr="0057720D">
              <w:rPr>
                <w:rFonts w:ascii="Arial" w:hAnsi="Arial" w:cs="Arial"/>
                <w:sz w:val="18"/>
                <w:szCs w:val="18"/>
                <w:lang w:val="es-ES"/>
              </w:rPr>
              <w:t>9</w:t>
            </w:r>
            <w:r>
              <w:rPr>
                <w:rFonts w:ascii="Arial" w:hAnsi="Arial" w:cs="Arial"/>
                <w:sz w:val="18"/>
                <w:szCs w:val="18"/>
                <w:lang w:val="es-ES"/>
              </w:rPr>
              <w:t>0</w:t>
            </w:r>
            <w:r w:rsidRPr="0057720D">
              <w:rPr>
                <w:rFonts w:ascii="Arial" w:hAnsi="Arial" w:cs="Arial"/>
                <w:sz w:val="18"/>
                <w:szCs w:val="18"/>
                <w:lang w:val="es-ES"/>
              </w:rPr>
              <w:t>,</w:t>
            </w:r>
            <w:r>
              <w:rPr>
                <w:rFonts w:ascii="Arial" w:hAnsi="Arial" w:cs="Arial"/>
                <w:sz w:val="18"/>
                <w:szCs w:val="18"/>
                <w:lang w:val="es-ES"/>
              </w:rPr>
              <w:t>2</w:t>
            </w:r>
            <w:r w:rsidRPr="0057720D">
              <w:rPr>
                <w:rFonts w:ascii="Arial" w:hAnsi="Arial" w:cs="Arial"/>
                <w:sz w:val="18"/>
                <w:szCs w:val="18"/>
                <w:lang w:val="es-ES"/>
              </w:rPr>
              <w:t>7</w:t>
            </w:r>
            <w:r>
              <w:rPr>
                <w:rFonts w:ascii="Arial" w:hAnsi="Arial" w:cs="Arial"/>
                <w:sz w:val="18"/>
                <w:szCs w:val="18"/>
                <w:lang w:val="es-ES"/>
              </w:rPr>
              <w:t>0</w:t>
            </w:r>
          </w:p>
        </w:tc>
        <w:tc>
          <w:tcPr>
            <w:tcW w:w="1146" w:type="dxa"/>
            <w:tcBorders>
              <w:top w:val="nil"/>
              <w:left w:val="nil"/>
              <w:bottom w:val="nil"/>
              <w:right w:val="double" w:sz="4" w:space="0" w:color="auto"/>
            </w:tcBorders>
            <w:shd w:val="clear" w:color="auto" w:fill="auto"/>
            <w:vAlign w:val="center"/>
            <w:hideMark/>
          </w:tcPr>
          <w:p w14:paraId="30CBDCF0" w14:textId="77777777" w:rsidR="006D3C25" w:rsidRPr="0057720D" w:rsidRDefault="006D3C25" w:rsidP="006D3C25">
            <w:pPr>
              <w:spacing w:before="60"/>
              <w:jc w:val="right"/>
              <w:rPr>
                <w:rFonts w:ascii="Arial" w:hAnsi="Arial" w:cs="Arial"/>
                <w:sz w:val="18"/>
                <w:szCs w:val="18"/>
                <w:lang w:val="es-ES"/>
              </w:rPr>
            </w:pPr>
            <w:r w:rsidRPr="0057720D">
              <w:rPr>
                <w:rFonts w:ascii="Arial" w:hAnsi="Arial" w:cs="Arial"/>
                <w:sz w:val="18"/>
                <w:szCs w:val="18"/>
                <w:lang w:val="es-ES"/>
              </w:rPr>
              <w:t>4,4</w:t>
            </w:r>
            <w:r>
              <w:rPr>
                <w:rFonts w:ascii="Arial" w:hAnsi="Arial" w:cs="Arial"/>
                <w:sz w:val="18"/>
                <w:szCs w:val="18"/>
                <w:lang w:val="es-ES"/>
              </w:rPr>
              <w:t>54</w:t>
            </w:r>
            <w:r w:rsidRPr="0057720D">
              <w:rPr>
                <w:rFonts w:ascii="Arial" w:hAnsi="Arial" w:cs="Arial"/>
                <w:sz w:val="18"/>
                <w:szCs w:val="18"/>
                <w:lang w:val="es-ES"/>
              </w:rPr>
              <w:t>,</w:t>
            </w:r>
            <w:r>
              <w:rPr>
                <w:rFonts w:ascii="Arial" w:hAnsi="Arial" w:cs="Arial"/>
                <w:sz w:val="18"/>
                <w:szCs w:val="18"/>
                <w:lang w:val="es-ES"/>
              </w:rPr>
              <w:t>752</w:t>
            </w:r>
          </w:p>
        </w:tc>
        <w:tc>
          <w:tcPr>
            <w:tcW w:w="1264" w:type="dxa"/>
            <w:tcBorders>
              <w:top w:val="nil"/>
              <w:left w:val="single" w:sz="4" w:space="0" w:color="auto"/>
              <w:bottom w:val="nil"/>
              <w:right w:val="nil"/>
            </w:tcBorders>
            <w:shd w:val="clear" w:color="auto" w:fill="auto"/>
            <w:vAlign w:val="center"/>
          </w:tcPr>
          <w:p w14:paraId="17E7A760" w14:textId="6EAE8F75" w:rsidR="006D3C25" w:rsidRPr="0057720D" w:rsidRDefault="006D3C25" w:rsidP="006D3C25">
            <w:pPr>
              <w:spacing w:before="60"/>
              <w:jc w:val="right"/>
              <w:rPr>
                <w:rFonts w:ascii="Arial" w:hAnsi="Arial" w:cs="Arial"/>
                <w:sz w:val="18"/>
                <w:szCs w:val="18"/>
                <w:lang w:val="es-ES"/>
              </w:rPr>
            </w:pPr>
            <w:r>
              <w:rPr>
                <w:rFonts w:ascii="Arial" w:hAnsi="Arial" w:cs="Arial"/>
                <w:sz w:val="18"/>
                <w:szCs w:val="18"/>
                <w:lang w:val="es-ES"/>
              </w:rPr>
              <w:t>5</w:t>
            </w:r>
            <w:r w:rsidRPr="0057720D">
              <w:rPr>
                <w:rFonts w:ascii="Arial" w:hAnsi="Arial" w:cs="Arial"/>
                <w:sz w:val="18"/>
                <w:szCs w:val="18"/>
                <w:lang w:val="es-ES"/>
              </w:rPr>
              <w:t>,</w:t>
            </w:r>
            <w:r>
              <w:rPr>
                <w:rFonts w:ascii="Arial" w:hAnsi="Arial" w:cs="Arial"/>
                <w:sz w:val="18"/>
                <w:szCs w:val="18"/>
                <w:lang w:val="es-ES"/>
              </w:rPr>
              <w:t>1</w:t>
            </w:r>
            <w:r w:rsidRPr="0057720D">
              <w:rPr>
                <w:rFonts w:ascii="Arial" w:hAnsi="Arial" w:cs="Arial"/>
                <w:sz w:val="18"/>
                <w:szCs w:val="18"/>
                <w:lang w:val="es-ES"/>
              </w:rPr>
              <w:t>4</w:t>
            </w:r>
            <w:r w:rsidR="00141A10">
              <w:rPr>
                <w:rFonts w:ascii="Arial" w:hAnsi="Arial" w:cs="Arial"/>
                <w:sz w:val="18"/>
                <w:szCs w:val="18"/>
                <w:lang w:val="es-ES"/>
              </w:rPr>
              <w:t>4</w:t>
            </w:r>
            <w:r w:rsidRPr="0057720D">
              <w:rPr>
                <w:rFonts w:ascii="Arial" w:hAnsi="Arial" w:cs="Arial"/>
                <w:sz w:val="18"/>
                <w:szCs w:val="18"/>
                <w:lang w:val="es-ES"/>
              </w:rPr>
              <w:t>,49</w:t>
            </w:r>
            <w:r w:rsidR="00141A10">
              <w:rPr>
                <w:rFonts w:ascii="Arial" w:hAnsi="Arial" w:cs="Arial"/>
                <w:sz w:val="18"/>
                <w:szCs w:val="18"/>
                <w:lang w:val="es-ES"/>
              </w:rPr>
              <w:t>6</w:t>
            </w:r>
          </w:p>
        </w:tc>
        <w:tc>
          <w:tcPr>
            <w:tcW w:w="1264" w:type="dxa"/>
            <w:tcBorders>
              <w:top w:val="nil"/>
              <w:left w:val="nil"/>
              <w:bottom w:val="nil"/>
              <w:right w:val="nil"/>
            </w:tcBorders>
            <w:vAlign w:val="center"/>
          </w:tcPr>
          <w:p w14:paraId="4F082CEA" w14:textId="32BFE10A" w:rsidR="006D3C25" w:rsidRDefault="006D3C25" w:rsidP="006D3C25">
            <w:pPr>
              <w:spacing w:before="60"/>
              <w:jc w:val="right"/>
              <w:rPr>
                <w:rFonts w:ascii="Arial" w:hAnsi="Arial" w:cs="Arial"/>
                <w:sz w:val="18"/>
                <w:szCs w:val="18"/>
                <w:lang w:val="es-ES"/>
              </w:rPr>
            </w:pPr>
            <w:r>
              <w:rPr>
                <w:rFonts w:ascii="Arial" w:hAnsi="Arial" w:cs="Arial"/>
                <w:sz w:val="18"/>
                <w:szCs w:val="18"/>
                <w:lang w:val="es-ES"/>
              </w:rPr>
              <w:t>5</w:t>
            </w:r>
            <w:r w:rsidRPr="0057720D">
              <w:rPr>
                <w:rFonts w:ascii="Arial" w:hAnsi="Arial" w:cs="Arial"/>
                <w:sz w:val="18"/>
                <w:szCs w:val="18"/>
                <w:lang w:val="es-ES"/>
              </w:rPr>
              <w:t>,</w:t>
            </w:r>
            <w:r w:rsidR="00141A10">
              <w:rPr>
                <w:rFonts w:ascii="Arial" w:hAnsi="Arial" w:cs="Arial"/>
                <w:sz w:val="18"/>
                <w:szCs w:val="18"/>
                <w:lang w:val="es-ES"/>
              </w:rPr>
              <w:t>003</w:t>
            </w:r>
            <w:r w:rsidRPr="0057720D">
              <w:rPr>
                <w:rFonts w:ascii="Arial" w:hAnsi="Arial" w:cs="Arial"/>
                <w:sz w:val="18"/>
                <w:szCs w:val="18"/>
                <w:lang w:val="es-ES"/>
              </w:rPr>
              <w:t>,</w:t>
            </w:r>
            <w:r w:rsidR="00141A10">
              <w:rPr>
                <w:rFonts w:ascii="Arial" w:hAnsi="Arial" w:cs="Arial"/>
                <w:sz w:val="18"/>
                <w:szCs w:val="18"/>
                <w:lang w:val="es-ES"/>
              </w:rPr>
              <w:t>16</w:t>
            </w:r>
            <w:r w:rsidRPr="0057720D">
              <w:rPr>
                <w:rFonts w:ascii="Arial" w:hAnsi="Arial" w:cs="Arial"/>
                <w:sz w:val="18"/>
                <w:szCs w:val="18"/>
                <w:lang w:val="es-ES"/>
              </w:rPr>
              <w:t>9</w:t>
            </w:r>
          </w:p>
        </w:tc>
        <w:tc>
          <w:tcPr>
            <w:tcW w:w="1264" w:type="dxa"/>
            <w:tcBorders>
              <w:top w:val="nil"/>
              <w:left w:val="nil"/>
              <w:bottom w:val="nil"/>
              <w:right w:val="double" w:sz="4" w:space="0" w:color="auto"/>
            </w:tcBorders>
            <w:vAlign w:val="center"/>
          </w:tcPr>
          <w:p w14:paraId="7FD93020" w14:textId="73AEBD3D" w:rsidR="006D3C25" w:rsidRDefault="006D3C25" w:rsidP="006D3C25">
            <w:pPr>
              <w:spacing w:before="60"/>
              <w:jc w:val="right"/>
              <w:rPr>
                <w:rFonts w:ascii="Arial" w:hAnsi="Arial" w:cs="Arial"/>
                <w:sz w:val="18"/>
                <w:szCs w:val="18"/>
                <w:lang w:val="es-ES"/>
              </w:rPr>
            </w:pPr>
            <w:r>
              <w:rPr>
                <w:rFonts w:ascii="Arial" w:hAnsi="Arial" w:cs="Arial"/>
                <w:sz w:val="18"/>
                <w:szCs w:val="18"/>
                <w:lang w:val="es-ES"/>
              </w:rPr>
              <w:t>5</w:t>
            </w:r>
            <w:r w:rsidRPr="0057720D">
              <w:rPr>
                <w:rFonts w:ascii="Arial" w:hAnsi="Arial" w:cs="Arial"/>
                <w:sz w:val="18"/>
                <w:szCs w:val="18"/>
                <w:lang w:val="es-ES"/>
              </w:rPr>
              <w:t>,</w:t>
            </w:r>
            <w:r w:rsidR="00141A10">
              <w:rPr>
                <w:rFonts w:ascii="Arial" w:hAnsi="Arial" w:cs="Arial"/>
                <w:sz w:val="18"/>
                <w:szCs w:val="18"/>
                <w:lang w:val="es-ES"/>
              </w:rPr>
              <w:t>073</w:t>
            </w:r>
            <w:r w:rsidRPr="0057720D">
              <w:rPr>
                <w:rFonts w:ascii="Arial" w:hAnsi="Arial" w:cs="Arial"/>
                <w:sz w:val="18"/>
                <w:szCs w:val="18"/>
                <w:lang w:val="es-ES"/>
              </w:rPr>
              <w:t>,</w:t>
            </w:r>
            <w:r w:rsidR="00141A10">
              <w:rPr>
                <w:rFonts w:ascii="Arial" w:hAnsi="Arial" w:cs="Arial"/>
                <w:sz w:val="18"/>
                <w:szCs w:val="18"/>
                <w:lang w:val="es-ES"/>
              </w:rPr>
              <w:t>833</w:t>
            </w:r>
          </w:p>
        </w:tc>
      </w:tr>
      <w:tr w:rsidR="006D3C25" w14:paraId="6AECF3B3" w14:textId="4A184904" w:rsidTr="006D3C25">
        <w:trPr>
          <w:trHeight w:val="201"/>
          <w:jc w:val="center"/>
        </w:trPr>
        <w:tc>
          <w:tcPr>
            <w:tcW w:w="2263" w:type="dxa"/>
            <w:tcBorders>
              <w:top w:val="nil"/>
              <w:left w:val="double" w:sz="4" w:space="0" w:color="auto"/>
              <w:bottom w:val="nil"/>
              <w:right w:val="single" w:sz="4" w:space="0" w:color="auto"/>
            </w:tcBorders>
            <w:shd w:val="clear" w:color="auto" w:fill="auto"/>
            <w:vAlign w:val="center"/>
            <w:hideMark/>
          </w:tcPr>
          <w:p w14:paraId="5F1197F7" w14:textId="77777777" w:rsidR="006D3C25" w:rsidRPr="0057720D" w:rsidRDefault="006D3C25" w:rsidP="006D3C25">
            <w:pPr>
              <w:spacing w:before="60"/>
              <w:rPr>
                <w:rFonts w:ascii="Arial" w:hAnsi="Arial" w:cs="Arial"/>
                <w:sz w:val="18"/>
                <w:szCs w:val="18"/>
                <w:lang w:val="es-ES"/>
              </w:rPr>
            </w:pPr>
            <w:r>
              <w:rPr>
                <w:rFonts w:ascii="Arial" w:hAnsi="Arial" w:cs="Arial"/>
                <w:sz w:val="18"/>
                <w:szCs w:val="18"/>
                <w:lang w:val="es-ES"/>
              </w:rPr>
              <w:t xml:space="preserve">  </w:t>
            </w:r>
            <w:r w:rsidRPr="0057720D">
              <w:rPr>
                <w:rFonts w:ascii="Arial" w:hAnsi="Arial" w:cs="Arial"/>
                <w:sz w:val="18"/>
                <w:szCs w:val="18"/>
                <w:lang w:val="es-ES"/>
              </w:rPr>
              <w:t>Economía Interna</w:t>
            </w:r>
          </w:p>
        </w:tc>
        <w:tc>
          <w:tcPr>
            <w:tcW w:w="1266" w:type="dxa"/>
            <w:tcBorders>
              <w:top w:val="nil"/>
              <w:left w:val="single" w:sz="4" w:space="0" w:color="auto"/>
              <w:bottom w:val="nil"/>
              <w:right w:val="nil"/>
            </w:tcBorders>
            <w:shd w:val="clear" w:color="auto" w:fill="auto"/>
            <w:vAlign w:val="center"/>
            <w:hideMark/>
          </w:tcPr>
          <w:p w14:paraId="34079086" w14:textId="77777777" w:rsidR="006D3C25" w:rsidRPr="0057720D" w:rsidRDefault="006D3C25" w:rsidP="006D3C25">
            <w:pPr>
              <w:spacing w:before="60"/>
              <w:ind w:right="-57"/>
              <w:jc w:val="right"/>
              <w:rPr>
                <w:rFonts w:ascii="Arial" w:hAnsi="Arial" w:cs="Arial"/>
                <w:sz w:val="18"/>
                <w:szCs w:val="18"/>
                <w:lang w:val="es-ES"/>
              </w:rPr>
            </w:pPr>
            <w:r w:rsidRPr="0057720D">
              <w:rPr>
                <w:rFonts w:ascii="Arial" w:hAnsi="Arial" w:cs="Arial"/>
                <w:sz w:val="18"/>
                <w:szCs w:val="18"/>
                <w:lang w:val="es-ES"/>
              </w:rPr>
              <w:t>5,9</w:t>
            </w:r>
            <w:r>
              <w:rPr>
                <w:rFonts w:ascii="Arial" w:hAnsi="Arial" w:cs="Arial"/>
                <w:sz w:val="18"/>
                <w:szCs w:val="18"/>
                <w:lang w:val="es-ES"/>
              </w:rPr>
              <w:t>57</w:t>
            </w:r>
            <w:r w:rsidRPr="0057720D">
              <w:rPr>
                <w:rFonts w:ascii="Arial" w:hAnsi="Arial" w:cs="Arial"/>
                <w:sz w:val="18"/>
                <w:szCs w:val="18"/>
                <w:lang w:val="es-ES"/>
              </w:rPr>
              <w:t>,</w:t>
            </w:r>
            <w:r>
              <w:rPr>
                <w:rFonts w:ascii="Arial" w:hAnsi="Arial" w:cs="Arial"/>
                <w:sz w:val="18"/>
                <w:szCs w:val="18"/>
                <w:lang w:val="es-ES"/>
              </w:rPr>
              <w:t>3</w:t>
            </w:r>
            <w:r w:rsidRPr="0057720D">
              <w:rPr>
                <w:rFonts w:ascii="Arial" w:hAnsi="Arial" w:cs="Arial"/>
                <w:sz w:val="18"/>
                <w:szCs w:val="18"/>
                <w:lang w:val="es-ES"/>
              </w:rPr>
              <w:t>6</w:t>
            </w:r>
            <w:r>
              <w:rPr>
                <w:rFonts w:ascii="Arial" w:hAnsi="Arial" w:cs="Arial"/>
                <w:sz w:val="18"/>
                <w:szCs w:val="18"/>
                <w:lang w:val="es-ES"/>
              </w:rPr>
              <w:t>4</w:t>
            </w:r>
          </w:p>
        </w:tc>
        <w:tc>
          <w:tcPr>
            <w:tcW w:w="1286" w:type="dxa"/>
            <w:tcBorders>
              <w:top w:val="nil"/>
              <w:left w:val="nil"/>
              <w:bottom w:val="nil"/>
              <w:right w:val="nil"/>
            </w:tcBorders>
            <w:shd w:val="clear" w:color="auto" w:fill="auto"/>
            <w:vAlign w:val="center"/>
            <w:hideMark/>
          </w:tcPr>
          <w:p w14:paraId="2140414B" w14:textId="77777777" w:rsidR="006D3C25" w:rsidRPr="0057720D" w:rsidRDefault="006D3C25" w:rsidP="006D3C25">
            <w:pPr>
              <w:spacing w:before="60"/>
              <w:jc w:val="right"/>
              <w:rPr>
                <w:rFonts w:ascii="Arial" w:hAnsi="Arial" w:cs="Arial"/>
                <w:sz w:val="18"/>
                <w:szCs w:val="18"/>
                <w:lang w:val="es-ES"/>
              </w:rPr>
            </w:pPr>
            <w:r>
              <w:rPr>
                <w:rFonts w:ascii="Arial" w:hAnsi="Arial" w:cs="Arial"/>
                <w:sz w:val="18"/>
                <w:szCs w:val="18"/>
                <w:lang w:val="es-ES"/>
              </w:rPr>
              <w:t>6</w:t>
            </w:r>
            <w:r w:rsidRPr="0057720D">
              <w:rPr>
                <w:rFonts w:ascii="Arial" w:hAnsi="Arial" w:cs="Arial"/>
                <w:sz w:val="18"/>
                <w:szCs w:val="18"/>
                <w:lang w:val="es-ES"/>
              </w:rPr>
              <w:t>,</w:t>
            </w:r>
            <w:r>
              <w:rPr>
                <w:rFonts w:ascii="Arial" w:hAnsi="Arial" w:cs="Arial"/>
                <w:sz w:val="18"/>
                <w:szCs w:val="18"/>
                <w:lang w:val="es-ES"/>
              </w:rPr>
              <w:t>0</w:t>
            </w:r>
            <w:r w:rsidRPr="0057720D">
              <w:rPr>
                <w:rFonts w:ascii="Arial" w:hAnsi="Arial" w:cs="Arial"/>
                <w:sz w:val="18"/>
                <w:szCs w:val="18"/>
                <w:lang w:val="es-ES"/>
              </w:rPr>
              <w:t>8</w:t>
            </w:r>
            <w:r>
              <w:rPr>
                <w:rFonts w:ascii="Arial" w:hAnsi="Arial" w:cs="Arial"/>
                <w:sz w:val="18"/>
                <w:szCs w:val="18"/>
                <w:lang w:val="es-ES"/>
              </w:rPr>
              <w:t>3</w:t>
            </w:r>
            <w:r w:rsidRPr="0057720D">
              <w:rPr>
                <w:rFonts w:ascii="Arial" w:hAnsi="Arial" w:cs="Arial"/>
                <w:sz w:val="18"/>
                <w:szCs w:val="18"/>
                <w:lang w:val="es-ES"/>
              </w:rPr>
              <w:t>,</w:t>
            </w:r>
            <w:r>
              <w:rPr>
                <w:rFonts w:ascii="Arial" w:hAnsi="Arial" w:cs="Arial"/>
                <w:sz w:val="18"/>
                <w:szCs w:val="18"/>
                <w:lang w:val="es-ES"/>
              </w:rPr>
              <w:t>53</w:t>
            </w:r>
            <w:r w:rsidRPr="0057720D">
              <w:rPr>
                <w:rFonts w:ascii="Arial" w:hAnsi="Arial" w:cs="Arial"/>
                <w:sz w:val="18"/>
                <w:szCs w:val="18"/>
                <w:lang w:val="es-ES"/>
              </w:rPr>
              <w:t>4</w:t>
            </w:r>
          </w:p>
        </w:tc>
        <w:tc>
          <w:tcPr>
            <w:tcW w:w="1146" w:type="dxa"/>
            <w:tcBorders>
              <w:top w:val="nil"/>
              <w:left w:val="nil"/>
              <w:bottom w:val="nil"/>
              <w:right w:val="double" w:sz="4" w:space="0" w:color="auto"/>
            </w:tcBorders>
            <w:shd w:val="clear" w:color="auto" w:fill="auto"/>
            <w:vAlign w:val="center"/>
            <w:hideMark/>
          </w:tcPr>
          <w:p w14:paraId="3915A134" w14:textId="77777777" w:rsidR="006D3C25" w:rsidRPr="0057720D" w:rsidRDefault="006D3C25" w:rsidP="006D3C25">
            <w:pPr>
              <w:spacing w:before="60"/>
              <w:jc w:val="right"/>
              <w:rPr>
                <w:rFonts w:ascii="Arial" w:hAnsi="Arial" w:cs="Arial"/>
                <w:sz w:val="18"/>
                <w:szCs w:val="18"/>
                <w:lang w:val="es-ES"/>
              </w:rPr>
            </w:pPr>
            <w:r w:rsidRPr="0057720D">
              <w:rPr>
                <w:rFonts w:ascii="Arial" w:hAnsi="Arial" w:cs="Arial"/>
                <w:sz w:val="18"/>
                <w:szCs w:val="18"/>
                <w:lang w:val="es-ES"/>
              </w:rPr>
              <w:t>4,</w:t>
            </w:r>
            <w:r>
              <w:rPr>
                <w:rFonts w:ascii="Arial" w:hAnsi="Arial" w:cs="Arial"/>
                <w:sz w:val="18"/>
                <w:szCs w:val="18"/>
                <w:lang w:val="es-ES"/>
              </w:rPr>
              <w:t>996</w:t>
            </w:r>
            <w:r w:rsidRPr="0057720D">
              <w:rPr>
                <w:rFonts w:ascii="Arial" w:hAnsi="Arial" w:cs="Arial"/>
                <w:sz w:val="18"/>
                <w:szCs w:val="18"/>
                <w:lang w:val="es-ES"/>
              </w:rPr>
              <w:t>,</w:t>
            </w:r>
            <w:r>
              <w:rPr>
                <w:rFonts w:ascii="Arial" w:hAnsi="Arial" w:cs="Arial"/>
                <w:sz w:val="18"/>
                <w:szCs w:val="18"/>
                <w:lang w:val="es-ES"/>
              </w:rPr>
              <w:t>99</w:t>
            </w:r>
            <w:r w:rsidRPr="0057720D">
              <w:rPr>
                <w:rFonts w:ascii="Arial" w:hAnsi="Arial" w:cs="Arial"/>
                <w:sz w:val="18"/>
                <w:szCs w:val="18"/>
                <w:lang w:val="es-ES"/>
              </w:rPr>
              <w:t>7</w:t>
            </w:r>
          </w:p>
        </w:tc>
        <w:tc>
          <w:tcPr>
            <w:tcW w:w="1264" w:type="dxa"/>
            <w:tcBorders>
              <w:top w:val="nil"/>
              <w:left w:val="single" w:sz="4" w:space="0" w:color="auto"/>
              <w:bottom w:val="nil"/>
              <w:right w:val="nil"/>
            </w:tcBorders>
            <w:shd w:val="clear" w:color="auto" w:fill="auto"/>
            <w:vAlign w:val="center"/>
          </w:tcPr>
          <w:p w14:paraId="0DD62242" w14:textId="014ADCF1" w:rsidR="006D3C25" w:rsidRPr="0057720D" w:rsidRDefault="006D3C25" w:rsidP="006D3C25">
            <w:pPr>
              <w:spacing w:before="60"/>
              <w:jc w:val="right"/>
              <w:rPr>
                <w:rFonts w:ascii="Arial" w:hAnsi="Arial" w:cs="Arial"/>
                <w:sz w:val="18"/>
                <w:szCs w:val="18"/>
                <w:lang w:val="es-ES"/>
              </w:rPr>
            </w:pPr>
            <w:r w:rsidRPr="0057720D">
              <w:rPr>
                <w:rFonts w:ascii="Arial" w:hAnsi="Arial" w:cs="Arial"/>
                <w:sz w:val="18"/>
                <w:szCs w:val="18"/>
                <w:lang w:val="es-ES"/>
              </w:rPr>
              <w:t>4,</w:t>
            </w:r>
            <w:r w:rsidR="00141A10">
              <w:rPr>
                <w:rFonts w:ascii="Arial" w:hAnsi="Arial" w:cs="Arial"/>
                <w:sz w:val="18"/>
                <w:szCs w:val="18"/>
                <w:lang w:val="es-ES"/>
              </w:rPr>
              <w:t>675</w:t>
            </w:r>
            <w:r w:rsidRPr="0057720D">
              <w:rPr>
                <w:rFonts w:ascii="Arial" w:hAnsi="Arial" w:cs="Arial"/>
                <w:sz w:val="18"/>
                <w:szCs w:val="18"/>
                <w:lang w:val="es-ES"/>
              </w:rPr>
              <w:t>,07</w:t>
            </w:r>
            <w:r>
              <w:rPr>
                <w:rFonts w:ascii="Arial" w:hAnsi="Arial" w:cs="Arial"/>
                <w:sz w:val="18"/>
                <w:szCs w:val="18"/>
                <w:lang w:val="es-ES"/>
              </w:rPr>
              <w:t>9</w:t>
            </w:r>
          </w:p>
        </w:tc>
        <w:tc>
          <w:tcPr>
            <w:tcW w:w="1264" w:type="dxa"/>
            <w:tcBorders>
              <w:top w:val="nil"/>
              <w:left w:val="nil"/>
              <w:bottom w:val="nil"/>
              <w:right w:val="nil"/>
            </w:tcBorders>
            <w:vAlign w:val="center"/>
          </w:tcPr>
          <w:p w14:paraId="00DEF407" w14:textId="680DC0E9" w:rsidR="006D3C25" w:rsidRPr="0057720D" w:rsidRDefault="00141A10" w:rsidP="006D3C25">
            <w:pPr>
              <w:spacing w:before="60"/>
              <w:jc w:val="right"/>
              <w:rPr>
                <w:rFonts w:ascii="Arial" w:hAnsi="Arial" w:cs="Arial"/>
                <w:sz w:val="18"/>
                <w:szCs w:val="18"/>
                <w:lang w:val="es-ES"/>
              </w:rPr>
            </w:pPr>
            <w:r>
              <w:rPr>
                <w:rFonts w:ascii="Arial" w:hAnsi="Arial" w:cs="Arial"/>
                <w:sz w:val="18"/>
                <w:szCs w:val="18"/>
                <w:lang w:val="es-ES"/>
              </w:rPr>
              <w:t>5</w:t>
            </w:r>
            <w:r w:rsidR="006D3C25" w:rsidRPr="0057720D">
              <w:rPr>
                <w:rFonts w:ascii="Arial" w:hAnsi="Arial" w:cs="Arial"/>
                <w:sz w:val="18"/>
                <w:szCs w:val="18"/>
                <w:lang w:val="es-ES"/>
              </w:rPr>
              <w:t>,</w:t>
            </w:r>
            <w:r>
              <w:rPr>
                <w:rFonts w:ascii="Arial" w:hAnsi="Arial" w:cs="Arial"/>
                <w:sz w:val="18"/>
                <w:szCs w:val="18"/>
                <w:lang w:val="es-ES"/>
              </w:rPr>
              <w:t>502</w:t>
            </w:r>
            <w:r w:rsidR="006D3C25" w:rsidRPr="0057720D">
              <w:rPr>
                <w:rFonts w:ascii="Arial" w:hAnsi="Arial" w:cs="Arial"/>
                <w:sz w:val="18"/>
                <w:szCs w:val="18"/>
                <w:lang w:val="es-ES"/>
              </w:rPr>
              <w:t>,</w:t>
            </w:r>
            <w:r>
              <w:rPr>
                <w:rFonts w:ascii="Arial" w:hAnsi="Arial" w:cs="Arial"/>
                <w:sz w:val="18"/>
                <w:szCs w:val="18"/>
                <w:lang w:val="es-ES"/>
              </w:rPr>
              <w:t>214</w:t>
            </w:r>
          </w:p>
        </w:tc>
        <w:tc>
          <w:tcPr>
            <w:tcW w:w="1264" w:type="dxa"/>
            <w:tcBorders>
              <w:top w:val="nil"/>
              <w:left w:val="nil"/>
              <w:bottom w:val="nil"/>
              <w:right w:val="double" w:sz="4" w:space="0" w:color="auto"/>
            </w:tcBorders>
            <w:vAlign w:val="center"/>
          </w:tcPr>
          <w:p w14:paraId="20B5EF01" w14:textId="10AABD14" w:rsidR="006D3C25" w:rsidRPr="0057720D" w:rsidRDefault="00141A10" w:rsidP="006D3C25">
            <w:pPr>
              <w:spacing w:before="60"/>
              <w:jc w:val="right"/>
              <w:rPr>
                <w:rFonts w:ascii="Arial" w:hAnsi="Arial" w:cs="Arial"/>
                <w:sz w:val="18"/>
                <w:szCs w:val="18"/>
                <w:lang w:val="es-ES"/>
              </w:rPr>
            </w:pPr>
            <w:r>
              <w:rPr>
                <w:rFonts w:ascii="Arial" w:hAnsi="Arial" w:cs="Arial"/>
                <w:sz w:val="18"/>
                <w:szCs w:val="18"/>
                <w:lang w:val="es-ES"/>
              </w:rPr>
              <w:t>5</w:t>
            </w:r>
            <w:r w:rsidR="006D3C25" w:rsidRPr="0057720D">
              <w:rPr>
                <w:rFonts w:ascii="Arial" w:hAnsi="Arial" w:cs="Arial"/>
                <w:sz w:val="18"/>
                <w:szCs w:val="18"/>
                <w:lang w:val="es-ES"/>
              </w:rPr>
              <w:t>,</w:t>
            </w:r>
            <w:r>
              <w:rPr>
                <w:rFonts w:ascii="Arial" w:hAnsi="Arial" w:cs="Arial"/>
                <w:sz w:val="18"/>
                <w:szCs w:val="18"/>
                <w:lang w:val="es-ES"/>
              </w:rPr>
              <w:t>088</w:t>
            </w:r>
            <w:r w:rsidR="006D3C25" w:rsidRPr="0057720D">
              <w:rPr>
                <w:rFonts w:ascii="Arial" w:hAnsi="Arial" w:cs="Arial"/>
                <w:sz w:val="18"/>
                <w:szCs w:val="18"/>
                <w:lang w:val="es-ES"/>
              </w:rPr>
              <w:t>,</w:t>
            </w:r>
            <w:r>
              <w:rPr>
                <w:rFonts w:ascii="Arial" w:hAnsi="Arial" w:cs="Arial"/>
                <w:sz w:val="18"/>
                <w:szCs w:val="18"/>
                <w:lang w:val="es-ES"/>
              </w:rPr>
              <w:t>647</w:t>
            </w:r>
          </w:p>
        </w:tc>
      </w:tr>
      <w:tr w:rsidR="006D3C25" w14:paraId="70FF6C76" w14:textId="7E9EB6F3" w:rsidTr="006D3C25">
        <w:trPr>
          <w:trHeight w:val="201"/>
          <w:jc w:val="center"/>
        </w:trPr>
        <w:tc>
          <w:tcPr>
            <w:tcW w:w="2263" w:type="dxa"/>
            <w:tcBorders>
              <w:top w:val="nil"/>
              <w:left w:val="double" w:sz="4" w:space="0" w:color="auto"/>
              <w:bottom w:val="double" w:sz="4" w:space="0" w:color="auto"/>
              <w:right w:val="single" w:sz="4" w:space="0" w:color="auto"/>
            </w:tcBorders>
            <w:shd w:val="clear" w:color="auto" w:fill="auto"/>
            <w:vAlign w:val="center"/>
            <w:hideMark/>
          </w:tcPr>
          <w:p w14:paraId="1F4DFCEF" w14:textId="77777777" w:rsidR="006D3C25" w:rsidRPr="0057720D" w:rsidRDefault="006D3C25" w:rsidP="006D3C25">
            <w:pPr>
              <w:spacing w:before="60" w:after="60"/>
              <w:rPr>
                <w:rFonts w:ascii="Arial" w:hAnsi="Arial" w:cs="Arial"/>
                <w:sz w:val="18"/>
                <w:szCs w:val="18"/>
                <w:lang w:val="es-ES"/>
              </w:rPr>
            </w:pPr>
            <w:r>
              <w:rPr>
                <w:rFonts w:ascii="Arial" w:hAnsi="Arial" w:cs="Arial"/>
                <w:sz w:val="18"/>
                <w:szCs w:val="18"/>
                <w:lang w:val="es-ES"/>
              </w:rPr>
              <w:t xml:space="preserve">  </w:t>
            </w:r>
            <w:r w:rsidRPr="0057720D">
              <w:rPr>
                <w:rFonts w:ascii="Arial" w:hAnsi="Arial" w:cs="Arial"/>
                <w:sz w:val="18"/>
                <w:szCs w:val="18"/>
                <w:lang w:val="es-ES"/>
              </w:rPr>
              <w:t>Resto del Mundo</w:t>
            </w:r>
          </w:p>
        </w:tc>
        <w:tc>
          <w:tcPr>
            <w:tcW w:w="1266" w:type="dxa"/>
            <w:tcBorders>
              <w:top w:val="nil"/>
              <w:left w:val="single" w:sz="4" w:space="0" w:color="auto"/>
              <w:bottom w:val="double" w:sz="4" w:space="0" w:color="auto"/>
              <w:right w:val="nil"/>
            </w:tcBorders>
            <w:shd w:val="clear" w:color="auto" w:fill="auto"/>
            <w:vAlign w:val="center"/>
            <w:hideMark/>
          </w:tcPr>
          <w:p w14:paraId="50445778" w14:textId="77777777" w:rsidR="006D3C25" w:rsidRPr="0057720D" w:rsidRDefault="006D3C25" w:rsidP="006D3C25">
            <w:pPr>
              <w:spacing w:before="60" w:after="60"/>
              <w:ind w:left="-46" w:right="-57"/>
              <w:jc w:val="right"/>
              <w:rPr>
                <w:rFonts w:ascii="Arial" w:hAnsi="Arial" w:cs="Arial"/>
                <w:sz w:val="18"/>
                <w:szCs w:val="18"/>
                <w:lang w:val="es-ES"/>
              </w:rPr>
            </w:pPr>
            <w:r w:rsidRPr="0057720D">
              <w:rPr>
                <w:rFonts w:ascii="Arial" w:hAnsi="Arial" w:cs="Arial"/>
                <w:sz w:val="18"/>
                <w:szCs w:val="18"/>
                <w:lang w:val="es-ES"/>
              </w:rPr>
              <w:t>(-) 1,</w:t>
            </w:r>
            <w:r>
              <w:rPr>
                <w:rFonts w:ascii="Arial" w:hAnsi="Arial" w:cs="Arial"/>
                <w:sz w:val="18"/>
                <w:szCs w:val="18"/>
                <w:lang w:val="es-ES"/>
              </w:rPr>
              <w:t>46</w:t>
            </w:r>
            <w:r w:rsidRPr="0057720D">
              <w:rPr>
                <w:rFonts w:ascii="Arial" w:hAnsi="Arial" w:cs="Arial"/>
                <w:sz w:val="18"/>
                <w:szCs w:val="18"/>
                <w:lang w:val="es-ES"/>
              </w:rPr>
              <w:t>8,9</w:t>
            </w:r>
            <w:r>
              <w:rPr>
                <w:rFonts w:ascii="Arial" w:hAnsi="Arial" w:cs="Arial"/>
                <w:sz w:val="18"/>
                <w:szCs w:val="18"/>
                <w:lang w:val="es-ES"/>
              </w:rPr>
              <w:t>45</w:t>
            </w:r>
          </w:p>
        </w:tc>
        <w:tc>
          <w:tcPr>
            <w:tcW w:w="1286" w:type="dxa"/>
            <w:tcBorders>
              <w:top w:val="nil"/>
              <w:left w:val="nil"/>
              <w:bottom w:val="double" w:sz="4" w:space="0" w:color="auto"/>
              <w:right w:val="nil"/>
            </w:tcBorders>
            <w:shd w:val="clear" w:color="auto" w:fill="auto"/>
            <w:vAlign w:val="center"/>
            <w:hideMark/>
          </w:tcPr>
          <w:p w14:paraId="68DC8496" w14:textId="77777777" w:rsidR="006D3C25" w:rsidRPr="0057720D" w:rsidRDefault="006D3C25" w:rsidP="006D3C25">
            <w:pPr>
              <w:spacing w:before="60" w:after="60"/>
              <w:jc w:val="right"/>
              <w:rPr>
                <w:rFonts w:ascii="Arial" w:hAnsi="Arial" w:cs="Arial"/>
                <w:sz w:val="18"/>
                <w:szCs w:val="18"/>
                <w:lang w:val="es-ES"/>
              </w:rPr>
            </w:pPr>
            <w:r w:rsidRPr="0057720D">
              <w:rPr>
                <w:rFonts w:ascii="Arial" w:hAnsi="Arial" w:cs="Arial"/>
                <w:sz w:val="18"/>
                <w:szCs w:val="18"/>
                <w:lang w:val="es-ES"/>
              </w:rPr>
              <w:t>(-) 1,</w:t>
            </w:r>
            <w:r>
              <w:rPr>
                <w:rFonts w:ascii="Arial" w:hAnsi="Arial" w:cs="Arial"/>
                <w:sz w:val="18"/>
                <w:szCs w:val="18"/>
                <w:lang w:val="es-ES"/>
              </w:rPr>
              <w:t>393</w:t>
            </w:r>
            <w:r w:rsidRPr="0057720D">
              <w:rPr>
                <w:rFonts w:ascii="Arial" w:hAnsi="Arial" w:cs="Arial"/>
                <w:sz w:val="18"/>
                <w:szCs w:val="18"/>
                <w:lang w:val="es-ES"/>
              </w:rPr>
              <w:t>,</w:t>
            </w:r>
            <w:r>
              <w:rPr>
                <w:rFonts w:ascii="Arial" w:hAnsi="Arial" w:cs="Arial"/>
                <w:sz w:val="18"/>
                <w:szCs w:val="18"/>
                <w:lang w:val="es-ES"/>
              </w:rPr>
              <w:t>264</w:t>
            </w:r>
          </w:p>
        </w:tc>
        <w:tc>
          <w:tcPr>
            <w:tcW w:w="1146" w:type="dxa"/>
            <w:tcBorders>
              <w:top w:val="nil"/>
              <w:left w:val="nil"/>
              <w:bottom w:val="double" w:sz="4" w:space="0" w:color="auto"/>
              <w:right w:val="double" w:sz="4" w:space="0" w:color="auto"/>
            </w:tcBorders>
            <w:shd w:val="clear" w:color="auto" w:fill="auto"/>
            <w:vAlign w:val="center"/>
            <w:hideMark/>
          </w:tcPr>
          <w:p w14:paraId="6ED76134" w14:textId="77777777" w:rsidR="006D3C25" w:rsidRPr="0057720D" w:rsidRDefault="006D3C25" w:rsidP="006D3C25">
            <w:pPr>
              <w:spacing w:before="60" w:after="60"/>
              <w:jc w:val="right"/>
              <w:rPr>
                <w:rFonts w:ascii="Arial" w:hAnsi="Arial" w:cs="Arial"/>
                <w:sz w:val="18"/>
                <w:szCs w:val="18"/>
                <w:lang w:val="es-ES"/>
              </w:rPr>
            </w:pPr>
            <w:r w:rsidRPr="0057720D">
              <w:rPr>
                <w:rFonts w:ascii="Arial" w:hAnsi="Arial" w:cs="Arial"/>
                <w:sz w:val="18"/>
                <w:szCs w:val="18"/>
                <w:lang w:val="es-ES"/>
              </w:rPr>
              <w:t>(-) 5</w:t>
            </w:r>
            <w:r>
              <w:rPr>
                <w:rFonts w:ascii="Arial" w:hAnsi="Arial" w:cs="Arial"/>
                <w:sz w:val="18"/>
                <w:szCs w:val="18"/>
                <w:lang w:val="es-ES"/>
              </w:rPr>
              <w:t>42</w:t>
            </w:r>
            <w:r w:rsidRPr="0057720D">
              <w:rPr>
                <w:rFonts w:ascii="Arial" w:hAnsi="Arial" w:cs="Arial"/>
                <w:sz w:val="18"/>
                <w:szCs w:val="18"/>
                <w:lang w:val="es-ES"/>
              </w:rPr>
              <w:t>,</w:t>
            </w:r>
            <w:r>
              <w:rPr>
                <w:rFonts w:ascii="Arial" w:hAnsi="Arial" w:cs="Arial"/>
                <w:sz w:val="18"/>
                <w:szCs w:val="18"/>
                <w:lang w:val="es-ES"/>
              </w:rPr>
              <w:t>245</w:t>
            </w:r>
          </w:p>
        </w:tc>
        <w:tc>
          <w:tcPr>
            <w:tcW w:w="1264" w:type="dxa"/>
            <w:tcBorders>
              <w:top w:val="nil"/>
              <w:left w:val="single" w:sz="4" w:space="0" w:color="auto"/>
              <w:bottom w:val="double" w:sz="4" w:space="0" w:color="auto"/>
              <w:right w:val="nil"/>
            </w:tcBorders>
            <w:shd w:val="clear" w:color="auto" w:fill="auto"/>
            <w:vAlign w:val="center"/>
          </w:tcPr>
          <w:p w14:paraId="57B90B9D" w14:textId="374CF81C" w:rsidR="006D3C25" w:rsidRPr="0057720D" w:rsidRDefault="006D3C25" w:rsidP="006D3C25">
            <w:pPr>
              <w:spacing w:before="60" w:after="60"/>
              <w:jc w:val="right"/>
              <w:rPr>
                <w:rFonts w:ascii="Arial" w:hAnsi="Arial" w:cs="Arial"/>
                <w:sz w:val="18"/>
                <w:szCs w:val="18"/>
                <w:lang w:val="es-ES"/>
              </w:rPr>
            </w:pPr>
            <w:r>
              <w:rPr>
                <w:rFonts w:ascii="Arial" w:hAnsi="Arial" w:cs="Arial"/>
                <w:sz w:val="18"/>
                <w:szCs w:val="18"/>
                <w:lang w:val="es-ES"/>
              </w:rPr>
              <w:t>4</w:t>
            </w:r>
            <w:r w:rsidR="00141A10">
              <w:rPr>
                <w:rFonts w:ascii="Arial" w:hAnsi="Arial" w:cs="Arial"/>
                <w:sz w:val="18"/>
                <w:szCs w:val="18"/>
                <w:lang w:val="es-ES"/>
              </w:rPr>
              <w:t>69</w:t>
            </w:r>
            <w:r w:rsidRPr="0057720D">
              <w:rPr>
                <w:rFonts w:ascii="Arial" w:hAnsi="Arial" w:cs="Arial"/>
                <w:sz w:val="18"/>
                <w:szCs w:val="18"/>
                <w:lang w:val="es-ES"/>
              </w:rPr>
              <w:t>,</w:t>
            </w:r>
            <w:r>
              <w:rPr>
                <w:rFonts w:ascii="Arial" w:hAnsi="Arial" w:cs="Arial"/>
                <w:sz w:val="18"/>
                <w:szCs w:val="18"/>
                <w:lang w:val="es-ES"/>
              </w:rPr>
              <w:t>4</w:t>
            </w:r>
            <w:r w:rsidR="00141A10">
              <w:rPr>
                <w:rFonts w:ascii="Arial" w:hAnsi="Arial" w:cs="Arial"/>
                <w:sz w:val="18"/>
                <w:szCs w:val="18"/>
                <w:lang w:val="es-ES"/>
              </w:rPr>
              <w:t>17</w:t>
            </w:r>
          </w:p>
        </w:tc>
        <w:tc>
          <w:tcPr>
            <w:tcW w:w="1264" w:type="dxa"/>
            <w:tcBorders>
              <w:top w:val="nil"/>
              <w:left w:val="nil"/>
              <w:bottom w:val="double" w:sz="4" w:space="0" w:color="auto"/>
              <w:right w:val="nil"/>
            </w:tcBorders>
            <w:vAlign w:val="center"/>
          </w:tcPr>
          <w:p w14:paraId="4E0BAD82" w14:textId="6BFF908C" w:rsidR="006D3C25" w:rsidRDefault="00141A10" w:rsidP="006D3C25">
            <w:pPr>
              <w:spacing w:before="60" w:after="60"/>
              <w:jc w:val="right"/>
              <w:rPr>
                <w:rFonts w:ascii="Arial" w:hAnsi="Arial" w:cs="Arial"/>
                <w:sz w:val="18"/>
                <w:szCs w:val="18"/>
                <w:lang w:val="es-ES"/>
              </w:rPr>
            </w:pPr>
            <w:r>
              <w:rPr>
                <w:rFonts w:ascii="Arial" w:hAnsi="Arial" w:cs="Arial"/>
                <w:sz w:val="18"/>
                <w:szCs w:val="18"/>
                <w:lang w:val="es-ES"/>
              </w:rPr>
              <w:t xml:space="preserve">(-) </w:t>
            </w:r>
            <w:r w:rsidR="006D3C25">
              <w:rPr>
                <w:rFonts w:ascii="Arial" w:hAnsi="Arial" w:cs="Arial"/>
                <w:sz w:val="18"/>
                <w:szCs w:val="18"/>
                <w:lang w:val="es-ES"/>
              </w:rPr>
              <w:t>4</w:t>
            </w:r>
            <w:r>
              <w:rPr>
                <w:rFonts w:ascii="Arial" w:hAnsi="Arial" w:cs="Arial"/>
                <w:sz w:val="18"/>
                <w:szCs w:val="18"/>
                <w:lang w:val="es-ES"/>
              </w:rPr>
              <w:t>99</w:t>
            </w:r>
            <w:r w:rsidR="006D3C25" w:rsidRPr="0057720D">
              <w:rPr>
                <w:rFonts w:ascii="Arial" w:hAnsi="Arial" w:cs="Arial"/>
                <w:sz w:val="18"/>
                <w:szCs w:val="18"/>
                <w:lang w:val="es-ES"/>
              </w:rPr>
              <w:t>,</w:t>
            </w:r>
            <w:r>
              <w:rPr>
                <w:rFonts w:ascii="Arial" w:hAnsi="Arial" w:cs="Arial"/>
                <w:sz w:val="18"/>
                <w:szCs w:val="18"/>
                <w:lang w:val="es-ES"/>
              </w:rPr>
              <w:t>0</w:t>
            </w:r>
            <w:r w:rsidR="006D3C25">
              <w:rPr>
                <w:rFonts w:ascii="Arial" w:hAnsi="Arial" w:cs="Arial"/>
                <w:sz w:val="18"/>
                <w:szCs w:val="18"/>
                <w:lang w:val="es-ES"/>
              </w:rPr>
              <w:t>4</w:t>
            </w:r>
            <w:r>
              <w:rPr>
                <w:rFonts w:ascii="Arial" w:hAnsi="Arial" w:cs="Arial"/>
                <w:sz w:val="18"/>
                <w:szCs w:val="18"/>
                <w:lang w:val="es-ES"/>
              </w:rPr>
              <w:t>5</w:t>
            </w:r>
          </w:p>
        </w:tc>
        <w:tc>
          <w:tcPr>
            <w:tcW w:w="1264" w:type="dxa"/>
            <w:tcBorders>
              <w:top w:val="nil"/>
              <w:left w:val="nil"/>
              <w:bottom w:val="double" w:sz="4" w:space="0" w:color="auto"/>
              <w:right w:val="double" w:sz="4" w:space="0" w:color="auto"/>
            </w:tcBorders>
            <w:vAlign w:val="center"/>
          </w:tcPr>
          <w:p w14:paraId="29DD9452" w14:textId="62282A00" w:rsidR="006D3C25" w:rsidRDefault="00141A10" w:rsidP="006D3C25">
            <w:pPr>
              <w:spacing w:before="60" w:after="60"/>
              <w:jc w:val="right"/>
              <w:rPr>
                <w:rFonts w:ascii="Arial" w:hAnsi="Arial" w:cs="Arial"/>
                <w:sz w:val="18"/>
                <w:szCs w:val="18"/>
                <w:lang w:val="es-ES"/>
              </w:rPr>
            </w:pPr>
            <w:r>
              <w:rPr>
                <w:rFonts w:ascii="Arial" w:hAnsi="Arial" w:cs="Arial"/>
                <w:sz w:val="18"/>
                <w:szCs w:val="18"/>
                <w:lang w:val="es-ES"/>
              </w:rPr>
              <w:t>(-) 1</w:t>
            </w:r>
            <w:r w:rsidR="006D3C25">
              <w:rPr>
                <w:rFonts w:ascii="Arial" w:hAnsi="Arial" w:cs="Arial"/>
                <w:sz w:val="18"/>
                <w:szCs w:val="18"/>
                <w:lang w:val="es-ES"/>
              </w:rPr>
              <w:t>4</w:t>
            </w:r>
            <w:r w:rsidR="006D3C25" w:rsidRPr="0057720D">
              <w:rPr>
                <w:rFonts w:ascii="Arial" w:hAnsi="Arial" w:cs="Arial"/>
                <w:sz w:val="18"/>
                <w:szCs w:val="18"/>
                <w:lang w:val="es-ES"/>
              </w:rPr>
              <w:t>,</w:t>
            </w:r>
            <w:r>
              <w:rPr>
                <w:rFonts w:ascii="Arial" w:hAnsi="Arial" w:cs="Arial"/>
                <w:sz w:val="18"/>
                <w:szCs w:val="18"/>
                <w:lang w:val="es-ES"/>
              </w:rPr>
              <w:t>81</w:t>
            </w:r>
            <w:r w:rsidR="006D3C25">
              <w:rPr>
                <w:rFonts w:ascii="Arial" w:hAnsi="Arial" w:cs="Arial"/>
                <w:sz w:val="18"/>
                <w:szCs w:val="18"/>
                <w:lang w:val="es-ES"/>
              </w:rPr>
              <w:t>4</w:t>
            </w:r>
          </w:p>
        </w:tc>
      </w:tr>
    </w:tbl>
    <w:p w14:paraId="11F0D053" w14:textId="294E9BE7" w:rsidR="001107A9" w:rsidRPr="00CF64DE" w:rsidRDefault="001107A9" w:rsidP="00CF64DE">
      <w:pPr>
        <w:pStyle w:val="Textoindependiente"/>
        <w:spacing w:before="0" w:line="180" w:lineRule="exact"/>
        <w:ind w:left="851" w:hanging="1134"/>
        <w:jc w:val="left"/>
        <w:rPr>
          <w:rFonts w:cs="Arial"/>
          <w:color w:val="000000" w:themeColor="text1"/>
          <w:sz w:val="16"/>
          <w:szCs w:val="16"/>
        </w:rPr>
      </w:pPr>
      <w:r w:rsidRPr="00CF64DE">
        <w:rPr>
          <w:rFonts w:cs="Arial"/>
          <w:color w:val="000000" w:themeColor="text1"/>
          <w:sz w:val="16"/>
          <w:szCs w:val="16"/>
        </w:rPr>
        <w:t xml:space="preserve">Nota: La suma de los parciales puede no coincidir con el total </w:t>
      </w:r>
      <w:r w:rsidR="000C65F4">
        <w:rPr>
          <w:rFonts w:cs="Arial"/>
          <w:color w:val="000000" w:themeColor="text1"/>
          <w:sz w:val="16"/>
          <w:szCs w:val="16"/>
        </w:rPr>
        <w:t xml:space="preserve">del ahorro bruto </w:t>
      </w:r>
      <w:r w:rsidRPr="00CF64DE">
        <w:rPr>
          <w:rFonts w:cs="Arial"/>
          <w:color w:val="000000" w:themeColor="text1"/>
          <w:sz w:val="16"/>
          <w:szCs w:val="16"/>
        </w:rPr>
        <w:t>debido al redondeo.</w:t>
      </w:r>
    </w:p>
    <w:p w14:paraId="1CF7F4BE" w14:textId="77777777" w:rsidR="00CE4772" w:rsidRDefault="001107A9" w:rsidP="00CE4772">
      <w:pPr>
        <w:pStyle w:val="p0"/>
        <w:keepNext/>
        <w:spacing w:before="0"/>
        <w:ind w:left="851" w:hanging="1134"/>
        <w:rPr>
          <w:rFonts w:cs="Arial"/>
          <w:color w:val="auto"/>
          <w:sz w:val="16"/>
          <w:szCs w:val="16"/>
        </w:rPr>
      </w:pPr>
      <w:r w:rsidRPr="00CF64DE">
        <w:rPr>
          <w:rFonts w:cs="Arial"/>
          <w:color w:val="auto"/>
          <w:sz w:val="16"/>
          <w:szCs w:val="16"/>
          <w:vertAlign w:val="superscript"/>
        </w:rPr>
        <w:t>P/</w:t>
      </w:r>
      <w:r w:rsidRPr="00CF64DE">
        <w:rPr>
          <w:rFonts w:cs="Arial"/>
          <w:sz w:val="16"/>
          <w:szCs w:val="16"/>
        </w:rPr>
        <w:t xml:space="preserve"> </w:t>
      </w:r>
      <w:r w:rsidRPr="00CF64DE">
        <w:rPr>
          <w:rFonts w:cs="Arial"/>
          <w:color w:val="auto"/>
          <w:sz w:val="16"/>
          <w:szCs w:val="16"/>
        </w:rPr>
        <w:t>Cifras preliminares.</w:t>
      </w:r>
    </w:p>
    <w:p w14:paraId="39F44B07" w14:textId="6F74CE19" w:rsidR="00CE4772" w:rsidRPr="00CF64DE" w:rsidRDefault="00CE4772" w:rsidP="00CE4772">
      <w:pPr>
        <w:pStyle w:val="p0"/>
        <w:keepNext/>
        <w:spacing w:before="0"/>
        <w:ind w:left="851" w:hanging="1134"/>
        <w:rPr>
          <w:rFonts w:cs="Arial"/>
          <w:color w:val="auto"/>
          <w:sz w:val="16"/>
          <w:szCs w:val="16"/>
        </w:rPr>
      </w:pPr>
      <w:r w:rsidRPr="00CE4772">
        <w:rPr>
          <w:rFonts w:cs="Arial"/>
          <w:color w:val="auto"/>
          <w:sz w:val="16"/>
          <w:szCs w:val="16"/>
          <w:vertAlign w:val="superscript"/>
        </w:rPr>
        <w:t>R/</w:t>
      </w:r>
      <w:r>
        <w:rPr>
          <w:rFonts w:cs="Arial"/>
          <w:color w:val="auto"/>
          <w:sz w:val="16"/>
          <w:szCs w:val="16"/>
        </w:rPr>
        <w:t xml:space="preserve"> Cifras revisadas.</w:t>
      </w:r>
    </w:p>
    <w:p w14:paraId="427EDE58" w14:textId="77777777" w:rsidR="001107A9" w:rsidRDefault="001107A9" w:rsidP="00CF64DE">
      <w:pPr>
        <w:pStyle w:val="Textoindependiente"/>
        <w:spacing w:before="0" w:line="180" w:lineRule="exact"/>
        <w:ind w:left="851" w:hanging="1134"/>
        <w:jc w:val="left"/>
        <w:rPr>
          <w:rFonts w:cs="Arial"/>
          <w:color w:val="000000" w:themeColor="text1"/>
          <w:sz w:val="18"/>
          <w:szCs w:val="18"/>
        </w:rPr>
      </w:pPr>
      <w:r w:rsidRPr="00CF64DE">
        <w:rPr>
          <w:rFonts w:cs="Arial"/>
          <w:sz w:val="16"/>
          <w:szCs w:val="16"/>
        </w:rPr>
        <w:t>Fuente: INEGI.</w:t>
      </w:r>
    </w:p>
    <w:p w14:paraId="54E92DCE" w14:textId="77777777" w:rsidR="001107A9" w:rsidRDefault="001107A9" w:rsidP="00CF64DE">
      <w:pPr>
        <w:pStyle w:val="Textoindependiente"/>
        <w:spacing w:before="0"/>
        <w:ind w:left="1276" w:hanging="1134"/>
        <w:jc w:val="center"/>
        <w:rPr>
          <w:rFonts w:cs="Arial"/>
          <w:color w:val="000000" w:themeColor="text1"/>
          <w:sz w:val="18"/>
          <w:szCs w:val="18"/>
        </w:rPr>
      </w:pPr>
      <w:r w:rsidRPr="001E3DC3">
        <w:rPr>
          <w:rFonts w:cs="Arial"/>
          <w:sz w:val="20"/>
          <w:szCs w:val="22"/>
        </w:rPr>
        <w:t xml:space="preserve">Cuadro </w:t>
      </w:r>
      <w:r>
        <w:rPr>
          <w:rFonts w:cs="Arial"/>
          <w:sz w:val="20"/>
          <w:szCs w:val="22"/>
        </w:rPr>
        <w:t>7</w:t>
      </w:r>
    </w:p>
    <w:p w14:paraId="108F2BAE" w14:textId="497F9999" w:rsidR="001107A9" w:rsidRDefault="001107A9" w:rsidP="001107A9">
      <w:pPr>
        <w:pStyle w:val="p0"/>
        <w:keepNext/>
        <w:widowControl/>
        <w:spacing w:before="0"/>
        <w:jc w:val="center"/>
        <w:rPr>
          <w:rFonts w:cs="Arial"/>
          <w:b/>
          <w:smallCaps/>
          <w:color w:val="auto"/>
          <w:sz w:val="22"/>
          <w:szCs w:val="22"/>
          <w:lang w:eastAsia="es-MX"/>
        </w:rPr>
      </w:pPr>
      <w:r>
        <w:rPr>
          <w:rFonts w:cs="Arial"/>
          <w:b/>
          <w:smallCaps/>
          <w:color w:val="auto"/>
          <w:sz w:val="22"/>
          <w:szCs w:val="22"/>
          <w:lang w:eastAsia="es-MX"/>
        </w:rPr>
        <w:t xml:space="preserve">Indicador Trimestral del Ahorro Bruto </w:t>
      </w:r>
      <w:r>
        <w:rPr>
          <w:rFonts w:cs="Arial"/>
          <w:b/>
          <w:smallCaps/>
          <w:color w:val="auto"/>
          <w:sz w:val="22"/>
          <w:szCs w:val="22"/>
          <w:lang w:eastAsia="es-MX"/>
        </w:rPr>
        <w:br/>
        <w:t xml:space="preserve">al </w:t>
      </w:r>
      <w:r w:rsidR="00A93796">
        <w:rPr>
          <w:rFonts w:cs="Arial"/>
          <w:b/>
          <w:smallCaps/>
          <w:color w:val="auto"/>
          <w:sz w:val="22"/>
          <w:szCs w:val="22"/>
          <w:lang w:eastAsia="es-MX"/>
        </w:rPr>
        <w:t>segundo</w:t>
      </w:r>
      <w:r>
        <w:rPr>
          <w:rFonts w:cs="Arial"/>
          <w:b/>
          <w:smallCaps/>
          <w:color w:val="auto"/>
          <w:sz w:val="22"/>
          <w:szCs w:val="22"/>
          <w:lang w:eastAsia="es-MX"/>
        </w:rPr>
        <w:t xml:space="preserve"> trimestre de 2021</w:t>
      </w:r>
    </w:p>
    <w:p w14:paraId="5F8B5EA4" w14:textId="77777777" w:rsidR="001107A9" w:rsidRPr="00100026" w:rsidRDefault="001107A9" w:rsidP="001107A9">
      <w:pPr>
        <w:pStyle w:val="p0"/>
        <w:keepNext/>
        <w:widowControl/>
        <w:spacing w:before="0"/>
        <w:jc w:val="center"/>
        <w:rPr>
          <w:rFonts w:cs="Arial"/>
          <w:bCs/>
          <w:color w:val="auto"/>
          <w:sz w:val="18"/>
          <w:szCs w:val="18"/>
          <w:lang w:val="es-MX" w:eastAsia="es-MX"/>
        </w:rPr>
      </w:pPr>
      <w:r w:rsidRPr="00100026">
        <w:rPr>
          <w:rFonts w:cs="Arial"/>
          <w:bCs/>
          <w:color w:val="auto"/>
          <w:sz w:val="18"/>
          <w:szCs w:val="18"/>
          <w:lang w:eastAsia="es-MX"/>
        </w:rPr>
        <w:t>(Porcentajes)</w:t>
      </w:r>
    </w:p>
    <w:tbl>
      <w:tblPr>
        <w:tblStyle w:val="Tablaconcuadrcula"/>
        <w:tblW w:w="9399" w:type="dxa"/>
        <w:jc w:val="center"/>
        <w:tblLayout w:type="fixed"/>
        <w:tblLook w:val="04A0" w:firstRow="1" w:lastRow="0" w:firstColumn="1" w:lastColumn="0" w:noHBand="0" w:noVBand="1"/>
      </w:tblPr>
      <w:tblGrid>
        <w:gridCol w:w="2263"/>
        <w:gridCol w:w="1276"/>
        <w:gridCol w:w="1276"/>
        <w:gridCol w:w="1146"/>
        <w:gridCol w:w="1146"/>
        <w:gridCol w:w="1146"/>
        <w:gridCol w:w="1146"/>
      </w:tblGrid>
      <w:tr w:rsidR="006D3C25" w14:paraId="55FD1A33" w14:textId="3678B80E" w:rsidTr="00856F76">
        <w:trPr>
          <w:trHeight w:val="255"/>
          <w:jc w:val="center"/>
        </w:trPr>
        <w:tc>
          <w:tcPr>
            <w:tcW w:w="2263" w:type="dxa"/>
            <w:vMerge w:val="restart"/>
            <w:tcBorders>
              <w:top w:val="double" w:sz="4" w:space="0" w:color="auto"/>
              <w:left w:val="double" w:sz="4" w:space="0" w:color="auto"/>
              <w:bottom w:val="single" w:sz="4" w:space="0" w:color="auto"/>
              <w:right w:val="single" w:sz="4" w:space="0" w:color="auto"/>
            </w:tcBorders>
            <w:shd w:val="clear" w:color="auto" w:fill="C2D69B" w:themeFill="accent3" w:themeFillTint="99"/>
            <w:vAlign w:val="center"/>
            <w:hideMark/>
          </w:tcPr>
          <w:p w14:paraId="00BAAEC5" w14:textId="77777777" w:rsidR="006D3C25" w:rsidRPr="0057720D" w:rsidRDefault="006D3C25" w:rsidP="00856F76">
            <w:pPr>
              <w:spacing w:before="60"/>
              <w:jc w:val="center"/>
              <w:rPr>
                <w:rFonts w:ascii="Arial" w:hAnsi="Arial" w:cs="Arial"/>
                <w:b/>
                <w:sz w:val="18"/>
                <w:szCs w:val="18"/>
                <w:lang w:val="es-ES"/>
              </w:rPr>
            </w:pPr>
            <w:r w:rsidRPr="0057720D">
              <w:rPr>
                <w:rFonts w:ascii="Arial" w:hAnsi="Arial" w:cs="Arial"/>
                <w:b/>
                <w:sz w:val="18"/>
                <w:szCs w:val="18"/>
                <w:lang w:val="es-ES"/>
              </w:rPr>
              <w:t>Concepto</w:t>
            </w:r>
          </w:p>
        </w:tc>
        <w:tc>
          <w:tcPr>
            <w:tcW w:w="3698" w:type="dxa"/>
            <w:gridSpan w:val="3"/>
            <w:tcBorders>
              <w:top w:val="double" w:sz="4" w:space="0" w:color="auto"/>
              <w:left w:val="double" w:sz="4" w:space="0" w:color="auto"/>
              <w:bottom w:val="nil"/>
              <w:right w:val="double" w:sz="4" w:space="0" w:color="auto"/>
            </w:tcBorders>
            <w:shd w:val="clear" w:color="auto" w:fill="C2D69B" w:themeFill="accent3" w:themeFillTint="99"/>
          </w:tcPr>
          <w:p w14:paraId="14CF7258" w14:textId="501332AF" w:rsidR="006D3C25" w:rsidRPr="0057720D" w:rsidRDefault="006D3C25" w:rsidP="00856F76">
            <w:pPr>
              <w:spacing w:before="60"/>
              <w:jc w:val="center"/>
              <w:rPr>
                <w:rFonts w:ascii="Arial" w:hAnsi="Arial" w:cs="Arial"/>
                <w:b/>
                <w:sz w:val="18"/>
                <w:szCs w:val="18"/>
                <w:lang w:val="es-ES"/>
              </w:rPr>
            </w:pPr>
            <w:r w:rsidRPr="0057720D">
              <w:rPr>
                <w:rFonts w:ascii="Arial" w:hAnsi="Arial" w:cs="Arial"/>
                <w:b/>
                <w:sz w:val="18"/>
                <w:szCs w:val="18"/>
                <w:lang w:val="es-ES"/>
              </w:rPr>
              <w:t>2020</w:t>
            </w:r>
            <w:r w:rsidR="00A06E72">
              <w:rPr>
                <w:rFonts w:ascii="Arial" w:hAnsi="Arial" w:cs="Arial"/>
                <w:b/>
                <w:sz w:val="18"/>
                <w:szCs w:val="18"/>
                <w:vertAlign w:val="superscript"/>
                <w:lang w:val="es-ES"/>
              </w:rPr>
              <w:t>P</w:t>
            </w:r>
            <w:r w:rsidRPr="0057720D">
              <w:rPr>
                <w:rFonts w:ascii="Arial" w:hAnsi="Arial" w:cs="Arial"/>
                <w:b/>
                <w:sz w:val="18"/>
                <w:szCs w:val="18"/>
                <w:vertAlign w:val="superscript"/>
                <w:lang w:val="es-ES"/>
              </w:rPr>
              <w:t>/</w:t>
            </w:r>
          </w:p>
        </w:tc>
        <w:tc>
          <w:tcPr>
            <w:tcW w:w="3438" w:type="dxa"/>
            <w:gridSpan w:val="3"/>
            <w:tcBorders>
              <w:top w:val="double" w:sz="4" w:space="0" w:color="auto"/>
              <w:left w:val="double" w:sz="4" w:space="0" w:color="auto"/>
              <w:bottom w:val="nil"/>
              <w:right w:val="double" w:sz="4" w:space="0" w:color="auto"/>
            </w:tcBorders>
            <w:shd w:val="clear" w:color="auto" w:fill="C2D69B" w:themeFill="accent3" w:themeFillTint="99"/>
          </w:tcPr>
          <w:p w14:paraId="5039BDA9" w14:textId="4DB4051D" w:rsidR="006D3C25" w:rsidRDefault="006D3C25" w:rsidP="00856F76">
            <w:pPr>
              <w:spacing w:before="60"/>
              <w:jc w:val="center"/>
              <w:rPr>
                <w:rFonts w:ascii="Arial" w:hAnsi="Arial" w:cs="Arial"/>
                <w:b/>
                <w:sz w:val="18"/>
                <w:szCs w:val="18"/>
                <w:lang w:val="es-ES"/>
              </w:rPr>
            </w:pPr>
            <w:r>
              <w:rPr>
                <w:rFonts w:ascii="Arial" w:hAnsi="Arial" w:cs="Arial"/>
                <w:b/>
                <w:sz w:val="18"/>
                <w:szCs w:val="18"/>
                <w:lang w:val="es-ES"/>
              </w:rPr>
              <w:t>2021</w:t>
            </w:r>
            <w:r w:rsidR="00D65994" w:rsidRPr="00D65994">
              <w:rPr>
                <w:rFonts w:ascii="Arial" w:hAnsi="Arial" w:cs="Arial"/>
                <w:b/>
                <w:sz w:val="18"/>
                <w:szCs w:val="18"/>
                <w:vertAlign w:val="superscript"/>
                <w:lang w:val="es-ES"/>
              </w:rPr>
              <w:t>R/</w:t>
            </w:r>
          </w:p>
        </w:tc>
      </w:tr>
      <w:tr w:rsidR="006D3C25" w14:paraId="34ACC81E" w14:textId="522DEEA9" w:rsidTr="008431D9">
        <w:trPr>
          <w:trHeight w:val="229"/>
          <w:jc w:val="center"/>
        </w:trPr>
        <w:tc>
          <w:tcPr>
            <w:tcW w:w="2263" w:type="dxa"/>
            <w:vMerge/>
            <w:tcBorders>
              <w:top w:val="double" w:sz="4" w:space="0" w:color="auto"/>
              <w:left w:val="double" w:sz="4" w:space="0" w:color="auto"/>
              <w:bottom w:val="double" w:sz="4" w:space="0" w:color="auto"/>
              <w:right w:val="single" w:sz="4" w:space="0" w:color="auto"/>
            </w:tcBorders>
            <w:vAlign w:val="center"/>
          </w:tcPr>
          <w:p w14:paraId="69E303FF" w14:textId="77777777" w:rsidR="006D3C25" w:rsidRPr="0057720D" w:rsidRDefault="006D3C25" w:rsidP="00856F76">
            <w:pPr>
              <w:rPr>
                <w:rFonts w:ascii="Arial" w:hAnsi="Arial" w:cs="Arial"/>
                <w:b/>
                <w:sz w:val="18"/>
                <w:szCs w:val="18"/>
                <w:lang w:val="es-ES"/>
              </w:rPr>
            </w:pPr>
          </w:p>
        </w:tc>
        <w:tc>
          <w:tcPr>
            <w:tcW w:w="2552" w:type="dxa"/>
            <w:gridSpan w:val="2"/>
            <w:tcBorders>
              <w:top w:val="single" w:sz="4" w:space="0" w:color="auto"/>
              <w:left w:val="double" w:sz="4" w:space="0" w:color="auto"/>
              <w:bottom w:val="single" w:sz="4" w:space="0" w:color="auto"/>
              <w:right w:val="single" w:sz="4" w:space="0" w:color="auto"/>
            </w:tcBorders>
            <w:shd w:val="clear" w:color="auto" w:fill="C2D69B" w:themeFill="accent3" w:themeFillTint="99"/>
            <w:vAlign w:val="center"/>
          </w:tcPr>
          <w:p w14:paraId="451D35F0" w14:textId="7CE5955E" w:rsidR="006D3C25" w:rsidRPr="0057720D" w:rsidRDefault="006D3C25" w:rsidP="00856F76">
            <w:pPr>
              <w:spacing w:before="60"/>
              <w:jc w:val="center"/>
              <w:rPr>
                <w:rFonts w:ascii="Arial" w:hAnsi="Arial" w:cs="Arial"/>
                <w:b/>
                <w:sz w:val="18"/>
                <w:szCs w:val="18"/>
                <w:lang w:val="es-ES"/>
              </w:rPr>
            </w:pPr>
            <w:r>
              <w:rPr>
                <w:rFonts w:ascii="Arial" w:hAnsi="Arial" w:cs="Arial"/>
                <w:b/>
                <w:sz w:val="18"/>
                <w:szCs w:val="18"/>
                <w:lang w:val="es-ES"/>
              </w:rPr>
              <w:t>Trimestre</w:t>
            </w:r>
          </w:p>
        </w:tc>
        <w:tc>
          <w:tcPr>
            <w:tcW w:w="1146" w:type="dxa"/>
            <w:vMerge w:val="restart"/>
            <w:tcBorders>
              <w:top w:val="single" w:sz="4" w:space="0" w:color="auto"/>
              <w:left w:val="single" w:sz="4" w:space="0" w:color="auto"/>
              <w:right w:val="double" w:sz="4" w:space="0" w:color="auto"/>
            </w:tcBorders>
            <w:shd w:val="clear" w:color="auto" w:fill="C2D69B" w:themeFill="accent3" w:themeFillTint="99"/>
            <w:vAlign w:val="center"/>
          </w:tcPr>
          <w:p w14:paraId="0CAB0C09" w14:textId="77777777" w:rsidR="006D3C25" w:rsidRPr="0057720D" w:rsidRDefault="006D3C25" w:rsidP="00856F76">
            <w:pPr>
              <w:spacing w:before="60"/>
              <w:jc w:val="center"/>
              <w:rPr>
                <w:rFonts w:ascii="Arial" w:hAnsi="Arial" w:cs="Arial"/>
                <w:b/>
                <w:sz w:val="18"/>
                <w:szCs w:val="18"/>
                <w:lang w:val="es-ES"/>
              </w:rPr>
            </w:pPr>
            <w:r w:rsidRPr="0057720D">
              <w:rPr>
                <w:rFonts w:ascii="Arial" w:hAnsi="Arial" w:cs="Arial"/>
                <w:b/>
                <w:sz w:val="18"/>
                <w:szCs w:val="18"/>
                <w:lang w:val="es-ES"/>
              </w:rPr>
              <w:t>Anual</w:t>
            </w:r>
          </w:p>
        </w:tc>
        <w:tc>
          <w:tcPr>
            <w:tcW w:w="2292"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87B3884" w14:textId="023BD9B8" w:rsidR="006D3C25" w:rsidRDefault="006D3C25" w:rsidP="00856F76">
            <w:pPr>
              <w:spacing w:before="60"/>
              <w:jc w:val="center"/>
              <w:rPr>
                <w:rFonts w:ascii="Arial" w:hAnsi="Arial" w:cs="Arial"/>
                <w:b/>
                <w:sz w:val="18"/>
                <w:szCs w:val="18"/>
                <w:lang w:val="es-ES"/>
              </w:rPr>
            </w:pPr>
            <w:r>
              <w:rPr>
                <w:rFonts w:ascii="Arial" w:hAnsi="Arial" w:cs="Arial"/>
                <w:b/>
                <w:sz w:val="18"/>
                <w:szCs w:val="18"/>
                <w:lang w:val="es-ES"/>
              </w:rPr>
              <w:t>Trimestre</w:t>
            </w:r>
          </w:p>
        </w:tc>
        <w:tc>
          <w:tcPr>
            <w:tcW w:w="1146" w:type="dxa"/>
            <w:vMerge w:val="restart"/>
            <w:tcBorders>
              <w:top w:val="single" w:sz="4" w:space="0" w:color="auto"/>
              <w:left w:val="single" w:sz="4" w:space="0" w:color="auto"/>
              <w:bottom w:val="double" w:sz="4" w:space="0" w:color="auto"/>
              <w:right w:val="double" w:sz="4" w:space="0" w:color="auto"/>
            </w:tcBorders>
            <w:shd w:val="clear" w:color="auto" w:fill="C2D69B" w:themeFill="accent3" w:themeFillTint="99"/>
          </w:tcPr>
          <w:p w14:paraId="1E33C0AB" w14:textId="77777777" w:rsidR="006D3C25" w:rsidRDefault="006D3C25" w:rsidP="00856F76">
            <w:pPr>
              <w:spacing w:before="60"/>
              <w:jc w:val="center"/>
              <w:rPr>
                <w:rFonts w:ascii="Arial" w:hAnsi="Arial" w:cs="Arial"/>
                <w:b/>
                <w:sz w:val="18"/>
                <w:szCs w:val="18"/>
                <w:lang w:val="es-ES"/>
              </w:rPr>
            </w:pPr>
            <w:r>
              <w:rPr>
                <w:rFonts w:ascii="Arial" w:hAnsi="Arial" w:cs="Arial"/>
                <w:b/>
                <w:sz w:val="18"/>
                <w:szCs w:val="18"/>
                <w:lang w:val="es-ES"/>
              </w:rPr>
              <w:t>6</w:t>
            </w:r>
          </w:p>
          <w:p w14:paraId="4729A34F" w14:textId="4061C69D" w:rsidR="006D3C25" w:rsidRDefault="006D3C25" w:rsidP="00856F76">
            <w:pPr>
              <w:spacing w:before="60"/>
              <w:jc w:val="center"/>
              <w:rPr>
                <w:rFonts w:ascii="Arial" w:hAnsi="Arial" w:cs="Arial"/>
                <w:b/>
                <w:sz w:val="18"/>
                <w:szCs w:val="18"/>
                <w:lang w:val="es-ES"/>
              </w:rPr>
            </w:pPr>
            <w:r>
              <w:rPr>
                <w:rFonts w:ascii="Arial" w:hAnsi="Arial" w:cs="Arial"/>
                <w:b/>
                <w:sz w:val="18"/>
                <w:szCs w:val="18"/>
                <w:lang w:val="es-ES"/>
              </w:rPr>
              <w:t>Meses</w:t>
            </w:r>
          </w:p>
        </w:tc>
      </w:tr>
      <w:tr w:rsidR="006D3C25" w14:paraId="66068437" w14:textId="236AE657" w:rsidTr="006D3C25">
        <w:trPr>
          <w:trHeight w:val="229"/>
          <w:jc w:val="center"/>
        </w:trPr>
        <w:tc>
          <w:tcPr>
            <w:tcW w:w="2263" w:type="dxa"/>
            <w:vMerge/>
            <w:tcBorders>
              <w:top w:val="double" w:sz="4" w:space="0" w:color="auto"/>
              <w:left w:val="double" w:sz="4" w:space="0" w:color="auto"/>
              <w:bottom w:val="double" w:sz="4" w:space="0" w:color="auto"/>
              <w:right w:val="single" w:sz="4" w:space="0" w:color="auto"/>
            </w:tcBorders>
            <w:vAlign w:val="center"/>
            <w:hideMark/>
          </w:tcPr>
          <w:p w14:paraId="6385FD84" w14:textId="77777777" w:rsidR="006D3C25" w:rsidRPr="0057720D" w:rsidRDefault="006D3C25" w:rsidP="00856F76">
            <w:pPr>
              <w:rPr>
                <w:rFonts w:ascii="Arial" w:hAnsi="Arial" w:cs="Arial"/>
                <w:b/>
                <w:sz w:val="18"/>
                <w:szCs w:val="18"/>
                <w:lang w:val="es-ES"/>
              </w:rPr>
            </w:pPr>
          </w:p>
        </w:tc>
        <w:tc>
          <w:tcPr>
            <w:tcW w:w="1276" w:type="dxa"/>
            <w:tcBorders>
              <w:top w:val="single" w:sz="4" w:space="0" w:color="auto"/>
              <w:left w:val="single" w:sz="4" w:space="0" w:color="auto"/>
              <w:bottom w:val="double" w:sz="4" w:space="0" w:color="auto"/>
              <w:right w:val="single" w:sz="4" w:space="0" w:color="auto"/>
            </w:tcBorders>
            <w:shd w:val="clear" w:color="auto" w:fill="C2D69B" w:themeFill="accent3" w:themeFillTint="99"/>
            <w:vAlign w:val="center"/>
            <w:hideMark/>
          </w:tcPr>
          <w:p w14:paraId="62546E92" w14:textId="77777777" w:rsidR="006D3C25" w:rsidRPr="0057720D" w:rsidRDefault="006D3C25" w:rsidP="00856F76">
            <w:pPr>
              <w:spacing w:before="60"/>
              <w:jc w:val="center"/>
              <w:rPr>
                <w:rFonts w:ascii="Arial" w:hAnsi="Arial" w:cs="Arial"/>
                <w:b/>
                <w:sz w:val="18"/>
                <w:szCs w:val="18"/>
                <w:lang w:val="es-ES"/>
              </w:rPr>
            </w:pPr>
            <w:r w:rsidRPr="0057720D">
              <w:rPr>
                <w:rFonts w:ascii="Arial" w:hAnsi="Arial" w:cs="Arial"/>
                <w:b/>
                <w:sz w:val="18"/>
                <w:szCs w:val="18"/>
                <w:lang w:val="es-ES"/>
              </w:rPr>
              <w:t>III</w:t>
            </w:r>
          </w:p>
        </w:tc>
        <w:tc>
          <w:tcPr>
            <w:tcW w:w="1276" w:type="dxa"/>
            <w:tcBorders>
              <w:top w:val="single" w:sz="4" w:space="0" w:color="auto"/>
              <w:left w:val="single" w:sz="4" w:space="0" w:color="auto"/>
              <w:bottom w:val="double" w:sz="4" w:space="0" w:color="auto"/>
              <w:right w:val="single" w:sz="4" w:space="0" w:color="auto"/>
            </w:tcBorders>
            <w:shd w:val="clear" w:color="auto" w:fill="C2D69B" w:themeFill="accent3" w:themeFillTint="99"/>
            <w:vAlign w:val="center"/>
            <w:hideMark/>
          </w:tcPr>
          <w:p w14:paraId="5C22C721" w14:textId="77777777" w:rsidR="006D3C25" w:rsidRPr="0057720D" w:rsidRDefault="006D3C25" w:rsidP="00856F76">
            <w:pPr>
              <w:spacing w:before="60"/>
              <w:jc w:val="center"/>
              <w:rPr>
                <w:rFonts w:ascii="Arial" w:hAnsi="Arial" w:cs="Arial"/>
                <w:b/>
                <w:sz w:val="18"/>
                <w:szCs w:val="18"/>
                <w:lang w:val="es-ES"/>
              </w:rPr>
            </w:pPr>
            <w:r w:rsidRPr="0057720D">
              <w:rPr>
                <w:rFonts w:ascii="Arial" w:hAnsi="Arial" w:cs="Arial"/>
                <w:b/>
                <w:sz w:val="18"/>
                <w:szCs w:val="18"/>
                <w:lang w:val="es-ES"/>
              </w:rPr>
              <w:t>IV</w:t>
            </w:r>
          </w:p>
        </w:tc>
        <w:tc>
          <w:tcPr>
            <w:tcW w:w="1146" w:type="dxa"/>
            <w:vMerge/>
            <w:tcBorders>
              <w:left w:val="single" w:sz="4" w:space="0" w:color="auto"/>
              <w:bottom w:val="double" w:sz="4" w:space="0" w:color="auto"/>
              <w:right w:val="double" w:sz="4" w:space="0" w:color="auto"/>
            </w:tcBorders>
            <w:shd w:val="clear" w:color="auto" w:fill="C2D69B" w:themeFill="accent3" w:themeFillTint="99"/>
            <w:vAlign w:val="center"/>
            <w:hideMark/>
          </w:tcPr>
          <w:p w14:paraId="3D3E3300" w14:textId="77777777" w:rsidR="006D3C25" w:rsidRPr="0057720D" w:rsidRDefault="006D3C25" w:rsidP="00856F76">
            <w:pPr>
              <w:spacing w:before="60"/>
              <w:jc w:val="center"/>
              <w:rPr>
                <w:rFonts w:ascii="Arial" w:hAnsi="Arial" w:cs="Arial"/>
                <w:b/>
                <w:sz w:val="18"/>
                <w:szCs w:val="18"/>
                <w:lang w:val="es-ES"/>
              </w:rPr>
            </w:pPr>
          </w:p>
        </w:tc>
        <w:tc>
          <w:tcPr>
            <w:tcW w:w="1146" w:type="dxa"/>
            <w:tcBorders>
              <w:top w:val="single" w:sz="4" w:space="0" w:color="auto"/>
              <w:left w:val="single" w:sz="4" w:space="0" w:color="auto"/>
              <w:bottom w:val="double" w:sz="4" w:space="0" w:color="auto"/>
              <w:right w:val="single" w:sz="4" w:space="0" w:color="auto"/>
            </w:tcBorders>
            <w:shd w:val="clear" w:color="auto" w:fill="C2D69B" w:themeFill="accent3" w:themeFillTint="99"/>
          </w:tcPr>
          <w:p w14:paraId="16376410" w14:textId="682819A6" w:rsidR="006D3C25" w:rsidRPr="0057720D" w:rsidRDefault="006D3C25" w:rsidP="00856F76">
            <w:pPr>
              <w:spacing w:before="60"/>
              <w:jc w:val="center"/>
              <w:rPr>
                <w:rFonts w:ascii="Arial" w:hAnsi="Arial" w:cs="Arial"/>
                <w:b/>
                <w:sz w:val="18"/>
                <w:szCs w:val="18"/>
                <w:lang w:val="es-ES"/>
              </w:rPr>
            </w:pPr>
            <w:r>
              <w:rPr>
                <w:rFonts w:ascii="Arial" w:hAnsi="Arial" w:cs="Arial"/>
                <w:b/>
                <w:sz w:val="18"/>
                <w:szCs w:val="18"/>
                <w:lang w:val="es-ES"/>
              </w:rPr>
              <w:t>I</w:t>
            </w:r>
          </w:p>
        </w:tc>
        <w:tc>
          <w:tcPr>
            <w:tcW w:w="1146" w:type="dxa"/>
            <w:tcBorders>
              <w:top w:val="single" w:sz="4" w:space="0" w:color="auto"/>
              <w:left w:val="single" w:sz="4" w:space="0" w:color="auto"/>
              <w:bottom w:val="double" w:sz="4" w:space="0" w:color="auto"/>
              <w:right w:val="single" w:sz="4" w:space="0" w:color="auto"/>
            </w:tcBorders>
            <w:shd w:val="clear" w:color="auto" w:fill="C2D69B" w:themeFill="accent3" w:themeFillTint="99"/>
          </w:tcPr>
          <w:p w14:paraId="33BE380E" w14:textId="0885480E" w:rsidR="006D3C25" w:rsidRDefault="006D3C25" w:rsidP="00856F76">
            <w:pPr>
              <w:spacing w:before="60"/>
              <w:jc w:val="center"/>
              <w:rPr>
                <w:rFonts w:ascii="Arial" w:hAnsi="Arial" w:cs="Arial"/>
                <w:b/>
                <w:sz w:val="18"/>
                <w:szCs w:val="18"/>
                <w:lang w:val="es-ES"/>
              </w:rPr>
            </w:pPr>
            <w:r>
              <w:rPr>
                <w:rFonts w:ascii="Arial" w:hAnsi="Arial" w:cs="Arial"/>
                <w:b/>
                <w:sz w:val="18"/>
                <w:szCs w:val="18"/>
                <w:lang w:val="es-ES"/>
              </w:rPr>
              <w:t>II</w:t>
            </w:r>
            <w:r w:rsidR="00A06E72" w:rsidRPr="0057720D">
              <w:rPr>
                <w:rFonts w:ascii="Arial" w:hAnsi="Arial" w:cs="Arial"/>
                <w:b/>
                <w:sz w:val="18"/>
                <w:szCs w:val="18"/>
                <w:vertAlign w:val="superscript"/>
                <w:lang w:val="es-ES"/>
              </w:rPr>
              <w:t>P</w:t>
            </w:r>
            <w:r w:rsidR="00A06E72">
              <w:rPr>
                <w:rFonts w:ascii="Arial" w:hAnsi="Arial" w:cs="Arial"/>
                <w:b/>
                <w:sz w:val="18"/>
                <w:szCs w:val="18"/>
                <w:vertAlign w:val="superscript"/>
                <w:lang w:val="es-ES"/>
              </w:rPr>
              <w:t>/</w:t>
            </w:r>
          </w:p>
        </w:tc>
        <w:tc>
          <w:tcPr>
            <w:tcW w:w="1146" w:type="dxa"/>
            <w:vMerge/>
            <w:tcBorders>
              <w:left w:val="single" w:sz="4" w:space="0" w:color="auto"/>
              <w:bottom w:val="double" w:sz="4" w:space="0" w:color="auto"/>
              <w:right w:val="double" w:sz="4" w:space="0" w:color="auto"/>
            </w:tcBorders>
            <w:shd w:val="clear" w:color="auto" w:fill="C2D69B" w:themeFill="accent3" w:themeFillTint="99"/>
          </w:tcPr>
          <w:p w14:paraId="57136CDF" w14:textId="77777777" w:rsidR="006D3C25" w:rsidRDefault="006D3C25" w:rsidP="00856F76">
            <w:pPr>
              <w:spacing w:before="60"/>
              <w:jc w:val="center"/>
              <w:rPr>
                <w:rFonts w:ascii="Arial" w:hAnsi="Arial" w:cs="Arial"/>
                <w:b/>
                <w:sz w:val="18"/>
                <w:szCs w:val="18"/>
                <w:lang w:val="es-ES"/>
              </w:rPr>
            </w:pPr>
          </w:p>
        </w:tc>
      </w:tr>
      <w:tr w:rsidR="006D3C25" w14:paraId="25524CD7" w14:textId="1F449BFA" w:rsidTr="00856F76">
        <w:trPr>
          <w:trHeight w:val="201"/>
          <w:jc w:val="center"/>
        </w:trPr>
        <w:tc>
          <w:tcPr>
            <w:tcW w:w="2263" w:type="dxa"/>
            <w:tcBorders>
              <w:top w:val="double" w:sz="4" w:space="0" w:color="auto"/>
              <w:left w:val="double" w:sz="4" w:space="0" w:color="auto"/>
              <w:bottom w:val="nil"/>
              <w:right w:val="double" w:sz="4" w:space="0" w:color="auto"/>
            </w:tcBorders>
            <w:shd w:val="clear" w:color="auto" w:fill="FFFFFF" w:themeFill="background1"/>
            <w:vAlign w:val="center"/>
            <w:hideMark/>
          </w:tcPr>
          <w:p w14:paraId="230B19FC" w14:textId="77777777" w:rsidR="006D3C25" w:rsidRPr="00DF7FA1" w:rsidRDefault="006D3C25" w:rsidP="006D3C25">
            <w:pPr>
              <w:rPr>
                <w:rFonts w:ascii="Arial" w:hAnsi="Arial" w:cs="Arial"/>
                <w:b/>
                <w:bCs/>
                <w:sz w:val="18"/>
                <w:szCs w:val="18"/>
                <w:lang w:val="es-ES"/>
              </w:rPr>
            </w:pPr>
            <w:r w:rsidRPr="00DF7FA1">
              <w:rPr>
                <w:rFonts w:ascii="Arial" w:hAnsi="Arial" w:cs="Arial"/>
                <w:b/>
                <w:bCs/>
                <w:sz w:val="18"/>
                <w:szCs w:val="18"/>
                <w:lang w:val="es-ES"/>
              </w:rPr>
              <w:t>Producto Interno Bruto</w:t>
            </w:r>
          </w:p>
        </w:tc>
        <w:tc>
          <w:tcPr>
            <w:tcW w:w="1276" w:type="dxa"/>
            <w:tcBorders>
              <w:top w:val="double" w:sz="4" w:space="0" w:color="auto"/>
              <w:left w:val="single" w:sz="4" w:space="0" w:color="auto"/>
              <w:bottom w:val="nil"/>
              <w:right w:val="nil"/>
            </w:tcBorders>
            <w:shd w:val="clear" w:color="auto" w:fill="FFFFFF" w:themeFill="background1"/>
            <w:vAlign w:val="center"/>
            <w:hideMark/>
          </w:tcPr>
          <w:p w14:paraId="2C0DBD2D" w14:textId="77777777" w:rsidR="006D3C25" w:rsidRPr="0057720D" w:rsidRDefault="006D3C25" w:rsidP="006D3C25">
            <w:pPr>
              <w:spacing w:before="60"/>
              <w:ind w:left="-136" w:right="170"/>
              <w:jc w:val="right"/>
              <w:rPr>
                <w:rFonts w:ascii="Arial" w:hAnsi="Arial" w:cs="Arial"/>
                <w:b/>
                <w:sz w:val="18"/>
                <w:szCs w:val="18"/>
                <w:lang w:val="es-ES"/>
              </w:rPr>
            </w:pPr>
            <w:r w:rsidRPr="0057720D">
              <w:rPr>
                <w:rFonts w:ascii="Arial" w:hAnsi="Arial" w:cs="Arial"/>
                <w:b/>
                <w:sz w:val="18"/>
                <w:szCs w:val="18"/>
                <w:lang w:val="es-ES"/>
              </w:rPr>
              <w:t>100.0</w:t>
            </w:r>
          </w:p>
        </w:tc>
        <w:tc>
          <w:tcPr>
            <w:tcW w:w="1276" w:type="dxa"/>
            <w:tcBorders>
              <w:top w:val="double" w:sz="4" w:space="0" w:color="auto"/>
              <w:left w:val="nil"/>
              <w:bottom w:val="nil"/>
              <w:right w:val="nil"/>
            </w:tcBorders>
            <w:shd w:val="clear" w:color="auto" w:fill="FFFFFF" w:themeFill="background1"/>
            <w:vAlign w:val="center"/>
            <w:hideMark/>
          </w:tcPr>
          <w:p w14:paraId="261F33A0" w14:textId="77777777" w:rsidR="006D3C25" w:rsidRPr="0057720D" w:rsidRDefault="006D3C25" w:rsidP="006D3C25">
            <w:pPr>
              <w:spacing w:before="60"/>
              <w:ind w:left="-136" w:right="170"/>
              <w:jc w:val="right"/>
              <w:rPr>
                <w:rFonts w:ascii="Arial" w:hAnsi="Arial" w:cs="Arial"/>
                <w:b/>
                <w:sz w:val="18"/>
                <w:szCs w:val="18"/>
                <w:lang w:val="es-ES"/>
              </w:rPr>
            </w:pPr>
            <w:r w:rsidRPr="0057720D">
              <w:rPr>
                <w:rFonts w:ascii="Arial" w:hAnsi="Arial" w:cs="Arial"/>
                <w:b/>
                <w:sz w:val="18"/>
                <w:szCs w:val="18"/>
                <w:lang w:val="es-ES"/>
              </w:rPr>
              <w:t>100.0</w:t>
            </w:r>
          </w:p>
        </w:tc>
        <w:tc>
          <w:tcPr>
            <w:tcW w:w="1146" w:type="dxa"/>
            <w:tcBorders>
              <w:top w:val="double" w:sz="4" w:space="0" w:color="auto"/>
              <w:left w:val="nil"/>
              <w:bottom w:val="nil"/>
              <w:right w:val="double" w:sz="4" w:space="0" w:color="auto"/>
            </w:tcBorders>
            <w:shd w:val="clear" w:color="auto" w:fill="FFFFFF" w:themeFill="background1"/>
            <w:vAlign w:val="center"/>
            <w:hideMark/>
          </w:tcPr>
          <w:p w14:paraId="160C5785" w14:textId="77777777" w:rsidR="006D3C25" w:rsidRPr="0057720D" w:rsidRDefault="006D3C25" w:rsidP="006D3C25">
            <w:pPr>
              <w:spacing w:before="60"/>
              <w:ind w:left="-136" w:right="170"/>
              <w:jc w:val="right"/>
              <w:rPr>
                <w:rFonts w:ascii="Arial" w:hAnsi="Arial" w:cs="Arial"/>
                <w:b/>
                <w:sz w:val="18"/>
                <w:szCs w:val="18"/>
                <w:lang w:val="es-ES"/>
              </w:rPr>
            </w:pPr>
            <w:r w:rsidRPr="0057720D">
              <w:rPr>
                <w:rFonts w:ascii="Arial" w:hAnsi="Arial" w:cs="Arial"/>
                <w:b/>
                <w:sz w:val="18"/>
                <w:szCs w:val="18"/>
                <w:lang w:val="es-ES"/>
              </w:rPr>
              <w:t>100.0</w:t>
            </w:r>
          </w:p>
        </w:tc>
        <w:tc>
          <w:tcPr>
            <w:tcW w:w="1146" w:type="dxa"/>
            <w:tcBorders>
              <w:top w:val="double" w:sz="4" w:space="0" w:color="auto"/>
              <w:left w:val="double" w:sz="4" w:space="0" w:color="auto"/>
              <w:bottom w:val="nil"/>
              <w:right w:val="nil"/>
            </w:tcBorders>
            <w:shd w:val="clear" w:color="auto" w:fill="FFFFFF" w:themeFill="background1"/>
            <w:vAlign w:val="center"/>
          </w:tcPr>
          <w:p w14:paraId="72864D59" w14:textId="77777777" w:rsidR="006D3C25" w:rsidRPr="0057720D" w:rsidRDefault="006D3C25" w:rsidP="006D3C25">
            <w:pPr>
              <w:spacing w:before="60"/>
              <w:ind w:left="-136" w:right="170"/>
              <w:jc w:val="right"/>
              <w:rPr>
                <w:rFonts w:ascii="Arial" w:hAnsi="Arial" w:cs="Arial"/>
                <w:b/>
                <w:sz w:val="18"/>
                <w:szCs w:val="18"/>
                <w:lang w:val="es-ES"/>
              </w:rPr>
            </w:pPr>
            <w:r w:rsidRPr="0057720D">
              <w:rPr>
                <w:rFonts w:ascii="Arial" w:hAnsi="Arial" w:cs="Arial"/>
                <w:b/>
                <w:sz w:val="18"/>
                <w:szCs w:val="18"/>
                <w:lang w:val="es-ES"/>
              </w:rPr>
              <w:t>100.0</w:t>
            </w:r>
          </w:p>
        </w:tc>
        <w:tc>
          <w:tcPr>
            <w:tcW w:w="1146" w:type="dxa"/>
            <w:tcBorders>
              <w:top w:val="double" w:sz="4" w:space="0" w:color="auto"/>
              <w:left w:val="nil"/>
              <w:bottom w:val="nil"/>
              <w:right w:val="nil"/>
            </w:tcBorders>
            <w:shd w:val="clear" w:color="auto" w:fill="FFFFFF" w:themeFill="background1"/>
            <w:vAlign w:val="center"/>
          </w:tcPr>
          <w:p w14:paraId="7AEC696D" w14:textId="4B9ABF41" w:rsidR="006D3C25" w:rsidRPr="0057720D" w:rsidRDefault="006D3C25" w:rsidP="006D3C25">
            <w:pPr>
              <w:spacing w:before="60"/>
              <w:ind w:left="-136" w:right="170"/>
              <w:jc w:val="right"/>
              <w:rPr>
                <w:rFonts w:ascii="Arial" w:hAnsi="Arial" w:cs="Arial"/>
                <w:b/>
                <w:sz w:val="18"/>
                <w:szCs w:val="18"/>
                <w:lang w:val="es-ES"/>
              </w:rPr>
            </w:pPr>
            <w:r w:rsidRPr="0057720D">
              <w:rPr>
                <w:rFonts w:ascii="Arial" w:hAnsi="Arial" w:cs="Arial"/>
                <w:b/>
                <w:sz w:val="18"/>
                <w:szCs w:val="18"/>
                <w:lang w:val="es-ES"/>
              </w:rPr>
              <w:t>100.0</w:t>
            </w:r>
          </w:p>
        </w:tc>
        <w:tc>
          <w:tcPr>
            <w:tcW w:w="1146" w:type="dxa"/>
            <w:tcBorders>
              <w:top w:val="double" w:sz="4" w:space="0" w:color="auto"/>
              <w:left w:val="nil"/>
              <w:bottom w:val="nil"/>
              <w:right w:val="double" w:sz="4" w:space="0" w:color="auto"/>
            </w:tcBorders>
            <w:shd w:val="clear" w:color="auto" w:fill="FFFFFF" w:themeFill="background1"/>
            <w:vAlign w:val="center"/>
          </w:tcPr>
          <w:p w14:paraId="26208E0E" w14:textId="2724F1BD" w:rsidR="006D3C25" w:rsidRPr="0057720D" w:rsidRDefault="006D3C25" w:rsidP="006D3C25">
            <w:pPr>
              <w:spacing w:before="60"/>
              <w:ind w:left="-136" w:right="170"/>
              <w:jc w:val="right"/>
              <w:rPr>
                <w:rFonts w:ascii="Arial" w:hAnsi="Arial" w:cs="Arial"/>
                <w:b/>
                <w:sz w:val="18"/>
                <w:szCs w:val="18"/>
                <w:lang w:val="es-ES"/>
              </w:rPr>
            </w:pPr>
            <w:r w:rsidRPr="0057720D">
              <w:rPr>
                <w:rFonts w:ascii="Arial" w:hAnsi="Arial" w:cs="Arial"/>
                <w:b/>
                <w:sz w:val="18"/>
                <w:szCs w:val="18"/>
                <w:lang w:val="es-ES"/>
              </w:rPr>
              <w:t>100.0</w:t>
            </w:r>
          </w:p>
        </w:tc>
      </w:tr>
      <w:tr w:rsidR="006D3C25" w14:paraId="758ABDC8" w14:textId="49F66675" w:rsidTr="00856F76">
        <w:trPr>
          <w:trHeight w:val="201"/>
          <w:jc w:val="center"/>
        </w:trPr>
        <w:tc>
          <w:tcPr>
            <w:tcW w:w="2263" w:type="dxa"/>
            <w:tcBorders>
              <w:top w:val="nil"/>
              <w:left w:val="double" w:sz="4" w:space="0" w:color="auto"/>
              <w:bottom w:val="nil"/>
              <w:right w:val="double" w:sz="4" w:space="0" w:color="auto"/>
            </w:tcBorders>
            <w:shd w:val="clear" w:color="auto" w:fill="auto"/>
            <w:vAlign w:val="center"/>
            <w:hideMark/>
          </w:tcPr>
          <w:p w14:paraId="615A912C" w14:textId="77777777" w:rsidR="006D3C25" w:rsidRPr="0057720D" w:rsidRDefault="006D3C25" w:rsidP="006D3C25">
            <w:pPr>
              <w:spacing w:before="60"/>
              <w:rPr>
                <w:rFonts w:ascii="Arial" w:hAnsi="Arial" w:cs="Arial"/>
                <w:sz w:val="18"/>
                <w:szCs w:val="18"/>
                <w:lang w:val="es-ES"/>
              </w:rPr>
            </w:pPr>
            <w:r w:rsidRPr="0057720D">
              <w:rPr>
                <w:rFonts w:ascii="Arial" w:hAnsi="Arial" w:cs="Arial"/>
                <w:sz w:val="18"/>
                <w:szCs w:val="18"/>
                <w:lang w:val="es-ES"/>
              </w:rPr>
              <w:t>Ahorro Bruto</w:t>
            </w:r>
          </w:p>
        </w:tc>
        <w:tc>
          <w:tcPr>
            <w:tcW w:w="1276" w:type="dxa"/>
            <w:tcBorders>
              <w:top w:val="nil"/>
              <w:left w:val="single" w:sz="4" w:space="0" w:color="auto"/>
              <w:bottom w:val="nil"/>
              <w:right w:val="nil"/>
            </w:tcBorders>
            <w:shd w:val="clear" w:color="auto" w:fill="auto"/>
            <w:vAlign w:val="center"/>
            <w:hideMark/>
          </w:tcPr>
          <w:p w14:paraId="58D56377" w14:textId="77777777" w:rsidR="006D3C25" w:rsidRPr="0057720D" w:rsidRDefault="006D3C25" w:rsidP="006D3C25">
            <w:pPr>
              <w:spacing w:before="60"/>
              <w:ind w:left="-136" w:right="170"/>
              <w:jc w:val="right"/>
              <w:rPr>
                <w:rFonts w:ascii="Arial" w:hAnsi="Arial" w:cs="Arial"/>
                <w:sz w:val="18"/>
                <w:szCs w:val="18"/>
                <w:lang w:val="es-ES"/>
              </w:rPr>
            </w:pPr>
            <w:r w:rsidRPr="0057720D">
              <w:rPr>
                <w:rFonts w:ascii="Arial" w:hAnsi="Arial" w:cs="Arial"/>
                <w:sz w:val="18"/>
                <w:szCs w:val="18"/>
                <w:lang w:val="es-ES"/>
              </w:rPr>
              <w:t>19.</w:t>
            </w:r>
            <w:r>
              <w:rPr>
                <w:rFonts w:ascii="Arial" w:hAnsi="Arial" w:cs="Arial"/>
                <w:sz w:val="18"/>
                <w:szCs w:val="18"/>
                <w:lang w:val="es-ES"/>
              </w:rPr>
              <w:t>5</w:t>
            </w:r>
          </w:p>
        </w:tc>
        <w:tc>
          <w:tcPr>
            <w:tcW w:w="1276" w:type="dxa"/>
            <w:tcBorders>
              <w:top w:val="nil"/>
              <w:left w:val="nil"/>
              <w:bottom w:val="nil"/>
              <w:right w:val="nil"/>
            </w:tcBorders>
            <w:shd w:val="clear" w:color="auto" w:fill="auto"/>
            <w:vAlign w:val="center"/>
            <w:hideMark/>
          </w:tcPr>
          <w:p w14:paraId="0D55A194" w14:textId="77777777" w:rsidR="006D3C25" w:rsidRPr="0057720D" w:rsidRDefault="006D3C25" w:rsidP="006D3C25">
            <w:pPr>
              <w:spacing w:before="60"/>
              <w:ind w:left="-136" w:right="170"/>
              <w:jc w:val="right"/>
              <w:rPr>
                <w:rFonts w:ascii="Arial" w:hAnsi="Arial" w:cs="Arial"/>
                <w:sz w:val="18"/>
                <w:szCs w:val="18"/>
                <w:lang w:val="es-ES"/>
              </w:rPr>
            </w:pPr>
            <w:r w:rsidRPr="0057720D">
              <w:rPr>
                <w:rFonts w:ascii="Arial" w:hAnsi="Arial" w:cs="Arial"/>
                <w:sz w:val="18"/>
                <w:szCs w:val="18"/>
                <w:lang w:val="es-ES"/>
              </w:rPr>
              <w:t>1</w:t>
            </w:r>
            <w:r>
              <w:rPr>
                <w:rFonts w:ascii="Arial" w:hAnsi="Arial" w:cs="Arial"/>
                <w:sz w:val="18"/>
                <w:szCs w:val="18"/>
                <w:lang w:val="es-ES"/>
              </w:rPr>
              <w:t>8</w:t>
            </w:r>
            <w:r w:rsidRPr="0057720D">
              <w:rPr>
                <w:rFonts w:ascii="Arial" w:hAnsi="Arial" w:cs="Arial"/>
                <w:sz w:val="18"/>
                <w:szCs w:val="18"/>
                <w:lang w:val="es-ES"/>
              </w:rPr>
              <w:t>.</w:t>
            </w:r>
            <w:r>
              <w:rPr>
                <w:rFonts w:ascii="Arial" w:hAnsi="Arial" w:cs="Arial"/>
                <w:sz w:val="18"/>
                <w:szCs w:val="18"/>
                <w:lang w:val="es-ES"/>
              </w:rPr>
              <w:t>9</w:t>
            </w:r>
          </w:p>
        </w:tc>
        <w:tc>
          <w:tcPr>
            <w:tcW w:w="1146" w:type="dxa"/>
            <w:tcBorders>
              <w:top w:val="nil"/>
              <w:left w:val="nil"/>
              <w:bottom w:val="nil"/>
              <w:right w:val="double" w:sz="4" w:space="0" w:color="auto"/>
            </w:tcBorders>
            <w:shd w:val="clear" w:color="auto" w:fill="auto"/>
            <w:vAlign w:val="center"/>
            <w:hideMark/>
          </w:tcPr>
          <w:p w14:paraId="292459F9" w14:textId="77777777" w:rsidR="006D3C25" w:rsidRPr="0057720D" w:rsidRDefault="006D3C25" w:rsidP="006D3C25">
            <w:pPr>
              <w:spacing w:before="60"/>
              <w:ind w:left="-136" w:right="170"/>
              <w:jc w:val="right"/>
              <w:rPr>
                <w:rFonts w:ascii="Arial" w:hAnsi="Arial" w:cs="Arial"/>
                <w:sz w:val="18"/>
                <w:szCs w:val="18"/>
                <w:lang w:val="es-ES"/>
              </w:rPr>
            </w:pPr>
            <w:r w:rsidRPr="0057720D">
              <w:rPr>
                <w:rFonts w:ascii="Arial" w:hAnsi="Arial" w:cs="Arial"/>
                <w:sz w:val="18"/>
                <w:szCs w:val="18"/>
                <w:lang w:val="es-ES"/>
              </w:rPr>
              <w:t>19.3</w:t>
            </w:r>
          </w:p>
        </w:tc>
        <w:tc>
          <w:tcPr>
            <w:tcW w:w="1146" w:type="dxa"/>
            <w:tcBorders>
              <w:top w:val="nil"/>
              <w:left w:val="double" w:sz="4" w:space="0" w:color="auto"/>
              <w:bottom w:val="nil"/>
              <w:right w:val="nil"/>
            </w:tcBorders>
            <w:shd w:val="clear" w:color="auto" w:fill="auto"/>
            <w:vAlign w:val="center"/>
          </w:tcPr>
          <w:p w14:paraId="729C6990" w14:textId="77777777" w:rsidR="006D3C25" w:rsidRPr="0057720D" w:rsidRDefault="006D3C25" w:rsidP="006D3C25">
            <w:pPr>
              <w:spacing w:before="60"/>
              <w:ind w:left="-136" w:right="170"/>
              <w:jc w:val="right"/>
              <w:rPr>
                <w:rFonts w:ascii="Arial" w:hAnsi="Arial" w:cs="Arial"/>
                <w:sz w:val="18"/>
                <w:szCs w:val="18"/>
                <w:lang w:val="es-ES"/>
              </w:rPr>
            </w:pPr>
            <w:r>
              <w:rPr>
                <w:rFonts w:ascii="Arial" w:hAnsi="Arial" w:cs="Arial"/>
                <w:sz w:val="18"/>
                <w:szCs w:val="18"/>
                <w:lang w:val="es-ES"/>
              </w:rPr>
              <w:t>20</w:t>
            </w:r>
            <w:r w:rsidRPr="0057720D">
              <w:rPr>
                <w:rFonts w:ascii="Arial" w:hAnsi="Arial" w:cs="Arial"/>
                <w:sz w:val="18"/>
                <w:szCs w:val="18"/>
                <w:lang w:val="es-ES"/>
              </w:rPr>
              <w:t>.</w:t>
            </w:r>
            <w:r>
              <w:rPr>
                <w:rFonts w:ascii="Arial" w:hAnsi="Arial" w:cs="Arial"/>
                <w:sz w:val="18"/>
                <w:szCs w:val="18"/>
                <w:lang w:val="es-ES"/>
              </w:rPr>
              <w:t>7</w:t>
            </w:r>
          </w:p>
        </w:tc>
        <w:tc>
          <w:tcPr>
            <w:tcW w:w="1146" w:type="dxa"/>
            <w:tcBorders>
              <w:top w:val="nil"/>
              <w:left w:val="nil"/>
              <w:bottom w:val="nil"/>
              <w:right w:val="nil"/>
            </w:tcBorders>
            <w:vAlign w:val="center"/>
          </w:tcPr>
          <w:p w14:paraId="34F38C71" w14:textId="70A549A1" w:rsidR="006D3C25" w:rsidRDefault="00514302" w:rsidP="006D3C25">
            <w:pPr>
              <w:spacing w:before="60"/>
              <w:ind w:left="-136" w:right="170"/>
              <w:jc w:val="right"/>
              <w:rPr>
                <w:rFonts w:ascii="Arial" w:hAnsi="Arial" w:cs="Arial"/>
                <w:sz w:val="18"/>
                <w:szCs w:val="18"/>
                <w:lang w:val="es-ES"/>
              </w:rPr>
            </w:pPr>
            <w:r>
              <w:rPr>
                <w:rFonts w:ascii="Arial" w:hAnsi="Arial" w:cs="Arial"/>
                <w:sz w:val="18"/>
                <w:szCs w:val="18"/>
                <w:lang w:val="es-ES"/>
              </w:rPr>
              <w:t>19</w:t>
            </w:r>
            <w:r w:rsidR="006D3C25" w:rsidRPr="0057720D">
              <w:rPr>
                <w:rFonts w:ascii="Arial" w:hAnsi="Arial" w:cs="Arial"/>
                <w:sz w:val="18"/>
                <w:szCs w:val="18"/>
                <w:lang w:val="es-ES"/>
              </w:rPr>
              <w:t>.</w:t>
            </w:r>
            <w:r>
              <w:rPr>
                <w:rFonts w:ascii="Arial" w:hAnsi="Arial" w:cs="Arial"/>
                <w:sz w:val="18"/>
                <w:szCs w:val="18"/>
                <w:lang w:val="es-ES"/>
              </w:rPr>
              <w:t>3</w:t>
            </w:r>
          </w:p>
        </w:tc>
        <w:tc>
          <w:tcPr>
            <w:tcW w:w="1146" w:type="dxa"/>
            <w:tcBorders>
              <w:top w:val="nil"/>
              <w:left w:val="nil"/>
              <w:bottom w:val="nil"/>
              <w:right w:val="double" w:sz="4" w:space="0" w:color="auto"/>
            </w:tcBorders>
            <w:vAlign w:val="center"/>
          </w:tcPr>
          <w:p w14:paraId="0CC57943" w14:textId="5FA6A0D8" w:rsidR="006D3C25" w:rsidRDefault="006D3C25" w:rsidP="006D3C25">
            <w:pPr>
              <w:spacing w:before="60"/>
              <w:ind w:left="-136" w:right="170"/>
              <w:jc w:val="right"/>
              <w:rPr>
                <w:rFonts w:ascii="Arial" w:hAnsi="Arial" w:cs="Arial"/>
                <w:sz w:val="18"/>
                <w:szCs w:val="18"/>
                <w:lang w:val="es-ES"/>
              </w:rPr>
            </w:pPr>
            <w:r>
              <w:rPr>
                <w:rFonts w:ascii="Arial" w:hAnsi="Arial" w:cs="Arial"/>
                <w:sz w:val="18"/>
                <w:szCs w:val="18"/>
                <w:lang w:val="es-ES"/>
              </w:rPr>
              <w:t>20</w:t>
            </w:r>
            <w:r w:rsidRPr="0057720D">
              <w:rPr>
                <w:rFonts w:ascii="Arial" w:hAnsi="Arial" w:cs="Arial"/>
                <w:sz w:val="18"/>
                <w:szCs w:val="18"/>
                <w:lang w:val="es-ES"/>
              </w:rPr>
              <w:t>.</w:t>
            </w:r>
            <w:r w:rsidR="00A56D38">
              <w:rPr>
                <w:rFonts w:ascii="Arial" w:hAnsi="Arial" w:cs="Arial"/>
                <w:sz w:val="18"/>
                <w:szCs w:val="18"/>
                <w:lang w:val="es-ES"/>
              </w:rPr>
              <w:t>0</w:t>
            </w:r>
          </w:p>
        </w:tc>
      </w:tr>
      <w:tr w:rsidR="006D3C25" w14:paraId="4978BB12" w14:textId="0EC9C241" w:rsidTr="00856F76">
        <w:trPr>
          <w:jc w:val="center"/>
        </w:trPr>
        <w:tc>
          <w:tcPr>
            <w:tcW w:w="2263" w:type="dxa"/>
            <w:tcBorders>
              <w:top w:val="nil"/>
              <w:left w:val="double" w:sz="4" w:space="0" w:color="auto"/>
              <w:bottom w:val="nil"/>
              <w:right w:val="double" w:sz="4" w:space="0" w:color="auto"/>
            </w:tcBorders>
            <w:shd w:val="clear" w:color="auto" w:fill="auto"/>
            <w:vAlign w:val="center"/>
            <w:hideMark/>
          </w:tcPr>
          <w:p w14:paraId="669FA740" w14:textId="77777777" w:rsidR="006D3C25" w:rsidRPr="0057720D" w:rsidRDefault="006D3C25" w:rsidP="006D3C25">
            <w:pPr>
              <w:spacing w:before="60"/>
              <w:rPr>
                <w:rFonts w:ascii="Arial" w:hAnsi="Arial" w:cs="Arial"/>
                <w:sz w:val="18"/>
                <w:szCs w:val="18"/>
                <w:lang w:val="es-ES"/>
              </w:rPr>
            </w:pPr>
            <w:r>
              <w:rPr>
                <w:rFonts w:ascii="Arial" w:hAnsi="Arial" w:cs="Arial"/>
                <w:sz w:val="18"/>
                <w:szCs w:val="18"/>
                <w:lang w:val="es-ES"/>
              </w:rPr>
              <w:t xml:space="preserve">  </w:t>
            </w:r>
            <w:r w:rsidRPr="0057720D">
              <w:rPr>
                <w:rFonts w:ascii="Arial" w:hAnsi="Arial" w:cs="Arial"/>
                <w:sz w:val="18"/>
                <w:szCs w:val="18"/>
                <w:lang w:val="es-ES"/>
              </w:rPr>
              <w:t>Economía Interna</w:t>
            </w:r>
          </w:p>
        </w:tc>
        <w:tc>
          <w:tcPr>
            <w:tcW w:w="1276" w:type="dxa"/>
            <w:tcBorders>
              <w:top w:val="nil"/>
              <w:left w:val="single" w:sz="4" w:space="0" w:color="auto"/>
              <w:bottom w:val="nil"/>
              <w:right w:val="nil"/>
            </w:tcBorders>
            <w:shd w:val="clear" w:color="auto" w:fill="auto"/>
            <w:vAlign w:val="center"/>
            <w:hideMark/>
          </w:tcPr>
          <w:p w14:paraId="21D03D64" w14:textId="77777777" w:rsidR="006D3C25" w:rsidRPr="0057720D" w:rsidRDefault="006D3C25" w:rsidP="006D3C25">
            <w:pPr>
              <w:spacing w:before="60"/>
              <w:ind w:left="-136" w:right="170"/>
              <w:jc w:val="right"/>
              <w:rPr>
                <w:rFonts w:ascii="Arial" w:hAnsi="Arial" w:cs="Arial"/>
                <w:sz w:val="18"/>
                <w:szCs w:val="18"/>
                <w:lang w:val="es-ES"/>
              </w:rPr>
            </w:pPr>
            <w:r w:rsidRPr="0057720D">
              <w:rPr>
                <w:rFonts w:ascii="Arial" w:hAnsi="Arial" w:cs="Arial"/>
                <w:sz w:val="18"/>
                <w:szCs w:val="18"/>
                <w:lang w:val="es-ES"/>
              </w:rPr>
              <w:t>25.9</w:t>
            </w:r>
          </w:p>
        </w:tc>
        <w:tc>
          <w:tcPr>
            <w:tcW w:w="1276" w:type="dxa"/>
            <w:tcBorders>
              <w:top w:val="nil"/>
              <w:left w:val="nil"/>
              <w:bottom w:val="nil"/>
              <w:right w:val="nil"/>
            </w:tcBorders>
            <w:shd w:val="clear" w:color="auto" w:fill="auto"/>
            <w:vAlign w:val="center"/>
            <w:hideMark/>
          </w:tcPr>
          <w:p w14:paraId="4CCFDA14" w14:textId="77777777" w:rsidR="006D3C25" w:rsidRPr="0057720D" w:rsidRDefault="006D3C25" w:rsidP="006D3C25">
            <w:pPr>
              <w:spacing w:before="60"/>
              <w:ind w:left="-136" w:right="170"/>
              <w:jc w:val="right"/>
              <w:rPr>
                <w:rFonts w:ascii="Arial" w:hAnsi="Arial" w:cs="Arial"/>
                <w:sz w:val="18"/>
                <w:szCs w:val="18"/>
                <w:lang w:val="es-ES"/>
              </w:rPr>
            </w:pPr>
            <w:r w:rsidRPr="0057720D">
              <w:rPr>
                <w:rFonts w:ascii="Arial" w:hAnsi="Arial" w:cs="Arial"/>
                <w:sz w:val="18"/>
                <w:szCs w:val="18"/>
                <w:lang w:val="es-ES"/>
              </w:rPr>
              <w:t>2</w:t>
            </w:r>
            <w:r>
              <w:rPr>
                <w:rFonts w:ascii="Arial" w:hAnsi="Arial" w:cs="Arial"/>
                <w:sz w:val="18"/>
                <w:szCs w:val="18"/>
                <w:lang w:val="es-ES"/>
              </w:rPr>
              <w:t>4</w:t>
            </w:r>
            <w:r w:rsidRPr="0057720D">
              <w:rPr>
                <w:rFonts w:ascii="Arial" w:hAnsi="Arial" w:cs="Arial"/>
                <w:sz w:val="18"/>
                <w:szCs w:val="18"/>
                <w:lang w:val="es-ES"/>
              </w:rPr>
              <w:t>.</w:t>
            </w:r>
            <w:r>
              <w:rPr>
                <w:rFonts w:ascii="Arial" w:hAnsi="Arial" w:cs="Arial"/>
                <w:sz w:val="18"/>
                <w:szCs w:val="18"/>
                <w:lang w:val="es-ES"/>
              </w:rPr>
              <w:t>5</w:t>
            </w:r>
          </w:p>
        </w:tc>
        <w:tc>
          <w:tcPr>
            <w:tcW w:w="1146" w:type="dxa"/>
            <w:tcBorders>
              <w:top w:val="nil"/>
              <w:left w:val="nil"/>
              <w:bottom w:val="nil"/>
              <w:right w:val="double" w:sz="4" w:space="0" w:color="auto"/>
            </w:tcBorders>
            <w:shd w:val="clear" w:color="auto" w:fill="auto"/>
            <w:vAlign w:val="center"/>
            <w:hideMark/>
          </w:tcPr>
          <w:p w14:paraId="5CEE064F" w14:textId="77777777" w:rsidR="006D3C25" w:rsidRPr="0057720D" w:rsidRDefault="006D3C25" w:rsidP="006D3C25">
            <w:pPr>
              <w:spacing w:before="60"/>
              <w:ind w:left="-136" w:right="170"/>
              <w:jc w:val="right"/>
              <w:rPr>
                <w:rFonts w:ascii="Arial" w:hAnsi="Arial" w:cs="Arial"/>
                <w:sz w:val="18"/>
                <w:szCs w:val="18"/>
                <w:lang w:val="es-ES"/>
              </w:rPr>
            </w:pPr>
            <w:r w:rsidRPr="0057720D">
              <w:rPr>
                <w:rFonts w:ascii="Arial" w:hAnsi="Arial" w:cs="Arial"/>
                <w:sz w:val="18"/>
                <w:szCs w:val="18"/>
                <w:lang w:val="es-ES"/>
              </w:rPr>
              <w:t>21.</w:t>
            </w:r>
            <w:r>
              <w:rPr>
                <w:rFonts w:ascii="Arial" w:hAnsi="Arial" w:cs="Arial"/>
                <w:sz w:val="18"/>
                <w:szCs w:val="18"/>
                <w:lang w:val="es-ES"/>
              </w:rPr>
              <w:t>7</w:t>
            </w:r>
          </w:p>
        </w:tc>
        <w:tc>
          <w:tcPr>
            <w:tcW w:w="1146" w:type="dxa"/>
            <w:tcBorders>
              <w:top w:val="nil"/>
              <w:left w:val="double" w:sz="4" w:space="0" w:color="auto"/>
              <w:bottom w:val="nil"/>
              <w:right w:val="nil"/>
            </w:tcBorders>
            <w:shd w:val="clear" w:color="auto" w:fill="auto"/>
            <w:vAlign w:val="center"/>
          </w:tcPr>
          <w:p w14:paraId="3274E4C2" w14:textId="016E0FB8" w:rsidR="006D3C25" w:rsidRPr="0057720D" w:rsidRDefault="006D3C25" w:rsidP="006D3C25">
            <w:pPr>
              <w:spacing w:before="60"/>
              <w:ind w:left="-136" w:right="170"/>
              <w:jc w:val="right"/>
              <w:rPr>
                <w:rFonts w:ascii="Arial" w:hAnsi="Arial" w:cs="Arial"/>
                <w:sz w:val="18"/>
                <w:szCs w:val="18"/>
                <w:lang w:val="es-ES"/>
              </w:rPr>
            </w:pPr>
            <w:r w:rsidRPr="0057720D">
              <w:rPr>
                <w:rFonts w:ascii="Arial" w:hAnsi="Arial" w:cs="Arial"/>
                <w:sz w:val="18"/>
                <w:szCs w:val="18"/>
                <w:lang w:val="es-ES"/>
              </w:rPr>
              <w:t>1</w:t>
            </w:r>
            <w:r>
              <w:rPr>
                <w:rFonts w:ascii="Arial" w:hAnsi="Arial" w:cs="Arial"/>
                <w:sz w:val="18"/>
                <w:szCs w:val="18"/>
                <w:lang w:val="es-ES"/>
              </w:rPr>
              <w:t>8</w:t>
            </w:r>
            <w:r w:rsidRPr="0057720D">
              <w:rPr>
                <w:rFonts w:ascii="Arial" w:hAnsi="Arial" w:cs="Arial"/>
                <w:sz w:val="18"/>
                <w:szCs w:val="18"/>
                <w:lang w:val="es-ES"/>
              </w:rPr>
              <w:t>.</w:t>
            </w:r>
            <w:r w:rsidR="00514302">
              <w:rPr>
                <w:rFonts w:ascii="Arial" w:hAnsi="Arial" w:cs="Arial"/>
                <w:sz w:val="18"/>
                <w:szCs w:val="18"/>
                <w:lang w:val="es-ES"/>
              </w:rPr>
              <w:t>8</w:t>
            </w:r>
          </w:p>
        </w:tc>
        <w:tc>
          <w:tcPr>
            <w:tcW w:w="1146" w:type="dxa"/>
            <w:tcBorders>
              <w:top w:val="nil"/>
              <w:left w:val="nil"/>
              <w:bottom w:val="nil"/>
              <w:right w:val="nil"/>
            </w:tcBorders>
            <w:vAlign w:val="center"/>
          </w:tcPr>
          <w:p w14:paraId="36A46C3C" w14:textId="0B337E96" w:rsidR="006D3C25" w:rsidRPr="0057720D" w:rsidRDefault="00514302" w:rsidP="006D3C25">
            <w:pPr>
              <w:spacing w:before="60"/>
              <w:ind w:left="-136" w:right="170"/>
              <w:jc w:val="right"/>
              <w:rPr>
                <w:rFonts w:ascii="Arial" w:hAnsi="Arial" w:cs="Arial"/>
                <w:sz w:val="18"/>
                <w:szCs w:val="18"/>
                <w:lang w:val="es-ES"/>
              </w:rPr>
            </w:pPr>
            <w:r>
              <w:rPr>
                <w:rFonts w:ascii="Arial" w:hAnsi="Arial" w:cs="Arial"/>
                <w:sz w:val="18"/>
                <w:szCs w:val="18"/>
                <w:lang w:val="es-ES"/>
              </w:rPr>
              <w:t>2</w:t>
            </w:r>
            <w:r w:rsidR="006D3C25" w:rsidRPr="0057720D">
              <w:rPr>
                <w:rFonts w:ascii="Arial" w:hAnsi="Arial" w:cs="Arial"/>
                <w:sz w:val="18"/>
                <w:szCs w:val="18"/>
                <w:lang w:val="es-ES"/>
              </w:rPr>
              <w:t>1.</w:t>
            </w:r>
            <w:r>
              <w:rPr>
                <w:rFonts w:ascii="Arial" w:hAnsi="Arial" w:cs="Arial"/>
                <w:sz w:val="18"/>
                <w:szCs w:val="18"/>
                <w:lang w:val="es-ES"/>
              </w:rPr>
              <w:t>2</w:t>
            </w:r>
          </w:p>
        </w:tc>
        <w:tc>
          <w:tcPr>
            <w:tcW w:w="1146" w:type="dxa"/>
            <w:tcBorders>
              <w:top w:val="nil"/>
              <w:left w:val="nil"/>
              <w:bottom w:val="nil"/>
              <w:right w:val="double" w:sz="4" w:space="0" w:color="auto"/>
            </w:tcBorders>
            <w:vAlign w:val="center"/>
          </w:tcPr>
          <w:p w14:paraId="6D2DF2F4" w14:textId="0875AED5" w:rsidR="006D3C25" w:rsidRPr="0057720D" w:rsidRDefault="00A56D38" w:rsidP="006D3C25">
            <w:pPr>
              <w:spacing w:before="60"/>
              <w:ind w:left="-136" w:right="170"/>
              <w:jc w:val="right"/>
              <w:rPr>
                <w:rFonts w:ascii="Arial" w:hAnsi="Arial" w:cs="Arial"/>
                <w:sz w:val="18"/>
                <w:szCs w:val="18"/>
                <w:lang w:val="es-ES"/>
              </w:rPr>
            </w:pPr>
            <w:r>
              <w:rPr>
                <w:rFonts w:ascii="Arial" w:hAnsi="Arial" w:cs="Arial"/>
                <w:sz w:val="18"/>
                <w:szCs w:val="18"/>
                <w:lang w:val="es-ES"/>
              </w:rPr>
              <w:t>20.0</w:t>
            </w:r>
          </w:p>
        </w:tc>
      </w:tr>
      <w:tr w:rsidR="006D3C25" w14:paraId="07023986" w14:textId="16CE7573" w:rsidTr="00856F76">
        <w:trPr>
          <w:jc w:val="center"/>
        </w:trPr>
        <w:tc>
          <w:tcPr>
            <w:tcW w:w="2263" w:type="dxa"/>
            <w:tcBorders>
              <w:top w:val="nil"/>
              <w:left w:val="double" w:sz="4" w:space="0" w:color="auto"/>
              <w:bottom w:val="double" w:sz="4" w:space="0" w:color="auto"/>
              <w:right w:val="double" w:sz="4" w:space="0" w:color="auto"/>
            </w:tcBorders>
            <w:shd w:val="clear" w:color="auto" w:fill="auto"/>
            <w:vAlign w:val="center"/>
            <w:hideMark/>
          </w:tcPr>
          <w:p w14:paraId="37AD7E27" w14:textId="77777777" w:rsidR="006D3C25" w:rsidRPr="0057720D" w:rsidRDefault="006D3C25" w:rsidP="006D3C25">
            <w:pPr>
              <w:spacing w:before="60" w:after="60"/>
              <w:rPr>
                <w:rFonts w:ascii="Arial" w:hAnsi="Arial" w:cs="Arial"/>
                <w:sz w:val="18"/>
                <w:szCs w:val="18"/>
                <w:lang w:val="es-ES"/>
              </w:rPr>
            </w:pPr>
            <w:r>
              <w:rPr>
                <w:rFonts w:ascii="Arial" w:hAnsi="Arial" w:cs="Arial"/>
                <w:sz w:val="18"/>
                <w:szCs w:val="18"/>
                <w:lang w:val="es-ES"/>
              </w:rPr>
              <w:t xml:space="preserve">  </w:t>
            </w:r>
            <w:r w:rsidRPr="0057720D">
              <w:rPr>
                <w:rFonts w:ascii="Arial" w:hAnsi="Arial" w:cs="Arial"/>
                <w:sz w:val="18"/>
                <w:szCs w:val="18"/>
                <w:lang w:val="es-ES"/>
              </w:rPr>
              <w:t>Resto del Mundo</w:t>
            </w:r>
          </w:p>
        </w:tc>
        <w:tc>
          <w:tcPr>
            <w:tcW w:w="1276" w:type="dxa"/>
            <w:tcBorders>
              <w:top w:val="nil"/>
              <w:left w:val="single" w:sz="4" w:space="0" w:color="auto"/>
              <w:bottom w:val="double" w:sz="4" w:space="0" w:color="auto"/>
              <w:right w:val="nil"/>
            </w:tcBorders>
            <w:shd w:val="clear" w:color="auto" w:fill="auto"/>
            <w:vAlign w:val="center"/>
            <w:hideMark/>
          </w:tcPr>
          <w:p w14:paraId="2BEF0400" w14:textId="77777777" w:rsidR="006D3C25" w:rsidRPr="0057720D" w:rsidRDefault="006D3C25" w:rsidP="006D3C25">
            <w:pPr>
              <w:spacing w:before="60" w:after="60"/>
              <w:ind w:left="-136" w:right="170"/>
              <w:jc w:val="right"/>
              <w:rPr>
                <w:rFonts w:ascii="Arial" w:hAnsi="Arial" w:cs="Arial"/>
                <w:sz w:val="18"/>
                <w:szCs w:val="18"/>
                <w:lang w:val="es-ES"/>
              </w:rPr>
            </w:pPr>
            <w:r w:rsidRPr="0057720D">
              <w:rPr>
                <w:rFonts w:ascii="Arial" w:hAnsi="Arial" w:cs="Arial"/>
                <w:sz w:val="18"/>
                <w:szCs w:val="18"/>
                <w:lang w:val="es-ES"/>
              </w:rPr>
              <w:t>(-) 6.</w:t>
            </w:r>
            <w:r>
              <w:rPr>
                <w:rFonts w:ascii="Arial" w:hAnsi="Arial" w:cs="Arial"/>
                <w:sz w:val="18"/>
                <w:szCs w:val="18"/>
                <w:lang w:val="es-ES"/>
              </w:rPr>
              <w:t>4</w:t>
            </w:r>
          </w:p>
        </w:tc>
        <w:tc>
          <w:tcPr>
            <w:tcW w:w="1276" w:type="dxa"/>
            <w:tcBorders>
              <w:top w:val="nil"/>
              <w:left w:val="nil"/>
              <w:bottom w:val="double" w:sz="4" w:space="0" w:color="auto"/>
              <w:right w:val="nil"/>
            </w:tcBorders>
            <w:shd w:val="clear" w:color="auto" w:fill="auto"/>
            <w:vAlign w:val="center"/>
            <w:hideMark/>
          </w:tcPr>
          <w:p w14:paraId="0B79308C" w14:textId="77777777" w:rsidR="006D3C25" w:rsidRPr="0057720D" w:rsidRDefault="006D3C25" w:rsidP="006D3C25">
            <w:pPr>
              <w:spacing w:before="60" w:after="60"/>
              <w:ind w:left="-136" w:right="170"/>
              <w:jc w:val="right"/>
              <w:rPr>
                <w:rFonts w:ascii="Arial" w:hAnsi="Arial" w:cs="Arial"/>
                <w:sz w:val="18"/>
                <w:szCs w:val="18"/>
                <w:lang w:val="es-ES"/>
              </w:rPr>
            </w:pPr>
            <w:r w:rsidRPr="0057720D">
              <w:rPr>
                <w:rFonts w:ascii="Arial" w:hAnsi="Arial" w:cs="Arial"/>
                <w:sz w:val="18"/>
                <w:szCs w:val="18"/>
                <w:lang w:val="es-ES"/>
              </w:rPr>
              <w:t>(-) 5</w:t>
            </w:r>
            <w:r>
              <w:rPr>
                <w:rFonts w:ascii="Arial" w:hAnsi="Arial" w:cs="Arial"/>
                <w:sz w:val="18"/>
                <w:szCs w:val="18"/>
                <w:lang w:val="es-ES"/>
              </w:rPr>
              <w:t>.6</w:t>
            </w:r>
          </w:p>
        </w:tc>
        <w:tc>
          <w:tcPr>
            <w:tcW w:w="1146" w:type="dxa"/>
            <w:tcBorders>
              <w:top w:val="nil"/>
              <w:left w:val="nil"/>
              <w:bottom w:val="double" w:sz="4" w:space="0" w:color="auto"/>
              <w:right w:val="double" w:sz="4" w:space="0" w:color="auto"/>
            </w:tcBorders>
            <w:shd w:val="clear" w:color="auto" w:fill="auto"/>
            <w:vAlign w:val="center"/>
            <w:hideMark/>
          </w:tcPr>
          <w:p w14:paraId="43481558" w14:textId="77777777" w:rsidR="006D3C25" w:rsidRPr="0057720D" w:rsidRDefault="006D3C25" w:rsidP="006D3C25">
            <w:pPr>
              <w:spacing w:before="60" w:after="60"/>
              <w:ind w:left="-136" w:right="170"/>
              <w:jc w:val="right"/>
              <w:rPr>
                <w:rFonts w:ascii="Arial" w:hAnsi="Arial" w:cs="Arial"/>
                <w:sz w:val="18"/>
                <w:szCs w:val="18"/>
                <w:lang w:val="es-ES"/>
              </w:rPr>
            </w:pPr>
            <w:r w:rsidRPr="0057720D">
              <w:rPr>
                <w:rFonts w:ascii="Arial" w:hAnsi="Arial" w:cs="Arial"/>
                <w:sz w:val="18"/>
                <w:szCs w:val="18"/>
                <w:lang w:val="es-ES"/>
              </w:rPr>
              <w:t xml:space="preserve">(-) </w:t>
            </w:r>
            <w:r>
              <w:rPr>
                <w:rFonts w:ascii="Arial" w:hAnsi="Arial" w:cs="Arial"/>
                <w:sz w:val="18"/>
                <w:szCs w:val="18"/>
                <w:lang w:val="es-ES"/>
              </w:rPr>
              <w:t>2</w:t>
            </w:r>
            <w:r w:rsidRPr="0057720D">
              <w:rPr>
                <w:rFonts w:ascii="Arial" w:hAnsi="Arial" w:cs="Arial"/>
                <w:sz w:val="18"/>
                <w:szCs w:val="18"/>
                <w:lang w:val="es-ES"/>
              </w:rPr>
              <w:t>.</w:t>
            </w:r>
            <w:r>
              <w:rPr>
                <w:rFonts w:ascii="Arial" w:hAnsi="Arial" w:cs="Arial"/>
                <w:sz w:val="18"/>
                <w:szCs w:val="18"/>
                <w:lang w:val="es-ES"/>
              </w:rPr>
              <w:t>4</w:t>
            </w:r>
          </w:p>
        </w:tc>
        <w:tc>
          <w:tcPr>
            <w:tcW w:w="1146" w:type="dxa"/>
            <w:tcBorders>
              <w:top w:val="nil"/>
              <w:left w:val="double" w:sz="4" w:space="0" w:color="auto"/>
              <w:bottom w:val="double" w:sz="4" w:space="0" w:color="auto"/>
              <w:right w:val="nil"/>
            </w:tcBorders>
            <w:shd w:val="clear" w:color="auto" w:fill="auto"/>
            <w:vAlign w:val="center"/>
          </w:tcPr>
          <w:p w14:paraId="3F67AA6F" w14:textId="047BB1E3" w:rsidR="006D3C25" w:rsidRPr="0057720D" w:rsidRDefault="006D3C25" w:rsidP="006D3C25">
            <w:pPr>
              <w:spacing w:before="60" w:after="60"/>
              <w:ind w:left="-136" w:right="170"/>
              <w:jc w:val="right"/>
              <w:rPr>
                <w:rFonts w:ascii="Arial" w:hAnsi="Arial" w:cs="Arial"/>
                <w:sz w:val="18"/>
                <w:szCs w:val="18"/>
                <w:lang w:val="es-ES"/>
              </w:rPr>
            </w:pPr>
            <w:r w:rsidRPr="0057720D">
              <w:rPr>
                <w:rFonts w:ascii="Arial" w:hAnsi="Arial" w:cs="Arial"/>
                <w:sz w:val="18"/>
                <w:szCs w:val="18"/>
                <w:lang w:val="es-ES"/>
              </w:rPr>
              <w:t>1.</w:t>
            </w:r>
            <w:r w:rsidR="00514302">
              <w:rPr>
                <w:rFonts w:ascii="Arial" w:hAnsi="Arial" w:cs="Arial"/>
                <w:sz w:val="18"/>
                <w:szCs w:val="18"/>
                <w:lang w:val="es-ES"/>
              </w:rPr>
              <w:t>9</w:t>
            </w:r>
          </w:p>
        </w:tc>
        <w:tc>
          <w:tcPr>
            <w:tcW w:w="1146" w:type="dxa"/>
            <w:tcBorders>
              <w:top w:val="nil"/>
              <w:left w:val="nil"/>
              <w:bottom w:val="double" w:sz="4" w:space="0" w:color="auto"/>
              <w:right w:val="nil"/>
            </w:tcBorders>
            <w:vAlign w:val="center"/>
          </w:tcPr>
          <w:p w14:paraId="0BA2CA9E" w14:textId="6314834B" w:rsidR="006D3C25" w:rsidRPr="0057720D" w:rsidRDefault="00514302" w:rsidP="006D3C25">
            <w:pPr>
              <w:spacing w:before="60" w:after="60"/>
              <w:ind w:left="-136" w:right="170"/>
              <w:jc w:val="right"/>
              <w:rPr>
                <w:rFonts w:ascii="Arial" w:hAnsi="Arial" w:cs="Arial"/>
                <w:sz w:val="18"/>
                <w:szCs w:val="18"/>
                <w:lang w:val="es-ES"/>
              </w:rPr>
            </w:pPr>
            <w:r>
              <w:rPr>
                <w:rFonts w:ascii="Arial" w:hAnsi="Arial" w:cs="Arial"/>
                <w:sz w:val="18"/>
                <w:szCs w:val="18"/>
                <w:lang w:val="es-ES"/>
              </w:rPr>
              <w:t xml:space="preserve">(-) </w:t>
            </w:r>
            <w:r w:rsidR="006D3C25" w:rsidRPr="0057720D">
              <w:rPr>
                <w:rFonts w:ascii="Arial" w:hAnsi="Arial" w:cs="Arial"/>
                <w:sz w:val="18"/>
                <w:szCs w:val="18"/>
                <w:lang w:val="es-ES"/>
              </w:rPr>
              <w:t>1.</w:t>
            </w:r>
            <w:r>
              <w:rPr>
                <w:rFonts w:ascii="Arial" w:hAnsi="Arial" w:cs="Arial"/>
                <w:sz w:val="18"/>
                <w:szCs w:val="18"/>
                <w:lang w:val="es-ES"/>
              </w:rPr>
              <w:t>9</w:t>
            </w:r>
          </w:p>
        </w:tc>
        <w:tc>
          <w:tcPr>
            <w:tcW w:w="1146" w:type="dxa"/>
            <w:tcBorders>
              <w:top w:val="nil"/>
              <w:left w:val="nil"/>
              <w:bottom w:val="double" w:sz="4" w:space="0" w:color="auto"/>
              <w:right w:val="double" w:sz="4" w:space="0" w:color="auto"/>
            </w:tcBorders>
            <w:vAlign w:val="center"/>
          </w:tcPr>
          <w:p w14:paraId="097C8B88" w14:textId="730466CC" w:rsidR="006D3C25" w:rsidRPr="0057720D" w:rsidRDefault="00A56D38" w:rsidP="006D3C25">
            <w:pPr>
              <w:spacing w:before="60" w:after="60"/>
              <w:ind w:left="-136" w:right="170"/>
              <w:jc w:val="right"/>
              <w:rPr>
                <w:rFonts w:ascii="Arial" w:hAnsi="Arial" w:cs="Arial"/>
                <w:sz w:val="18"/>
                <w:szCs w:val="18"/>
                <w:lang w:val="es-ES"/>
              </w:rPr>
            </w:pPr>
            <w:r>
              <w:rPr>
                <w:rFonts w:ascii="Arial" w:hAnsi="Arial" w:cs="Arial"/>
                <w:sz w:val="18"/>
                <w:szCs w:val="18"/>
                <w:lang w:val="es-ES"/>
              </w:rPr>
              <w:t xml:space="preserve"> (-) 0.1</w:t>
            </w:r>
          </w:p>
        </w:tc>
      </w:tr>
    </w:tbl>
    <w:p w14:paraId="7B656AF2" w14:textId="7F61BA85" w:rsidR="001107A9" w:rsidRPr="00CF64DE" w:rsidRDefault="001107A9" w:rsidP="00CF64DE">
      <w:pPr>
        <w:pStyle w:val="Textoindependiente"/>
        <w:spacing w:before="0" w:line="180" w:lineRule="exact"/>
        <w:ind w:left="993" w:hanging="1134"/>
        <w:jc w:val="left"/>
        <w:rPr>
          <w:rFonts w:cs="Arial"/>
          <w:color w:val="000000" w:themeColor="text1"/>
          <w:sz w:val="16"/>
          <w:szCs w:val="16"/>
        </w:rPr>
      </w:pPr>
      <w:r w:rsidRPr="00CF64DE">
        <w:rPr>
          <w:rFonts w:cs="Arial"/>
          <w:color w:val="000000" w:themeColor="text1"/>
          <w:sz w:val="16"/>
          <w:szCs w:val="16"/>
        </w:rPr>
        <w:t xml:space="preserve">Nota: La suma de los parciales puede no coincidir con el total </w:t>
      </w:r>
      <w:r w:rsidR="000C65F4">
        <w:rPr>
          <w:rFonts w:cs="Arial"/>
          <w:color w:val="000000" w:themeColor="text1"/>
          <w:sz w:val="16"/>
          <w:szCs w:val="16"/>
        </w:rPr>
        <w:t xml:space="preserve">del ahorro bruto </w:t>
      </w:r>
      <w:r w:rsidRPr="00CF64DE">
        <w:rPr>
          <w:rFonts w:cs="Arial"/>
          <w:color w:val="000000" w:themeColor="text1"/>
          <w:sz w:val="16"/>
          <w:szCs w:val="16"/>
        </w:rPr>
        <w:t>debido al redondeo.</w:t>
      </w:r>
    </w:p>
    <w:p w14:paraId="4C66844F" w14:textId="77777777" w:rsidR="00CE4772" w:rsidRDefault="001107A9" w:rsidP="00CF64DE">
      <w:pPr>
        <w:pStyle w:val="p0"/>
        <w:keepNext/>
        <w:spacing w:before="0"/>
        <w:ind w:left="993" w:hanging="1134"/>
        <w:rPr>
          <w:rFonts w:cs="Arial"/>
          <w:color w:val="auto"/>
          <w:sz w:val="16"/>
          <w:szCs w:val="16"/>
        </w:rPr>
      </w:pPr>
      <w:r w:rsidRPr="00CF64DE">
        <w:rPr>
          <w:rFonts w:cs="Arial"/>
          <w:color w:val="auto"/>
          <w:sz w:val="16"/>
          <w:szCs w:val="16"/>
          <w:vertAlign w:val="superscript"/>
        </w:rPr>
        <w:t>P/</w:t>
      </w:r>
      <w:r w:rsidRPr="00CF64DE">
        <w:rPr>
          <w:rFonts w:cs="Arial"/>
          <w:sz w:val="16"/>
          <w:szCs w:val="16"/>
        </w:rPr>
        <w:t xml:space="preserve"> </w:t>
      </w:r>
      <w:r w:rsidRPr="00CF64DE">
        <w:rPr>
          <w:rFonts w:cs="Arial"/>
          <w:color w:val="auto"/>
          <w:sz w:val="16"/>
          <w:szCs w:val="16"/>
        </w:rPr>
        <w:t>Cifras preliminares.</w:t>
      </w:r>
    </w:p>
    <w:p w14:paraId="21EBD5ED" w14:textId="6F13944F" w:rsidR="001107A9" w:rsidRPr="00CF64DE" w:rsidRDefault="00CE4772" w:rsidP="00CF64DE">
      <w:pPr>
        <w:pStyle w:val="p0"/>
        <w:keepNext/>
        <w:spacing w:before="0"/>
        <w:ind w:left="993" w:hanging="1134"/>
        <w:rPr>
          <w:rFonts w:cs="Arial"/>
          <w:color w:val="auto"/>
          <w:sz w:val="16"/>
          <w:szCs w:val="16"/>
        </w:rPr>
      </w:pPr>
      <w:r w:rsidRPr="00CE4772">
        <w:rPr>
          <w:rFonts w:cs="Arial"/>
          <w:color w:val="auto"/>
          <w:sz w:val="16"/>
          <w:szCs w:val="16"/>
          <w:vertAlign w:val="superscript"/>
        </w:rPr>
        <w:t>R/</w:t>
      </w:r>
      <w:r>
        <w:rPr>
          <w:rFonts w:cs="Arial"/>
          <w:color w:val="auto"/>
          <w:sz w:val="16"/>
          <w:szCs w:val="16"/>
        </w:rPr>
        <w:t xml:space="preserve"> Cifras revisadas.</w:t>
      </w:r>
    </w:p>
    <w:p w14:paraId="09D9478C" w14:textId="6F7AAC0D" w:rsidR="00215B14" w:rsidRDefault="001107A9" w:rsidP="00CF64DE">
      <w:pPr>
        <w:pStyle w:val="p0"/>
        <w:keepNext/>
        <w:spacing w:before="0"/>
        <w:ind w:left="993" w:hanging="1134"/>
        <w:rPr>
          <w:rFonts w:cs="Arial"/>
          <w:color w:val="auto"/>
          <w:sz w:val="16"/>
          <w:szCs w:val="16"/>
        </w:rPr>
      </w:pPr>
      <w:r w:rsidRPr="00CF64DE">
        <w:rPr>
          <w:rFonts w:cs="Arial"/>
          <w:color w:val="auto"/>
          <w:sz w:val="16"/>
          <w:szCs w:val="16"/>
        </w:rPr>
        <w:t>Fuente: INEGI.</w:t>
      </w:r>
    </w:p>
    <w:p w14:paraId="0396DFCB" w14:textId="77BE0DE8" w:rsidR="00215435" w:rsidRPr="00696FDA" w:rsidRDefault="00215435" w:rsidP="00D7012A">
      <w:pPr>
        <w:pStyle w:val="p0"/>
        <w:rPr>
          <w:b/>
          <w:i/>
          <w:color w:val="auto"/>
        </w:rPr>
      </w:pPr>
      <w:r w:rsidRPr="00696FDA">
        <w:rPr>
          <w:b/>
          <w:i/>
          <w:color w:val="auto"/>
        </w:rPr>
        <w:t>Nota al usuario</w:t>
      </w:r>
    </w:p>
    <w:p w14:paraId="17EDA0E6" w14:textId="6589C42D" w:rsidR="00A56D38" w:rsidRPr="00286E80" w:rsidRDefault="00A56D38" w:rsidP="00275AA1">
      <w:pPr>
        <w:spacing w:before="120"/>
        <w:jc w:val="both"/>
        <w:rPr>
          <w:rFonts w:ascii="Arial" w:hAnsi="Arial" w:cs="Arial"/>
          <w:sz w:val="24"/>
          <w:szCs w:val="24"/>
        </w:rPr>
      </w:pPr>
      <w:bookmarkStart w:id="2" w:name="_Hlk72483532"/>
      <w:r w:rsidRPr="00286E80">
        <w:rPr>
          <w:rFonts w:ascii="Arial" w:hAnsi="Arial" w:cs="Arial"/>
          <w:sz w:val="24"/>
          <w:szCs w:val="24"/>
        </w:rPr>
        <w:t xml:space="preserve">Con base en los </w:t>
      </w:r>
      <w:r>
        <w:rPr>
          <w:rFonts w:ascii="Arial" w:hAnsi="Arial" w:cs="Arial"/>
          <w:sz w:val="24"/>
          <w:szCs w:val="24"/>
        </w:rPr>
        <w:t>“</w:t>
      </w:r>
      <w:r w:rsidRPr="00286E80">
        <w:rPr>
          <w:rFonts w:ascii="Arial" w:hAnsi="Arial" w:cs="Arial"/>
          <w:sz w:val="24"/>
          <w:szCs w:val="24"/>
        </w:rPr>
        <w:t>Lineamientos de cambios a la información divulgada en las publicaciones estadísticas y geográficas del INEGI</w:t>
      </w:r>
      <w:r>
        <w:rPr>
          <w:rFonts w:ascii="Arial" w:hAnsi="Arial" w:cs="Arial"/>
          <w:sz w:val="24"/>
          <w:szCs w:val="24"/>
        </w:rPr>
        <w:t>”</w:t>
      </w:r>
      <w:r w:rsidRPr="00286E80">
        <w:rPr>
          <w:rFonts w:ascii="Arial" w:hAnsi="Arial" w:cs="Arial"/>
          <w:sz w:val="24"/>
          <w:szCs w:val="24"/>
        </w:rPr>
        <w:t xml:space="preserve"> que complementan las </w:t>
      </w:r>
      <w:r>
        <w:rPr>
          <w:rFonts w:ascii="Arial" w:hAnsi="Arial" w:cs="Arial"/>
          <w:sz w:val="24"/>
          <w:szCs w:val="24"/>
        </w:rPr>
        <w:t>“</w:t>
      </w:r>
      <w:r w:rsidRPr="00286E80">
        <w:rPr>
          <w:rFonts w:ascii="Arial" w:hAnsi="Arial" w:cs="Arial"/>
          <w:sz w:val="24"/>
          <w:szCs w:val="24"/>
        </w:rPr>
        <w:t>Normas Especiales para la Divulgación de Datos</w:t>
      </w:r>
      <w:r>
        <w:rPr>
          <w:rFonts w:ascii="Arial" w:hAnsi="Arial" w:cs="Arial"/>
          <w:sz w:val="24"/>
          <w:szCs w:val="24"/>
        </w:rPr>
        <w:t>”</w:t>
      </w:r>
      <w:r w:rsidRPr="00286E80">
        <w:rPr>
          <w:rFonts w:ascii="Arial" w:hAnsi="Arial" w:cs="Arial"/>
          <w:sz w:val="24"/>
          <w:szCs w:val="24"/>
        </w:rPr>
        <w:t xml:space="preserve"> del FMI, los resultados de la Oferta y Demanda Global Trimestral (ODGT) y del Indicador Trimestral del Ahorro Bruto (ITAB) incorporan la última información estadística disponible en el año 2021. Como resultado de incorporar dicha información, se identifican diferencias en los niveles de los valores y variaciones que fueron oportunamente publicad</w:t>
      </w:r>
      <w:r>
        <w:rPr>
          <w:rFonts w:ascii="Arial" w:hAnsi="Arial" w:cs="Arial"/>
          <w:sz w:val="24"/>
          <w:szCs w:val="24"/>
        </w:rPr>
        <w:t>o</w:t>
      </w:r>
      <w:r w:rsidRPr="00286E80">
        <w:rPr>
          <w:rFonts w:ascii="Arial" w:hAnsi="Arial" w:cs="Arial"/>
          <w:sz w:val="24"/>
          <w:szCs w:val="24"/>
        </w:rPr>
        <w:t>s.</w:t>
      </w:r>
    </w:p>
    <w:bookmarkEnd w:id="2"/>
    <w:p w14:paraId="09204D97" w14:textId="3F6A7720" w:rsidR="00A56D38" w:rsidRDefault="00A56D38" w:rsidP="00D7012A">
      <w:pPr>
        <w:pStyle w:val="p0"/>
        <w:keepLines w:val="0"/>
        <w:spacing w:before="120"/>
        <w:rPr>
          <w:color w:val="auto"/>
        </w:rPr>
      </w:pPr>
      <w:r w:rsidRPr="00286E80">
        <w:rPr>
          <w:color w:val="auto"/>
        </w:rPr>
        <w:t>La Tasa de No Respuesta en la captación de las Encuestas Económicas que se consideraron para la integración de la ODGT y del ITAB como son: la Encuesta Nacional de Empresas Constructoras (ENEC)</w:t>
      </w:r>
      <w:r w:rsidR="00416DD7">
        <w:rPr>
          <w:color w:val="auto"/>
        </w:rPr>
        <w:t xml:space="preserve">, </w:t>
      </w:r>
      <w:r w:rsidRPr="00286E80">
        <w:rPr>
          <w:color w:val="auto"/>
        </w:rPr>
        <w:t xml:space="preserve">la Encuesta Mensual de la Industria Manufacturera (EMIM), Encuesta Mensual sobre Empresas Comerciales (EMEC) y Encuesta Mensual de Servicios (EMS) en el segundo trimestre de 2021, registraron porcentajes apropiados de acuerdo con el diseño estadístico de las muestras; así como la captación de la Estadística de la Industria </w:t>
      </w:r>
      <w:proofErr w:type="spellStart"/>
      <w:r w:rsidRPr="00286E80">
        <w:rPr>
          <w:color w:val="auto"/>
        </w:rPr>
        <w:t>Minerometalúrgica</w:t>
      </w:r>
      <w:proofErr w:type="spellEnd"/>
      <w:r w:rsidR="00D7012A">
        <w:rPr>
          <w:color w:val="auto"/>
        </w:rPr>
        <w:t xml:space="preserve"> (EIMM)</w:t>
      </w:r>
      <w:r w:rsidRPr="00286E80">
        <w:rPr>
          <w:color w:val="auto"/>
        </w:rPr>
        <w:t xml:space="preserve">, los </w:t>
      </w:r>
      <w:r w:rsidR="00D7012A">
        <w:rPr>
          <w:color w:val="auto"/>
        </w:rPr>
        <w:t>r</w:t>
      </w:r>
      <w:r w:rsidRPr="00286E80">
        <w:rPr>
          <w:color w:val="auto"/>
        </w:rPr>
        <w:t xml:space="preserve">egistros administrativos y los datos primarios que </w:t>
      </w:r>
      <w:r w:rsidRPr="00286E80">
        <w:rPr>
          <w:color w:val="auto"/>
        </w:rPr>
        <w:lastRenderedPageBreak/>
        <w:t>divulga el Instituto, lo que permitió la generación de estadísticas con niveles altos de cobertura y precisión estadística</w:t>
      </w:r>
      <w:r>
        <w:rPr>
          <w:color w:val="auto"/>
        </w:rPr>
        <w:t>.</w:t>
      </w:r>
    </w:p>
    <w:p w14:paraId="25EE54B2" w14:textId="47024231" w:rsidR="00A56D38" w:rsidRPr="00286E80" w:rsidRDefault="00A56D38" w:rsidP="00A56D38">
      <w:pPr>
        <w:pStyle w:val="Default"/>
        <w:spacing w:before="240"/>
        <w:jc w:val="both"/>
        <w:rPr>
          <w:color w:val="auto"/>
        </w:rPr>
      </w:pPr>
      <w:r w:rsidRPr="00286E80">
        <w:rPr>
          <w:color w:val="auto"/>
        </w:rPr>
        <w:t>Para las actividades agropecuarias, de servicios financieros</w:t>
      </w:r>
      <w:r>
        <w:rPr>
          <w:color w:val="auto"/>
        </w:rPr>
        <w:t>,</w:t>
      </w:r>
      <w:r w:rsidRPr="00286E80">
        <w:rPr>
          <w:color w:val="auto"/>
        </w:rPr>
        <w:t xml:space="preserve"> del gobierno </w:t>
      </w:r>
      <w:r>
        <w:rPr>
          <w:color w:val="auto"/>
        </w:rPr>
        <w:t xml:space="preserve">y del sector externo </w:t>
      </w:r>
      <w:r w:rsidRPr="00286E80">
        <w:rPr>
          <w:color w:val="auto"/>
        </w:rPr>
        <w:t>se complementa</w:t>
      </w:r>
      <w:r w:rsidR="00D7012A">
        <w:rPr>
          <w:color w:val="auto"/>
        </w:rPr>
        <w:t>ro</w:t>
      </w:r>
      <w:r w:rsidRPr="00286E80">
        <w:rPr>
          <w:color w:val="auto"/>
        </w:rPr>
        <w:t>n con otros registros administrativos</w:t>
      </w:r>
      <w:r>
        <w:rPr>
          <w:color w:val="auto"/>
        </w:rPr>
        <w:t xml:space="preserve"> </w:t>
      </w:r>
      <w:r w:rsidRPr="00286E80">
        <w:rPr>
          <w:color w:val="auto"/>
        </w:rPr>
        <w:t>provenientes de las Unidades del Estado</w:t>
      </w:r>
      <w:r>
        <w:rPr>
          <w:color w:val="auto"/>
        </w:rPr>
        <w:t>, los qu</w:t>
      </w:r>
      <w:r w:rsidRPr="00286E80">
        <w:rPr>
          <w:color w:val="auto"/>
        </w:rPr>
        <w:t>e se recibieron oportunamente vía correo electrónico y captación por Internet para su integración en la ODGT y en el ITAB en el trimestre de referencia.</w:t>
      </w:r>
    </w:p>
    <w:p w14:paraId="4A48449D" w14:textId="12D1791F" w:rsidR="00215435" w:rsidRDefault="00215435" w:rsidP="00921772">
      <w:pPr>
        <w:pStyle w:val="p0"/>
        <w:spacing w:before="120"/>
        <w:rPr>
          <w:color w:val="auto"/>
        </w:rPr>
      </w:pPr>
      <w:r w:rsidRPr="00696FDA">
        <w:rPr>
          <w:color w:val="auto"/>
        </w:rPr>
        <w:t>Asimismo,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DA3BDB">
        <w:rPr>
          <w:i/>
          <w:iCs/>
          <w:color w:val="auto"/>
        </w:rPr>
        <w:t>outliers</w:t>
      </w:r>
      <w:proofErr w:type="spellEnd"/>
      <w:r w:rsidRPr="00696FDA">
        <w:rPr>
          <w:color w:val="auto"/>
        </w:rPr>
        <w:t>) en los modelos de ajuste estacional para los meses de la contingencia. Lo anterior con el objetivo de que los grandes cambios en las cifras originales no influyan de manera desproporcionada en los factores estacionales utilizados.</w:t>
      </w:r>
    </w:p>
    <w:p w14:paraId="323F91ED" w14:textId="5764736D" w:rsidR="002D42A9" w:rsidRPr="005D2DE3" w:rsidRDefault="00D1653B" w:rsidP="005D2DE3">
      <w:pPr>
        <w:pStyle w:val="p0"/>
        <w:spacing w:before="180"/>
        <w:rPr>
          <w:b/>
          <w:i/>
          <w:color w:val="auto"/>
        </w:rPr>
      </w:pPr>
      <w:r w:rsidRPr="005D2DE3">
        <w:rPr>
          <w:b/>
          <w:i/>
          <w:color w:val="auto"/>
        </w:rPr>
        <w:t>Nota metodológica</w:t>
      </w:r>
    </w:p>
    <w:p w14:paraId="59234D89" w14:textId="7BF31D2C" w:rsidR="00915112" w:rsidRPr="00D82B83" w:rsidRDefault="00915112" w:rsidP="0077005E">
      <w:pPr>
        <w:pStyle w:val="p0"/>
        <w:rPr>
          <w:b/>
          <w:bCs/>
          <w:i/>
          <w:iCs/>
          <w:color w:val="auto"/>
        </w:rPr>
      </w:pPr>
      <w:r w:rsidRPr="00D82B83">
        <w:rPr>
          <w:b/>
          <w:bCs/>
          <w:i/>
          <w:iCs/>
          <w:color w:val="auto"/>
        </w:rPr>
        <w:t xml:space="preserve">Oferta y Demanda Global de Bienes y Servicios </w:t>
      </w:r>
    </w:p>
    <w:p w14:paraId="6A0AEE8E" w14:textId="5454998D" w:rsidR="005D2DE3" w:rsidRDefault="0077005E" w:rsidP="00701B2D">
      <w:pPr>
        <w:pStyle w:val="p0"/>
        <w:spacing w:before="120"/>
        <w:rPr>
          <w:color w:val="auto"/>
        </w:rPr>
      </w:pPr>
      <w:r>
        <w:rPr>
          <w:color w:val="auto"/>
        </w:rPr>
        <w:t xml:space="preserve">La </w:t>
      </w:r>
      <w:r w:rsidR="00701B2D" w:rsidRPr="00701B2D">
        <w:rPr>
          <w:color w:val="auto"/>
        </w:rPr>
        <w:t>cobertura geográfica</w:t>
      </w:r>
      <w:r>
        <w:rPr>
          <w:color w:val="auto"/>
        </w:rPr>
        <w:t xml:space="preserve"> de los resultados de la </w:t>
      </w:r>
      <w:r w:rsidRPr="0077005E">
        <w:rPr>
          <w:color w:val="auto"/>
        </w:rPr>
        <w:t>Oferta y Demanda Global</w:t>
      </w:r>
      <w:r w:rsidR="00701B2D" w:rsidRPr="00701B2D">
        <w:rPr>
          <w:color w:val="auto"/>
        </w:rPr>
        <w:t xml:space="preserve"> </w:t>
      </w:r>
      <w:r>
        <w:rPr>
          <w:color w:val="auto"/>
        </w:rPr>
        <w:t xml:space="preserve">Trimestral expresada </w:t>
      </w:r>
      <w:r w:rsidR="0054119B">
        <w:rPr>
          <w:color w:val="auto"/>
        </w:rPr>
        <w:t>en</w:t>
      </w:r>
      <w:r>
        <w:rPr>
          <w:color w:val="auto"/>
        </w:rPr>
        <w:t xml:space="preserve"> valores </w:t>
      </w:r>
      <w:r w:rsidR="006C4BA7">
        <w:rPr>
          <w:color w:val="auto"/>
        </w:rPr>
        <w:t xml:space="preserve">a precios </w:t>
      </w:r>
      <w:r>
        <w:rPr>
          <w:color w:val="auto"/>
        </w:rPr>
        <w:t xml:space="preserve">corrientes y constantes </w:t>
      </w:r>
      <w:r w:rsidR="00701B2D" w:rsidRPr="00701B2D">
        <w:rPr>
          <w:color w:val="auto"/>
        </w:rPr>
        <w:t xml:space="preserve">es nacional y alcanza una representación del 94.6% de la oferta y demanda global en el año base 2013. Presenta como componentes por el lado de la oferta </w:t>
      </w:r>
      <w:r>
        <w:rPr>
          <w:color w:val="auto"/>
        </w:rPr>
        <w:t>a</w:t>
      </w:r>
      <w:r w:rsidR="00701B2D" w:rsidRPr="00701B2D">
        <w:rPr>
          <w:color w:val="auto"/>
        </w:rPr>
        <w:t xml:space="preserve">l PIB y las importaciones de bienes y servicios, </w:t>
      </w:r>
      <w:r>
        <w:rPr>
          <w:color w:val="auto"/>
        </w:rPr>
        <w:t xml:space="preserve">mientras que </w:t>
      </w:r>
      <w:r w:rsidR="00701B2D" w:rsidRPr="00701B2D">
        <w:rPr>
          <w:color w:val="auto"/>
        </w:rPr>
        <w:t xml:space="preserve">por </w:t>
      </w:r>
      <w:r>
        <w:rPr>
          <w:color w:val="auto"/>
        </w:rPr>
        <w:t xml:space="preserve">el lado de </w:t>
      </w:r>
      <w:r w:rsidR="00701B2D" w:rsidRPr="00701B2D">
        <w:rPr>
          <w:color w:val="auto"/>
        </w:rPr>
        <w:t>la demanda global: el consumo privado, el consumo de gobierno, la formación bruta de capital, la variación de existencias, las exportaciones de bienes y servicios y discrepancia estadística.</w:t>
      </w:r>
    </w:p>
    <w:p w14:paraId="70D07E22" w14:textId="691ACE94" w:rsidR="001F741F" w:rsidRPr="001F741F" w:rsidRDefault="001F741F" w:rsidP="001F741F">
      <w:pPr>
        <w:spacing w:before="240"/>
        <w:jc w:val="both"/>
        <w:rPr>
          <w:rFonts w:ascii="Arial" w:hAnsi="Arial" w:cs="Arial"/>
          <w:sz w:val="24"/>
          <w:szCs w:val="24"/>
        </w:rPr>
      </w:pPr>
      <w:r w:rsidRPr="001F741F">
        <w:rPr>
          <w:rFonts w:ascii="Arial" w:hAnsi="Arial" w:cs="Arial"/>
          <w:sz w:val="24"/>
          <w:szCs w:val="24"/>
        </w:rPr>
        <w:t xml:space="preserve">Para la elaboración de las cifras originales, se siguen los conceptos, criterios metodológicos, clasificadores y datos fuente que se emplean en los cálculos anuales de las Cuentas de Bienes y Servicios del SCNM base 2013. Asimismo, </w:t>
      </w:r>
      <w:r w:rsidR="0077005E">
        <w:rPr>
          <w:rFonts w:ascii="Arial" w:hAnsi="Arial" w:cs="Arial"/>
          <w:sz w:val="24"/>
          <w:szCs w:val="24"/>
        </w:rPr>
        <w:t xml:space="preserve">se </w:t>
      </w:r>
      <w:r w:rsidRPr="001F741F">
        <w:rPr>
          <w:rFonts w:ascii="Arial" w:hAnsi="Arial" w:cs="Arial"/>
          <w:sz w:val="24"/>
          <w:szCs w:val="24"/>
        </w:rPr>
        <w:t>incorpora</w:t>
      </w:r>
      <w:r w:rsidR="0077005E">
        <w:rPr>
          <w:rFonts w:ascii="Arial" w:hAnsi="Arial" w:cs="Arial"/>
          <w:sz w:val="24"/>
          <w:szCs w:val="24"/>
        </w:rPr>
        <w:t>n</w:t>
      </w:r>
      <w:r w:rsidRPr="001F741F">
        <w:rPr>
          <w:rFonts w:ascii="Arial" w:hAnsi="Arial" w:cs="Arial"/>
          <w:sz w:val="24"/>
          <w:szCs w:val="24"/>
        </w:rPr>
        <w:t xml:space="preserve"> los lineamientos internacionales sobre contabilidad nacional, que han establecido las Naciones Unidas (NU), la Organización para la Cooperación y Desarrollo Económicos (OCDE), el Banco Mundial (BM), el Fondo Monetario Internacional (FMI) y la Comisión Europea</w:t>
      </w:r>
      <w:r w:rsidR="0077005E">
        <w:rPr>
          <w:rFonts w:ascii="Arial" w:hAnsi="Arial" w:cs="Arial"/>
          <w:sz w:val="24"/>
          <w:szCs w:val="24"/>
        </w:rPr>
        <w:t>. D</w:t>
      </w:r>
      <w:r w:rsidRPr="001F741F">
        <w:rPr>
          <w:rFonts w:ascii="Arial" w:hAnsi="Arial" w:cs="Arial"/>
          <w:sz w:val="24"/>
          <w:szCs w:val="24"/>
        </w:rPr>
        <w:t xml:space="preserve">ichas recomendaciones se encuentran difundidas en: Sistema de Cuentas Nacionales 2008 (SCN2008) y </w:t>
      </w:r>
      <w:proofErr w:type="spellStart"/>
      <w:r w:rsidRPr="00C2557F">
        <w:rPr>
          <w:rFonts w:ascii="Arial" w:hAnsi="Arial" w:cs="Arial"/>
          <w:i/>
          <w:iCs/>
          <w:sz w:val="24"/>
          <w:szCs w:val="24"/>
        </w:rPr>
        <w:t>Quarterly</w:t>
      </w:r>
      <w:proofErr w:type="spellEnd"/>
      <w:r w:rsidRPr="00C2557F">
        <w:rPr>
          <w:rFonts w:ascii="Arial" w:hAnsi="Arial" w:cs="Arial"/>
          <w:i/>
          <w:iCs/>
          <w:sz w:val="24"/>
          <w:szCs w:val="24"/>
        </w:rPr>
        <w:t xml:space="preserve"> </w:t>
      </w:r>
      <w:proofErr w:type="spellStart"/>
      <w:r w:rsidRPr="00C2557F">
        <w:rPr>
          <w:rFonts w:ascii="Arial" w:hAnsi="Arial" w:cs="Arial"/>
          <w:i/>
          <w:iCs/>
          <w:sz w:val="24"/>
          <w:szCs w:val="24"/>
        </w:rPr>
        <w:t>National</w:t>
      </w:r>
      <w:proofErr w:type="spellEnd"/>
      <w:r w:rsidRPr="00C2557F">
        <w:rPr>
          <w:rFonts w:ascii="Arial" w:hAnsi="Arial" w:cs="Arial"/>
          <w:i/>
          <w:iCs/>
          <w:sz w:val="24"/>
          <w:szCs w:val="24"/>
        </w:rPr>
        <w:t xml:space="preserve"> </w:t>
      </w:r>
      <w:proofErr w:type="spellStart"/>
      <w:r w:rsidRPr="00C2557F">
        <w:rPr>
          <w:rFonts w:ascii="Arial" w:hAnsi="Arial" w:cs="Arial"/>
          <w:i/>
          <w:iCs/>
          <w:sz w:val="24"/>
          <w:szCs w:val="24"/>
        </w:rPr>
        <w:t>Accounts</w:t>
      </w:r>
      <w:proofErr w:type="spellEnd"/>
      <w:r w:rsidRPr="001F741F">
        <w:rPr>
          <w:rFonts w:ascii="Arial" w:hAnsi="Arial" w:cs="Arial"/>
          <w:sz w:val="24"/>
          <w:szCs w:val="24"/>
        </w:rPr>
        <w:t xml:space="preserve"> </w:t>
      </w:r>
      <w:r w:rsidRPr="00DC30BD">
        <w:rPr>
          <w:rFonts w:ascii="Arial" w:hAnsi="Arial" w:cs="Arial"/>
          <w:i/>
          <w:iCs/>
          <w:sz w:val="24"/>
          <w:szCs w:val="24"/>
        </w:rPr>
        <w:t xml:space="preserve">Manual-2017 </w:t>
      </w:r>
      <w:proofErr w:type="spellStart"/>
      <w:r w:rsidRPr="00DC30BD">
        <w:rPr>
          <w:rFonts w:ascii="Arial" w:hAnsi="Arial" w:cs="Arial"/>
          <w:i/>
          <w:iCs/>
          <w:sz w:val="24"/>
          <w:szCs w:val="24"/>
        </w:rPr>
        <w:t>Edition</w:t>
      </w:r>
      <w:proofErr w:type="spellEnd"/>
      <w:r w:rsidRPr="001F741F">
        <w:rPr>
          <w:rFonts w:ascii="Arial" w:hAnsi="Arial" w:cs="Arial"/>
          <w:sz w:val="24"/>
          <w:szCs w:val="24"/>
        </w:rPr>
        <w:t xml:space="preserve"> (QNA 2017) editado por el Fondo Monetario Internacional y </w:t>
      </w:r>
      <w:proofErr w:type="spellStart"/>
      <w:r w:rsidRPr="00C2557F">
        <w:rPr>
          <w:rFonts w:ascii="Arial" w:hAnsi="Arial" w:cs="Arial"/>
          <w:i/>
          <w:iCs/>
          <w:sz w:val="24"/>
          <w:szCs w:val="24"/>
        </w:rPr>
        <w:t>Handbook</w:t>
      </w:r>
      <w:proofErr w:type="spellEnd"/>
      <w:r w:rsidRPr="00C2557F">
        <w:rPr>
          <w:rFonts w:ascii="Arial" w:hAnsi="Arial" w:cs="Arial"/>
          <w:i/>
          <w:iCs/>
          <w:sz w:val="24"/>
          <w:szCs w:val="24"/>
        </w:rPr>
        <w:t xml:space="preserve"> </w:t>
      </w:r>
      <w:proofErr w:type="spellStart"/>
      <w:r w:rsidRPr="00C2557F">
        <w:rPr>
          <w:rFonts w:ascii="Arial" w:hAnsi="Arial" w:cs="Arial"/>
          <w:i/>
          <w:iCs/>
          <w:sz w:val="24"/>
          <w:szCs w:val="24"/>
        </w:rPr>
        <w:t>on</w:t>
      </w:r>
      <w:proofErr w:type="spellEnd"/>
      <w:r w:rsidRPr="00C2557F">
        <w:rPr>
          <w:rFonts w:ascii="Arial" w:hAnsi="Arial" w:cs="Arial"/>
          <w:i/>
          <w:iCs/>
          <w:sz w:val="24"/>
          <w:szCs w:val="24"/>
        </w:rPr>
        <w:t xml:space="preserve"> </w:t>
      </w:r>
      <w:proofErr w:type="spellStart"/>
      <w:r w:rsidRPr="00C2557F">
        <w:rPr>
          <w:rFonts w:ascii="Arial" w:hAnsi="Arial" w:cs="Arial"/>
          <w:i/>
          <w:iCs/>
          <w:sz w:val="24"/>
          <w:szCs w:val="24"/>
        </w:rPr>
        <w:t>prices</w:t>
      </w:r>
      <w:proofErr w:type="spellEnd"/>
      <w:r w:rsidRPr="00C2557F">
        <w:rPr>
          <w:rFonts w:ascii="Arial" w:hAnsi="Arial" w:cs="Arial"/>
          <w:i/>
          <w:iCs/>
          <w:sz w:val="24"/>
          <w:szCs w:val="24"/>
        </w:rPr>
        <w:t xml:space="preserve"> and </w:t>
      </w:r>
      <w:proofErr w:type="spellStart"/>
      <w:r w:rsidRPr="00C2557F">
        <w:rPr>
          <w:rFonts w:ascii="Arial" w:hAnsi="Arial" w:cs="Arial"/>
          <w:i/>
          <w:iCs/>
          <w:sz w:val="24"/>
          <w:szCs w:val="24"/>
        </w:rPr>
        <w:t>volumes</w:t>
      </w:r>
      <w:proofErr w:type="spellEnd"/>
      <w:r w:rsidRPr="00C2557F">
        <w:rPr>
          <w:rFonts w:ascii="Arial" w:hAnsi="Arial" w:cs="Arial"/>
          <w:i/>
          <w:iCs/>
          <w:sz w:val="24"/>
          <w:szCs w:val="24"/>
        </w:rPr>
        <w:t xml:space="preserve"> </w:t>
      </w:r>
      <w:proofErr w:type="spellStart"/>
      <w:r w:rsidRPr="00C2557F">
        <w:rPr>
          <w:rFonts w:ascii="Arial" w:hAnsi="Arial" w:cs="Arial"/>
          <w:i/>
          <w:iCs/>
          <w:sz w:val="24"/>
          <w:szCs w:val="24"/>
        </w:rPr>
        <w:t>measures</w:t>
      </w:r>
      <w:proofErr w:type="spellEnd"/>
      <w:r w:rsidRPr="00C2557F">
        <w:rPr>
          <w:rFonts w:ascii="Arial" w:hAnsi="Arial" w:cs="Arial"/>
          <w:i/>
          <w:iCs/>
          <w:sz w:val="24"/>
          <w:szCs w:val="24"/>
        </w:rPr>
        <w:t xml:space="preserve"> in </w:t>
      </w:r>
      <w:proofErr w:type="spellStart"/>
      <w:r w:rsidRPr="00C2557F">
        <w:rPr>
          <w:rFonts w:ascii="Arial" w:hAnsi="Arial" w:cs="Arial"/>
          <w:i/>
          <w:iCs/>
          <w:sz w:val="24"/>
          <w:szCs w:val="24"/>
        </w:rPr>
        <w:t>national</w:t>
      </w:r>
      <w:proofErr w:type="spellEnd"/>
      <w:r w:rsidRPr="00C2557F">
        <w:rPr>
          <w:rFonts w:ascii="Arial" w:hAnsi="Arial" w:cs="Arial"/>
          <w:i/>
          <w:iCs/>
          <w:sz w:val="24"/>
          <w:szCs w:val="24"/>
        </w:rPr>
        <w:t xml:space="preserve"> </w:t>
      </w:r>
      <w:proofErr w:type="spellStart"/>
      <w:r w:rsidRPr="00C2557F">
        <w:rPr>
          <w:rFonts w:ascii="Arial" w:hAnsi="Arial" w:cs="Arial"/>
          <w:i/>
          <w:iCs/>
          <w:sz w:val="24"/>
          <w:szCs w:val="24"/>
        </w:rPr>
        <w:t>accounts</w:t>
      </w:r>
      <w:proofErr w:type="spellEnd"/>
      <w:r w:rsidRPr="001F741F">
        <w:rPr>
          <w:rFonts w:ascii="Arial" w:hAnsi="Arial" w:cs="Arial"/>
          <w:sz w:val="24"/>
          <w:szCs w:val="24"/>
        </w:rPr>
        <w:t xml:space="preserve"> 2016, publicado por Eurostat.</w:t>
      </w:r>
    </w:p>
    <w:p w14:paraId="32CD4BD0" w14:textId="77777777" w:rsidR="00275AA1" w:rsidRDefault="00275AA1">
      <w:pPr>
        <w:widowControl/>
        <w:rPr>
          <w:rFonts w:ascii="Arial" w:hAnsi="Arial" w:cs="Arial"/>
          <w:sz w:val="24"/>
          <w:szCs w:val="24"/>
        </w:rPr>
      </w:pPr>
      <w:bookmarkStart w:id="3" w:name="_Hlk69381383"/>
      <w:r>
        <w:rPr>
          <w:rFonts w:ascii="Arial" w:hAnsi="Arial" w:cs="Arial"/>
          <w:sz w:val="24"/>
          <w:szCs w:val="24"/>
        </w:rPr>
        <w:br w:type="page"/>
      </w:r>
    </w:p>
    <w:p w14:paraId="69CBE795" w14:textId="77777777" w:rsidR="00275AA1" w:rsidRDefault="00275AA1" w:rsidP="00D7012A">
      <w:pPr>
        <w:spacing w:before="360"/>
        <w:jc w:val="both"/>
        <w:rPr>
          <w:rFonts w:ascii="Arial" w:hAnsi="Arial" w:cs="Arial"/>
          <w:sz w:val="24"/>
          <w:szCs w:val="24"/>
        </w:rPr>
      </w:pPr>
    </w:p>
    <w:p w14:paraId="0983C84E" w14:textId="08E239B1" w:rsidR="001F741F" w:rsidRPr="001F741F" w:rsidRDefault="0077005E" w:rsidP="00275AA1">
      <w:pPr>
        <w:spacing w:before="120"/>
        <w:jc w:val="both"/>
        <w:rPr>
          <w:rFonts w:ascii="Arial" w:hAnsi="Arial" w:cs="Arial"/>
          <w:color w:val="000000"/>
          <w:sz w:val="24"/>
          <w:szCs w:val="24"/>
        </w:rPr>
      </w:pPr>
      <w:r>
        <w:rPr>
          <w:rFonts w:ascii="Arial" w:hAnsi="Arial" w:cs="Arial"/>
          <w:sz w:val="24"/>
          <w:szCs w:val="24"/>
        </w:rPr>
        <w:t>Como se mencionó anteriormente, l</w:t>
      </w:r>
      <w:r w:rsidR="001F741F" w:rsidRPr="001F741F">
        <w:rPr>
          <w:rFonts w:ascii="Arial" w:hAnsi="Arial" w:cs="Arial"/>
          <w:sz w:val="24"/>
          <w:szCs w:val="24"/>
        </w:rPr>
        <w:t>a Oferta incluye al Producto Interno Bruto (</w:t>
      </w:r>
      <w:r>
        <w:rPr>
          <w:rFonts w:ascii="Arial" w:hAnsi="Arial" w:cs="Arial"/>
          <w:sz w:val="24"/>
          <w:szCs w:val="24"/>
        </w:rPr>
        <w:t>cuyo</w:t>
      </w:r>
      <w:r w:rsidR="001F741F" w:rsidRPr="001F741F">
        <w:rPr>
          <w:rFonts w:ascii="Arial" w:hAnsi="Arial" w:cs="Arial"/>
          <w:sz w:val="24"/>
          <w:szCs w:val="24"/>
        </w:rPr>
        <w:t xml:space="preserve"> método de cálculo está incluido en </w:t>
      </w:r>
      <w:r>
        <w:rPr>
          <w:rFonts w:ascii="Arial" w:hAnsi="Arial" w:cs="Arial"/>
          <w:sz w:val="24"/>
          <w:szCs w:val="24"/>
        </w:rPr>
        <w:t>su</w:t>
      </w:r>
      <w:r w:rsidR="001F741F" w:rsidRPr="001F741F">
        <w:rPr>
          <w:rFonts w:ascii="Arial" w:hAnsi="Arial" w:cs="Arial"/>
          <w:color w:val="000000"/>
          <w:sz w:val="24"/>
          <w:szCs w:val="24"/>
        </w:rPr>
        <w:t xml:space="preserve"> comunicado de prensa correspondiente al día 26 de mayo de este año), y la Importación de los Bienes y Servicios.</w:t>
      </w:r>
    </w:p>
    <w:p w14:paraId="1FA805D2" w14:textId="3CB23AC7" w:rsidR="001F741F" w:rsidRPr="001F741F" w:rsidRDefault="001F741F" w:rsidP="00D7012A">
      <w:pPr>
        <w:spacing w:before="120"/>
        <w:jc w:val="both"/>
        <w:rPr>
          <w:rFonts w:ascii="Arial" w:hAnsi="Arial" w:cs="Arial"/>
          <w:sz w:val="24"/>
          <w:szCs w:val="24"/>
        </w:rPr>
      </w:pPr>
      <w:r w:rsidRPr="001F741F">
        <w:rPr>
          <w:rFonts w:ascii="Arial" w:hAnsi="Arial" w:cs="Arial"/>
          <w:sz w:val="24"/>
          <w:szCs w:val="24"/>
        </w:rPr>
        <w:t>Las importaciones son los bienes y servicios introducidos a un país mediante el comercio internacional. Junto con la producción, es uno de los componentes de la oferta. Representa el valor CIF (costos, seguros y fletes, por sus siglas en inglés) de los bienes importados, así como de los servicios por fletes y seguros, servicios de esparcimiento y compras directas de los hogares, y del gobierno en el exterior.</w:t>
      </w:r>
    </w:p>
    <w:p w14:paraId="0BF40695" w14:textId="4EA4B8F6" w:rsidR="001F741F" w:rsidRPr="001F741F" w:rsidRDefault="001F741F" w:rsidP="001F741F">
      <w:pPr>
        <w:spacing w:before="240"/>
        <w:jc w:val="both"/>
        <w:rPr>
          <w:rFonts w:ascii="Arial" w:hAnsi="Arial" w:cs="Arial"/>
          <w:sz w:val="24"/>
          <w:szCs w:val="24"/>
        </w:rPr>
      </w:pPr>
      <w:r w:rsidRPr="001F741F">
        <w:rPr>
          <w:rFonts w:ascii="Arial" w:hAnsi="Arial" w:cs="Arial"/>
          <w:sz w:val="24"/>
          <w:szCs w:val="24"/>
        </w:rPr>
        <w:t>Se preparó una clasificación de los bienes importados FOB (libre a bordo, por sus siglas en inglés) según su destino económico: bienes de consumo intermedio de las actividades internas de producción</w:t>
      </w:r>
      <w:r w:rsidR="006C4BA7">
        <w:rPr>
          <w:rFonts w:ascii="Arial" w:hAnsi="Arial" w:cs="Arial"/>
          <w:sz w:val="24"/>
          <w:szCs w:val="24"/>
        </w:rPr>
        <w:t>,</w:t>
      </w:r>
      <w:r w:rsidRPr="001F741F">
        <w:rPr>
          <w:rFonts w:ascii="Arial" w:hAnsi="Arial" w:cs="Arial"/>
          <w:sz w:val="24"/>
          <w:szCs w:val="24"/>
        </w:rPr>
        <w:t xml:space="preserve"> bienes de consumo final directo de los hogares y del gobierno y</w:t>
      </w:r>
      <w:r w:rsidR="006C4BA7">
        <w:rPr>
          <w:rFonts w:ascii="Arial" w:hAnsi="Arial" w:cs="Arial"/>
          <w:sz w:val="24"/>
          <w:szCs w:val="24"/>
        </w:rPr>
        <w:t>,</w:t>
      </w:r>
      <w:r w:rsidRPr="001F741F">
        <w:rPr>
          <w:rFonts w:ascii="Arial" w:hAnsi="Arial" w:cs="Arial"/>
          <w:sz w:val="24"/>
          <w:szCs w:val="24"/>
        </w:rPr>
        <w:t xml:space="preserve"> por último, se agruparon los bienes que son destinados a la formación de capital, es decir, la maquinaria y equipo, y el equipo de transporte constituido por: aeronaves, barcos, vehículos automóviles, locomotoras, vagones ferroviarios, etc., tal como lo recomienda el Sistema de Cuentas Nacionales 2008.</w:t>
      </w:r>
      <w:r w:rsidRPr="001F741F">
        <w:rPr>
          <w:rFonts w:ascii="Arial" w:hAnsi="Arial" w:cs="Arial"/>
          <w:color w:val="000000"/>
          <w:sz w:val="24"/>
          <w:szCs w:val="24"/>
        </w:rPr>
        <w:t xml:space="preserve"> Se calcula a partir de los datos en dólares de la balanza comercial y de pagos utilizando el tipo de cambio promedio del mes por subsector de actividad SCIAN.</w:t>
      </w:r>
    </w:p>
    <w:p w14:paraId="2BAD4BEF" w14:textId="5F848588" w:rsidR="001F741F" w:rsidRPr="001F741F" w:rsidRDefault="001F741F" w:rsidP="001F741F">
      <w:pPr>
        <w:spacing w:before="240"/>
        <w:jc w:val="both"/>
        <w:rPr>
          <w:rFonts w:ascii="Arial" w:hAnsi="Arial" w:cs="Arial"/>
          <w:color w:val="000000"/>
          <w:sz w:val="24"/>
          <w:szCs w:val="24"/>
        </w:rPr>
      </w:pPr>
      <w:r w:rsidRPr="001F741F">
        <w:rPr>
          <w:rFonts w:ascii="Arial" w:hAnsi="Arial" w:cs="Arial"/>
          <w:sz w:val="24"/>
          <w:szCs w:val="24"/>
        </w:rPr>
        <w:t>La Demanda Global de Bienes y Servicios en valores corrientes</w:t>
      </w:r>
      <w:r w:rsidR="00C2557F">
        <w:rPr>
          <w:rFonts w:ascii="Arial" w:hAnsi="Arial" w:cs="Arial"/>
          <w:sz w:val="24"/>
          <w:szCs w:val="24"/>
        </w:rPr>
        <w:t xml:space="preserve"> y </w:t>
      </w:r>
      <w:r w:rsidR="00323D86">
        <w:rPr>
          <w:rFonts w:ascii="Arial" w:hAnsi="Arial" w:cs="Arial"/>
          <w:sz w:val="24"/>
          <w:szCs w:val="24"/>
        </w:rPr>
        <w:t>constantes de 2013</w:t>
      </w:r>
      <w:r w:rsidRPr="001F741F">
        <w:rPr>
          <w:rFonts w:ascii="Arial" w:hAnsi="Arial" w:cs="Arial"/>
          <w:color w:val="000000"/>
          <w:sz w:val="24"/>
          <w:szCs w:val="24"/>
        </w:rPr>
        <w:t>, se integra por: el Consumo privado, el Consumo del gobierno, la Formación bruta de capital fijo, la Variación de existencias, las Exportaciones de bienes y servicios y la Discrepancia estadística.</w:t>
      </w:r>
    </w:p>
    <w:p w14:paraId="3246E671" w14:textId="77777777" w:rsidR="001F741F" w:rsidRPr="001F741F" w:rsidRDefault="001F741F" w:rsidP="001F741F">
      <w:pPr>
        <w:spacing w:before="240"/>
        <w:jc w:val="both"/>
        <w:rPr>
          <w:rFonts w:ascii="Arial" w:hAnsi="Arial" w:cs="Arial"/>
          <w:color w:val="000000"/>
          <w:sz w:val="24"/>
          <w:szCs w:val="24"/>
        </w:rPr>
      </w:pPr>
      <w:r w:rsidRPr="001F741F">
        <w:rPr>
          <w:rFonts w:ascii="Arial" w:hAnsi="Arial" w:cs="Arial"/>
          <w:color w:val="000000"/>
          <w:sz w:val="24"/>
          <w:szCs w:val="24"/>
        </w:rPr>
        <w:t>Consumo privado. Comprende el valor de las compras de bienes, cualquiera que sea su duración, y de servicios, hechas por las unidades familiares y las instituciones privadas sin fines de lucro que sirven a los hogares. Tales compras pueden ser hechas tanto en el mercado interno como en el exterior e incluyen las remuneraciones de asalariados recibidas en especie, la producción de artículos para autoconsumo y el valor imputado por las viviendas que son ocupadas por los propios dueños, conceptos éstos, que se encuentran también comprendidos en la producción. Se excluyen de estos gastos las compras de tierra y de edificios para vivienda.</w:t>
      </w:r>
    </w:p>
    <w:p w14:paraId="650355FD" w14:textId="77777777" w:rsidR="001F741F" w:rsidRPr="001F741F" w:rsidRDefault="001F741F" w:rsidP="001F741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 xml:space="preserve">Los valores corrientes del consumo privado se obtienen de </w:t>
      </w:r>
      <w:proofErr w:type="spellStart"/>
      <w:r w:rsidRPr="001F741F">
        <w:rPr>
          <w:rFonts w:ascii="Arial" w:hAnsi="Arial" w:cs="Arial"/>
          <w:color w:val="000000"/>
          <w:sz w:val="24"/>
          <w:szCs w:val="24"/>
        </w:rPr>
        <w:t>inflactar</w:t>
      </w:r>
      <w:proofErr w:type="spellEnd"/>
      <w:r w:rsidRPr="001F741F">
        <w:rPr>
          <w:rFonts w:ascii="Arial" w:hAnsi="Arial" w:cs="Arial"/>
          <w:color w:val="000000"/>
          <w:sz w:val="24"/>
          <w:szCs w:val="24"/>
        </w:rPr>
        <w:t xml:space="preserve"> los valores constantes a nivel detallado de las 473 clases que componen este cálculo de acuerdo con el SCIAN 2013, utilizando un índice de precios semejante a su composición.</w:t>
      </w:r>
    </w:p>
    <w:p w14:paraId="254D3C9E" w14:textId="77777777" w:rsidR="00275AA1" w:rsidRDefault="00275AA1">
      <w:pPr>
        <w:widowControl/>
        <w:rPr>
          <w:rFonts w:ascii="Arial" w:hAnsi="Arial" w:cs="Arial"/>
          <w:color w:val="000000"/>
          <w:sz w:val="24"/>
          <w:szCs w:val="24"/>
        </w:rPr>
      </w:pPr>
      <w:r>
        <w:rPr>
          <w:rFonts w:ascii="Arial" w:hAnsi="Arial" w:cs="Arial"/>
          <w:color w:val="000000"/>
          <w:sz w:val="24"/>
          <w:szCs w:val="24"/>
        </w:rPr>
        <w:br w:type="page"/>
      </w:r>
    </w:p>
    <w:p w14:paraId="74F38CBC" w14:textId="77777777" w:rsidR="00275AA1" w:rsidRDefault="00275AA1" w:rsidP="00D7012A">
      <w:pPr>
        <w:widowControl/>
        <w:autoSpaceDE w:val="0"/>
        <w:autoSpaceDN w:val="0"/>
        <w:adjustRightInd w:val="0"/>
        <w:spacing w:before="240"/>
        <w:jc w:val="both"/>
        <w:rPr>
          <w:rFonts w:ascii="Arial" w:hAnsi="Arial" w:cs="Arial"/>
          <w:color w:val="000000"/>
          <w:sz w:val="24"/>
          <w:szCs w:val="24"/>
        </w:rPr>
      </w:pPr>
    </w:p>
    <w:p w14:paraId="78331B82" w14:textId="1F1B4A06" w:rsidR="00323D86" w:rsidRDefault="00323D86" w:rsidP="00275AA1">
      <w:pPr>
        <w:widowControl/>
        <w:autoSpaceDE w:val="0"/>
        <w:autoSpaceDN w:val="0"/>
        <w:adjustRightInd w:val="0"/>
        <w:spacing w:before="120"/>
        <w:jc w:val="both"/>
        <w:rPr>
          <w:rFonts w:ascii="Arial" w:hAnsi="Arial" w:cs="Arial"/>
          <w:color w:val="000000"/>
          <w:sz w:val="24"/>
          <w:szCs w:val="24"/>
        </w:rPr>
      </w:pPr>
      <w:r w:rsidRPr="00323D86">
        <w:rPr>
          <w:rFonts w:ascii="Arial" w:hAnsi="Arial" w:cs="Arial"/>
          <w:color w:val="000000"/>
          <w:sz w:val="24"/>
          <w:szCs w:val="24"/>
        </w:rPr>
        <w:t>El método de cálculo empleado para obtener los valores constantes consist</w:t>
      </w:r>
      <w:r w:rsidR="0077005E">
        <w:rPr>
          <w:rFonts w:ascii="Arial" w:hAnsi="Arial" w:cs="Arial"/>
          <w:color w:val="000000"/>
          <w:sz w:val="24"/>
          <w:szCs w:val="24"/>
        </w:rPr>
        <w:t>e</w:t>
      </w:r>
      <w:r w:rsidRPr="00323D86">
        <w:rPr>
          <w:rFonts w:ascii="Arial" w:hAnsi="Arial" w:cs="Arial"/>
          <w:color w:val="000000"/>
          <w:sz w:val="24"/>
          <w:szCs w:val="24"/>
        </w:rPr>
        <w:t xml:space="preserve"> en elaborar índices de ventas reales o de producción para extrapolar los valores del año de la base de las 473 clases que se integran en esta variable, cuando no se dispuso del primer concepto, para las clases de actividad cuya producción de bienes o servicios se destina al consumo privado, método conocido como el de fluir de bienes.</w:t>
      </w:r>
    </w:p>
    <w:p w14:paraId="4C06BC0D" w14:textId="4EDC728E" w:rsidR="001F741F" w:rsidRPr="001F741F" w:rsidRDefault="001F741F" w:rsidP="00CF64DE">
      <w:pPr>
        <w:widowControl/>
        <w:autoSpaceDE w:val="0"/>
        <w:autoSpaceDN w:val="0"/>
        <w:adjustRightInd w:val="0"/>
        <w:spacing w:before="180"/>
        <w:jc w:val="both"/>
        <w:rPr>
          <w:rFonts w:ascii="Arial" w:hAnsi="Arial" w:cs="Arial"/>
          <w:color w:val="000000"/>
          <w:sz w:val="24"/>
          <w:szCs w:val="24"/>
        </w:rPr>
      </w:pPr>
      <w:r w:rsidRPr="001F741F">
        <w:rPr>
          <w:rFonts w:ascii="Arial" w:hAnsi="Arial" w:cs="Arial"/>
          <w:color w:val="000000"/>
          <w:sz w:val="24"/>
          <w:szCs w:val="24"/>
        </w:rPr>
        <w:t>Al total de gastos en el mercado interior se adicionan las importaciones que realizan los hogares, para distinguir los bienes y servicios de origen nacional e importado. También se incorporan las compras netas de los hogares en el mercado exterior, que consiste en restar las compras de los no residentes en el país de las compras que los residentes realizan en otros países.</w:t>
      </w:r>
    </w:p>
    <w:p w14:paraId="39692334" w14:textId="729CCE03" w:rsidR="001F741F" w:rsidRPr="001F741F" w:rsidRDefault="001F741F" w:rsidP="00D7012A">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Consumo del gobierno. Comprende el gasto corriente total del gobierno en todos sus niveles institucionales: el Gobierno Federal</w:t>
      </w:r>
      <w:r w:rsidR="007242AA">
        <w:rPr>
          <w:rFonts w:ascii="Arial" w:hAnsi="Arial" w:cs="Arial"/>
          <w:color w:val="000000"/>
          <w:sz w:val="24"/>
          <w:szCs w:val="24"/>
        </w:rPr>
        <w:t>,</w:t>
      </w:r>
      <w:r w:rsidRPr="001F741F">
        <w:rPr>
          <w:rFonts w:ascii="Arial" w:hAnsi="Arial" w:cs="Arial"/>
          <w:color w:val="000000"/>
          <w:sz w:val="24"/>
          <w:szCs w:val="24"/>
        </w:rPr>
        <w:t xml:space="preserve"> el gobierno de los estados y de los municipios incluido el Gobierno de la Ciudad de México, así como las instituciones de seguridad social. Se excluyen de los gastos corrientes del gobierno general los que efectúan organismos tales como: el correo y los distritos de riego, que se presentan en los subsectores de “comunicaciones” y “agricultura” respectivamente.</w:t>
      </w:r>
    </w:p>
    <w:p w14:paraId="11784BA0" w14:textId="27D51F67" w:rsidR="001F741F" w:rsidRDefault="001F741F" w:rsidP="00D7012A">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Los valores corrientes del consumo de gobierno se obtienen de extrapolar los valores corrientes de las 42 actividades económicas que componen este cálculo de acuerdo con el SCIAN 2013, con un índice nacional de precios productor (INPP) o índice nacional precios consumidor (INPC).</w:t>
      </w:r>
    </w:p>
    <w:p w14:paraId="362283DE" w14:textId="2370722E" w:rsidR="00323D86" w:rsidRPr="001F741F" w:rsidRDefault="00323D86" w:rsidP="00D7012A">
      <w:pPr>
        <w:widowControl/>
        <w:autoSpaceDE w:val="0"/>
        <w:autoSpaceDN w:val="0"/>
        <w:adjustRightInd w:val="0"/>
        <w:spacing w:before="240"/>
        <w:jc w:val="both"/>
        <w:rPr>
          <w:rFonts w:ascii="Arial" w:hAnsi="Arial" w:cs="Arial"/>
          <w:color w:val="000000"/>
          <w:sz w:val="24"/>
          <w:szCs w:val="24"/>
        </w:rPr>
      </w:pPr>
      <w:r w:rsidRPr="00323D86">
        <w:rPr>
          <w:rFonts w:ascii="Arial" w:hAnsi="Arial" w:cs="Arial"/>
          <w:color w:val="000000"/>
          <w:sz w:val="24"/>
          <w:szCs w:val="24"/>
        </w:rPr>
        <w:t>Los índices a precios constantes se calculan para las 42 actividades económicas que se incluyen en el indicador del consumo en bienes o servicios del sector gobierno y son utilizados para extrapolar el valor registrado por cada clase en el año base constante 2013.</w:t>
      </w:r>
    </w:p>
    <w:p w14:paraId="4EF9E269" w14:textId="77777777" w:rsidR="001F741F" w:rsidRPr="001F741F" w:rsidRDefault="001F741F" w:rsidP="00D7012A">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El cálculo trimestral se realizó con datos de las estadísticas de finanzas públicas de la Secretaría de Hacienda y Crédito Público relativas al Gobierno Federal, el Gobierno de la Ciudad de México y las instituciones de seguridad social, que se complementan con información de la ocupación del gobierno, los estados y municipios.</w:t>
      </w:r>
    </w:p>
    <w:p w14:paraId="636FB334" w14:textId="54839702" w:rsidR="001F741F" w:rsidRPr="001F741F" w:rsidRDefault="001F741F" w:rsidP="00D7012A">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Formación bruta de capital fijo. En esta partida, se incluye la compra de bienes que los productores realizan para incrementar sus activos fijos, se incluyen los gastos en mejoras y/o reformas que prolonguen la vida útil o la productividad del bien, valuadas a precios de comprador. Los bienes pueden ser comprados o producirse por cuenta propia. También puede tratarse de artículos producidos en el país, en cuyo caso debe tratarse de bienes nuevos (no usados), o de origen importado, aun cuando sean de segunda mano. Los bienes comprendidos aquí</w:t>
      </w:r>
      <w:r w:rsidR="00F86322">
        <w:rPr>
          <w:rFonts w:ascii="Arial" w:hAnsi="Arial" w:cs="Arial"/>
          <w:color w:val="000000"/>
          <w:sz w:val="24"/>
          <w:szCs w:val="24"/>
        </w:rPr>
        <w:t xml:space="preserve">, </w:t>
      </w:r>
      <w:r w:rsidRPr="001F741F">
        <w:rPr>
          <w:rFonts w:ascii="Arial" w:hAnsi="Arial" w:cs="Arial"/>
          <w:color w:val="000000"/>
          <w:sz w:val="24"/>
          <w:szCs w:val="24"/>
        </w:rPr>
        <w:t xml:space="preserve">son </w:t>
      </w:r>
      <w:proofErr w:type="gramStart"/>
      <w:r w:rsidRPr="001F741F">
        <w:rPr>
          <w:rFonts w:ascii="Arial" w:hAnsi="Arial" w:cs="Arial"/>
          <w:color w:val="000000"/>
          <w:sz w:val="24"/>
          <w:szCs w:val="24"/>
        </w:rPr>
        <w:t xml:space="preserve">las </w:t>
      </w:r>
      <w:r w:rsidR="00FB4E23">
        <w:rPr>
          <w:rFonts w:ascii="Arial" w:hAnsi="Arial" w:cs="Arial"/>
          <w:color w:val="000000"/>
          <w:sz w:val="24"/>
          <w:szCs w:val="24"/>
        </w:rPr>
        <w:t xml:space="preserve"> </w:t>
      </w:r>
      <w:r w:rsidRPr="001F741F">
        <w:rPr>
          <w:rFonts w:ascii="Arial" w:hAnsi="Arial" w:cs="Arial"/>
          <w:color w:val="000000"/>
          <w:sz w:val="24"/>
          <w:szCs w:val="24"/>
        </w:rPr>
        <w:t>construcciones</w:t>
      </w:r>
      <w:proofErr w:type="gramEnd"/>
      <w:r w:rsidRPr="001F741F">
        <w:rPr>
          <w:rFonts w:ascii="Arial" w:hAnsi="Arial" w:cs="Arial"/>
          <w:color w:val="000000"/>
          <w:sz w:val="24"/>
          <w:szCs w:val="24"/>
        </w:rPr>
        <w:t xml:space="preserve"> y </w:t>
      </w:r>
      <w:r w:rsidR="00FB4E23">
        <w:rPr>
          <w:rFonts w:ascii="Arial" w:hAnsi="Arial" w:cs="Arial"/>
          <w:color w:val="000000"/>
          <w:sz w:val="24"/>
          <w:szCs w:val="24"/>
        </w:rPr>
        <w:t xml:space="preserve"> </w:t>
      </w:r>
      <w:r w:rsidRPr="001F741F">
        <w:rPr>
          <w:rFonts w:ascii="Arial" w:hAnsi="Arial" w:cs="Arial"/>
          <w:color w:val="000000"/>
          <w:sz w:val="24"/>
          <w:szCs w:val="24"/>
        </w:rPr>
        <w:t>obras de</w:t>
      </w:r>
      <w:r w:rsidR="00FB4E23">
        <w:rPr>
          <w:rFonts w:ascii="Arial" w:hAnsi="Arial" w:cs="Arial"/>
          <w:color w:val="000000"/>
          <w:sz w:val="24"/>
          <w:szCs w:val="24"/>
        </w:rPr>
        <w:t xml:space="preserve"> </w:t>
      </w:r>
      <w:r w:rsidRPr="001F741F">
        <w:rPr>
          <w:rFonts w:ascii="Arial" w:hAnsi="Arial" w:cs="Arial"/>
          <w:color w:val="000000"/>
          <w:sz w:val="24"/>
          <w:szCs w:val="24"/>
        </w:rPr>
        <w:t xml:space="preserve"> todo tipo, </w:t>
      </w:r>
      <w:r w:rsidR="00FB4E23">
        <w:rPr>
          <w:rFonts w:ascii="Arial" w:hAnsi="Arial" w:cs="Arial"/>
          <w:color w:val="000000"/>
          <w:sz w:val="24"/>
          <w:szCs w:val="24"/>
        </w:rPr>
        <w:t xml:space="preserve"> </w:t>
      </w:r>
      <w:r w:rsidRPr="001F741F">
        <w:rPr>
          <w:rFonts w:ascii="Arial" w:hAnsi="Arial" w:cs="Arial"/>
          <w:color w:val="000000"/>
          <w:sz w:val="24"/>
          <w:szCs w:val="24"/>
        </w:rPr>
        <w:t xml:space="preserve">maquinaria y </w:t>
      </w:r>
      <w:r w:rsidR="00FB4E23">
        <w:rPr>
          <w:rFonts w:ascii="Arial" w:hAnsi="Arial" w:cs="Arial"/>
          <w:color w:val="000000"/>
          <w:sz w:val="24"/>
          <w:szCs w:val="24"/>
        </w:rPr>
        <w:t xml:space="preserve"> </w:t>
      </w:r>
      <w:r w:rsidRPr="001F741F">
        <w:rPr>
          <w:rFonts w:ascii="Arial" w:hAnsi="Arial" w:cs="Arial"/>
          <w:color w:val="000000"/>
          <w:sz w:val="24"/>
          <w:szCs w:val="24"/>
        </w:rPr>
        <w:t xml:space="preserve">equipos en general, </w:t>
      </w:r>
      <w:r w:rsidRPr="001F741F">
        <w:rPr>
          <w:rFonts w:ascii="Arial" w:hAnsi="Arial" w:cs="Arial"/>
          <w:color w:val="000000"/>
          <w:sz w:val="24"/>
          <w:szCs w:val="24"/>
        </w:rPr>
        <w:lastRenderedPageBreak/>
        <w:t>incluso los de transporte. Se incluyen los terrenos, yacimientos mineros, bosques maderables y ciertos gastos militares.</w:t>
      </w:r>
    </w:p>
    <w:p w14:paraId="4F3AC2A8" w14:textId="338839EE" w:rsidR="001F741F" w:rsidRPr="001F741F" w:rsidRDefault="001F741F" w:rsidP="001F741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El componente doméstico -o nacional- de la formación bruta de capital fijo, incluye resultados provenientes del valor de la producción trimestral de la construcción, más los bienes que se venden o producen con destino al stock de capital, empleando para ello el método de fluir de bienes.</w:t>
      </w:r>
    </w:p>
    <w:p w14:paraId="1C4A8F09" w14:textId="77777777" w:rsidR="001F741F" w:rsidRPr="001F741F" w:rsidRDefault="001F741F" w:rsidP="001F741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Las partidas correspondientes al gasto de capital del sector público se obtuvieron de las estadísticas de finanzas públicas de la SHCP, que abarcan al Gobierno Federal, al Gobierno de la Ciudad de México, al sector paraestatal controlado y al no controlado presupuestalmente, los estados y municipios.</w:t>
      </w:r>
    </w:p>
    <w:p w14:paraId="735E043D" w14:textId="5DAE7D1E" w:rsidR="001F741F" w:rsidRPr="001F741F" w:rsidRDefault="001F741F" w:rsidP="00901E0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 xml:space="preserve">Los valores corrientes del cálculo de la formación bruta de capital fijo se obtienen de </w:t>
      </w:r>
      <w:proofErr w:type="spellStart"/>
      <w:r w:rsidRPr="001F741F">
        <w:rPr>
          <w:rFonts w:ascii="Arial" w:hAnsi="Arial" w:cs="Arial"/>
          <w:color w:val="000000"/>
          <w:sz w:val="24"/>
          <w:szCs w:val="24"/>
        </w:rPr>
        <w:t>inflactar</w:t>
      </w:r>
      <w:proofErr w:type="spellEnd"/>
      <w:r w:rsidRPr="001F741F">
        <w:rPr>
          <w:rFonts w:ascii="Arial" w:hAnsi="Arial" w:cs="Arial"/>
          <w:color w:val="000000"/>
          <w:sz w:val="24"/>
          <w:szCs w:val="24"/>
        </w:rPr>
        <w:t xml:space="preserve"> los valores constantes de las 109 clases que componen este cálculo de acuerdo con el SCIAN 2013.</w:t>
      </w:r>
    </w:p>
    <w:p w14:paraId="657A8E80" w14:textId="0F465608" w:rsidR="006625EE" w:rsidRDefault="006625EE" w:rsidP="001F741F">
      <w:pPr>
        <w:widowControl/>
        <w:autoSpaceDE w:val="0"/>
        <w:autoSpaceDN w:val="0"/>
        <w:adjustRightInd w:val="0"/>
        <w:spacing w:before="240"/>
        <w:jc w:val="both"/>
        <w:rPr>
          <w:rFonts w:ascii="Arial" w:hAnsi="Arial" w:cs="Arial"/>
          <w:color w:val="000000"/>
          <w:sz w:val="24"/>
          <w:szCs w:val="24"/>
        </w:rPr>
      </w:pPr>
      <w:r w:rsidRPr="006625EE">
        <w:rPr>
          <w:rFonts w:ascii="Arial" w:hAnsi="Arial" w:cs="Arial"/>
          <w:color w:val="000000"/>
          <w:sz w:val="24"/>
          <w:szCs w:val="24"/>
        </w:rPr>
        <w:t>La medición de la formación bruta de capital fijo consiste en el cálculo de índices de ventas reales por clase de actividad, o de producción cuando no se dispone del primer concepto, para cada una de las 109 clase</w:t>
      </w:r>
      <w:r w:rsidR="00DA3BDB">
        <w:rPr>
          <w:rFonts w:ascii="Arial" w:hAnsi="Arial" w:cs="Arial"/>
          <w:color w:val="000000"/>
          <w:sz w:val="24"/>
          <w:szCs w:val="24"/>
        </w:rPr>
        <w:t>s</w:t>
      </w:r>
      <w:r w:rsidRPr="006625EE">
        <w:rPr>
          <w:rFonts w:ascii="Arial" w:hAnsi="Arial" w:cs="Arial"/>
          <w:color w:val="000000"/>
          <w:sz w:val="24"/>
          <w:szCs w:val="24"/>
        </w:rPr>
        <w:t xml:space="preserve"> de actividad, y son utilizados para extrapolar el valor registrado por cada clase en el año base 2013.</w:t>
      </w:r>
    </w:p>
    <w:p w14:paraId="78D58C4C" w14:textId="45624193" w:rsidR="001F741F" w:rsidRPr="001F741F" w:rsidRDefault="001F741F" w:rsidP="001F741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Variación de existencias: es la diferencia en el volumen de mercancías existente entre principio y fin de cada período contable valuado a los precios promedio vigentes durante el lapso. Se deben incluir los bienes producidos, los que se encuentran en proceso de elaboración y los bienes terminados que estén en poder de los productores</w:t>
      </w:r>
    </w:p>
    <w:p w14:paraId="33742E6E" w14:textId="7378BD39" w:rsidR="001F741F" w:rsidRPr="001F741F" w:rsidRDefault="001F741F" w:rsidP="001F741F">
      <w:pPr>
        <w:widowControl/>
        <w:autoSpaceDE w:val="0"/>
        <w:autoSpaceDN w:val="0"/>
        <w:adjustRightInd w:val="0"/>
        <w:spacing w:before="240"/>
        <w:jc w:val="both"/>
        <w:rPr>
          <w:rFonts w:ascii="Arial" w:hAnsi="Arial" w:cs="Arial"/>
          <w:color w:val="000000"/>
          <w:sz w:val="24"/>
          <w:szCs w:val="24"/>
        </w:rPr>
      </w:pPr>
      <w:bookmarkStart w:id="4" w:name="_Hlk73686306"/>
      <w:r w:rsidRPr="001F741F">
        <w:rPr>
          <w:rFonts w:ascii="Arial" w:hAnsi="Arial" w:cs="Arial"/>
          <w:color w:val="000000"/>
          <w:sz w:val="24"/>
          <w:szCs w:val="24"/>
        </w:rPr>
        <w:t xml:space="preserve">La medición de la variación de las existencias </w:t>
      </w:r>
      <w:bookmarkEnd w:id="4"/>
      <w:r w:rsidRPr="001F741F">
        <w:rPr>
          <w:rFonts w:ascii="Arial" w:hAnsi="Arial" w:cs="Arial"/>
          <w:color w:val="000000"/>
          <w:sz w:val="24"/>
          <w:szCs w:val="24"/>
        </w:rPr>
        <w:t xml:space="preserve">considera la elaboración de balances físicos para algunos productos seleccionados representativos de los sectores: 11 agricultura, cría y explotación de animales, aprovechamiento forestal, pesca y caza, y 21 minería, partiendo de los balances físicos que fueron </w:t>
      </w:r>
      <w:r w:rsidR="00D82B83">
        <w:rPr>
          <w:rFonts w:ascii="Arial" w:hAnsi="Arial" w:cs="Arial"/>
          <w:color w:val="000000"/>
          <w:sz w:val="24"/>
          <w:szCs w:val="24"/>
        </w:rPr>
        <w:t>calculados</w:t>
      </w:r>
      <w:r w:rsidRPr="001F741F">
        <w:rPr>
          <w:rFonts w:ascii="Arial" w:hAnsi="Arial" w:cs="Arial"/>
          <w:color w:val="000000"/>
          <w:sz w:val="24"/>
          <w:szCs w:val="24"/>
        </w:rPr>
        <w:t xml:space="preserve"> para más de 200 actividades en el año base 2013, en el marco de la elaboración de los cuadros de la oferta y utilización 2013.</w:t>
      </w:r>
    </w:p>
    <w:p w14:paraId="0B25FE51" w14:textId="02E20CFD" w:rsidR="001F741F" w:rsidRPr="001F741F" w:rsidRDefault="001F741F" w:rsidP="001F741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 xml:space="preserve">En el caso de las industrias manufactureras, en donde se concentran la mayor parte de los inventarios, el valor de las existencias se calcula como un saldo entre el valor de la producción y el valor de las ventas, empleando para ello la información disponible proveniente de la Encuesta Mensual de la Industria Manufacturera. </w:t>
      </w:r>
      <w:r w:rsidR="006625EE" w:rsidRPr="006625EE">
        <w:rPr>
          <w:rFonts w:ascii="Arial" w:hAnsi="Arial" w:cs="Arial"/>
          <w:color w:val="000000"/>
          <w:sz w:val="24"/>
          <w:szCs w:val="24"/>
        </w:rPr>
        <w:t>Los valores corrientes se deflactan con índices de precios.</w:t>
      </w:r>
      <w:r w:rsidR="006625EE">
        <w:rPr>
          <w:color w:val="000000"/>
        </w:rPr>
        <w:t xml:space="preserve">  </w:t>
      </w:r>
      <w:r w:rsidRPr="001F741F">
        <w:rPr>
          <w:rFonts w:ascii="Arial" w:hAnsi="Arial" w:cs="Arial"/>
          <w:color w:val="000000"/>
          <w:sz w:val="24"/>
          <w:szCs w:val="24"/>
        </w:rPr>
        <w:t>De esta forma se busca reflejar de una mejor manera la evolución que en el corto plazo presenta esta variable, componente de la formación de capital, atendiendo con ello un requerimiento de los usuarios.</w:t>
      </w:r>
    </w:p>
    <w:p w14:paraId="21939BA3" w14:textId="77777777" w:rsidR="00901E0F" w:rsidRDefault="00901E0F">
      <w:pPr>
        <w:widowControl/>
        <w:rPr>
          <w:rFonts w:ascii="Arial" w:hAnsi="Arial" w:cs="Arial"/>
          <w:color w:val="000000"/>
          <w:sz w:val="24"/>
          <w:szCs w:val="24"/>
        </w:rPr>
      </w:pPr>
      <w:r>
        <w:rPr>
          <w:rFonts w:ascii="Arial" w:hAnsi="Arial" w:cs="Arial"/>
          <w:color w:val="000000"/>
          <w:sz w:val="24"/>
          <w:szCs w:val="24"/>
        </w:rPr>
        <w:br w:type="page"/>
      </w:r>
    </w:p>
    <w:p w14:paraId="75F9C7FF" w14:textId="77777777" w:rsidR="00901E0F" w:rsidRDefault="00901E0F" w:rsidP="00B3030A">
      <w:pPr>
        <w:widowControl/>
        <w:autoSpaceDE w:val="0"/>
        <w:autoSpaceDN w:val="0"/>
        <w:adjustRightInd w:val="0"/>
        <w:spacing w:before="240"/>
        <w:jc w:val="both"/>
        <w:rPr>
          <w:rFonts w:ascii="Arial" w:hAnsi="Arial" w:cs="Arial"/>
          <w:color w:val="000000"/>
          <w:sz w:val="24"/>
          <w:szCs w:val="24"/>
        </w:rPr>
      </w:pPr>
    </w:p>
    <w:p w14:paraId="4B9A206C" w14:textId="70915869" w:rsidR="001F741F" w:rsidRPr="001F741F" w:rsidRDefault="001F741F" w:rsidP="00901E0F">
      <w:pPr>
        <w:widowControl/>
        <w:autoSpaceDE w:val="0"/>
        <w:autoSpaceDN w:val="0"/>
        <w:adjustRightInd w:val="0"/>
        <w:spacing w:before="120"/>
        <w:jc w:val="both"/>
        <w:rPr>
          <w:rFonts w:ascii="Arial" w:hAnsi="Arial" w:cs="Arial"/>
          <w:color w:val="000000"/>
          <w:sz w:val="24"/>
          <w:szCs w:val="24"/>
        </w:rPr>
      </w:pPr>
      <w:r w:rsidRPr="001F741F">
        <w:rPr>
          <w:rFonts w:ascii="Arial" w:hAnsi="Arial" w:cs="Arial"/>
          <w:color w:val="000000"/>
          <w:sz w:val="24"/>
          <w:szCs w:val="24"/>
        </w:rPr>
        <w:t>Exportaciones de bienes y servicios: Las exportaciones de bienes consisten generalmente en la salida de mercancías por las aduanas del país, incluidas las compras directas en el país, efectuadas por las instituciones extraterritoriales y las personas no residentes. Comprende el valor FOB de las exportaciones de bienes</w:t>
      </w:r>
      <w:r w:rsidR="0052690D">
        <w:rPr>
          <w:rFonts w:ascii="Arial" w:hAnsi="Arial" w:cs="Arial"/>
          <w:color w:val="000000"/>
          <w:sz w:val="24"/>
          <w:szCs w:val="24"/>
        </w:rPr>
        <w:t>,</w:t>
      </w:r>
      <w:r w:rsidRPr="001F741F">
        <w:rPr>
          <w:rFonts w:ascii="Arial" w:hAnsi="Arial" w:cs="Arial"/>
          <w:color w:val="000000"/>
          <w:sz w:val="24"/>
          <w:szCs w:val="24"/>
        </w:rPr>
        <w:t xml:space="preserve"> la exportación de plata y oro no monetario y otros servicios de exportación que se venden al exterior del país. Los datos empleados provienen de la balanza de pagos.</w:t>
      </w:r>
    </w:p>
    <w:p w14:paraId="72DAB582" w14:textId="43D1F19C" w:rsidR="001F741F" w:rsidRPr="001F741F" w:rsidRDefault="001F741F" w:rsidP="001F741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El valor de las exportaciones de bienes expresadas en pesos corrientes se obtiene de la información mensual generada por el grupo de trabajo conformado por Banco de México, Secretaría de Economía, Sistema de Administración Tributaria e INEGI, para más de 9,500 Fracciones Arancelarias.</w:t>
      </w:r>
      <w:r w:rsidR="009745CF" w:rsidRPr="009745CF">
        <w:rPr>
          <w:color w:val="000000"/>
        </w:rPr>
        <w:t xml:space="preserve"> </w:t>
      </w:r>
      <w:r w:rsidR="009745CF" w:rsidRPr="009745CF">
        <w:rPr>
          <w:rFonts w:ascii="Arial" w:hAnsi="Arial" w:cs="Arial"/>
          <w:color w:val="000000"/>
          <w:sz w:val="24"/>
          <w:szCs w:val="24"/>
        </w:rPr>
        <w:t>Para obtener el valor de las exportación de mercancías en precios constante</w:t>
      </w:r>
      <w:r w:rsidR="00D82B83">
        <w:rPr>
          <w:rFonts w:ascii="Arial" w:hAnsi="Arial" w:cs="Arial"/>
          <w:color w:val="000000"/>
          <w:sz w:val="24"/>
          <w:szCs w:val="24"/>
        </w:rPr>
        <w:t>s</w:t>
      </w:r>
      <w:r w:rsidR="009745CF" w:rsidRPr="009745CF">
        <w:rPr>
          <w:rFonts w:ascii="Arial" w:hAnsi="Arial" w:cs="Arial"/>
          <w:color w:val="000000"/>
          <w:sz w:val="24"/>
          <w:szCs w:val="24"/>
        </w:rPr>
        <w:t>, se elaboraron índices de precios ajustados por el tipo de cambio por subsector de actividad SCIAN, realizándose las agrupaciones pertinentes a efecto de obtener resultados según el origen sectorial de los productos provenientes de: la agricultura, cría y explotación de animales, aprovechamiento forestal, pesca y caza; la minería; las industrias manufactureras; el petróleo crudo y gas natural se obtiene mediante índices de volumen físico, que se pondera</w:t>
      </w:r>
      <w:r w:rsidR="007242AA">
        <w:rPr>
          <w:rFonts w:ascii="Arial" w:hAnsi="Arial" w:cs="Arial"/>
          <w:color w:val="000000"/>
          <w:sz w:val="24"/>
          <w:szCs w:val="24"/>
        </w:rPr>
        <w:t>n</w:t>
      </w:r>
      <w:r w:rsidR="009745CF" w:rsidRPr="009745CF">
        <w:rPr>
          <w:rFonts w:ascii="Arial" w:hAnsi="Arial" w:cs="Arial"/>
          <w:color w:val="000000"/>
          <w:sz w:val="24"/>
          <w:szCs w:val="24"/>
        </w:rPr>
        <w:t xml:space="preserve"> por el valor de 2013 por tipo de crudo.</w:t>
      </w:r>
      <w:r w:rsidRPr="001F741F">
        <w:rPr>
          <w:rFonts w:ascii="Arial" w:hAnsi="Arial" w:cs="Arial"/>
          <w:color w:val="000000"/>
          <w:sz w:val="24"/>
          <w:szCs w:val="24"/>
        </w:rPr>
        <w:t xml:space="preserve"> </w:t>
      </w:r>
    </w:p>
    <w:p w14:paraId="4B723A1B" w14:textId="3D9474A1" w:rsidR="001F741F" w:rsidRPr="001F741F" w:rsidRDefault="001F741F" w:rsidP="001F741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Los otros servicios de exportación incluyen: pasajes internacionales, gastos portuarios, alquiler de películas y de medios de transporte, telecomunicaciones, reaseguros y gastos diversos</w:t>
      </w:r>
      <w:r w:rsidR="009745CF">
        <w:rPr>
          <w:rFonts w:ascii="Arial" w:hAnsi="Arial" w:cs="Arial"/>
          <w:color w:val="000000"/>
          <w:sz w:val="24"/>
          <w:szCs w:val="24"/>
        </w:rPr>
        <w:t>;</w:t>
      </w:r>
      <w:r w:rsidRPr="001F741F">
        <w:rPr>
          <w:rFonts w:ascii="Arial" w:hAnsi="Arial" w:cs="Arial"/>
          <w:color w:val="000000"/>
          <w:sz w:val="24"/>
          <w:szCs w:val="24"/>
        </w:rPr>
        <w:t xml:space="preserve"> </w:t>
      </w:r>
      <w:r w:rsidR="009745CF" w:rsidRPr="009745CF">
        <w:rPr>
          <w:rFonts w:ascii="Arial" w:hAnsi="Arial" w:cs="Arial"/>
          <w:color w:val="000000"/>
          <w:sz w:val="24"/>
          <w:szCs w:val="24"/>
        </w:rPr>
        <w:t xml:space="preserve">los precios constantes se deflactaron con índices de precios ajustados por el tipo de cambio. </w:t>
      </w:r>
      <w:r w:rsidRPr="001F741F">
        <w:rPr>
          <w:rFonts w:ascii="Arial" w:hAnsi="Arial" w:cs="Arial"/>
          <w:color w:val="000000"/>
          <w:sz w:val="24"/>
          <w:szCs w:val="24"/>
        </w:rPr>
        <w:t>En este concepto también se incluye una estimación de las compras de no residentes en el mercado interior.</w:t>
      </w:r>
    </w:p>
    <w:p w14:paraId="782BFDA4" w14:textId="77777777" w:rsidR="001F741F" w:rsidRPr="001F741F" w:rsidRDefault="001F741F" w:rsidP="001F741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La Discrepancia Estadística es un concepto que concentra las diferencias de las fuentes estadísticas, métodos de cálculo, momentos de registro y tipos de valoración que se presentan en la medición de los distintos componentes de la oferta y demanda global, los cuales deben converger a una igualdad.</w:t>
      </w:r>
    </w:p>
    <w:p w14:paraId="4AAE62A1" w14:textId="380EAA16" w:rsidR="001F741F" w:rsidRPr="001F741F" w:rsidRDefault="001F741F" w:rsidP="001F741F">
      <w:pPr>
        <w:spacing w:before="240"/>
        <w:jc w:val="both"/>
        <w:rPr>
          <w:rFonts w:ascii="Arial" w:hAnsi="Arial" w:cs="Arial"/>
          <w:sz w:val="24"/>
          <w:szCs w:val="24"/>
        </w:rPr>
      </w:pPr>
      <w:r w:rsidRPr="001F741F">
        <w:rPr>
          <w:rFonts w:ascii="Arial" w:hAnsi="Arial" w:cs="Arial"/>
          <w:sz w:val="24"/>
          <w:szCs w:val="24"/>
        </w:rPr>
        <w:t xml:space="preserve">Las principales fuentes de información son: BANXICO, que proporciona información de la Balanza de Pagos y el Tipo de Cambio; </w:t>
      </w:r>
      <w:r w:rsidR="00D82B83">
        <w:rPr>
          <w:rFonts w:ascii="Arial" w:hAnsi="Arial" w:cs="Arial"/>
          <w:sz w:val="24"/>
          <w:szCs w:val="24"/>
        </w:rPr>
        <w:t xml:space="preserve">BANXICO, </w:t>
      </w:r>
      <w:r w:rsidRPr="001F741F">
        <w:rPr>
          <w:rFonts w:ascii="Arial" w:hAnsi="Arial" w:cs="Arial"/>
          <w:sz w:val="24"/>
          <w:szCs w:val="24"/>
        </w:rPr>
        <w:t>Instituto Nacional de Estadística y Geografía (INEGI)</w:t>
      </w:r>
      <w:r w:rsidR="007242AA">
        <w:rPr>
          <w:rFonts w:ascii="Arial" w:hAnsi="Arial" w:cs="Arial"/>
          <w:sz w:val="24"/>
          <w:szCs w:val="24"/>
        </w:rPr>
        <w:t>,</w:t>
      </w:r>
      <w:r w:rsidRPr="001F741F">
        <w:rPr>
          <w:rFonts w:ascii="Arial" w:hAnsi="Arial" w:cs="Arial"/>
          <w:sz w:val="24"/>
          <w:szCs w:val="24"/>
        </w:rPr>
        <w:t xml:space="preserve"> Servicio de Administración Tributaria (SAT) y Secretaría de Economía (SE). Balanza Comercial de Mercancías de México; </w:t>
      </w:r>
      <w:r w:rsidRPr="009745CF">
        <w:rPr>
          <w:rFonts w:ascii="Arial" w:hAnsi="Arial" w:cs="Arial"/>
          <w:i/>
          <w:iCs/>
          <w:sz w:val="24"/>
          <w:szCs w:val="24"/>
        </w:rPr>
        <w:t xml:space="preserve">Bureau </w:t>
      </w:r>
      <w:proofErr w:type="spellStart"/>
      <w:r w:rsidRPr="009745CF">
        <w:rPr>
          <w:rFonts w:ascii="Arial" w:hAnsi="Arial" w:cs="Arial"/>
          <w:i/>
          <w:iCs/>
          <w:sz w:val="24"/>
          <w:szCs w:val="24"/>
        </w:rPr>
        <w:t>of</w:t>
      </w:r>
      <w:proofErr w:type="spellEnd"/>
      <w:r w:rsidRPr="009745CF">
        <w:rPr>
          <w:rFonts w:ascii="Arial" w:hAnsi="Arial" w:cs="Arial"/>
          <w:i/>
          <w:iCs/>
          <w:sz w:val="24"/>
          <w:szCs w:val="24"/>
        </w:rPr>
        <w:t xml:space="preserve"> Labor </w:t>
      </w:r>
      <w:proofErr w:type="spellStart"/>
      <w:r w:rsidRPr="009745CF">
        <w:rPr>
          <w:rFonts w:ascii="Arial" w:hAnsi="Arial" w:cs="Arial"/>
          <w:i/>
          <w:iCs/>
          <w:sz w:val="24"/>
          <w:szCs w:val="24"/>
        </w:rPr>
        <w:t>Statistics</w:t>
      </w:r>
      <w:proofErr w:type="spellEnd"/>
      <w:r w:rsidRPr="001F741F">
        <w:rPr>
          <w:rFonts w:ascii="Arial" w:hAnsi="Arial" w:cs="Arial"/>
          <w:sz w:val="24"/>
          <w:szCs w:val="24"/>
        </w:rPr>
        <w:t>; INEGI: Encuesta Nacional de Empresas Constructoras (ENEC), Encuesta Mensual de la Industria Manufacturera (EMIM)</w:t>
      </w:r>
      <w:r w:rsidR="00D82B83">
        <w:rPr>
          <w:rFonts w:ascii="Arial" w:hAnsi="Arial" w:cs="Arial"/>
          <w:sz w:val="24"/>
          <w:szCs w:val="24"/>
        </w:rPr>
        <w:t>,</w:t>
      </w:r>
      <w:r w:rsidRPr="001F741F">
        <w:rPr>
          <w:rFonts w:ascii="Arial" w:hAnsi="Arial" w:cs="Arial"/>
          <w:sz w:val="24"/>
          <w:szCs w:val="24"/>
        </w:rPr>
        <w:t xml:space="preserve"> Encuesta Mensual de Servicios (EMS), Índice </w:t>
      </w:r>
      <w:r w:rsidR="00B84C63">
        <w:rPr>
          <w:rFonts w:ascii="Arial" w:hAnsi="Arial" w:cs="Arial"/>
          <w:sz w:val="24"/>
          <w:szCs w:val="24"/>
        </w:rPr>
        <w:t xml:space="preserve">Nacional </w:t>
      </w:r>
      <w:r w:rsidRPr="001F741F">
        <w:rPr>
          <w:rFonts w:ascii="Arial" w:hAnsi="Arial" w:cs="Arial"/>
          <w:sz w:val="24"/>
          <w:szCs w:val="24"/>
        </w:rPr>
        <w:t>de Precios Productor (I</w:t>
      </w:r>
      <w:r w:rsidR="00B84C63">
        <w:rPr>
          <w:rFonts w:ascii="Arial" w:hAnsi="Arial" w:cs="Arial"/>
          <w:sz w:val="24"/>
          <w:szCs w:val="24"/>
        </w:rPr>
        <w:t>N</w:t>
      </w:r>
      <w:r w:rsidRPr="001F741F">
        <w:rPr>
          <w:rFonts w:ascii="Arial" w:hAnsi="Arial" w:cs="Arial"/>
          <w:sz w:val="24"/>
          <w:szCs w:val="24"/>
        </w:rPr>
        <w:t>PP), Índice</w:t>
      </w:r>
      <w:r w:rsidR="00B84C63">
        <w:rPr>
          <w:rFonts w:ascii="Arial" w:hAnsi="Arial" w:cs="Arial"/>
          <w:sz w:val="24"/>
          <w:szCs w:val="24"/>
        </w:rPr>
        <w:t xml:space="preserve"> Nacional </w:t>
      </w:r>
      <w:r w:rsidRPr="001F741F">
        <w:rPr>
          <w:rFonts w:ascii="Arial" w:hAnsi="Arial" w:cs="Arial"/>
          <w:sz w:val="24"/>
          <w:szCs w:val="24"/>
        </w:rPr>
        <w:t>de Precios al Consumidor (INPC); Secretaría de Agricultura y Desarrollo Rural (SADER), así como registros administrativos provenientes de empresas e instituciones públicas y privadas.</w:t>
      </w:r>
    </w:p>
    <w:p w14:paraId="4DAF784C" w14:textId="77777777" w:rsidR="00D7012A" w:rsidRDefault="00D7012A">
      <w:pPr>
        <w:widowControl/>
        <w:rPr>
          <w:rFonts w:ascii="Arial" w:hAnsi="Arial" w:cs="Arial"/>
          <w:sz w:val="24"/>
          <w:szCs w:val="24"/>
        </w:rPr>
      </w:pPr>
      <w:r>
        <w:rPr>
          <w:rFonts w:ascii="Arial" w:hAnsi="Arial" w:cs="Arial"/>
          <w:sz w:val="24"/>
          <w:szCs w:val="24"/>
        </w:rPr>
        <w:br w:type="page"/>
      </w:r>
    </w:p>
    <w:p w14:paraId="1DBF154E" w14:textId="77777777" w:rsidR="00D7012A" w:rsidRDefault="00D7012A" w:rsidP="001A76C0">
      <w:pPr>
        <w:spacing w:before="240"/>
        <w:jc w:val="both"/>
        <w:rPr>
          <w:rFonts w:ascii="Arial" w:hAnsi="Arial" w:cs="Arial"/>
          <w:sz w:val="24"/>
          <w:szCs w:val="24"/>
        </w:rPr>
      </w:pPr>
    </w:p>
    <w:p w14:paraId="763391CD" w14:textId="5FA6D17A" w:rsidR="001F741F" w:rsidRPr="001F741F" w:rsidRDefault="001F741F" w:rsidP="001A76C0">
      <w:pPr>
        <w:spacing w:before="240"/>
        <w:jc w:val="both"/>
        <w:rPr>
          <w:rFonts w:ascii="Arial" w:hAnsi="Arial" w:cs="Arial"/>
          <w:sz w:val="24"/>
          <w:szCs w:val="24"/>
          <w:highlight w:val="green"/>
        </w:rPr>
      </w:pPr>
      <w:r w:rsidRPr="001F741F">
        <w:rPr>
          <w:rFonts w:ascii="Arial" w:hAnsi="Arial" w:cs="Arial"/>
          <w:sz w:val="24"/>
          <w:szCs w:val="24"/>
        </w:rPr>
        <w:t xml:space="preserve">Un mayor detalle de la descripción metodológica se puede consultar en: </w:t>
      </w:r>
      <w:hyperlink r:id="rId31" w:history="1">
        <w:r w:rsidRPr="001F741F">
          <w:rPr>
            <w:rStyle w:val="Hipervnculo"/>
            <w:rFonts w:ascii="Arial" w:hAnsi="Arial" w:cs="Arial"/>
            <w:sz w:val="24"/>
            <w:szCs w:val="24"/>
          </w:rPr>
          <w:t>https://www.inegi.org.mx/contenidos/programas/ofyd/2013/doc/met_oubst.pdf</w:t>
        </w:r>
      </w:hyperlink>
    </w:p>
    <w:bookmarkEnd w:id="3"/>
    <w:p w14:paraId="336D6886" w14:textId="32D991D9" w:rsidR="001F741F" w:rsidRPr="001F741F" w:rsidRDefault="001F741F" w:rsidP="00D7012A">
      <w:pPr>
        <w:widowControl/>
        <w:autoSpaceDE w:val="0"/>
        <w:autoSpaceDN w:val="0"/>
        <w:adjustRightInd w:val="0"/>
        <w:spacing w:before="360"/>
        <w:jc w:val="both"/>
        <w:rPr>
          <w:rFonts w:ascii="Arial" w:hAnsi="Arial" w:cs="Arial"/>
          <w:color w:val="000000"/>
          <w:sz w:val="24"/>
          <w:szCs w:val="24"/>
        </w:rPr>
      </w:pPr>
      <w:r w:rsidRPr="001F741F">
        <w:rPr>
          <w:rFonts w:ascii="Arial" w:hAnsi="Arial" w:cs="Arial"/>
          <w:color w:val="000000"/>
          <w:sz w:val="24"/>
          <w:szCs w:val="24"/>
        </w:rPr>
        <w:t>Para evitar los problemas derivados del uso de metodologías y/o fuentes de información diferentes, l</w:t>
      </w:r>
      <w:r w:rsidRPr="001F741F">
        <w:rPr>
          <w:rFonts w:ascii="Arial" w:hAnsi="Arial" w:cs="Arial"/>
          <w:sz w:val="24"/>
          <w:szCs w:val="24"/>
        </w:rPr>
        <w:t>os cálculos de corto plazo se alinean con las cifras anuales de las Cuentas de Bienes y Servicios, aplicando la técnica Denton a nivel de clase y subsector de actividad económica</w:t>
      </w:r>
      <w:r w:rsidR="00D82B83">
        <w:rPr>
          <w:rFonts w:ascii="Arial" w:hAnsi="Arial" w:cs="Arial"/>
          <w:sz w:val="24"/>
          <w:szCs w:val="24"/>
        </w:rPr>
        <w:t>.</w:t>
      </w:r>
      <w:r w:rsidRPr="001F741F">
        <w:rPr>
          <w:rFonts w:ascii="Arial" w:hAnsi="Arial" w:cs="Arial"/>
          <w:sz w:val="24"/>
          <w:szCs w:val="24"/>
        </w:rPr>
        <w:t xml:space="preserve"> </w:t>
      </w:r>
      <w:r w:rsidR="0054119B">
        <w:rPr>
          <w:rFonts w:ascii="Arial" w:hAnsi="Arial" w:cs="Arial"/>
          <w:sz w:val="24"/>
          <w:szCs w:val="24"/>
        </w:rPr>
        <w:t>Cabe mencionar que la base conceptual no varía.</w:t>
      </w:r>
    </w:p>
    <w:p w14:paraId="074FAAAF" w14:textId="77777777" w:rsidR="001F741F" w:rsidRPr="001F741F" w:rsidRDefault="001F741F" w:rsidP="00D7012A">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También, se estable una mecánica recurrente y sistemática para la incorporación de la última información estadística básica en los cálculos.</w:t>
      </w:r>
    </w:p>
    <w:p w14:paraId="53F3D24B" w14:textId="63D93429" w:rsidR="005D2DE3" w:rsidRPr="00701B2D" w:rsidRDefault="001F741F" w:rsidP="007242AA">
      <w:pPr>
        <w:pStyle w:val="p0"/>
        <w:rPr>
          <w:rStyle w:val="Hipervnculo"/>
          <w:szCs w:val="24"/>
        </w:rPr>
      </w:pPr>
      <w:r w:rsidRPr="001F741F">
        <w:rPr>
          <w:rFonts w:cs="Arial"/>
          <w:color w:val="auto"/>
          <w:szCs w:val="24"/>
        </w:rPr>
        <w:t xml:space="preserve">Las series de la Oferta y Utilización Trimestral, pueden ser consultadas en la sección PIB y Cuentas Nacionales de México </w:t>
      </w:r>
      <w:hyperlink r:id="rId32" w:history="1">
        <w:r w:rsidRPr="001F741F">
          <w:rPr>
            <w:rStyle w:val="Hipervnculo"/>
            <w:rFonts w:cs="Arial"/>
            <w:szCs w:val="24"/>
          </w:rPr>
          <w:t>https://www.inegi.org.mx/temas/ofyd/</w:t>
        </w:r>
      </w:hyperlink>
      <w:r w:rsidRPr="001F741F">
        <w:rPr>
          <w:rStyle w:val="Hipervnculo"/>
          <w:rFonts w:cs="Arial"/>
          <w:szCs w:val="24"/>
        </w:rPr>
        <w:t>,</w:t>
      </w:r>
      <w:r w:rsidRPr="001F741F">
        <w:rPr>
          <w:rFonts w:cs="Arial"/>
          <w:szCs w:val="24"/>
        </w:rPr>
        <w:t xml:space="preserve"> </w:t>
      </w:r>
      <w:r w:rsidRPr="001F741F">
        <w:rPr>
          <w:rFonts w:cs="Arial"/>
          <w:color w:val="auto"/>
          <w:szCs w:val="24"/>
        </w:rPr>
        <w:t>en el Banco de Información Económica (BIE)</w:t>
      </w:r>
      <w:r w:rsidRPr="001F741F">
        <w:rPr>
          <w:rFonts w:cs="Arial"/>
          <w:szCs w:val="24"/>
        </w:rPr>
        <w:t xml:space="preserve"> </w:t>
      </w:r>
      <w:hyperlink r:id="rId33" w:history="1">
        <w:r w:rsidRPr="001F741F">
          <w:rPr>
            <w:rStyle w:val="Hipervnculo"/>
            <w:rFonts w:cs="Arial"/>
            <w:szCs w:val="24"/>
          </w:rPr>
          <w:t>https://www.inegi.org.mx/app/indicadores/bie.html</w:t>
        </w:r>
      </w:hyperlink>
      <w:r w:rsidRPr="001F741F">
        <w:rPr>
          <w:rFonts w:cs="Arial"/>
          <w:szCs w:val="24"/>
        </w:rPr>
        <w:t xml:space="preserve">, </w:t>
      </w:r>
      <w:r w:rsidRPr="001F741F">
        <w:rPr>
          <w:rFonts w:cs="Arial"/>
          <w:color w:val="auto"/>
          <w:szCs w:val="24"/>
        </w:rPr>
        <w:t>en la página en Internet del Instituto</w:t>
      </w:r>
      <w:r w:rsidRPr="001F741F">
        <w:rPr>
          <w:rFonts w:cs="Arial"/>
          <w:szCs w:val="24"/>
        </w:rPr>
        <w:t xml:space="preserve"> </w:t>
      </w:r>
      <w:r w:rsidRPr="001F741F">
        <w:rPr>
          <w:rStyle w:val="Hipervnculo"/>
          <w:rFonts w:cs="Arial"/>
          <w:szCs w:val="24"/>
        </w:rPr>
        <w:t>https://</w:t>
      </w:r>
      <w:hyperlink r:id="rId34" w:history="1">
        <w:r w:rsidRPr="001F741F">
          <w:rPr>
            <w:rStyle w:val="Hipervnculo"/>
            <w:rFonts w:cs="Arial"/>
            <w:szCs w:val="24"/>
          </w:rPr>
          <w:t>www.inegi.org.mx</w:t>
        </w:r>
      </w:hyperlink>
      <w:r w:rsidRPr="001F741F">
        <w:rPr>
          <w:rStyle w:val="Hipervnculo"/>
          <w:rFonts w:cs="Arial"/>
          <w:szCs w:val="24"/>
        </w:rPr>
        <w:t>.</w:t>
      </w:r>
    </w:p>
    <w:p w14:paraId="3BD0B098" w14:textId="5EE469BB" w:rsidR="00B80710" w:rsidRPr="00D82B83" w:rsidRDefault="00B80710" w:rsidP="00D82B83">
      <w:pPr>
        <w:pStyle w:val="p0"/>
        <w:rPr>
          <w:b/>
          <w:bCs/>
          <w:i/>
          <w:iCs/>
          <w:color w:val="auto"/>
        </w:rPr>
      </w:pPr>
      <w:r w:rsidRPr="00D82B83">
        <w:rPr>
          <w:b/>
          <w:bCs/>
          <w:i/>
          <w:iCs/>
          <w:color w:val="auto"/>
        </w:rPr>
        <w:t>Indicador Trimestral del Ahorro Bruto</w:t>
      </w:r>
    </w:p>
    <w:p w14:paraId="40FB7AEF" w14:textId="4258DDF4" w:rsidR="00B80710" w:rsidRPr="00B80710" w:rsidRDefault="00C557D0" w:rsidP="00D7012A">
      <w:pPr>
        <w:spacing w:before="240"/>
        <w:jc w:val="both"/>
        <w:rPr>
          <w:rFonts w:ascii="Arial" w:hAnsi="Arial"/>
          <w:sz w:val="24"/>
        </w:rPr>
      </w:pPr>
      <w:r>
        <w:rPr>
          <w:rFonts w:ascii="Arial" w:hAnsi="Arial"/>
          <w:sz w:val="24"/>
        </w:rPr>
        <w:t xml:space="preserve">Por su parte, </w:t>
      </w:r>
      <w:r w:rsidR="00AD2EC1">
        <w:rPr>
          <w:rFonts w:ascii="Arial" w:hAnsi="Arial"/>
          <w:sz w:val="24"/>
        </w:rPr>
        <w:t>e</w:t>
      </w:r>
      <w:r w:rsidR="00B80710" w:rsidRPr="00B80710">
        <w:rPr>
          <w:rFonts w:ascii="Arial" w:hAnsi="Arial"/>
          <w:sz w:val="24"/>
        </w:rPr>
        <w:t xml:space="preserve">l Indicador Trimestral del Ahorro Bruto (ITAB) tiene como propósito disponer de una medición del ahorro bruto el cual representa la parte del ingreso disponible que no se gasta en bienes y servicios de consumo final, permitiendo con estos recursos la adquisición de activos por parte de los agentes económicos. </w:t>
      </w:r>
    </w:p>
    <w:p w14:paraId="359C2287" w14:textId="0AA7EE48" w:rsidR="00915112" w:rsidRPr="00B80710" w:rsidRDefault="00F97B40" w:rsidP="007242AA">
      <w:pPr>
        <w:pStyle w:val="p0"/>
        <w:rPr>
          <w:color w:val="auto"/>
        </w:rPr>
      </w:pPr>
      <w:hyperlink w:anchor="page3" w:history="1">
        <w:r w:rsidR="00B80710" w:rsidRPr="00B80710">
          <w:rPr>
            <w:color w:val="auto"/>
          </w:rPr>
          <w:t>Su cobertura geográfica es nacional y se</w:t>
        </w:r>
      </w:hyperlink>
      <w:r w:rsidR="00B80710" w:rsidRPr="00B80710">
        <w:rPr>
          <w:color w:val="auto"/>
        </w:rPr>
        <w:t xml:space="preserve"> </w:t>
      </w:r>
      <w:hyperlink w:anchor="page3" w:history="1">
        <w:r w:rsidR="00B80710" w:rsidRPr="00B80710">
          <w:rPr>
            <w:color w:val="auto"/>
          </w:rPr>
          <w:t xml:space="preserve">identifica en dos componentes de acuerdo con su origen Economía interna y Resto del mundo, expresándose sus resultados en valores corrientes y como participación porcentual respecto al Producto Interno Bruto (PIB). </w:t>
        </w:r>
      </w:hyperlink>
    </w:p>
    <w:p w14:paraId="58D4C569" w14:textId="3A1FDDCF" w:rsidR="00B80710" w:rsidRPr="00B80710" w:rsidRDefault="00B80710" w:rsidP="00D7012A">
      <w:pPr>
        <w:pStyle w:val="p0"/>
        <w:keepLines w:val="0"/>
        <w:rPr>
          <w:color w:val="auto"/>
        </w:rPr>
      </w:pPr>
      <w:r w:rsidRPr="00B80710">
        <w:rPr>
          <w:color w:val="auto"/>
        </w:rPr>
        <w:t xml:space="preserve">Para la elaboración de las cifras originales del Indicador, se siguen los conceptos, criterios metodológicos, clasificadores y datos fuente que se emplean en los cálculos anuales del Ahorro bruto. Asimismo, incorpora los lineamientos internacionales sobre contabilidad nacional que han establecido las Naciones Unidas (NU), la Organización para la Cooperación y Desarrollo Económicos (OCDE), el Banco Mundial (BM), el Fondo Monetario Internacional (FMI), y la Comisión Europea; dichas recomendaciones se encuentran difundidas en: Sistema de Cuentas Nacionales 2008 (SCN2008) y </w:t>
      </w:r>
      <w:proofErr w:type="spellStart"/>
      <w:r w:rsidRPr="00AD2EC1">
        <w:rPr>
          <w:i/>
          <w:iCs/>
          <w:color w:val="auto"/>
        </w:rPr>
        <w:t>Quarterly</w:t>
      </w:r>
      <w:proofErr w:type="spellEnd"/>
      <w:r w:rsidRPr="00AD2EC1">
        <w:rPr>
          <w:i/>
          <w:iCs/>
          <w:color w:val="auto"/>
        </w:rPr>
        <w:t xml:space="preserve"> </w:t>
      </w:r>
      <w:proofErr w:type="spellStart"/>
      <w:r w:rsidRPr="00AD2EC1">
        <w:rPr>
          <w:i/>
          <w:iCs/>
          <w:color w:val="auto"/>
        </w:rPr>
        <w:t>National</w:t>
      </w:r>
      <w:proofErr w:type="spellEnd"/>
      <w:r w:rsidRPr="00AD2EC1">
        <w:rPr>
          <w:i/>
          <w:iCs/>
          <w:color w:val="auto"/>
        </w:rPr>
        <w:t xml:space="preserve"> </w:t>
      </w:r>
      <w:proofErr w:type="spellStart"/>
      <w:r w:rsidRPr="00AD2EC1">
        <w:rPr>
          <w:i/>
          <w:iCs/>
          <w:color w:val="auto"/>
        </w:rPr>
        <w:t>Accounts</w:t>
      </w:r>
      <w:proofErr w:type="spellEnd"/>
      <w:r w:rsidRPr="00B80710">
        <w:rPr>
          <w:color w:val="auto"/>
        </w:rPr>
        <w:t xml:space="preserve"> </w:t>
      </w:r>
      <w:r w:rsidRPr="00DC30BD">
        <w:rPr>
          <w:i/>
          <w:iCs/>
          <w:color w:val="auto"/>
        </w:rPr>
        <w:t xml:space="preserve">Manual-2017 </w:t>
      </w:r>
      <w:proofErr w:type="spellStart"/>
      <w:r w:rsidRPr="00DC30BD">
        <w:rPr>
          <w:i/>
          <w:iCs/>
          <w:color w:val="auto"/>
        </w:rPr>
        <w:t>Edition</w:t>
      </w:r>
      <w:proofErr w:type="spellEnd"/>
      <w:r w:rsidRPr="00B80710">
        <w:rPr>
          <w:color w:val="auto"/>
        </w:rPr>
        <w:t xml:space="preserve"> (QNA 2017) editado por el Fondo Monetario Internacional y </w:t>
      </w:r>
      <w:proofErr w:type="spellStart"/>
      <w:r w:rsidRPr="00AD2EC1">
        <w:rPr>
          <w:i/>
          <w:iCs/>
          <w:color w:val="auto"/>
        </w:rPr>
        <w:t>Handbook</w:t>
      </w:r>
      <w:proofErr w:type="spellEnd"/>
      <w:r w:rsidRPr="00AD2EC1">
        <w:rPr>
          <w:i/>
          <w:iCs/>
          <w:color w:val="auto"/>
        </w:rPr>
        <w:t xml:space="preserve"> </w:t>
      </w:r>
      <w:proofErr w:type="spellStart"/>
      <w:r w:rsidRPr="00AD2EC1">
        <w:rPr>
          <w:i/>
          <w:iCs/>
          <w:color w:val="auto"/>
        </w:rPr>
        <w:t>on</w:t>
      </w:r>
      <w:proofErr w:type="spellEnd"/>
      <w:r w:rsidRPr="00AD2EC1">
        <w:rPr>
          <w:i/>
          <w:iCs/>
          <w:color w:val="auto"/>
        </w:rPr>
        <w:t xml:space="preserve"> </w:t>
      </w:r>
      <w:proofErr w:type="spellStart"/>
      <w:r w:rsidRPr="00AD2EC1">
        <w:rPr>
          <w:i/>
          <w:iCs/>
          <w:color w:val="auto"/>
        </w:rPr>
        <w:t>prices</w:t>
      </w:r>
      <w:proofErr w:type="spellEnd"/>
      <w:r w:rsidRPr="00AD2EC1">
        <w:rPr>
          <w:i/>
          <w:iCs/>
          <w:color w:val="auto"/>
        </w:rPr>
        <w:t xml:space="preserve"> and </w:t>
      </w:r>
      <w:proofErr w:type="spellStart"/>
      <w:r w:rsidRPr="00AD2EC1">
        <w:rPr>
          <w:i/>
          <w:iCs/>
          <w:color w:val="auto"/>
        </w:rPr>
        <w:t>volumes</w:t>
      </w:r>
      <w:proofErr w:type="spellEnd"/>
      <w:r w:rsidRPr="00AD2EC1">
        <w:rPr>
          <w:i/>
          <w:iCs/>
          <w:color w:val="auto"/>
        </w:rPr>
        <w:t xml:space="preserve"> </w:t>
      </w:r>
      <w:proofErr w:type="spellStart"/>
      <w:r w:rsidRPr="00AD2EC1">
        <w:rPr>
          <w:i/>
          <w:iCs/>
          <w:color w:val="auto"/>
        </w:rPr>
        <w:t>measures</w:t>
      </w:r>
      <w:proofErr w:type="spellEnd"/>
      <w:r w:rsidRPr="00AD2EC1">
        <w:rPr>
          <w:i/>
          <w:iCs/>
          <w:color w:val="auto"/>
        </w:rPr>
        <w:t xml:space="preserve"> in </w:t>
      </w:r>
      <w:proofErr w:type="spellStart"/>
      <w:r w:rsidRPr="00AD2EC1">
        <w:rPr>
          <w:i/>
          <w:iCs/>
          <w:color w:val="auto"/>
        </w:rPr>
        <w:t>national</w:t>
      </w:r>
      <w:proofErr w:type="spellEnd"/>
      <w:r w:rsidRPr="00AD2EC1">
        <w:rPr>
          <w:i/>
          <w:iCs/>
          <w:color w:val="auto"/>
        </w:rPr>
        <w:t xml:space="preserve"> </w:t>
      </w:r>
      <w:proofErr w:type="spellStart"/>
      <w:r w:rsidRPr="00AD2EC1">
        <w:rPr>
          <w:i/>
          <w:iCs/>
          <w:color w:val="auto"/>
        </w:rPr>
        <w:t>accounts</w:t>
      </w:r>
      <w:proofErr w:type="spellEnd"/>
      <w:r w:rsidRPr="00B80710">
        <w:rPr>
          <w:color w:val="auto"/>
        </w:rPr>
        <w:t xml:space="preserve"> 2016, publicado por Eurostat.</w:t>
      </w:r>
    </w:p>
    <w:p w14:paraId="2E2DA41A" w14:textId="77777777" w:rsidR="00D7012A" w:rsidRDefault="00D7012A" w:rsidP="00B3030A">
      <w:pPr>
        <w:pStyle w:val="p0"/>
        <w:rPr>
          <w:color w:val="auto"/>
        </w:rPr>
      </w:pPr>
    </w:p>
    <w:p w14:paraId="398E2A6E" w14:textId="77777777" w:rsidR="00D7012A" w:rsidRDefault="00D7012A" w:rsidP="00B3030A">
      <w:pPr>
        <w:pStyle w:val="p0"/>
        <w:rPr>
          <w:color w:val="auto"/>
        </w:rPr>
      </w:pPr>
    </w:p>
    <w:p w14:paraId="75A62EFF" w14:textId="27FD4008" w:rsidR="00B80710" w:rsidRPr="00B80710" w:rsidRDefault="00B80710" w:rsidP="00B3030A">
      <w:pPr>
        <w:pStyle w:val="p0"/>
        <w:rPr>
          <w:color w:val="auto"/>
        </w:rPr>
      </w:pPr>
      <w:r w:rsidRPr="00B80710">
        <w:rPr>
          <w:color w:val="auto"/>
        </w:rPr>
        <w:t xml:space="preserve">Las principales fuentes de información para este indicador son los cuadros de Oferta y Utilización Trimestral, la Balanza de Pagos publicada por el Banco de México, así como los resultados del Producto Interno Bruto Trimestral (PIB). </w:t>
      </w:r>
    </w:p>
    <w:p w14:paraId="7983771B" w14:textId="4DBB5373" w:rsidR="00B80710" w:rsidRPr="00B80710" w:rsidRDefault="00B80710" w:rsidP="00D7012A">
      <w:pPr>
        <w:pStyle w:val="p0"/>
        <w:rPr>
          <w:color w:val="auto"/>
        </w:rPr>
      </w:pPr>
      <w:r w:rsidRPr="00B80710">
        <w:rPr>
          <w:color w:val="auto"/>
        </w:rPr>
        <w:t xml:space="preserve">De acuerdo con la identidad que señala que el Ahorro es igual a la Inversión, se asume que el nivel que corresponde a la Inversión Bruta Total es igual al nivel del Ahorro Bruto Total. Con el objeto de obtener la Inversión Bruta Total se suman los niveles de la Formación Bruta de Capital Fijo y de la Variación de Existencias. El Ahorro para la economía interna, se obtiene por diferencia entre el Ahorro Bruto Total y la cuantificación del ahorro que corresponde al resto del mundo. </w:t>
      </w:r>
    </w:p>
    <w:p w14:paraId="37A9F4CE" w14:textId="51966BE2" w:rsidR="00B80710" w:rsidRPr="00B80710" w:rsidRDefault="00B80710" w:rsidP="00901E0F">
      <w:pPr>
        <w:pStyle w:val="p0"/>
        <w:rPr>
          <w:color w:val="auto"/>
        </w:rPr>
      </w:pPr>
      <w:r w:rsidRPr="00B80710">
        <w:rPr>
          <w:color w:val="auto"/>
        </w:rPr>
        <w:t>Para calcular el Ahorro Externo, se considera el Saldo de la Cuenta Corriente de la Balanza de Pagos, el cual, para expresarlo en cifras anualizadas, se multiplica por cuatro y se incluye en el cálculo del Ahorro con signo contrario. Lo anterior debido a que si el saldo de la Cuenta Corriente de la Balanza de Pagos es negativo representa que el resto del mundo financia nuestra inversión y, por el contrario, si el saldo es positivo significa que nuestra economía financia al resto del mundo.</w:t>
      </w:r>
    </w:p>
    <w:p w14:paraId="31F2BEC1" w14:textId="6647C3E3" w:rsidR="00B80710" w:rsidRPr="00B80710" w:rsidRDefault="00B80710" w:rsidP="00AA3903">
      <w:pPr>
        <w:spacing w:before="240" w:after="240"/>
        <w:rPr>
          <w:rFonts w:ascii="Arial" w:hAnsi="Arial" w:cs="Arial"/>
          <w:sz w:val="24"/>
          <w:szCs w:val="32"/>
        </w:rPr>
      </w:pPr>
      <w:r w:rsidRPr="00B80710">
        <w:rPr>
          <w:rFonts w:ascii="Arial" w:hAnsi="Arial" w:cs="Arial"/>
          <w:sz w:val="24"/>
          <w:szCs w:val="24"/>
        </w:rPr>
        <w:t xml:space="preserve">Un mayor detalle de la descripción metodológica se puede consultar en: </w:t>
      </w:r>
      <w:hyperlink r:id="rId35" w:history="1">
        <w:r w:rsidRPr="00B80710">
          <w:rPr>
            <w:rStyle w:val="Hipervnculo"/>
            <w:rFonts w:ascii="Arial" w:hAnsi="Arial" w:cs="Arial"/>
            <w:sz w:val="24"/>
            <w:szCs w:val="32"/>
          </w:rPr>
          <w:t>https://www.inegi.org.mx/contenidos/programas/itab/2013/doc/met_itab.pdf</w:t>
        </w:r>
      </w:hyperlink>
    </w:p>
    <w:p w14:paraId="488CADC2" w14:textId="785B518B" w:rsidR="00B80710" w:rsidRPr="00B80710" w:rsidRDefault="00B80710" w:rsidP="00AA3903">
      <w:pPr>
        <w:pStyle w:val="p0"/>
        <w:rPr>
          <w:color w:val="auto"/>
        </w:rPr>
      </w:pPr>
      <w:r w:rsidRPr="00B80710">
        <w:rPr>
          <w:color w:val="auto"/>
        </w:rPr>
        <w:t>Los cálculos de corto plazo se alinean con las cifras anuales de las Cuentas de Bienes y Servicios, aplicando la técnica Denton a nivel de clase de actividad económica, evitando que se interpreten de diferente manera resultados que pueden diferir por su grado de cobertura o por la fecha de su disponibilidad, pero nunca en su base conceptual</w:t>
      </w:r>
      <w:r w:rsidR="00AA3903">
        <w:rPr>
          <w:color w:val="auto"/>
        </w:rPr>
        <w:t>. É</w:t>
      </w:r>
      <w:r w:rsidRPr="00B80710">
        <w:rPr>
          <w:color w:val="auto"/>
        </w:rPr>
        <w:t>ste es el caso para la formación bruta de capital y la variación de existencias como componentes del ITAB.</w:t>
      </w:r>
    </w:p>
    <w:p w14:paraId="0858A29A" w14:textId="6BF85A40" w:rsidR="00B80710" w:rsidRPr="00B80710" w:rsidRDefault="00B80710" w:rsidP="00D7012A">
      <w:pPr>
        <w:pStyle w:val="p0"/>
        <w:rPr>
          <w:color w:val="auto"/>
        </w:rPr>
      </w:pPr>
      <w:r w:rsidRPr="00B80710">
        <w:rPr>
          <w:color w:val="auto"/>
        </w:rPr>
        <w:t>Los datos trimestrales del ITAB están disponibles desde el primer trimestre de 1993 y se expresan en millones de pesos, así como la participación porcentual respecto al Producto Interno Bruto (PIB), nominal.</w:t>
      </w:r>
    </w:p>
    <w:p w14:paraId="24BFFC6A" w14:textId="0FC2BEE6" w:rsidR="00B80710" w:rsidRPr="00B80710" w:rsidRDefault="00B80710" w:rsidP="00D7012A">
      <w:pPr>
        <w:pStyle w:val="parrafo1"/>
        <w:widowControl w:val="0"/>
        <w:spacing w:before="240"/>
        <w:ind w:left="0" w:right="51"/>
        <w:rPr>
          <w:szCs w:val="24"/>
        </w:rPr>
      </w:pPr>
      <w:r w:rsidRPr="00B80710">
        <w:rPr>
          <w:szCs w:val="24"/>
          <w:lang w:val="es-MX"/>
        </w:rPr>
        <w:t xml:space="preserve">Las series del ITAB pueden ser consultadas en la sección PIB y Cuentas Nacionales de México </w:t>
      </w:r>
      <w:hyperlink r:id="rId36" w:history="1">
        <w:r w:rsidRPr="00B80710">
          <w:rPr>
            <w:rStyle w:val="Hipervnculo"/>
            <w:szCs w:val="24"/>
          </w:rPr>
          <w:t>https://www.inegi.org.mx/temas/itab/</w:t>
        </w:r>
      </w:hyperlink>
      <w:r w:rsidRPr="00B80710">
        <w:rPr>
          <w:szCs w:val="24"/>
        </w:rPr>
        <w:t xml:space="preserve">, en el Banco de Información Económica (BIE) </w:t>
      </w:r>
      <w:hyperlink r:id="rId37" w:history="1">
        <w:r w:rsidRPr="00B80710">
          <w:rPr>
            <w:rStyle w:val="Hipervnculo"/>
            <w:szCs w:val="24"/>
          </w:rPr>
          <w:t>https://www.inegi.org.mx/app/indicadores/bie.html</w:t>
        </w:r>
      </w:hyperlink>
      <w:r w:rsidRPr="00B80710">
        <w:rPr>
          <w:szCs w:val="24"/>
        </w:rPr>
        <w:t xml:space="preserve">, en la página en Internet del Instituto </w:t>
      </w:r>
      <w:r w:rsidRPr="00B80710">
        <w:rPr>
          <w:color w:val="0070C0"/>
          <w:szCs w:val="24"/>
          <w:u w:val="single"/>
        </w:rPr>
        <w:t>https://</w:t>
      </w:r>
      <w:hyperlink r:id="rId38" w:history="1">
        <w:r w:rsidRPr="00B80710">
          <w:rPr>
            <w:rStyle w:val="Hipervnculo"/>
            <w:color w:val="0070C0"/>
            <w:szCs w:val="24"/>
          </w:rPr>
          <w:t>www.inegi.org.mx</w:t>
        </w:r>
      </w:hyperlink>
      <w:r w:rsidRPr="00B80710">
        <w:rPr>
          <w:color w:val="0070C0"/>
          <w:szCs w:val="24"/>
          <w:u w:val="single"/>
        </w:rPr>
        <w:t>.</w:t>
      </w:r>
    </w:p>
    <w:p w14:paraId="48BF5FEA" w14:textId="77777777" w:rsidR="00D7012A" w:rsidRDefault="00D7012A">
      <w:pPr>
        <w:widowControl/>
        <w:rPr>
          <w:rFonts w:ascii="Arial" w:hAnsi="Arial"/>
          <w:sz w:val="24"/>
        </w:rPr>
      </w:pPr>
      <w:r>
        <w:br w:type="page"/>
      </w:r>
    </w:p>
    <w:p w14:paraId="620080A1" w14:textId="77777777" w:rsidR="00D7012A" w:rsidRDefault="00D7012A" w:rsidP="00901E0F">
      <w:pPr>
        <w:pStyle w:val="p0"/>
        <w:keepLines w:val="0"/>
        <w:rPr>
          <w:color w:val="auto"/>
        </w:rPr>
      </w:pPr>
    </w:p>
    <w:p w14:paraId="78C32F89" w14:textId="70CF7676" w:rsidR="00D82B83" w:rsidRPr="00D82B83" w:rsidRDefault="00D82B83" w:rsidP="00901E0F">
      <w:pPr>
        <w:pStyle w:val="p0"/>
        <w:keepLines w:val="0"/>
        <w:rPr>
          <w:color w:val="auto"/>
        </w:rPr>
      </w:pPr>
      <w:r w:rsidRPr="00D82B83">
        <w:rPr>
          <w:color w:val="auto"/>
        </w:rPr>
        <w:t>Es importante destacar que la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 por ejemplo, la elevada producción de juguetes en los meses previos a la Navidad, provocada por la expectativa de mayores ventas en diciembre.</w:t>
      </w:r>
    </w:p>
    <w:p w14:paraId="730381DE" w14:textId="4BDCE34C" w:rsidR="00D82B83" w:rsidRPr="00D82B83" w:rsidRDefault="00D82B83" w:rsidP="005D2A88">
      <w:pPr>
        <w:pStyle w:val="p0"/>
        <w:rPr>
          <w:color w:val="auto"/>
        </w:rPr>
      </w:pPr>
      <w:r w:rsidRPr="00D82B83">
        <w:rPr>
          <w:color w:val="auto"/>
        </w:rPr>
        <w:t xml:space="preserve">En este sentido, la desestacionalización o ajuste estacional de series económicas consiste en remover estas influencias </w:t>
      </w:r>
      <w:proofErr w:type="spellStart"/>
      <w:r w:rsidRPr="00D82B83">
        <w:rPr>
          <w:color w:val="auto"/>
        </w:rPr>
        <w:t>intra-anuales</w:t>
      </w:r>
      <w:proofErr w:type="spellEnd"/>
      <w:r w:rsidRPr="00D82B83">
        <w:rPr>
          <w:color w:val="auto"/>
        </w:rPr>
        <w:t xml:space="preserve"> periódicas, debido a que su presencia dificulta diagnosticar o describir el comportamiento de una serie económica al no poder comparar, adecuadamente, un determinado mes con el inmediato anterior.</w:t>
      </w:r>
    </w:p>
    <w:p w14:paraId="689A1F73" w14:textId="77777777" w:rsidR="00D82B83" w:rsidRPr="00D82B83" w:rsidRDefault="00D82B83" w:rsidP="007242AA">
      <w:pPr>
        <w:pStyle w:val="p0"/>
        <w:rPr>
          <w:color w:val="auto"/>
        </w:rPr>
      </w:pPr>
      <w:r w:rsidRPr="00D82B83">
        <w:rPr>
          <w:color w:val="auto"/>
        </w:rPr>
        <w:t xml:space="preserve">Analizar la serie desestacionalizada ayuda a realizar un mejor diagnóstico y pronóstico de su evolución ya que permite identificar la posible dirección de los movimientos que pudiera tener la variable en cuestión, en el corto plazo. </w:t>
      </w:r>
    </w:p>
    <w:p w14:paraId="7BB57E14" w14:textId="5A5879A3" w:rsidR="00D82B83" w:rsidRPr="00D82B83" w:rsidRDefault="00D82B83" w:rsidP="00901E0F">
      <w:pPr>
        <w:pStyle w:val="p0"/>
        <w:rPr>
          <w:color w:val="auto"/>
        </w:rPr>
      </w:pPr>
      <w:r w:rsidRPr="00D82B83">
        <w:rPr>
          <w:color w:val="auto"/>
        </w:rPr>
        <w:t>Las series originales se ajustan estacionalmente mediante el paquete estadístico X</w:t>
      </w:r>
      <w:r w:rsidRPr="00D82B83">
        <w:rPr>
          <w:color w:val="auto"/>
        </w:rPr>
        <w:noBreakHyphen/>
        <w:t>13ARIMA-SEATS. Para conocer la metodología se sugiere consultar la siguiente liga:</w:t>
      </w:r>
    </w:p>
    <w:p w14:paraId="610B352E" w14:textId="7CB2B667" w:rsidR="00D82B83" w:rsidRDefault="00F97B40" w:rsidP="00D82B83">
      <w:pPr>
        <w:pStyle w:val="p0"/>
        <w:spacing w:before="120"/>
        <w:rPr>
          <w:color w:val="auto"/>
        </w:rPr>
      </w:pPr>
      <w:hyperlink r:id="rId39" w:history="1">
        <w:r w:rsidR="00D82B83" w:rsidRPr="00D82B83">
          <w:rPr>
            <w:rStyle w:val="Hipervnculo"/>
          </w:rPr>
          <w:t>https://www.inegi.org.mx/app/biblioteca/ficha.html?upc=702825099060</w:t>
        </w:r>
      </w:hyperlink>
    </w:p>
    <w:p w14:paraId="1B2916C6" w14:textId="06042338" w:rsidR="00915112" w:rsidRDefault="00AD2EC1" w:rsidP="00D82B83">
      <w:pPr>
        <w:pStyle w:val="p0"/>
        <w:rPr>
          <w:color w:val="auto"/>
        </w:rPr>
      </w:pPr>
      <w:r w:rsidRPr="00B80710">
        <w:rPr>
          <w:color w:val="auto"/>
        </w:rPr>
        <w:t>La información contenida en este documento es generada por el INEGI con base en los indicadores de corto plazo del Sistema de Cuentas Nacionales de México y se da a conocer en la fecha establecida en el Calendario de difusión de información estadística y geográfica y de Interés Nacional.</w:t>
      </w:r>
    </w:p>
    <w:sectPr w:rsidR="00915112" w:rsidSect="001E428E">
      <w:headerReference w:type="default" r:id="rId40"/>
      <w:footerReference w:type="default" r:id="rId41"/>
      <w:headerReference w:type="first" r:id="rId42"/>
      <w:footerReference w:type="first" r:id="rId43"/>
      <w:pgSz w:w="12240" w:h="15840"/>
      <w:pgMar w:top="426" w:right="1750" w:bottom="851" w:left="1871" w:header="720" w:footer="720" w:gutter="0"/>
      <w:paperSrc w:first="259" w:other="259"/>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74CE8" w14:textId="77777777" w:rsidR="00F97B40" w:rsidRDefault="00F97B40">
      <w:r>
        <w:separator/>
      </w:r>
    </w:p>
  </w:endnote>
  <w:endnote w:type="continuationSeparator" w:id="0">
    <w:p w14:paraId="329F9CC8" w14:textId="77777777" w:rsidR="00F97B40" w:rsidRDefault="00F97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BDF17" w14:textId="77777777" w:rsidR="00856F76" w:rsidRPr="0004737E" w:rsidRDefault="00856F76" w:rsidP="00856F76">
    <w:pPr>
      <w:pStyle w:val="Piedepgina"/>
      <w:contextualSpacing/>
      <w:jc w:val="center"/>
      <w:rPr>
        <w:rFonts w:ascii="Arial" w:hAnsi="Arial" w:cs="Arial"/>
        <w:color w:val="002060"/>
        <w:sz w:val="18"/>
        <w:szCs w:val="18"/>
      </w:rPr>
    </w:pPr>
    <w:r w:rsidRPr="0004737E">
      <w:rPr>
        <w:rFonts w:ascii="Arial" w:hAnsi="Arial" w:cs="Arial"/>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BAC0E" w14:textId="77777777" w:rsidR="00856F76" w:rsidRPr="00636ECE" w:rsidRDefault="00856F76" w:rsidP="0034506E">
    <w:pPr>
      <w:pStyle w:val="Piedepgina"/>
      <w:jc w:val="center"/>
      <w:rPr>
        <w:rFonts w:ascii="Arial" w:hAnsi="Arial"/>
        <w:b/>
      </w:rPr>
    </w:pPr>
    <w:r w:rsidRPr="004D6FA5">
      <w:rPr>
        <w:rFonts w:ascii="Arial" w:hAnsi="Arial"/>
        <w:b/>
        <w:color w:val="002060"/>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4F894" w14:textId="77777777" w:rsidR="00856F76" w:rsidRDefault="00856F76" w:rsidP="001A1A23">
    <w:pPr>
      <w:pStyle w:val="Piedepgina"/>
      <w:jc w:val="center"/>
    </w:pPr>
    <w:r>
      <w:rPr>
        <w:rFonts w:ascii="Arial" w:hAnsi="Arial"/>
        <w:b/>
        <w:sz w:val="24"/>
      </w:rPr>
      <w:t>COMUNICACIÓN SOCIAL</w:t>
    </w:r>
  </w:p>
  <w:p w14:paraId="32311D35" w14:textId="77777777" w:rsidR="00856F76" w:rsidRDefault="00856F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43C4B" w14:textId="77777777" w:rsidR="00F97B40" w:rsidRDefault="00F97B40">
      <w:r>
        <w:separator/>
      </w:r>
    </w:p>
  </w:footnote>
  <w:footnote w:type="continuationSeparator" w:id="0">
    <w:p w14:paraId="6839C653" w14:textId="77777777" w:rsidR="00F97B40" w:rsidRDefault="00F97B40">
      <w:r>
        <w:continuationSeparator/>
      </w:r>
    </w:p>
  </w:footnote>
  <w:footnote w:id="1">
    <w:p w14:paraId="1D6771C0" w14:textId="77777777" w:rsidR="00856F76" w:rsidRPr="00BD64BD" w:rsidRDefault="00856F76" w:rsidP="00856F76">
      <w:pPr>
        <w:pStyle w:val="Textonotapie"/>
        <w:ind w:left="142" w:right="-547" w:hanging="142"/>
        <w:jc w:val="both"/>
        <w:rPr>
          <w:rFonts w:ascii="Arial" w:hAnsi="Arial" w:cs="Arial"/>
          <w:sz w:val="18"/>
          <w:szCs w:val="18"/>
        </w:rPr>
      </w:pPr>
      <w:r w:rsidRPr="00BD64BD">
        <w:rPr>
          <w:rStyle w:val="Refdenotaalpie"/>
          <w:rFonts w:ascii="Arial" w:hAnsi="Arial"/>
          <w:sz w:val="16"/>
          <w:szCs w:val="16"/>
        </w:rPr>
        <w:footnoteRef/>
      </w:r>
      <w:r w:rsidRPr="00BD64BD">
        <w:rPr>
          <w:rStyle w:val="Refdenotaalpie"/>
          <w:rFonts w:ascii="Arial" w:hAnsi="Arial"/>
          <w:sz w:val="16"/>
          <w:szCs w:val="16"/>
        </w:rPr>
        <w:t xml:space="preserve"> </w:t>
      </w:r>
      <w:r w:rsidRPr="00BD64BD">
        <w:rPr>
          <w:rFonts w:ascii="Arial" w:hAnsi="Arial" w:cs="Arial"/>
          <w:sz w:val="16"/>
          <w:szCs w:val="16"/>
        </w:rPr>
        <w:tab/>
        <w:t>Año base 2013.</w:t>
      </w:r>
    </w:p>
  </w:footnote>
  <w:footnote w:id="2">
    <w:p w14:paraId="2483837E" w14:textId="77777777" w:rsidR="00856F76" w:rsidRPr="001E428E" w:rsidRDefault="00856F76" w:rsidP="00856F76">
      <w:pPr>
        <w:pStyle w:val="Textonotapie"/>
        <w:ind w:left="142" w:right="-547" w:hanging="142"/>
        <w:jc w:val="both"/>
        <w:rPr>
          <w:rFonts w:ascii="Arial" w:hAnsi="Arial" w:cs="Arial"/>
          <w:sz w:val="16"/>
          <w:szCs w:val="16"/>
        </w:rPr>
      </w:pPr>
      <w:r w:rsidRPr="00BD64BD">
        <w:rPr>
          <w:rStyle w:val="Refdenotaalpie"/>
          <w:rFonts w:ascii="Arial" w:hAnsi="Arial"/>
          <w:sz w:val="16"/>
          <w:szCs w:val="16"/>
        </w:rPr>
        <w:footnoteRef/>
      </w:r>
      <w:r w:rsidRPr="00BD64BD">
        <w:rPr>
          <w:rStyle w:val="Refdenotaalpie"/>
          <w:rFonts w:ascii="Arial" w:hAnsi="Arial"/>
          <w:sz w:val="16"/>
          <w:szCs w:val="16"/>
        </w:rPr>
        <w:t xml:space="preserve"> </w:t>
      </w:r>
      <w:r w:rsidRPr="00BD64BD">
        <w:rPr>
          <w:rFonts w:ascii="Arial" w:hAnsi="Arial" w:cs="Arial"/>
          <w:sz w:val="16"/>
          <w:szCs w:val="16"/>
        </w:rPr>
        <w:tab/>
      </w:r>
      <w:r w:rsidRPr="001E428E">
        <w:rPr>
          <w:rFonts w:ascii="Arial" w:hAnsi="Arial" w:cs="Arial"/>
          <w:sz w:val="16"/>
          <w:szCs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footnote>
  <w:footnote w:id="3">
    <w:p w14:paraId="64584576" w14:textId="77777777" w:rsidR="00856F76" w:rsidRDefault="00856F76" w:rsidP="00856F76">
      <w:pPr>
        <w:pStyle w:val="Textonotapie"/>
        <w:ind w:left="142" w:right="-547" w:hanging="142"/>
        <w:jc w:val="both"/>
        <w:rPr>
          <w:rFonts w:ascii="Arial" w:hAnsi="Arial" w:cs="Arial"/>
          <w:sz w:val="16"/>
          <w:szCs w:val="16"/>
        </w:rPr>
      </w:pPr>
      <w:r w:rsidRPr="00BD64BD">
        <w:rPr>
          <w:rStyle w:val="Refdenotaalpie"/>
          <w:rFonts w:ascii="Arial" w:hAnsi="Arial"/>
          <w:sz w:val="16"/>
          <w:szCs w:val="16"/>
        </w:rPr>
        <w:footnoteRef/>
      </w:r>
      <w:r w:rsidRPr="00BD64BD">
        <w:rPr>
          <w:rStyle w:val="Refdenotaalpie"/>
          <w:rFonts w:ascii="Arial" w:hAnsi="Arial"/>
          <w:sz w:val="16"/>
          <w:szCs w:val="16"/>
        </w:rPr>
        <w:t xml:space="preserve"> </w:t>
      </w:r>
      <w:r w:rsidRPr="00BD64BD">
        <w:rPr>
          <w:rFonts w:ascii="Arial" w:hAnsi="Arial" w:cs="Arial"/>
          <w:sz w:val="16"/>
          <w:szCs w:val="16"/>
        </w:rPr>
        <w:tab/>
      </w:r>
      <w:r w:rsidRPr="001E428E">
        <w:rPr>
          <w:rFonts w:ascii="Arial" w:hAnsi="Arial" w:cs="Arial"/>
          <w:sz w:val="16"/>
          <w:szCs w:val="16"/>
        </w:rPr>
        <w:t>Representa la parte del ingreso disponible que no se gasta ni en bienes ni en servicios de consumo final, permitiendo con estos recursos la adquisición de activos por parte de los agentes económicos</w:t>
      </w:r>
      <w:r>
        <w:rPr>
          <w:rFonts w:ascii="Arial" w:hAnsi="Arial" w:cs="Arial"/>
          <w:sz w:val="16"/>
          <w:szCs w:val="16"/>
        </w:rPr>
        <w:t>. S</w:t>
      </w:r>
      <w:r w:rsidRPr="001E428E">
        <w:rPr>
          <w:rFonts w:ascii="Arial" w:hAnsi="Arial" w:cs="Arial"/>
          <w:sz w:val="16"/>
          <w:szCs w:val="16"/>
        </w:rPr>
        <w:t xml:space="preserve">e constituye por dos principales componentes, de acuerdo </w:t>
      </w:r>
      <w:r>
        <w:rPr>
          <w:rFonts w:ascii="Arial" w:hAnsi="Arial" w:cs="Arial"/>
          <w:sz w:val="16"/>
          <w:szCs w:val="16"/>
        </w:rPr>
        <w:t>con</w:t>
      </w:r>
      <w:r w:rsidRPr="001E428E">
        <w:rPr>
          <w:rFonts w:ascii="Arial" w:hAnsi="Arial" w:cs="Arial"/>
          <w:sz w:val="16"/>
          <w:szCs w:val="16"/>
        </w:rPr>
        <w:t xml:space="preserve"> su origen: Economía Interna y Resto del Mundo. </w:t>
      </w:r>
    </w:p>
    <w:p w14:paraId="296DA968" w14:textId="77777777" w:rsidR="00856F76" w:rsidRDefault="00856F76" w:rsidP="00856F76">
      <w:pPr>
        <w:pStyle w:val="Textonotapie"/>
        <w:ind w:left="142" w:hanging="142"/>
        <w:jc w:val="both"/>
        <w:rPr>
          <w:rFonts w:ascii="Arial" w:hAnsi="Arial" w:cs="Arial"/>
          <w:sz w:val="16"/>
          <w:szCs w:val="16"/>
        </w:rPr>
      </w:pPr>
    </w:p>
    <w:p w14:paraId="6F08BB5E" w14:textId="77777777" w:rsidR="00856F76" w:rsidRPr="008927F7" w:rsidRDefault="00856F76" w:rsidP="00856F76">
      <w:pPr>
        <w:pStyle w:val="Textonotapie"/>
        <w:ind w:left="142" w:hanging="142"/>
        <w:jc w:val="both"/>
        <w:rPr>
          <w:rFonts w:ascii="Arial" w:hAnsi="Arial" w:cs="Arial"/>
          <w:sz w:val="16"/>
          <w:szCs w:val="16"/>
        </w:rPr>
      </w:pPr>
    </w:p>
  </w:footnote>
  <w:footnote w:id="4">
    <w:p w14:paraId="62076FF4" w14:textId="77777777" w:rsidR="00856F76" w:rsidRPr="00BD64BD" w:rsidRDefault="00856F76" w:rsidP="00481678">
      <w:pPr>
        <w:pStyle w:val="Textonotapie"/>
        <w:ind w:left="142" w:hanging="142"/>
        <w:jc w:val="both"/>
        <w:rPr>
          <w:rFonts w:ascii="Arial" w:hAnsi="Arial" w:cs="Arial"/>
          <w:sz w:val="18"/>
          <w:szCs w:val="18"/>
        </w:rPr>
      </w:pPr>
      <w:r w:rsidRPr="00BD64BD">
        <w:rPr>
          <w:rStyle w:val="Refdenotaalpie"/>
          <w:rFonts w:ascii="Arial" w:hAnsi="Arial"/>
          <w:sz w:val="16"/>
          <w:szCs w:val="16"/>
        </w:rPr>
        <w:footnoteRef/>
      </w:r>
      <w:r w:rsidRPr="00BD64BD">
        <w:rPr>
          <w:rStyle w:val="Refdenotaalpie"/>
          <w:rFonts w:ascii="Arial" w:hAnsi="Arial"/>
          <w:sz w:val="16"/>
          <w:szCs w:val="16"/>
        </w:rPr>
        <w:t xml:space="preserve"> </w:t>
      </w:r>
      <w:r w:rsidRPr="00BD64BD">
        <w:rPr>
          <w:rFonts w:ascii="Arial" w:hAnsi="Arial" w:cs="Arial"/>
          <w:sz w:val="16"/>
          <w:szCs w:val="16"/>
        </w:rPr>
        <w:tab/>
        <w:t>Año base 2013.</w:t>
      </w:r>
    </w:p>
  </w:footnote>
  <w:footnote w:id="5">
    <w:p w14:paraId="0B752D80" w14:textId="5FC4E073" w:rsidR="00856F76" w:rsidRDefault="00856F76" w:rsidP="000230B9">
      <w:pPr>
        <w:pStyle w:val="Textonotapie"/>
        <w:ind w:left="142" w:hanging="142"/>
        <w:jc w:val="both"/>
        <w:rPr>
          <w:rFonts w:ascii="Arial" w:hAnsi="Arial" w:cs="Arial"/>
          <w:sz w:val="16"/>
          <w:szCs w:val="16"/>
        </w:rPr>
      </w:pPr>
      <w:r w:rsidRPr="00BD64BD">
        <w:rPr>
          <w:rStyle w:val="Refdenotaalpie"/>
          <w:rFonts w:ascii="Arial" w:hAnsi="Arial"/>
          <w:sz w:val="16"/>
          <w:szCs w:val="16"/>
        </w:rPr>
        <w:footnoteRef/>
      </w:r>
      <w:r w:rsidRPr="00BD64BD">
        <w:rPr>
          <w:rStyle w:val="Refdenotaalpie"/>
          <w:rFonts w:ascii="Arial" w:hAnsi="Arial"/>
          <w:sz w:val="16"/>
          <w:szCs w:val="16"/>
        </w:rPr>
        <w:t xml:space="preserve"> </w:t>
      </w:r>
      <w:r w:rsidRPr="00BD64BD">
        <w:rPr>
          <w:rFonts w:ascii="Arial" w:hAnsi="Arial" w:cs="Arial"/>
          <w:sz w:val="16"/>
          <w:szCs w:val="16"/>
        </w:rPr>
        <w:tab/>
      </w:r>
      <w:r w:rsidRPr="001E428E">
        <w:rPr>
          <w:rFonts w:ascii="Arial" w:hAnsi="Arial" w:cs="Arial"/>
          <w:sz w:val="16"/>
          <w:szCs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14:paraId="1EE37518" w14:textId="77777777" w:rsidR="00B22AE6" w:rsidRPr="001E428E" w:rsidRDefault="00B22AE6" w:rsidP="000230B9">
      <w:pPr>
        <w:pStyle w:val="Textonotapie"/>
        <w:ind w:left="142" w:hanging="142"/>
        <w:jc w:val="both"/>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8F504" w14:textId="753BD111" w:rsidR="00856F76" w:rsidRPr="006F6587" w:rsidRDefault="00856F76" w:rsidP="00937F81">
    <w:pPr>
      <w:pStyle w:val="Encabezado"/>
      <w:framePr w:w="5404" w:hSpace="141" w:wrap="auto" w:vAnchor="text" w:hAnchor="page" w:x="5702" w:y="34"/>
      <w:ind w:left="567" w:hanging="11"/>
      <w:jc w:val="right"/>
      <w:rPr>
        <w:rFonts w:ascii="Arial" w:hAnsi="Arial" w:cs="Arial"/>
        <w:b/>
        <w:color w:val="002060"/>
        <w:sz w:val="24"/>
        <w:szCs w:val="24"/>
      </w:rPr>
    </w:pPr>
    <w:r w:rsidRPr="006F6587">
      <w:rPr>
        <w:rFonts w:ascii="Arial" w:hAnsi="Arial" w:cs="Arial"/>
        <w:b/>
        <w:color w:val="002060"/>
        <w:sz w:val="24"/>
        <w:szCs w:val="24"/>
      </w:rPr>
      <w:t xml:space="preserve">COMUNICADO DE PRENSA NÚM. </w:t>
    </w:r>
    <w:r w:rsidR="001559BA">
      <w:rPr>
        <w:rFonts w:ascii="Arial" w:hAnsi="Arial" w:cs="Arial"/>
        <w:b/>
        <w:color w:val="002060"/>
        <w:sz w:val="24"/>
        <w:szCs w:val="24"/>
      </w:rPr>
      <w:t>529</w:t>
    </w:r>
    <w:r w:rsidRPr="006F6587">
      <w:rPr>
        <w:rFonts w:ascii="Arial" w:hAnsi="Arial" w:cs="Arial"/>
        <w:b/>
        <w:color w:val="002060"/>
        <w:sz w:val="24"/>
        <w:szCs w:val="24"/>
      </w:rPr>
      <w:t>/21</w:t>
    </w:r>
  </w:p>
  <w:p w14:paraId="1BAC7BA3" w14:textId="77777777" w:rsidR="00856F76" w:rsidRPr="006F6587" w:rsidRDefault="00856F76" w:rsidP="00937F81">
    <w:pPr>
      <w:pStyle w:val="Encabezado"/>
      <w:framePr w:w="5404" w:hSpace="141" w:wrap="auto" w:vAnchor="text" w:hAnchor="page" w:x="5702" w:y="34"/>
      <w:ind w:left="567" w:hanging="11"/>
      <w:jc w:val="right"/>
      <w:rPr>
        <w:rFonts w:ascii="Arial" w:hAnsi="Arial" w:cs="Arial"/>
        <w:b/>
        <w:color w:val="002060"/>
        <w:sz w:val="24"/>
        <w:szCs w:val="24"/>
        <w:lang w:val="pt-BR"/>
      </w:rPr>
    </w:pPr>
    <w:r>
      <w:rPr>
        <w:rFonts w:ascii="Arial" w:hAnsi="Arial" w:cs="Arial"/>
        <w:b/>
        <w:color w:val="002060"/>
        <w:sz w:val="24"/>
        <w:szCs w:val="24"/>
        <w:lang w:val="pt-BR"/>
      </w:rPr>
      <w:t>20</w:t>
    </w:r>
    <w:r w:rsidRPr="006F6587">
      <w:rPr>
        <w:rFonts w:ascii="Arial" w:hAnsi="Arial" w:cs="Arial"/>
        <w:b/>
        <w:color w:val="002060"/>
        <w:sz w:val="24"/>
        <w:szCs w:val="24"/>
        <w:lang w:val="pt-BR"/>
      </w:rPr>
      <w:t xml:space="preserve"> DE </w:t>
    </w:r>
    <w:r>
      <w:rPr>
        <w:rFonts w:ascii="Arial" w:hAnsi="Arial" w:cs="Arial"/>
        <w:b/>
        <w:color w:val="002060"/>
        <w:sz w:val="24"/>
        <w:szCs w:val="24"/>
        <w:lang w:val="pt-BR"/>
      </w:rPr>
      <w:t xml:space="preserve">SEPTIEMBRE </w:t>
    </w:r>
    <w:r w:rsidRPr="006F6587">
      <w:rPr>
        <w:rFonts w:ascii="Arial" w:hAnsi="Arial" w:cs="Arial"/>
        <w:b/>
        <w:color w:val="002060"/>
        <w:sz w:val="24"/>
        <w:szCs w:val="24"/>
        <w:lang w:val="pt-BR"/>
      </w:rPr>
      <w:t>DE 2021</w:t>
    </w:r>
  </w:p>
  <w:p w14:paraId="430FE63E" w14:textId="77777777" w:rsidR="00856F76" w:rsidRPr="006F6587" w:rsidRDefault="00856F76" w:rsidP="00937F81">
    <w:pPr>
      <w:pStyle w:val="Encabezado"/>
      <w:framePr w:w="5404" w:hSpace="141" w:wrap="auto" w:vAnchor="text" w:hAnchor="page" w:x="5702" w:y="34"/>
      <w:ind w:left="567" w:hanging="11"/>
      <w:jc w:val="right"/>
      <w:rPr>
        <w:rFonts w:ascii="Arial" w:hAnsi="Arial" w:cs="Arial"/>
        <w:b/>
        <w:color w:val="002060"/>
        <w:sz w:val="24"/>
        <w:szCs w:val="24"/>
        <w:lang w:val="pt-BR"/>
      </w:rPr>
    </w:pPr>
    <w:r w:rsidRPr="006F6587">
      <w:rPr>
        <w:rFonts w:ascii="Arial" w:hAnsi="Arial" w:cs="Arial"/>
        <w:b/>
        <w:color w:val="002060"/>
        <w:sz w:val="24"/>
        <w:szCs w:val="24"/>
        <w:lang w:val="pt-BR"/>
      </w:rPr>
      <w:t xml:space="preserve">PÁGINA </w:t>
    </w:r>
    <w:r w:rsidRPr="006F6587">
      <w:rPr>
        <w:rFonts w:ascii="Arial" w:hAnsi="Arial" w:cs="Arial"/>
        <w:b/>
        <w:color w:val="002060"/>
        <w:sz w:val="24"/>
        <w:szCs w:val="24"/>
      </w:rPr>
      <w:fldChar w:fldCharType="begin"/>
    </w:r>
    <w:r w:rsidRPr="006F6587">
      <w:rPr>
        <w:rFonts w:ascii="Arial" w:hAnsi="Arial" w:cs="Arial"/>
        <w:b/>
        <w:color w:val="002060"/>
        <w:sz w:val="24"/>
        <w:szCs w:val="24"/>
        <w:lang w:val="pt-BR"/>
      </w:rPr>
      <w:instrText xml:space="preserve">\PAGE </w:instrText>
    </w:r>
    <w:r w:rsidRPr="006F6587">
      <w:rPr>
        <w:rFonts w:ascii="Arial" w:hAnsi="Arial" w:cs="Arial"/>
        <w:color w:val="002060"/>
        <w:sz w:val="24"/>
        <w:szCs w:val="24"/>
      </w:rPr>
      <w:fldChar w:fldCharType="separate"/>
    </w:r>
    <w:r w:rsidRPr="006F6587">
      <w:rPr>
        <w:rFonts w:ascii="Arial" w:hAnsi="Arial" w:cs="Arial"/>
        <w:b/>
        <w:noProof/>
        <w:color w:val="002060"/>
        <w:sz w:val="24"/>
        <w:szCs w:val="24"/>
        <w:lang w:val="pt-BR"/>
      </w:rPr>
      <w:t>2</w:t>
    </w:r>
    <w:r w:rsidRPr="006F6587">
      <w:rPr>
        <w:rFonts w:ascii="Arial" w:hAnsi="Arial" w:cs="Arial"/>
        <w:color w:val="002060"/>
        <w:sz w:val="24"/>
        <w:szCs w:val="24"/>
      </w:rPr>
      <w:fldChar w:fldCharType="end"/>
    </w:r>
    <w:r w:rsidRPr="006F6587">
      <w:rPr>
        <w:rFonts w:ascii="Arial" w:hAnsi="Arial" w:cs="Arial"/>
        <w:b/>
        <w:color w:val="002060"/>
        <w:sz w:val="24"/>
        <w:szCs w:val="24"/>
        <w:lang w:val="pt-BR"/>
      </w:rPr>
      <w:t>/</w:t>
    </w:r>
    <w:r>
      <w:rPr>
        <w:rFonts w:ascii="Arial" w:hAnsi="Arial" w:cs="Arial"/>
        <w:b/>
        <w:color w:val="002060"/>
        <w:sz w:val="24"/>
        <w:szCs w:val="24"/>
        <w:lang w:val="pt-BR"/>
      </w:rPr>
      <w:t>2</w:t>
    </w:r>
  </w:p>
  <w:p w14:paraId="5400C40B" w14:textId="77777777" w:rsidR="00856F76" w:rsidRDefault="00856F76" w:rsidP="0001029C">
    <w:pPr>
      <w:pStyle w:val="Encabezado"/>
      <w:ind w:left="-284"/>
    </w:pPr>
    <w:r>
      <w:rPr>
        <w:noProof/>
      </w:rPr>
      <w:drawing>
        <wp:inline distT="0" distB="0" distL="0" distR="0" wp14:anchorId="4B0FE2B5" wp14:editId="3782CEB1">
          <wp:extent cx="711177" cy="738723"/>
          <wp:effectExtent l="0" t="0" r="0" b="444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932" cy="76547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5643C" w14:textId="496E96AB" w:rsidR="00856F76" w:rsidRDefault="00856F76" w:rsidP="00856F76">
    <w:pPr>
      <w:pStyle w:val="Encabezado"/>
      <w:ind w:left="284"/>
      <w:jc w:val="center"/>
    </w:pPr>
    <w:r>
      <w:rPr>
        <w:noProof/>
        <w:lang w:val="es-MX" w:eastAsia="es-MX"/>
      </w:rPr>
      <w:drawing>
        <wp:inline distT="0" distB="0" distL="0" distR="0" wp14:anchorId="706909CD" wp14:editId="08A9E15B">
          <wp:extent cx="928800" cy="964800"/>
          <wp:effectExtent l="0" t="0" r="5080" b="6985"/>
          <wp:docPr id="26" name="Imagen 2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1AC66" w14:textId="77777777" w:rsidR="00856F76" w:rsidRDefault="00856F76" w:rsidP="001A1A23">
    <w:pPr>
      <w:pStyle w:val="Encabezado"/>
      <w:framePr w:w="4056" w:hSpace="141" w:wrap="auto" w:vAnchor="text" w:hAnchor="page" w:x="7367" w:y="83"/>
      <w:ind w:left="426"/>
      <w:rPr>
        <w:rFonts w:ascii="Arial" w:hAnsi="Arial"/>
        <w:b/>
        <w:sz w:val="24"/>
      </w:rPr>
    </w:pPr>
    <w:r>
      <w:rPr>
        <w:rFonts w:ascii="Arial" w:hAnsi="Arial"/>
        <w:b/>
        <w:sz w:val="24"/>
      </w:rPr>
      <w:t xml:space="preserve">COMUNICADO DE PRENSA </w:t>
    </w:r>
  </w:p>
  <w:p w14:paraId="5E7FA556" w14:textId="77777777" w:rsidR="00856F76" w:rsidRDefault="00856F76" w:rsidP="001A1A23">
    <w:pPr>
      <w:pStyle w:val="Encabezado"/>
      <w:framePr w:w="4056" w:hSpace="141" w:wrap="auto" w:vAnchor="text" w:hAnchor="page" w:x="7367" w:y="83"/>
      <w:ind w:left="426"/>
      <w:rPr>
        <w:rFonts w:ascii="Arial" w:hAnsi="Arial"/>
        <w:b/>
        <w:sz w:val="24"/>
      </w:rPr>
    </w:pPr>
  </w:p>
  <w:p w14:paraId="61F6BDBD" w14:textId="77777777" w:rsidR="00856F76" w:rsidRDefault="00856F76" w:rsidP="001A1A23">
    <w:pPr>
      <w:pStyle w:val="Encabezado"/>
      <w:framePr w:w="4056" w:hSpace="141" w:wrap="auto" w:vAnchor="text" w:hAnchor="page" w:x="7367" w:y="83"/>
      <w:ind w:left="426"/>
      <w:rPr>
        <w:rFonts w:ascii="Arial" w:hAnsi="Arial"/>
        <w:b/>
        <w:sz w:val="24"/>
      </w:rPr>
    </w:pPr>
    <w:r>
      <w:rPr>
        <w:rFonts w:ascii="Arial" w:hAnsi="Arial"/>
        <w:b/>
        <w:sz w:val="24"/>
      </w:rPr>
      <w:t>AGUASCALIENTES, AGS.</w:t>
    </w:r>
  </w:p>
  <w:p w14:paraId="51D9F245" w14:textId="77777777" w:rsidR="00856F76" w:rsidRDefault="00856F76" w:rsidP="001A1A23">
    <w:pPr>
      <w:pStyle w:val="Encabezado"/>
      <w:framePr w:w="4056" w:hSpace="141" w:wrap="auto" w:vAnchor="text" w:hAnchor="page" w:x="7367" w:y="83"/>
      <w:ind w:left="4252" w:hanging="3826"/>
      <w:rPr>
        <w:rFonts w:ascii="Arial" w:hAnsi="Arial"/>
        <w:b/>
        <w:sz w:val="24"/>
      </w:rPr>
    </w:pPr>
    <w:r>
      <w:rPr>
        <w:rFonts w:ascii="Arial" w:hAnsi="Arial"/>
        <w:b/>
        <w:sz w:val="24"/>
      </w:rPr>
      <w:t>25 DE AGOSTO DE 2008</w:t>
    </w:r>
  </w:p>
  <w:p w14:paraId="31302F83" w14:textId="77777777" w:rsidR="00856F76" w:rsidRDefault="00856F76" w:rsidP="001A1A23">
    <w:pPr>
      <w:pStyle w:val="Encabezado"/>
      <w:framePr w:w="4056" w:hSpace="141" w:wrap="auto" w:vAnchor="text" w:hAnchor="page" w:x="7367" w:y="83"/>
      <w:ind w:left="426"/>
      <w:rPr>
        <w:rFonts w:ascii="Arial" w:hAnsi="Arial"/>
        <w:b/>
        <w:sz w:val="24"/>
      </w:rPr>
    </w:pPr>
    <w:r>
      <w:rPr>
        <w:rFonts w:ascii="Arial" w:hAnsi="Arial"/>
        <w:b/>
        <w:sz w:val="24"/>
      </w:rPr>
      <w:t>NÚMERO</w:t>
    </w:r>
  </w:p>
  <w:p w14:paraId="209B8464" w14:textId="77777777" w:rsidR="00856F76" w:rsidRDefault="00856F76" w:rsidP="001A1A23">
    <w:pPr>
      <w:pStyle w:val="Encabezado"/>
      <w:framePr w:w="4056" w:hSpace="141" w:wrap="auto" w:vAnchor="text" w:hAnchor="page" w:x="7367" w:y="83"/>
      <w:ind w:left="426"/>
      <w:rPr>
        <w:rFonts w:ascii="Arial" w:hAnsi="Arial"/>
        <w:b/>
        <w:sz w:val="24"/>
      </w:rPr>
    </w:pPr>
    <w:r>
      <w:rPr>
        <w:rFonts w:ascii="Arial" w:hAnsi="Arial"/>
        <w:b/>
        <w:sz w:val="24"/>
      </w:rPr>
      <w:t xml:space="preserve">PÁGINA </w:t>
    </w:r>
    <w:r>
      <w:rPr>
        <w:rFonts w:ascii="Arial" w:hAnsi="Arial"/>
        <w:b/>
        <w:sz w:val="24"/>
      </w:rPr>
      <w:fldChar w:fldCharType="begin"/>
    </w:r>
    <w:r>
      <w:rPr>
        <w:rFonts w:ascii="Arial" w:hAnsi="Arial"/>
        <w:b/>
        <w:sz w:val="24"/>
      </w:rPr>
      <w:instrText>PAGE</w:instrText>
    </w:r>
    <w:r>
      <w:rPr>
        <w:rFonts w:ascii="Arial" w:hAnsi="Arial"/>
        <w:b/>
        <w:sz w:val="24"/>
      </w:rPr>
      <w:fldChar w:fldCharType="separate"/>
    </w:r>
    <w:r>
      <w:rPr>
        <w:rFonts w:ascii="Arial" w:hAnsi="Arial"/>
        <w:b/>
        <w:noProof/>
        <w:sz w:val="24"/>
      </w:rPr>
      <w:t>1</w:t>
    </w:r>
    <w:r>
      <w:rPr>
        <w:rFonts w:ascii="Arial" w:hAnsi="Arial"/>
        <w:b/>
        <w:sz w:val="24"/>
      </w:rPr>
      <w:fldChar w:fldCharType="end"/>
    </w:r>
    <w:r>
      <w:rPr>
        <w:rFonts w:ascii="Arial" w:hAnsi="Arial"/>
        <w:b/>
        <w:sz w:val="24"/>
      </w:rPr>
      <w:t>/10</w:t>
    </w:r>
  </w:p>
  <w:p w14:paraId="0932B4F7" w14:textId="77777777" w:rsidR="00856F76" w:rsidRDefault="00856F76" w:rsidP="001A1A23">
    <w:pPr>
      <w:pStyle w:val="Encabezado"/>
      <w:tabs>
        <w:tab w:val="clear" w:pos="4252"/>
        <w:tab w:val="center" w:pos="4537"/>
      </w:tabs>
      <w:rPr>
        <w:b/>
        <w:color w:val="000000"/>
        <w:spacing w:val="5"/>
        <w:sz w:val="24"/>
      </w:rPr>
    </w:pPr>
    <w:r>
      <w:rPr>
        <w:noProof/>
        <w:snapToGrid/>
        <w:lang w:val="es-MX" w:eastAsia="es-MX"/>
      </w:rPr>
      <w:drawing>
        <wp:inline distT="0" distB="0" distL="0" distR="0" wp14:anchorId="319DAE7F" wp14:editId="093C0971">
          <wp:extent cx="2076450" cy="1200150"/>
          <wp:effectExtent l="19050" t="0" r="0" b="0"/>
          <wp:docPr id="27" name="Imagen 27" descr="logoINEGI_rect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INEGI_rectBN"/>
                  <pic:cNvPicPr>
                    <a:picLocks noChangeAspect="1" noChangeArrowheads="1"/>
                  </pic:cNvPicPr>
                </pic:nvPicPr>
                <pic:blipFill>
                  <a:blip r:embed="rId1"/>
                  <a:srcRect/>
                  <a:stretch>
                    <a:fillRect/>
                  </a:stretch>
                </pic:blipFill>
                <pic:spPr bwMode="auto">
                  <a:xfrm>
                    <a:off x="0" y="0"/>
                    <a:ext cx="2076450" cy="1200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8E5311"/>
    <w:multiLevelType w:val="hybridMultilevel"/>
    <w:tmpl w:val="88F48714"/>
    <w:lvl w:ilvl="0" w:tplc="5614A684">
      <w:start w:val="1"/>
      <w:numFmt w:val="lowerLetter"/>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6C2284"/>
    <w:multiLevelType w:val="singleLevel"/>
    <w:tmpl w:val="FFFFFFFF"/>
    <w:lvl w:ilvl="0">
      <w:numFmt w:val="decimal"/>
      <w:lvlText w:val="*"/>
      <w:lvlJc w:val="left"/>
    </w:lvl>
  </w:abstractNum>
  <w:abstractNum w:abstractNumId="3" w15:restartNumberingAfterBreak="0">
    <w:nsid w:val="215A381D"/>
    <w:multiLevelType w:val="hybridMultilevel"/>
    <w:tmpl w:val="BB8690BC"/>
    <w:lvl w:ilvl="0" w:tplc="0C0A0001">
      <w:start w:val="1"/>
      <w:numFmt w:val="bullet"/>
      <w:lvlText w:val=""/>
      <w:lvlJc w:val="left"/>
      <w:pPr>
        <w:ind w:left="1647" w:hanging="360"/>
      </w:pPr>
      <w:rPr>
        <w:rFonts w:ascii="Symbol" w:hAnsi="Symbol"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4"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start w:val="1"/>
      <w:numFmt w:val="bullet"/>
      <w:lvlText w:val="o"/>
      <w:lvlJc w:val="left"/>
      <w:pPr>
        <w:tabs>
          <w:tab w:val="num" w:pos="2443"/>
        </w:tabs>
        <w:ind w:left="2443" w:hanging="360"/>
      </w:pPr>
      <w:rPr>
        <w:rFonts w:ascii="Courier New" w:hAnsi="Courier New" w:cs="Times New Roman" w:hint="default"/>
      </w:rPr>
    </w:lvl>
    <w:lvl w:ilvl="2" w:tplc="FFFFFFFF">
      <w:start w:val="1"/>
      <w:numFmt w:val="bullet"/>
      <w:lvlText w:val=""/>
      <w:lvlJc w:val="left"/>
      <w:pPr>
        <w:tabs>
          <w:tab w:val="num" w:pos="3163"/>
        </w:tabs>
        <w:ind w:left="3163" w:hanging="360"/>
      </w:pPr>
      <w:rPr>
        <w:rFonts w:ascii="Wingdings" w:hAnsi="Wingdings" w:hint="default"/>
      </w:rPr>
    </w:lvl>
    <w:lvl w:ilvl="3" w:tplc="FFFFFFFF">
      <w:start w:val="1"/>
      <w:numFmt w:val="bullet"/>
      <w:lvlText w:val=""/>
      <w:lvlJc w:val="left"/>
      <w:pPr>
        <w:tabs>
          <w:tab w:val="num" w:pos="3883"/>
        </w:tabs>
        <w:ind w:left="3883" w:hanging="360"/>
      </w:pPr>
      <w:rPr>
        <w:rFonts w:ascii="Symbol" w:hAnsi="Symbol" w:hint="default"/>
      </w:rPr>
    </w:lvl>
    <w:lvl w:ilvl="4" w:tplc="FFFFFFFF">
      <w:start w:val="1"/>
      <w:numFmt w:val="bullet"/>
      <w:lvlText w:val="o"/>
      <w:lvlJc w:val="left"/>
      <w:pPr>
        <w:tabs>
          <w:tab w:val="num" w:pos="4603"/>
        </w:tabs>
        <w:ind w:left="4603" w:hanging="360"/>
      </w:pPr>
      <w:rPr>
        <w:rFonts w:ascii="Courier New" w:hAnsi="Courier New" w:cs="Times New Roman" w:hint="default"/>
      </w:rPr>
    </w:lvl>
    <w:lvl w:ilvl="5" w:tplc="FFFFFFFF">
      <w:start w:val="1"/>
      <w:numFmt w:val="bullet"/>
      <w:lvlText w:val=""/>
      <w:lvlJc w:val="left"/>
      <w:pPr>
        <w:tabs>
          <w:tab w:val="num" w:pos="5323"/>
        </w:tabs>
        <w:ind w:left="5323" w:hanging="360"/>
      </w:pPr>
      <w:rPr>
        <w:rFonts w:ascii="Wingdings" w:hAnsi="Wingdings" w:hint="default"/>
      </w:rPr>
    </w:lvl>
    <w:lvl w:ilvl="6" w:tplc="FFFFFFFF">
      <w:start w:val="1"/>
      <w:numFmt w:val="bullet"/>
      <w:lvlText w:val=""/>
      <w:lvlJc w:val="left"/>
      <w:pPr>
        <w:tabs>
          <w:tab w:val="num" w:pos="6043"/>
        </w:tabs>
        <w:ind w:left="6043" w:hanging="360"/>
      </w:pPr>
      <w:rPr>
        <w:rFonts w:ascii="Symbol" w:hAnsi="Symbol" w:hint="default"/>
      </w:rPr>
    </w:lvl>
    <w:lvl w:ilvl="7" w:tplc="FFFFFFFF">
      <w:start w:val="1"/>
      <w:numFmt w:val="bullet"/>
      <w:lvlText w:val="o"/>
      <w:lvlJc w:val="left"/>
      <w:pPr>
        <w:tabs>
          <w:tab w:val="num" w:pos="6763"/>
        </w:tabs>
        <w:ind w:left="6763" w:hanging="360"/>
      </w:pPr>
      <w:rPr>
        <w:rFonts w:ascii="Courier New" w:hAnsi="Courier New" w:cs="Times New Roman" w:hint="default"/>
      </w:rPr>
    </w:lvl>
    <w:lvl w:ilvl="8" w:tplc="FFFFFFFF">
      <w:start w:val="1"/>
      <w:numFmt w:val="bullet"/>
      <w:lvlText w:val=""/>
      <w:lvlJc w:val="left"/>
      <w:pPr>
        <w:tabs>
          <w:tab w:val="num" w:pos="7483"/>
        </w:tabs>
        <w:ind w:left="7483" w:hanging="360"/>
      </w:pPr>
      <w:rPr>
        <w:rFonts w:ascii="Wingdings" w:hAnsi="Wingdings" w:hint="default"/>
      </w:rPr>
    </w:lvl>
  </w:abstractNum>
  <w:abstractNum w:abstractNumId="5" w15:restartNumberingAfterBreak="0">
    <w:nsid w:val="3A616A23"/>
    <w:multiLevelType w:val="hybridMultilevel"/>
    <w:tmpl w:val="FC446A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ACF4A59"/>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7485AA7"/>
    <w:multiLevelType w:val="hybridMultilevel"/>
    <w:tmpl w:val="15469F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240BA9"/>
    <w:multiLevelType w:val="hybridMultilevel"/>
    <w:tmpl w:val="FD46003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1FB40AD"/>
    <w:multiLevelType w:val="singleLevel"/>
    <w:tmpl w:val="840EB14A"/>
    <w:lvl w:ilvl="0">
      <w:start w:val="1"/>
      <w:numFmt w:val="bullet"/>
      <w:lvlText w:val=""/>
      <w:lvlJc w:val="left"/>
      <w:pPr>
        <w:tabs>
          <w:tab w:val="num" w:pos="2880"/>
        </w:tabs>
        <w:ind w:left="2880" w:hanging="360"/>
      </w:pPr>
      <w:rPr>
        <w:rFonts w:ascii="Symbol" w:hAnsi="Symbol" w:hint="default"/>
        <w:lang w:val="es-ES"/>
      </w:rPr>
    </w:lvl>
  </w:abstractNum>
  <w:num w:numId="1">
    <w:abstractNumId w:val="0"/>
    <w:lvlOverride w:ilvl="0">
      <w:lvl w:ilvl="0">
        <w:start w:val="1"/>
        <w:numFmt w:val="bullet"/>
        <w:lvlText w:val=""/>
        <w:legacy w:legacy="1" w:legacySpace="0" w:legacyIndent="360"/>
        <w:lvlJc w:val="left"/>
        <w:pPr>
          <w:ind w:left="1647" w:hanging="360"/>
        </w:pPr>
        <w:rPr>
          <w:rFonts w:ascii="Symbol" w:hAnsi="Symbol" w:hint="default"/>
        </w:rPr>
      </w:lvl>
    </w:lvlOverride>
  </w:num>
  <w:num w:numId="2">
    <w:abstractNumId w:val="6"/>
  </w:num>
  <w:num w:numId="3">
    <w:abstractNumId w:val="3"/>
  </w:num>
  <w:num w:numId="4">
    <w:abstractNumId w:val="2"/>
  </w:num>
  <w:num w:numId="5">
    <w:abstractNumId w:val="9"/>
  </w:num>
  <w:num w:numId="6">
    <w:abstractNumId w:val="4"/>
  </w:num>
  <w:num w:numId="7">
    <w:abstractNumId w:val="1"/>
  </w:num>
  <w:num w:numId="8">
    <w:abstractNumId w:val="5"/>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C0"/>
    <w:rsid w:val="0000503F"/>
    <w:rsid w:val="0000570A"/>
    <w:rsid w:val="000064CF"/>
    <w:rsid w:val="0001029C"/>
    <w:rsid w:val="0001069D"/>
    <w:rsid w:val="00011B8B"/>
    <w:rsid w:val="00013972"/>
    <w:rsid w:val="0001479D"/>
    <w:rsid w:val="00016FEF"/>
    <w:rsid w:val="00022489"/>
    <w:rsid w:val="00022735"/>
    <w:rsid w:val="000230B9"/>
    <w:rsid w:val="00024922"/>
    <w:rsid w:val="00024E5D"/>
    <w:rsid w:val="0002542D"/>
    <w:rsid w:val="000314D3"/>
    <w:rsid w:val="00031962"/>
    <w:rsid w:val="00031D01"/>
    <w:rsid w:val="00031E80"/>
    <w:rsid w:val="00034648"/>
    <w:rsid w:val="00034A8C"/>
    <w:rsid w:val="000358C8"/>
    <w:rsid w:val="00035BFA"/>
    <w:rsid w:val="00037DB0"/>
    <w:rsid w:val="000406B0"/>
    <w:rsid w:val="000428E3"/>
    <w:rsid w:val="00042C24"/>
    <w:rsid w:val="0004373B"/>
    <w:rsid w:val="000440AA"/>
    <w:rsid w:val="00044388"/>
    <w:rsid w:val="000472D9"/>
    <w:rsid w:val="0004775B"/>
    <w:rsid w:val="00047A3D"/>
    <w:rsid w:val="00051BCE"/>
    <w:rsid w:val="00054BCA"/>
    <w:rsid w:val="0005595A"/>
    <w:rsid w:val="000601FF"/>
    <w:rsid w:val="000603AC"/>
    <w:rsid w:val="000617A8"/>
    <w:rsid w:val="00062DE8"/>
    <w:rsid w:val="000630E9"/>
    <w:rsid w:val="00063CE7"/>
    <w:rsid w:val="00063FF4"/>
    <w:rsid w:val="00064970"/>
    <w:rsid w:val="00066A05"/>
    <w:rsid w:val="00067CD1"/>
    <w:rsid w:val="000731F7"/>
    <w:rsid w:val="00074D01"/>
    <w:rsid w:val="000767A4"/>
    <w:rsid w:val="00077490"/>
    <w:rsid w:val="0008101B"/>
    <w:rsid w:val="00083B86"/>
    <w:rsid w:val="000852C4"/>
    <w:rsid w:val="00085E4A"/>
    <w:rsid w:val="0008731C"/>
    <w:rsid w:val="000905B9"/>
    <w:rsid w:val="00090B01"/>
    <w:rsid w:val="00093D26"/>
    <w:rsid w:val="0009498E"/>
    <w:rsid w:val="0009550A"/>
    <w:rsid w:val="0009594A"/>
    <w:rsid w:val="00096726"/>
    <w:rsid w:val="000967CD"/>
    <w:rsid w:val="00097002"/>
    <w:rsid w:val="000A0F2A"/>
    <w:rsid w:val="000A341F"/>
    <w:rsid w:val="000A4C67"/>
    <w:rsid w:val="000A532D"/>
    <w:rsid w:val="000B17DA"/>
    <w:rsid w:val="000B3FFF"/>
    <w:rsid w:val="000C1ABF"/>
    <w:rsid w:val="000C2624"/>
    <w:rsid w:val="000C342C"/>
    <w:rsid w:val="000C421B"/>
    <w:rsid w:val="000C65F4"/>
    <w:rsid w:val="000C6C9D"/>
    <w:rsid w:val="000C78C2"/>
    <w:rsid w:val="000D0F7F"/>
    <w:rsid w:val="000D2314"/>
    <w:rsid w:val="000D30BC"/>
    <w:rsid w:val="000D3915"/>
    <w:rsid w:val="000E0D8A"/>
    <w:rsid w:val="000E2A7D"/>
    <w:rsid w:val="000E2D8A"/>
    <w:rsid w:val="000E35EC"/>
    <w:rsid w:val="000E52BE"/>
    <w:rsid w:val="000E5BF9"/>
    <w:rsid w:val="000E5CBE"/>
    <w:rsid w:val="000E63FB"/>
    <w:rsid w:val="000E710B"/>
    <w:rsid w:val="000E7FFC"/>
    <w:rsid w:val="000F1CFD"/>
    <w:rsid w:val="000F2903"/>
    <w:rsid w:val="000F4D37"/>
    <w:rsid w:val="000F7029"/>
    <w:rsid w:val="000F70EB"/>
    <w:rsid w:val="00100026"/>
    <w:rsid w:val="001020D1"/>
    <w:rsid w:val="00102CFA"/>
    <w:rsid w:val="0010310A"/>
    <w:rsid w:val="00103650"/>
    <w:rsid w:val="001047C4"/>
    <w:rsid w:val="00105A29"/>
    <w:rsid w:val="00105FF4"/>
    <w:rsid w:val="00106096"/>
    <w:rsid w:val="00107144"/>
    <w:rsid w:val="001107A9"/>
    <w:rsid w:val="001123A4"/>
    <w:rsid w:val="00114CF4"/>
    <w:rsid w:val="00115484"/>
    <w:rsid w:val="001165F5"/>
    <w:rsid w:val="00120286"/>
    <w:rsid w:val="00120795"/>
    <w:rsid w:val="00120B12"/>
    <w:rsid w:val="00121D1F"/>
    <w:rsid w:val="00123C74"/>
    <w:rsid w:val="001254E0"/>
    <w:rsid w:val="00125DDE"/>
    <w:rsid w:val="00127386"/>
    <w:rsid w:val="0013097C"/>
    <w:rsid w:val="00130CA2"/>
    <w:rsid w:val="001318C3"/>
    <w:rsid w:val="00135A84"/>
    <w:rsid w:val="00136C04"/>
    <w:rsid w:val="00136CEE"/>
    <w:rsid w:val="00136F85"/>
    <w:rsid w:val="00136FA9"/>
    <w:rsid w:val="00137249"/>
    <w:rsid w:val="00137EF9"/>
    <w:rsid w:val="00137FD1"/>
    <w:rsid w:val="00141A10"/>
    <w:rsid w:val="00142056"/>
    <w:rsid w:val="0014546A"/>
    <w:rsid w:val="0014680B"/>
    <w:rsid w:val="0014782B"/>
    <w:rsid w:val="00150293"/>
    <w:rsid w:val="00153239"/>
    <w:rsid w:val="0015402B"/>
    <w:rsid w:val="00154B4C"/>
    <w:rsid w:val="00154EA1"/>
    <w:rsid w:val="001559BA"/>
    <w:rsid w:val="00156D70"/>
    <w:rsid w:val="00157C0D"/>
    <w:rsid w:val="00157D0E"/>
    <w:rsid w:val="0016090A"/>
    <w:rsid w:val="0016348D"/>
    <w:rsid w:val="0016544A"/>
    <w:rsid w:val="00170414"/>
    <w:rsid w:val="00172D61"/>
    <w:rsid w:val="001731B5"/>
    <w:rsid w:val="00173A0E"/>
    <w:rsid w:val="00173BD4"/>
    <w:rsid w:val="00175C70"/>
    <w:rsid w:val="001800C5"/>
    <w:rsid w:val="00180AA9"/>
    <w:rsid w:val="001819BA"/>
    <w:rsid w:val="001859C1"/>
    <w:rsid w:val="00186CFC"/>
    <w:rsid w:val="00186F5D"/>
    <w:rsid w:val="001912E6"/>
    <w:rsid w:val="001948D8"/>
    <w:rsid w:val="00195F8C"/>
    <w:rsid w:val="0019746F"/>
    <w:rsid w:val="001A03AA"/>
    <w:rsid w:val="001A1217"/>
    <w:rsid w:val="001A1A23"/>
    <w:rsid w:val="001A3768"/>
    <w:rsid w:val="001A3CF8"/>
    <w:rsid w:val="001A3EE9"/>
    <w:rsid w:val="001A481C"/>
    <w:rsid w:val="001A546C"/>
    <w:rsid w:val="001A76C0"/>
    <w:rsid w:val="001A7B69"/>
    <w:rsid w:val="001B7A48"/>
    <w:rsid w:val="001C0AA0"/>
    <w:rsid w:val="001C0BC2"/>
    <w:rsid w:val="001C11E0"/>
    <w:rsid w:val="001C1909"/>
    <w:rsid w:val="001C338E"/>
    <w:rsid w:val="001C3700"/>
    <w:rsid w:val="001C4423"/>
    <w:rsid w:val="001C470B"/>
    <w:rsid w:val="001C56BF"/>
    <w:rsid w:val="001C66F0"/>
    <w:rsid w:val="001D0AD3"/>
    <w:rsid w:val="001D2150"/>
    <w:rsid w:val="001D3564"/>
    <w:rsid w:val="001D5F9F"/>
    <w:rsid w:val="001D6CA0"/>
    <w:rsid w:val="001D7738"/>
    <w:rsid w:val="001E0ED3"/>
    <w:rsid w:val="001E1A8B"/>
    <w:rsid w:val="001E24BB"/>
    <w:rsid w:val="001E3DC3"/>
    <w:rsid w:val="001E428E"/>
    <w:rsid w:val="001E6DCB"/>
    <w:rsid w:val="001E7DEB"/>
    <w:rsid w:val="001F2A2A"/>
    <w:rsid w:val="001F46DC"/>
    <w:rsid w:val="001F4FC1"/>
    <w:rsid w:val="001F741F"/>
    <w:rsid w:val="001F7A69"/>
    <w:rsid w:val="00206CF7"/>
    <w:rsid w:val="0020744F"/>
    <w:rsid w:val="002113CB"/>
    <w:rsid w:val="00212970"/>
    <w:rsid w:val="00213217"/>
    <w:rsid w:val="002147B4"/>
    <w:rsid w:val="00214A14"/>
    <w:rsid w:val="002150F9"/>
    <w:rsid w:val="00215435"/>
    <w:rsid w:val="00215B14"/>
    <w:rsid w:val="002168EE"/>
    <w:rsid w:val="002228CB"/>
    <w:rsid w:val="00222C29"/>
    <w:rsid w:val="00222CEF"/>
    <w:rsid w:val="00224CD0"/>
    <w:rsid w:val="00224E09"/>
    <w:rsid w:val="00230354"/>
    <w:rsid w:val="002306D9"/>
    <w:rsid w:val="00230CC6"/>
    <w:rsid w:val="002315A6"/>
    <w:rsid w:val="002324A2"/>
    <w:rsid w:val="00232FA6"/>
    <w:rsid w:val="00233F38"/>
    <w:rsid w:val="00234428"/>
    <w:rsid w:val="00236ED5"/>
    <w:rsid w:val="00241173"/>
    <w:rsid w:val="00241A48"/>
    <w:rsid w:val="00243655"/>
    <w:rsid w:val="002442B9"/>
    <w:rsid w:val="00244C0B"/>
    <w:rsid w:val="002459C6"/>
    <w:rsid w:val="00245E5F"/>
    <w:rsid w:val="00251453"/>
    <w:rsid w:val="0025159F"/>
    <w:rsid w:val="00251BEB"/>
    <w:rsid w:val="00252832"/>
    <w:rsid w:val="0025382C"/>
    <w:rsid w:val="002651BA"/>
    <w:rsid w:val="002656C9"/>
    <w:rsid w:val="00266E3C"/>
    <w:rsid w:val="00270895"/>
    <w:rsid w:val="00270AA8"/>
    <w:rsid w:val="0027143F"/>
    <w:rsid w:val="00271452"/>
    <w:rsid w:val="00273417"/>
    <w:rsid w:val="00273A71"/>
    <w:rsid w:val="00275AA1"/>
    <w:rsid w:val="00276FB1"/>
    <w:rsid w:val="00277343"/>
    <w:rsid w:val="00282174"/>
    <w:rsid w:val="00282180"/>
    <w:rsid w:val="00282C4B"/>
    <w:rsid w:val="002852FD"/>
    <w:rsid w:val="00286F4F"/>
    <w:rsid w:val="00286FA8"/>
    <w:rsid w:val="002872B4"/>
    <w:rsid w:val="002875B1"/>
    <w:rsid w:val="00290F5B"/>
    <w:rsid w:val="0029139C"/>
    <w:rsid w:val="00292B66"/>
    <w:rsid w:val="00292F95"/>
    <w:rsid w:val="00293258"/>
    <w:rsid w:val="00296305"/>
    <w:rsid w:val="00297C91"/>
    <w:rsid w:val="002A20A8"/>
    <w:rsid w:val="002A2B8F"/>
    <w:rsid w:val="002A3530"/>
    <w:rsid w:val="002A38C0"/>
    <w:rsid w:val="002A4A2D"/>
    <w:rsid w:val="002A4B8C"/>
    <w:rsid w:val="002A59C0"/>
    <w:rsid w:val="002A7093"/>
    <w:rsid w:val="002A77E3"/>
    <w:rsid w:val="002B0251"/>
    <w:rsid w:val="002B0D83"/>
    <w:rsid w:val="002B2BDE"/>
    <w:rsid w:val="002B75F1"/>
    <w:rsid w:val="002C013A"/>
    <w:rsid w:val="002C0573"/>
    <w:rsid w:val="002C065B"/>
    <w:rsid w:val="002C139A"/>
    <w:rsid w:val="002C1550"/>
    <w:rsid w:val="002C1AB4"/>
    <w:rsid w:val="002C4F4E"/>
    <w:rsid w:val="002C52EA"/>
    <w:rsid w:val="002C7206"/>
    <w:rsid w:val="002D1737"/>
    <w:rsid w:val="002D2198"/>
    <w:rsid w:val="002D2858"/>
    <w:rsid w:val="002D42A9"/>
    <w:rsid w:val="002D47CC"/>
    <w:rsid w:val="002E0B77"/>
    <w:rsid w:val="002E107F"/>
    <w:rsid w:val="002E1247"/>
    <w:rsid w:val="002E17CA"/>
    <w:rsid w:val="002E2935"/>
    <w:rsid w:val="002E7923"/>
    <w:rsid w:val="002E799F"/>
    <w:rsid w:val="002E79D4"/>
    <w:rsid w:val="002F00A9"/>
    <w:rsid w:val="002F1E9A"/>
    <w:rsid w:val="002F2856"/>
    <w:rsid w:val="002F5710"/>
    <w:rsid w:val="002F7986"/>
    <w:rsid w:val="00304C8E"/>
    <w:rsid w:val="00307496"/>
    <w:rsid w:val="00307B8F"/>
    <w:rsid w:val="0031018D"/>
    <w:rsid w:val="003105E7"/>
    <w:rsid w:val="00310985"/>
    <w:rsid w:val="00310F40"/>
    <w:rsid w:val="003112A5"/>
    <w:rsid w:val="00311702"/>
    <w:rsid w:val="00311C44"/>
    <w:rsid w:val="00312D32"/>
    <w:rsid w:val="00313422"/>
    <w:rsid w:val="00313685"/>
    <w:rsid w:val="003142D9"/>
    <w:rsid w:val="00314D03"/>
    <w:rsid w:val="00316F8D"/>
    <w:rsid w:val="00320578"/>
    <w:rsid w:val="00321D58"/>
    <w:rsid w:val="0032248F"/>
    <w:rsid w:val="00323D86"/>
    <w:rsid w:val="00324C42"/>
    <w:rsid w:val="00332F21"/>
    <w:rsid w:val="00333454"/>
    <w:rsid w:val="003357E0"/>
    <w:rsid w:val="003359CB"/>
    <w:rsid w:val="00335EA3"/>
    <w:rsid w:val="00336B0E"/>
    <w:rsid w:val="00336FCA"/>
    <w:rsid w:val="0033796A"/>
    <w:rsid w:val="003406B7"/>
    <w:rsid w:val="003431CA"/>
    <w:rsid w:val="0034463B"/>
    <w:rsid w:val="0034506E"/>
    <w:rsid w:val="003504CC"/>
    <w:rsid w:val="00350D7D"/>
    <w:rsid w:val="00356EB1"/>
    <w:rsid w:val="00363453"/>
    <w:rsid w:val="00367D27"/>
    <w:rsid w:val="00372DAB"/>
    <w:rsid w:val="00375357"/>
    <w:rsid w:val="00375EA1"/>
    <w:rsid w:val="00376016"/>
    <w:rsid w:val="0037656E"/>
    <w:rsid w:val="003828FF"/>
    <w:rsid w:val="00382953"/>
    <w:rsid w:val="00382E91"/>
    <w:rsid w:val="00383370"/>
    <w:rsid w:val="00383A6B"/>
    <w:rsid w:val="00383DA5"/>
    <w:rsid w:val="0038464D"/>
    <w:rsid w:val="003858EE"/>
    <w:rsid w:val="00385947"/>
    <w:rsid w:val="003867D2"/>
    <w:rsid w:val="0038750E"/>
    <w:rsid w:val="00387A80"/>
    <w:rsid w:val="00387EF4"/>
    <w:rsid w:val="00392404"/>
    <w:rsid w:val="00392FE2"/>
    <w:rsid w:val="0039448B"/>
    <w:rsid w:val="00394593"/>
    <w:rsid w:val="00394641"/>
    <w:rsid w:val="00396B4C"/>
    <w:rsid w:val="00396C97"/>
    <w:rsid w:val="003A0FCA"/>
    <w:rsid w:val="003A1C0C"/>
    <w:rsid w:val="003A4AD0"/>
    <w:rsid w:val="003B09B2"/>
    <w:rsid w:val="003B0E8A"/>
    <w:rsid w:val="003B2278"/>
    <w:rsid w:val="003B3EC1"/>
    <w:rsid w:val="003B76EC"/>
    <w:rsid w:val="003C110C"/>
    <w:rsid w:val="003C29DC"/>
    <w:rsid w:val="003C3D5C"/>
    <w:rsid w:val="003C4447"/>
    <w:rsid w:val="003C62EE"/>
    <w:rsid w:val="003C6993"/>
    <w:rsid w:val="003C7EC1"/>
    <w:rsid w:val="003D0680"/>
    <w:rsid w:val="003D0DB9"/>
    <w:rsid w:val="003D0EE1"/>
    <w:rsid w:val="003D2DFC"/>
    <w:rsid w:val="003D2E8F"/>
    <w:rsid w:val="003D2F80"/>
    <w:rsid w:val="003D38DB"/>
    <w:rsid w:val="003E5494"/>
    <w:rsid w:val="003E57EF"/>
    <w:rsid w:val="003E60AF"/>
    <w:rsid w:val="003E71A0"/>
    <w:rsid w:val="003E7234"/>
    <w:rsid w:val="003E7709"/>
    <w:rsid w:val="003F1098"/>
    <w:rsid w:val="003F3EE2"/>
    <w:rsid w:val="003F5135"/>
    <w:rsid w:val="003F6126"/>
    <w:rsid w:val="003F6476"/>
    <w:rsid w:val="00401FD8"/>
    <w:rsid w:val="00402554"/>
    <w:rsid w:val="0040300F"/>
    <w:rsid w:val="004107C4"/>
    <w:rsid w:val="004111F7"/>
    <w:rsid w:val="004112C4"/>
    <w:rsid w:val="004124D0"/>
    <w:rsid w:val="00413906"/>
    <w:rsid w:val="00413BD0"/>
    <w:rsid w:val="00414378"/>
    <w:rsid w:val="00415D86"/>
    <w:rsid w:val="00416DD7"/>
    <w:rsid w:val="00416E49"/>
    <w:rsid w:val="004201E2"/>
    <w:rsid w:val="00420E87"/>
    <w:rsid w:val="004217C1"/>
    <w:rsid w:val="0042232C"/>
    <w:rsid w:val="00422A36"/>
    <w:rsid w:val="004231FE"/>
    <w:rsid w:val="004258DA"/>
    <w:rsid w:val="004260E6"/>
    <w:rsid w:val="004263FB"/>
    <w:rsid w:val="00426883"/>
    <w:rsid w:val="00431F51"/>
    <w:rsid w:val="0043207F"/>
    <w:rsid w:val="00433B01"/>
    <w:rsid w:val="004358CE"/>
    <w:rsid w:val="0044379F"/>
    <w:rsid w:val="00443F89"/>
    <w:rsid w:val="00446664"/>
    <w:rsid w:val="004511E1"/>
    <w:rsid w:val="004514C9"/>
    <w:rsid w:val="00453460"/>
    <w:rsid w:val="0045469B"/>
    <w:rsid w:val="00454F03"/>
    <w:rsid w:val="00455638"/>
    <w:rsid w:val="00457C0F"/>
    <w:rsid w:val="00460253"/>
    <w:rsid w:val="004607B0"/>
    <w:rsid w:val="00465EEA"/>
    <w:rsid w:val="0047079C"/>
    <w:rsid w:val="00471244"/>
    <w:rsid w:val="00473F1E"/>
    <w:rsid w:val="0047481E"/>
    <w:rsid w:val="00474FFB"/>
    <w:rsid w:val="00475ACC"/>
    <w:rsid w:val="00476324"/>
    <w:rsid w:val="00481678"/>
    <w:rsid w:val="0048174A"/>
    <w:rsid w:val="004822A4"/>
    <w:rsid w:val="00483FF9"/>
    <w:rsid w:val="00485939"/>
    <w:rsid w:val="004864BD"/>
    <w:rsid w:val="004864E0"/>
    <w:rsid w:val="00487FAC"/>
    <w:rsid w:val="004914EC"/>
    <w:rsid w:val="004916E4"/>
    <w:rsid w:val="00492C9F"/>
    <w:rsid w:val="004939A8"/>
    <w:rsid w:val="00494C0A"/>
    <w:rsid w:val="004A0722"/>
    <w:rsid w:val="004A118D"/>
    <w:rsid w:val="004A5C68"/>
    <w:rsid w:val="004A5DAB"/>
    <w:rsid w:val="004A72DB"/>
    <w:rsid w:val="004B0706"/>
    <w:rsid w:val="004B0DF4"/>
    <w:rsid w:val="004B20C2"/>
    <w:rsid w:val="004B276F"/>
    <w:rsid w:val="004B4768"/>
    <w:rsid w:val="004B5432"/>
    <w:rsid w:val="004B65B3"/>
    <w:rsid w:val="004B7A8E"/>
    <w:rsid w:val="004C07E8"/>
    <w:rsid w:val="004C22FC"/>
    <w:rsid w:val="004C37B9"/>
    <w:rsid w:val="004C4653"/>
    <w:rsid w:val="004C4DA3"/>
    <w:rsid w:val="004C5846"/>
    <w:rsid w:val="004C5884"/>
    <w:rsid w:val="004C5A6C"/>
    <w:rsid w:val="004C7BD5"/>
    <w:rsid w:val="004D006C"/>
    <w:rsid w:val="004D3585"/>
    <w:rsid w:val="004D6007"/>
    <w:rsid w:val="004D6FA5"/>
    <w:rsid w:val="004E0F5B"/>
    <w:rsid w:val="004E14AB"/>
    <w:rsid w:val="004E2299"/>
    <w:rsid w:val="004E259B"/>
    <w:rsid w:val="004E2A4D"/>
    <w:rsid w:val="004E2C80"/>
    <w:rsid w:val="004E581C"/>
    <w:rsid w:val="004E5867"/>
    <w:rsid w:val="004E59DE"/>
    <w:rsid w:val="004E734E"/>
    <w:rsid w:val="004E770D"/>
    <w:rsid w:val="004E7DA1"/>
    <w:rsid w:val="004E7FFA"/>
    <w:rsid w:val="004F042D"/>
    <w:rsid w:val="004F079B"/>
    <w:rsid w:val="004F0905"/>
    <w:rsid w:val="004F1C6F"/>
    <w:rsid w:val="004F1C7D"/>
    <w:rsid w:val="004F1FFF"/>
    <w:rsid w:val="004F2CBD"/>
    <w:rsid w:val="004F3300"/>
    <w:rsid w:val="004F3A35"/>
    <w:rsid w:val="004F6FD0"/>
    <w:rsid w:val="00501813"/>
    <w:rsid w:val="005024FB"/>
    <w:rsid w:val="00502F32"/>
    <w:rsid w:val="00503A12"/>
    <w:rsid w:val="005066AA"/>
    <w:rsid w:val="0051356A"/>
    <w:rsid w:val="00514302"/>
    <w:rsid w:val="005174C5"/>
    <w:rsid w:val="0052074E"/>
    <w:rsid w:val="005220EC"/>
    <w:rsid w:val="0052301F"/>
    <w:rsid w:val="005259D7"/>
    <w:rsid w:val="0052690D"/>
    <w:rsid w:val="0053148A"/>
    <w:rsid w:val="00531E27"/>
    <w:rsid w:val="00532737"/>
    <w:rsid w:val="00533415"/>
    <w:rsid w:val="005334F1"/>
    <w:rsid w:val="00535736"/>
    <w:rsid w:val="00537D47"/>
    <w:rsid w:val="0054119B"/>
    <w:rsid w:val="00541708"/>
    <w:rsid w:val="00541D6C"/>
    <w:rsid w:val="00543450"/>
    <w:rsid w:val="00547A9F"/>
    <w:rsid w:val="00547E15"/>
    <w:rsid w:val="005512A3"/>
    <w:rsid w:val="00551C65"/>
    <w:rsid w:val="00554265"/>
    <w:rsid w:val="00556196"/>
    <w:rsid w:val="0055647A"/>
    <w:rsid w:val="00556E71"/>
    <w:rsid w:val="005610B4"/>
    <w:rsid w:val="005624B1"/>
    <w:rsid w:val="00562F1D"/>
    <w:rsid w:val="005645EC"/>
    <w:rsid w:val="005668FA"/>
    <w:rsid w:val="00567E9D"/>
    <w:rsid w:val="00570201"/>
    <w:rsid w:val="0057154C"/>
    <w:rsid w:val="0057353B"/>
    <w:rsid w:val="005742EA"/>
    <w:rsid w:val="0057593E"/>
    <w:rsid w:val="00576807"/>
    <w:rsid w:val="0057720D"/>
    <w:rsid w:val="00577724"/>
    <w:rsid w:val="005814CC"/>
    <w:rsid w:val="005841BC"/>
    <w:rsid w:val="005847C8"/>
    <w:rsid w:val="00585705"/>
    <w:rsid w:val="005916FF"/>
    <w:rsid w:val="00593383"/>
    <w:rsid w:val="005952D4"/>
    <w:rsid w:val="00595A70"/>
    <w:rsid w:val="00596BBC"/>
    <w:rsid w:val="005A0BCB"/>
    <w:rsid w:val="005A123A"/>
    <w:rsid w:val="005A3BEA"/>
    <w:rsid w:val="005B275B"/>
    <w:rsid w:val="005B276F"/>
    <w:rsid w:val="005B2D68"/>
    <w:rsid w:val="005B3B78"/>
    <w:rsid w:val="005B43B9"/>
    <w:rsid w:val="005B7397"/>
    <w:rsid w:val="005C0F3E"/>
    <w:rsid w:val="005C154D"/>
    <w:rsid w:val="005C17D6"/>
    <w:rsid w:val="005C1AF0"/>
    <w:rsid w:val="005C4431"/>
    <w:rsid w:val="005C4704"/>
    <w:rsid w:val="005C6E1F"/>
    <w:rsid w:val="005C70D6"/>
    <w:rsid w:val="005C76E5"/>
    <w:rsid w:val="005D2A88"/>
    <w:rsid w:val="005D2DE3"/>
    <w:rsid w:val="005D3306"/>
    <w:rsid w:val="005D44AE"/>
    <w:rsid w:val="005D5265"/>
    <w:rsid w:val="005D63A9"/>
    <w:rsid w:val="005D72E3"/>
    <w:rsid w:val="005D7C0B"/>
    <w:rsid w:val="005E0D58"/>
    <w:rsid w:val="005E11D5"/>
    <w:rsid w:val="005E4678"/>
    <w:rsid w:val="005F015F"/>
    <w:rsid w:val="005F04B3"/>
    <w:rsid w:val="005F113C"/>
    <w:rsid w:val="005F262E"/>
    <w:rsid w:val="005F2839"/>
    <w:rsid w:val="005F3491"/>
    <w:rsid w:val="005F4190"/>
    <w:rsid w:val="005F4471"/>
    <w:rsid w:val="00600B19"/>
    <w:rsid w:val="006019FD"/>
    <w:rsid w:val="00602457"/>
    <w:rsid w:val="00602482"/>
    <w:rsid w:val="006064B8"/>
    <w:rsid w:val="00610B8B"/>
    <w:rsid w:val="00610F39"/>
    <w:rsid w:val="00611F4E"/>
    <w:rsid w:val="00613B47"/>
    <w:rsid w:val="006140F4"/>
    <w:rsid w:val="00614E34"/>
    <w:rsid w:val="00614EFD"/>
    <w:rsid w:val="0061541E"/>
    <w:rsid w:val="00615E5F"/>
    <w:rsid w:val="00617D6F"/>
    <w:rsid w:val="006215C4"/>
    <w:rsid w:val="0062244A"/>
    <w:rsid w:val="006227DE"/>
    <w:rsid w:val="00624223"/>
    <w:rsid w:val="00624A51"/>
    <w:rsid w:val="0062581C"/>
    <w:rsid w:val="00626C49"/>
    <w:rsid w:val="00626EDB"/>
    <w:rsid w:val="00627409"/>
    <w:rsid w:val="00627D63"/>
    <w:rsid w:val="00630ABC"/>
    <w:rsid w:val="006325F6"/>
    <w:rsid w:val="00633A8A"/>
    <w:rsid w:val="0063501D"/>
    <w:rsid w:val="006362C8"/>
    <w:rsid w:val="00636ECE"/>
    <w:rsid w:val="00637CA1"/>
    <w:rsid w:val="00641365"/>
    <w:rsid w:val="00643D66"/>
    <w:rsid w:val="00645522"/>
    <w:rsid w:val="00646609"/>
    <w:rsid w:val="00651772"/>
    <w:rsid w:val="00652446"/>
    <w:rsid w:val="00660B05"/>
    <w:rsid w:val="00661947"/>
    <w:rsid w:val="006625EE"/>
    <w:rsid w:val="00663404"/>
    <w:rsid w:val="00663567"/>
    <w:rsid w:val="00664109"/>
    <w:rsid w:val="00664113"/>
    <w:rsid w:val="00664E23"/>
    <w:rsid w:val="00666930"/>
    <w:rsid w:val="00672151"/>
    <w:rsid w:val="00672411"/>
    <w:rsid w:val="0067243C"/>
    <w:rsid w:val="00672BE3"/>
    <w:rsid w:val="00676837"/>
    <w:rsid w:val="006771B9"/>
    <w:rsid w:val="0067785D"/>
    <w:rsid w:val="0067798B"/>
    <w:rsid w:val="00677BD9"/>
    <w:rsid w:val="00681A64"/>
    <w:rsid w:val="00682D18"/>
    <w:rsid w:val="00683FCE"/>
    <w:rsid w:val="006847C4"/>
    <w:rsid w:val="00684A3F"/>
    <w:rsid w:val="00684EDC"/>
    <w:rsid w:val="006855D7"/>
    <w:rsid w:val="00686368"/>
    <w:rsid w:val="006872C0"/>
    <w:rsid w:val="006875A2"/>
    <w:rsid w:val="00687E6F"/>
    <w:rsid w:val="006905BB"/>
    <w:rsid w:val="00696A1F"/>
    <w:rsid w:val="00696C37"/>
    <w:rsid w:val="00696FDA"/>
    <w:rsid w:val="00697122"/>
    <w:rsid w:val="006A35AE"/>
    <w:rsid w:val="006A652D"/>
    <w:rsid w:val="006A6603"/>
    <w:rsid w:val="006A68BB"/>
    <w:rsid w:val="006A709C"/>
    <w:rsid w:val="006A7675"/>
    <w:rsid w:val="006B307C"/>
    <w:rsid w:val="006B73D4"/>
    <w:rsid w:val="006B7FB8"/>
    <w:rsid w:val="006C2FE8"/>
    <w:rsid w:val="006C4BA7"/>
    <w:rsid w:val="006C6C4D"/>
    <w:rsid w:val="006C7332"/>
    <w:rsid w:val="006C7FB3"/>
    <w:rsid w:val="006D03BD"/>
    <w:rsid w:val="006D17D2"/>
    <w:rsid w:val="006D3C25"/>
    <w:rsid w:val="006D3C54"/>
    <w:rsid w:val="006D62CF"/>
    <w:rsid w:val="006D6917"/>
    <w:rsid w:val="006E4146"/>
    <w:rsid w:val="006E49FF"/>
    <w:rsid w:val="006E5632"/>
    <w:rsid w:val="006E68B3"/>
    <w:rsid w:val="006E7609"/>
    <w:rsid w:val="006E7F36"/>
    <w:rsid w:val="006F131A"/>
    <w:rsid w:val="006F3367"/>
    <w:rsid w:val="006F43E6"/>
    <w:rsid w:val="006F5EBE"/>
    <w:rsid w:val="006F6787"/>
    <w:rsid w:val="00701B2D"/>
    <w:rsid w:val="00704D0D"/>
    <w:rsid w:val="00706045"/>
    <w:rsid w:val="00711312"/>
    <w:rsid w:val="00715A13"/>
    <w:rsid w:val="0071758C"/>
    <w:rsid w:val="0072323B"/>
    <w:rsid w:val="00723D88"/>
    <w:rsid w:val="007242AA"/>
    <w:rsid w:val="00724360"/>
    <w:rsid w:val="00724678"/>
    <w:rsid w:val="00724E19"/>
    <w:rsid w:val="00726A9E"/>
    <w:rsid w:val="00730A03"/>
    <w:rsid w:val="0073207E"/>
    <w:rsid w:val="00733235"/>
    <w:rsid w:val="0073442F"/>
    <w:rsid w:val="00736679"/>
    <w:rsid w:val="0074221E"/>
    <w:rsid w:val="00743E3E"/>
    <w:rsid w:val="00746E99"/>
    <w:rsid w:val="00747097"/>
    <w:rsid w:val="00750DED"/>
    <w:rsid w:val="007531B2"/>
    <w:rsid w:val="007540AA"/>
    <w:rsid w:val="00754972"/>
    <w:rsid w:val="00754E29"/>
    <w:rsid w:val="00755142"/>
    <w:rsid w:val="00756B63"/>
    <w:rsid w:val="00756F58"/>
    <w:rsid w:val="00757827"/>
    <w:rsid w:val="007612AF"/>
    <w:rsid w:val="00763688"/>
    <w:rsid w:val="00763888"/>
    <w:rsid w:val="007641F9"/>
    <w:rsid w:val="007643F9"/>
    <w:rsid w:val="00764F4A"/>
    <w:rsid w:val="00764FCE"/>
    <w:rsid w:val="00765085"/>
    <w:rsid w:val="007662B0"/>
    <w:rsid w:val="0077005E"/>
    <w:rsid w:val="00770B7C"/>
    <w:rsid w:val="007718B5"/>
    <w:rsid w:val="00772D8F"/>
    <w:rsid w:val="0077428E"/>
    <w:rsid w:val="007749EC"/>
    <w:rsid w:val="00776F84"/>
    <w:rsid w:val="00781597"/>
    <w:rsid w:val="00781A89"/>
    <w:rsid w:val="007821F3"/>
    <w:rsid w:val="00783D87"/>
    <w:rsid w:val="00784E32"/>
    <w:rsid w:val="00790C78"/>
    <w:rsid w:val="007917F2"/>
    <w:rsid w:val="00793F59"/>
    <w:rsid w:val="00794BC6"/>
    <w:rsid w:val="00795AF1"/>
    <w:rsid w:val="00795E32"/>
    <w:rsid w:val="0079741E"/>
    <w:rsid w:val="007A0251"/>
    <w:rsid w:val="007A4570"/>
    <w:rsid w:val="007A58A7"/>
    <w:rsid w:val="007B2A5A"/>
    <w:rsid w:val="007B34AB"/>
    <w:rsid w:val="007B4A86"/>
    <w:rsid w:val="007C0CE5"/>
    <w:rsid w:val="007C1993"/>
    <w:rsid w:val="007C2111"/>
    <w:rsid w:val="007C2170"/>
    <w:rsid w:val="007C22BF"/>
    <w:rsid w:val="007C4829"/>
    <w:rsid w:val="007C50D6"/>
    <w:rsid w:val="007C6F9A"/>
    <w:rsid w:val="007D0B15"/>
    <w:rsid w:val="007D3D31"/>
    <w:rsid w:val="007E0B07"/>
    <w:rsid w:val="007E17F2"/>
    <w:rsid w:val="007E25EF"/>
    <w:rsid w:val="007E3BBE"/>
    <w:rsid w:val="007E79A5"/>
    <w:rsid w:val="007F1553"/>
    <w:rsid w:val="007F1CEA"/>
    <w:rsid w:val="007F301E"/>
    <w:rsid w:val="007F48DC"/>
    <w:rsid w:val="007F58F4"/>
    <w:rsid w:val="007F705D"/>
    <w:rsid w:val="007F7388"/>
    <w:rsid w:val="007F7FEB"/>
    <w:rsid w:val="0080413B"/>
    <w:rsid w:val="008068F1"/>
    <w:rsid w:val="00812239"/>
    <w:rsid w:val="00812662"/>
    <w:rsid w:val="00812794"/>
    <w:rsid w:val="00812A87"/>
    <w:rsid w:val="00813F7F"/>
    <w:rsid w:val="00813F81"/>
    <w:rsid w:val="00820261"/>
    <w:rsid w:val="00823316"/>
    <w:rsid w:val="00824764"/>
    <w:rsid w:val="008270A1"/>
    <w:rsid w:val="00827535"/>
    <w:rsid w:val="0083074A"/>
    <w:rsid w:val="00832C3A"/>
    <w:rsid w:val="008349E8"/>
    <w:rsid w:val="00837503"/>
    <w:rsid w:val="008403E5"/>
    <w:rsid w:val="00841481"/>
    <w:rsid w:val="008431D9"/>
    <w:rsid w:val="00843ADC"/>
    <w:rsid w:val="00843AE5"/>
    <w:rsid w:val="00844D25"/>
    <w:rsid w:val="00845AE5"/>
    <w:rsid w:val="00846FE4"/>
    <w:rsid w:val="00850881"/>
    <w:rsid w:val="00851F60"/>
    <w:rsid w:val="00851FB2"/>
    <w:rsid w:val="00855546"/>
    <w:rsid w:val="00856BE3"/>
    <w:rsid w:val="00856F76"/>
    <w:rsid w:val="00863574"/>
    <w:rsid w:val="00863BEE"/>
    <w:rsid w:val="008647BB"/>
    <w:rsid w:val="0086509F"/>
    <w:rsid w:val="00866775"/>
    <w:rsid w:val="00867F7A"/>
    <w:rsid w:val="00870B41"/>
    <w:rsid w:val="0087149B"/>
    <w:rsid w:val="0087363F"/>
    <w:rsid w:val="00873C5C"/>
    <w:rsid w:val="00874785"/>
    <w:rsid w:val="00875BBF"/>
    <w:rsid w:val="0087600A"/>
    <w:rsid w:val="00877AA8"/>
    <w:rsid w:val="00882080"/>
    <w:rsid w:val="00882662"/>
    <w:rsid w:val="00886992"/>
    <w:rsid w:val="008927F7"/>
    <w:rsid w:val="00892823"/>
    <w:rsid w:val="00894056"/>
    <w:rsid w:val="0089535C"/>
    <w:rsid w:val="00896417"/>
    <w:rsid w:val="008975EB"/>
    <w:rsid w:val="00897710"/>
    <w:rsid w:val="00897CE5"/>
    <w:rsid w:val="008A1ABF"/>
    <w:rsid w:val="008A3926"/>
    <w:rsid w:val="008B0005"/>
    <w:rsid w:val="008B4D08"/>
    <w:rsid w:val="008B65AC"/>
    <w:rsid w:val="008B7250"/>
    <w:rsid w:val="008B7760"/>
    <w:rsid w:val="008B777D"/>
    <w:rsid w:val="008C0971"/>
    <w:rsid w:val="008C0ED8"/>
    <w:rsid w:val="008C110C"/>
    <w:rsid w:val="008C280D"/>
    <w:rsid w:val="008C3999"/>
    <w:rsid w:val="008C5EEC"/>
    <w:rsid w:val="008C5F49"/>
    <w:rsid w:val="008C6B3A"/>
    <w:rsid w:val="008C7DFB"/>
    <w:rsid w:val="008D1585"/>
    <w:rsid w:val="008D2992"/>
    <w:rsid w:val="008D4771"/>
    <w:rsid w:val="008D4E7E"/>
    <w:rsid w:val="008D64FD"/>
    <w:rsid w:val="008E0781"/>
    <w:rsid w:val="008E15CB"/>
    <w:rsid w:val="008E2E62"/>
    <w:rsid w:val="008E32CB"/>
    <w:rsid w:val="008E4E1B"/>
    <w:rsid w:val="008E51F1"/>
    <w:rsid w:val="008E65EF"/>
    <w:rsid w:val="008F0BDC"/>
    <w:rsid w:val="008F2E91"/>
    <w:rsid w:val="008F408B"/>
    <w:rsid w:val="008F483D"/>
    <w:rsid w:val="008F5E7E"/>
    <w:rsid w:val="008F6B4C"/>
    <w:rsid w:val="008F78B3"/>
    <w:rsid w:val="008F7BA4"/>
    <w:rsid w:val="00900A9F"/>
    <w:rsid w:val="00901E0F"/>
    <w:rsid w:val="00902A91"/>
    <w:rsid w:val="00902F07"/>
    <w:rsid w:val="00904750"/>
    <w:rsid w:val="009125F6"/>
    <w:rsid w:val="00915112"/>
    <w:rsid w:val="009177D9"/>
    <w:rsid w:val="00917D1C"/>
    <w:rsid w:val="0092006B"/>
    <w:rsid w:val="00921772"/>
    <w:rsid w:val="00924F95"/>
    <w:rsid w:val="00927A84"/>
    <w:rsid w:val="00927FBD"/>
    <w:rsid w:val="009379C6"/>
    <w:rsid w:val="00937F81"/>
    <w:rsid w:val="0094047D"/>
    <w:rsid w:val="00943509"/>
    <w:rsid w:val="00944795"/>
    <w:rsid w:val="00944CEC"/>
    <w:rsid w:val="00944FBD"/>
    <w:rsid w:val="009453E1"/>
    <w:rsid w:val="009472F6"/>
    <w:rsid w:val="00947DB3"/>
    <w:rsid w:val="00950103"/>
    <w:rsid w:val="00950177"/>
    <w:rsid w:val="0095192A"/>
    <w:rsid w:val="0095270F"/>
    <w:rsid w:val="0095294A"/>
    <w:rsid w:val="0095376C"/>
    <w:rsid w:val="00954D86"/>
    <w:rsid w:val="00955287"/>
    <w:rsid w:val="00955CCA"/>
    <w:rsid w:val="00956884"/>
    <w:rsid w:val="009572F1"/>
    <w:rsid w:val="009624B9"/>
    <w:rsid w:val="00964736"/>
    <w:rsid w:val="00965CF8"/>
    <w:rsid w:val="0097207B"/>
    <w:rsid w:val="00972EDC"/>
    <w:rsid w:val="00973369"/>
    <w:rsid w:val="009745CF"/>
    <w:rsid w:val="009751B7"/>
    <w:rsid w:val="00977C08"/>
    <w:rsid w:val="00984003"/>
    <w:rsid w:val="00993956"/>
    <w:rsid w:val="00995499"/>
    <w:rsid w:val="009971BA"/>
    <w:rsid w:val="009A0018"/>
    <w:rsid w:val="009A0402"/>
    <w:rsid w:val="009A3BDA"/>
    <w:rsid w:val="009A421A"/>
    <w:rsid w:val="009A5663"/>
    <w:rsid w:val="009B1B2D"/>
    <w:rsid w:val="009B29D4"/>
    <w:rsid w:val="009B3432"/>
    <w:rsid w:val="009B504D"/>
    <w:rsid w:val="009B52E4"/>
    <w:rsid w:val="009B687A"/>
    <w:rsid w:val="009B6B7E"/>
    <w:rsid w:val="009B7C7A"/>
    <w:rsid w:val="009C0252"/>
    <w:rsid w:val="009C14E6"/>
    <w:rsid w:val="009C2CF6"/>
    <w:rsid w:val="009C44B0"/>
    <w:rsid w:val="009C5C8F"/>
    <w:rsid w:val="009C6238"/>
    <w:rsid w:val="009C7186"/>
    <w:rsid w:val="009C7362"/>
    <w:rsid w:val="009C79D6"/>
    <w:rsid w:val="009D0D7B"/>
    <w:rsid w:val="009D1436"/>
    <w:rsid w:val="009D19E6"/>
    <w:rsid w:val="009D1DDD"/>
    <w:rsid w:val="009D243D"/>
    <w:rsid w:val="009D3E21"/>
    <w:rsid w:val="009D7476"/>
    <w:rsid w:val="009D79F0"/>
    <w:rsid w:val="009D7BAB"/>
    <w:rsid w:val="009E0190"/>
    <w:rsid w:val="009E08EB"/>
    <w:rsid w:val="009E1101"/>
    <w:rsid w:val="009E23AF"/>
    <w:rsid w:val="009E7212"/>
    <w:rsid w:val="009F03BB"/>
    <w:rsid w:val="009F13FF"/>
    <w:rsid w:val="009F2550"/>
    <w:rsid w:val="009F4818"/>
    <w:rsid w:val="00A002A3"/>
    <w:rsid w:val="00A005A3"/>
    <w:rsid w:val="00A006A0"/>
    <w:rsid w:val="00A02AD1"/>
    <w:rsid w:val="00A03196"/>
    <w:rsid w:val="00A05094"/>
    <w:rsid w:val="00A06E12"/>
    <w:rsid w:val="00A06E72"/>
    <w:rsid w:val="00A07A9E"/>
    <w:rsid w:val="00A07B00"/>
    <w:rsid w:val="00A105EA"/>
    <w:rsid w:val="00A1080A"/>
    <w:rsid w:val="00A15041"/>
    <w:rsid w:val="00A151CA"/>
    <w:rsid w:val="00A17A39"/>
    <w:rsid w:val="00A20F01"/>
    <w:rsid w:val="00A21A52"/>
    <w:rsid w:val="00A229F5"/>
    <w:rsid w:val="00A2319F"/>
    <w:rsid w:val="00A232AB"/>
    <w:rsid w:val="00A2345C"/>
    <w:rsid w:val="00A25915"/>
    <w:rsid w:val="00A259A3"/>
    <w:rsid w:val="00A26971"/>
    <w:rsid w:val="00A27047"/>
    <w:rsid w:val="00A275AD"/>
    <w:rsid w:val="00A3142A"/>
    <w:rsid w:val="00A31890"/>
    <w:rsid w:val="00A33D9F"/>
    <w:rsid w:val="00A3437A"/>
    <w:rsid w:val="00A358DD"/>
    <w:rsid w:val="00A361DC"/>
    <w:rsid w:val="00A367E3"/>
    <w:rsid w:val="00A368FB"/>
    <w:rsid w:val="00A36949"/>
    <w:rsid w:val="00A411AC"/>
    <w:rsid w:val="00A44102"/>
    <w:rsid w:val="00A46AE3"/>
    <w:rsid w:val="00A46BAC"/>
    <w:rsid w:val="00A51325"/>
    <w:rsid w:val="00A51E20"/>
    <w:rsid w:val="00A55342"/>
    <w:rsid w:val="00A55A34"/>
    <w:rsid w:val="00A566F5"/>
    <w:rsid w:val="00A56D38"/>
    <w:rsid w:val="00A57FC8"/>
    <w:rsid w:val="00A61046"/>
    <w:rsid w:val="00A6136C"/>
    <w:rsid w:val="00A6248F"/>
    <w:rsid w:val="00A62794"/>
    <w:rsid w:val="00A65902"/>
    <w:rsid w:val="00A673FF"/>
    <w:rsid w:val="00A7135A"/>
    <w:rsid w:val="00A72C35"/>
    <w:rsid w:val="00A74850"/>
    <w:rsid w:val="00A75213"/>
    <w:rsid w:val="00A75C5F"/>
    <w:rsid w:val="00A816BB"/>
    <w:rsid w:val="00A823AD"/>
    <w:rsid w:val="00A83AAF"/>
    <w:rsid w:val="00A83F92"/>
    <w:rsid w:val="00A84425"/>
    <w:rsid w:val="00A85163"/>
    <w:rsid w:val="00A853DD"/>
    <w:rsid w:val="00A91C13"/>
    <w:rsid w:val="00A9223D"/>
    <w:rsid w:val="00A93796"/>
    <w:rsid w:val="00A93FB8"/>
    <w:rsid w:val="00A943D3"/>
    <w:rsid w:val="00A9633E"/>
    <w:rsid w:val="00AA0042"/>
    <w:rsid w:val="00AA08F1"/>
    <w:rsid w:val="00AA1C0A"/>
    <w:rsid w:val="00AA3903"/>
    <w:rsid w:val="00AA3A19"/>
    <w:rsid w:val="00AA409A"/>
    <w:rsid w:val="00AB3194"/>
    <w:rsid w:val="00AB6295"/>
    <w:rsid w:val="00AB6C3F"/>
    <w:rsid w:val="00AC0F30"/>
    <w:rsid w:val="00AC2A01"/>
    <w:rsid w:val="00AC676A"/>
    <w:rsid w:val="00AC6B1C"/>
    <w:rsid w:val="00AC6EAE"/>
    <w:rsid w:val="00AD0A0F"/>
    <w:rsid w:val="00AD2EC1"/>
    <w:rsid w:val="00AD2F89"/>
    <w:rsid w:val="00AD3014"/>
    <w:rsid w:val="00AD30DD"/>
    <w:rsid w:val="00AD4031"/>
    <w:rsid w:val="00AD563B"/>
    <w:rsid w:val="00AE2D00"/>
    <w:rsid w:val="00AE52A3"/>
    <w:rsid w:val="00AF0E12"/>
    <w:rsid w:val="00AF1D3D"/>
    <w:rsid w:val="00AF3F66"/>
    <w:rsid w:val="00AF44A1"/>
    <w:rsid w:val="00AF45F9"/>
    <w:rsid w:val="00AF5F56"/>
    <w:rsid w:val="00AF6489"/>
    <w:rsid w:val="00AF7648"/>
    <w:rsid w:val="00AF76AB"/>
    <w:rsid w:val="00B00525"/>
    <w:rsid w:val="00B01564"/>
    <w:rsid w:val="00B025A1"/>
    <w:rsid w:val="00B05AD9"/>
    <w:rsid w:val="00B05B7A"/>
    <w:rsid w:val="00B0630A"/>
    <w:rsid w:val="00B06A3D"/>
    <w:rsid w:val="00B11D36"/>
    <w:rsid w:val="00B14CCC"/>
    <w:rsid w:val="00B16AFC"/>
    <w:rsid w:val="00B16E0A"/>
    <w:rsid w:val="00B17A65"/>
    <w:rsid w:val="00B22AE6"/>
    <w:rsid w:val="00B22B76"/>
    <w:rsid w:val="00B2345B"/>
    <w:rsid w:val="00B278CA"/>
    <w:rsid w:val="00B302F5"/>
    <w:rsid w:val="00B3030A"/>
    <w:rsid w:val="00B32127"/>
    <w:rsid w:val="00B32E03"/>
    <w:rsid w:val="00B3546E"/>
    <w:rsid w:val="00B3693E"/>
    <w:rsid w:val="00B402BD"/>
    <w:rsid w:val="00B4037D"/>
    <w:rsid w:val="00B443A1"/>
    <w:rsid w:val="00B46E46"/>
    <w:rsid w:val="00B47AB9"/>
    <w:rsid w:val="00B50149"/>
    <w:rsid w:val="00B516D0"/>
    <w:rsid w:val="00B5235E"/>
    <w:rsid w:val="00B532AC"/>
    <w:rsid w:val="00B53E7E"/>
    <w:rsid w:val="00B559D9"/>
    <w:rsid w:val="00B630C3"/>
    <w:rsid w:val="00B6312D"/>
    <w:rsid w:val="00B63553"/>
    <w:rsid w:val="00B641D9"/>
    <w:rsid w:val="00B67AF8"/>
    <w:rsid w:val="00B70056"/>
    <w:rsid w:val="00B70B88"/>
    <w:rsid w:val="00B70E2A"/>
    <w:rsid w:val="00B72ABB"/>
    <w:rsid w:val="00B740F3"/>
    <w:rsid w:val="00B75981"/>
    <w:rsid w:val="00B75B12"/>
    <w:rsid w:val="00B77764"/>
    <w:rsid w:val="00B80710"/>
    <w:rsid w:val="00B81BBC"/>
    <w:rsid w:val="00B8200B"/>
    <w:rsid w:val="00B82C44"/>
    <w:rsid w:val="00B83E9B"/>
    <w:rsid w:val="00B84641"/>
    <w:rsid w:val="00B84C63"/>
    <w:rsid w:val="00B86EF7"/>
    <w:rsid w:val="00B872BD"/>
    <w:rsid w:val="00B875C8"/>
    <w:rsid w:val="00B900DB"/>
    <w:rsid w:val="00B90E25"/>
    <w:rsid w:val="00B94D5C"/>
    <w:rsid w:val="00B9563F"/>
    <w:rsid w:val="00B966F1"/>
    <w:rsid w:val="00B9748B"/>
    <w:rsid w:val="00BA035E"/>
    <w:rsid w:val="00BA1712"/>
    <w:rsid w:val="00BA238A"/>
    <w:rsid w:val="00BA2FC7"/>
    <w:rsid w:val="00BA35AC"/>
    <w:rsid w:val="00BA4469"/>
    <w:rsid w:val="00BA497B"/>
    <w:rsid w:val="00BA555B"/>
    <w:rsid w:val="00BA5A91"/>
    <w:rsid w:val="00BB103A"/>
    <w:rsid w:val="00BB1212"/>
    <w:rsid w:val="00BB1377"/>
    <w:rsid w:val="00BB2191"/>
    <w:rsid w:val="00BB2334"/>
    <w:rsid w:val="00BB2BAB"/>
    <w:rsid w:val="00BB340F"/>
    <w:rsid w:val="00BB3E75"/>
    <w:rsid w:val="00BB4E6A"/>
    <w:rsid w:val="00BC1624"/>
    <w:rsid w:val="00BC20EF"/>
    <w:rsid w:val="00BC2345"/>
    <w:rsid w:val="00BC27A5"/>
    <w:rsid w:val="00BC49B5"/>
    <w:rsid w:val="00BC66FC"/>
    <w:rsid w:val="00BC69C1"/>
    <w:rsid w:val="00BC6E81"/>
    <w:rsid w:val="00BD1682"/>
    <w:rsid w:val="00BD20E4"/>
    <w:rsid w:val="00BD23E0"/>
    <w:rsid w:val="00BD27B6"/>
    <w:rsid w:val="00BD2D7E"/>
    <w:rsid w:val="00BD6071"/>
    <w:rsid w:val="00BD64BD"/>
    <w:rsid w:val="00BD6504"/>
    <w:rsid w:val="00BD677B"/>
    <w:rsid w:val="00BD691B"/>
    <w:rsid w:val="00BD6D6A"/>
    <w:rsid w:val="00BD7547"/>
    <w:rsid w:val="00BE107A"/>
    <w:rsid w:val="00BE196B"/>
    <w:rsid w:val="00BE472E"/>
    <w:rsid w:val="00BE4A7F"/>
    <w:rsid w:val="00BE5C1E"/>
    <w:rsid w:val="00BF068C"/>
    <w:rsid w:val="00BF1551"/>
    <w:rsid w:val="00BF4538"/>
    <w:rsid w:val="00BF4DD1"/>
    <w:rsid w:val="00BF6C9F"/>
    <w:rsid w:val="00BF71F8"/>
    <w:rsid w:val="00BF725E"/>
    <w:rsid w:val="00C0288B"/>
    <w:rsid w:val="00C02CEC"/>
    <w:rsid w:val="00C0327F"/>
    <w:rsid w:val="00C03B11"/>
    <w:rsid w:val="00C041E2"/>
    <w:rsid w:val="00C05D6E"/>
    <w:rsid w:val="00C065AE"/>
    <w:rsid w:val="00C06609"/>
    <w:rsid w:val="00C10D04"/>
    <w:rsid w:val="00C11860"/>
    <w:rsid w:val="00C12547"/>
    <w:rsid w:val="00C137C8"/>
    <w:rsid w:val="00C1425A"/>
    <w:rsid w:val="00C144BC"/>
    <w:rsid w:val="00C14502"/>
    <w:rsid w:val="00C1478A"/>
    <w:rsid w:val="00C177C7"/>
    <w:rsid w:val="00C21198"/>
    <w:rsid w:val="00C24E31"/>
    <w:rsid w:val="00C2557F"/>
    <w:rsid w:val="00C2696E"/>
    <w:rsid w:val="00C26DE7"/>
    <w:rsid w:val="00C317F9"/>
    <w:rsid w:val="00C31865"/>
    <w:rsid w:val="00C32D24"/>
    <w:rsid w:val="00C35438"/>
    <w:rsid w:val="00C36943"/>
    <w:rsid w:val="00C41E18"/>
    <w:rsid w:val="00C41FED"/>
    <w:rsid w:val="00C424FD"/>
    <w:rsid w:val="00C44463"/>
    <w:rsid w:val="00C44B8C"/>
    <w:rsid w:val="00C45B22"/>
    <w:rsid w:val="00C46211"/>
    <w:rsid w:val="00C46428"/>
    <w:rsid w:val="00C500F0"/>
    <w:rsid w:val="00C53EBA"/>
    <w:rsid w:val="00C54153"/>
    <w:rsid w:val="00C557D0"/>
    <w:rsid w:val="00C5661B"/>
    <w:rsid w:val="00C56CF7"/>
    <w:rsid w:val="00C57682"/>
    <w:rsid w:val="00C57F92"/>
    <w:rsid w:val="00C60E4B"/>
    <w:rsid w:val="00C61043"/>
    <w:rsid w:val="00C66E61"/>
    <w:rsid w:val="00C7182F"/>
    <w:rsid w:val="00C72891"/>
    <w:rsid w:val="00C746EB"/>
    <w:rsid w:val="00C801BF"/>
    <w:rsid w:val="00C80CEA"/>
    <w:rsid w:val="00C81AF5"/>
    <w:rsid w:val="00C8386A"/>
    <w:rsid w:val="00C84BE0"/>
    <w:rsid w:val="00C9088A"/>
    <w:rsid w:val="00C91349"/>
    <w:rsid w:val="00C918EA"/>
    <w:rsid w:val="00C92457"/>
    <w:rsid w:val="00C926F9"/>
    <w:rsid w:val="00C92A39"/>
    <w:rsid w:val="00C9385A"/>
    <w:rsid w:val="00C94137"/>
    <w:rsid w:val="00C95A9F"/>
    <w:rsid w:val="00C9704A"/>
    <w:rsid w:val="00C97346"/>
    <w:rsid w:val="00CA0C70"/>
    <w:rsid w:val="00CA10E2"/>
    <w:rsid w:val="00CA1E7D"/>
    <w:rsid w:val="00CA3FF8"/>
    <w:rsid w:val="00CA4247"/>
    <w:rsid w:val="00CA42A4"/>
    <w:rsid w:val="00CA42A9"/>
    <w:rsid w:val="00CA4DBE"/>
    <w:rsid w:val="00CA7832"/>
    <w:rsid w:val="00CB205C"/>
    <w:rsid w:val="00CB3BB4"/>
    <w:rsid w:val="00CC03D8"/>
    <w:rsid w:val="00CC0C26"/>
    <w:rsid w:val="00CC0D10"/>
    <w:rsid w:val="00CC25A2"/>
    <w:rsid w:val="00CC25DF"/>
    <w:rsid w:val="00CC346C"/>
    <w:rsid w:val="00CC35EB"/>
    <w:rsid w:val="00CC6D31"/>
    <w:rsid w:val="00CC6DA5"/>
    <w:rsid w:val="00CD4149"/>
    <w:rsid w:val="00CD4339"/>
    <w:rsid w:val="00CD4445"/>
    <w:rsid w:val="00CD5E40"/>
    <w:rsid w:val="00CD5F07"/>
    <w:rsid w:val="00CD7070"/>
    <w:rsid w:val="00CE010C"/>
    <w:rsid w:val="00CE0141"/>
    <w:rsid w:val="00CE1397"/>
    <w:rsid w:val="00CE3034"/>
    <w:rsid w:val="00CE35DF"/>
    <w:rsid w:val="00CE3C51"/>
    <w:rsid w:val="00CE3EF3"/>
    <w:rsid w:val="00CE4772"/>
    <w:rsid w:val="00CE5E2E"/>
    <w:rsid w:val="00CE6AAC"/>
    <w:rsid w:val="00CE720F"/>
    <w:rsid w:val="00CF2BCC"/>
    <w:rsid w:val="00CF2D23"/>
    <w:rsid w:val="00CF2DF2"/>
    <w:rsid w:val="00CF3440"/>
    <w:rsid w:val="00CF3E18"/>
    <w:rsid w:val="00CF3F49"/>
    <w:rsid w:val="00CF481C"/>
    <w:rsid w:val="00CF5191"/>
    <w:rsid w:val="00CF64DE"/>
    <w:rsid w:val="00CF7648"/>
    <w:rsid w:val="00CF77A2"/>
    <w:rsid w:val="00CF79CB"/>
    <w:rsid w:val="00D01FBD"/>
    <w:rsid w:val="00D02A71"/>
    <w:rsid w:val="00D03037"/>
    <w:rsid w:val="00D03231"/>
    <w:rsid w:val="00D0503D"/>
    <w:rsid w:val="00D053C2"/>
    <w:rsid w:val="00D066FD"/>
    <w:rsid w:val="00D06802"/>
    <w:rsid w:val="00D116A6"/>
    <w:rsid w:val="00D119F8"/>
    <w:rsid w:val="00D11BEE"/>
    <w:rsid w:val="00D12AEB"/>
    <w:rsid w:val="00D12C1A"/>
    <w:rsid w:val="00D13433"/>
    <w:rsid w:val="00D136E6"/>
    <w:rsid w:val="00D13B7F"/>
    <w:rsid w:val="00D140A3"/>
    <w:rsid w:val="00D14491"/>
    <w:rsid w:val="00D14BD3"/>
    <w:rsid w:val="00D1653B"/>
    <w:rsid w:val="00D21477"/>
    <w:rsid w:val="00D216D6"/>
    <w:rsid w:val="00D22218"/>
    <w:rsid w:val="00D22E20"/>
    <w:rsid w:val="00D247C1"/>
    <w:rsid w:val="00D26625"/>
    <w:rsid w:val="00D31F7D"/>
    <w:rsid w:val="00D334C9"/>
    <w:rsid w:val="00D33682"/>
    <w:rsid w:val="00D33D10"/>
    <w:rsid w:val="00D34D14"/>
    <w:rsid w:val="00D36398"/>
    <w:rsid w:val="00D41379"/>
    <w:rsid w:val="00D428DC"/>
    <w:rsid w:val="00D431B5"/>
    <w:rsid w:val="00D43C2E"/>
    <w:rsid w:val="00D44875"/>
    <w:rsid w:val="00D46539"/>
    <w:rsid w:val="00D470F6"/>
    <w:rsid w:val="00D50920"/>
    <w:rsid w:val="00D50BAC"/>
    <w:rsid w:val="00D50D79"/>
    <w:rsid w:val="00D50DB5"/>
    <w:rsid w:val="00D51157"/>
    <w:rsid w:val="00D5172F"/>
    <w:rsid w:val="00D51917"/>
    <w:rsid w:val="00D5208D"/>
    <w:rsid w:val="00D535F2"/>
    <w:rsid w:val="00D5440B"/>
    <w:rsid w:val="00D569C0"/>
    <w:rsid w:val="00D57E1C"/>
    <w:rsid w:val="00D6395C"/>
    <w:rsid w:val="00D63B9D"/>
    <w:rsid w:val="00D6541D"/>
    <w:rsid w:val="00D65994"/>
    <w:rsid w:val="00D6620B"/>
    <w:rsid w:val="00D67D5B"/>
    <w:rsid w:val="00D67E93"/>
    <w:rsid w:val="00D7012A"/>
    <w:rsid w:val="00D731D1"/>
    <w:rsid w:val="00D758D6"/>
    <w:rsid w:val="00D76A1D"/>
    <w:rsid w:val="00D77CB9"/>
    <w:rsid w:val="00D801EC"/>
    <w:rsid w:val="00D82B83"/>
    <w:rsid w:val="00D82EF6"/>
    <w:rsid w:val="00D8399F"/>
    <w:rsid w:val="00D83BE8"/>
    <w:rsid w:val="00D84935"/>
    <w:rsid w:val="00D854EA"/>
    <w:rsid w:val="00D865CA"/>
    <w:rsid w:val="00D92426"/>
    <w:rsid w:val="00D937E9"/>
    <w:rsid w:val="00D96F3F"/>
    <w:rsid w:val="00DA091C"/>
    <w:rsid w:val="00DA1591"/>
    <w:rsid w:val="00DA1CFE"/>
    <w:rsid w:val="00DA3648"/>
    <w:rsid w:val="00DA3B6C"/>
    <w:rsid w:val="00DA3BDB"/>
    <w:rsid w:val="00DB0AF1"/>
    <w:rsid w:val="00DB37B9"/>
    <w:rsid w:val="00DB4144"/>
    <w:rsid w:val="00DB42DE"/>
    <w:rsid w:val="00DB5DDD"/>
    <w:rsid w:val="00DB78BA"/>
    <w:rsid w:val="00DC0301"/>
    <w:rsid w:val="00DC2555"/>
    <w:rsid w:val="00DC2E57"/>
    <w:rsid w:val="00DC30BD"/>
    <w:rsid w:val="00DC3784"/>
    <w:rsid w:val="00DC458D"/>
    <w:rsid w:val="00DC45D5"/>
    <w:rsid w:val="00DC4F10"/>
    <w:rsid w:val="00DC536A"/>
    <w:rsid w:val="00DD2576"/>
    <w:rsid w:val="00DD7FCF"/>
    <w:rsid w:val="00DE0301"/>
    <w:rsid w:val="00DE2964"/>
    <w:rsid w:val="00DE3C4A"/>
    <w:rsid w:val="00DE45FA"/>
    <w:rsid w:val="00DE4D5F"/>
    <w:rsid w:val="00DE52B1"/>
    <w:rsid w:val="00DE5333"/>
    <w:rsid w:val="00DE697D"/>
    <w:rsid w:val="00DF0DA7"/>
    <w:rsid w:val="00DF2CE6"/>
    <w:rsid w:val="00DF3277"/>
    <w:rsid w:val="00DF5DEA"/>
    <w:rsid w:val="00DF7FA1"/>
    <w:rsid w:val="00E01D2D"/>
    <w:rsid w:val="00E01FFA"/>
    <w:rsid w:val="00E02577"/>
    <w:rsid w:val="00E02A59"/>
    <w:rsid w:val="00E05449"/>
    <w:rsid w:val="00E06636"/>
    <w:rsid w:val="00E07089"/>
    <w:rsid w:val="00E07246"/>
    <w:rsid w:val="00E07C8D"/>
    <w:rsid w:val="00E10C6A"/>
    <w:rsid w:val="00E1602F"/>
    <w:rsid w:val="00E1606B"/>
    <w:rsid w:val="00E16A8E"/>
    <w:rsid w:val="00E20E21"/>
    <w:rsid w:val="00E24F42"/>
    <w:rsid w:val="00E311BF"/>
    <w:rsid w:val="00E348B2"/>
    <w:rsid w:val="00E34937"/>
    <w:rsid w:val="00E36721"/>
    <w:rsid w:val="00E371E3"/>
    <w:rsid w:val="00E37A06"/>
    <w:rsid w:val="00E40612"/>
    <w:rsid w:val="00E41A12"/>
    <w:rsid w:val="00E42000"/>
    <w:rsid w:val="00E43D24"/>
    <w:rsid w:val="00E43F8D"/>
    <w:rsid w:val="00E45408"/>
    <w:rsid w:val="00E4728B"/>
    <w:rsid w:val="00E47756"/>
    <w:rsid w:val="00E47B42"/>
    <w:rsid w:val="00E508EE"/>
    <w:rsid w:val="00E50B02"/>
    <w:rsid w:val="00E51227"/>
    <w:rsid w:val="00E5163A"/>
    <w:rsid w:val="00E52A8E"/>
    <w:rsid w:val="00E537AF"/>
    <w:rsid w:val="00E55F6B"/>
    <w:rsid w:val="00E56522"/>
    <w:rsid w:val="00E566CC"/>
    <w:rsid w:val="00E6202D"/>
    <w:rsid w:val="00E63CFC"/>
    <w:rsid w:val="00E6494E"/>
    <w:rsid w:val="00E662D2"/>
    <w:rsid w:val="00E66F62"/>
    <w:rsid w:val="00E671DA"/>
    <w:rsid w:val="00E725FC"/>
    <w:rsid w:val="00E72E89"/>
    <w:rsid w:val="00E7407C"/>
    <w:rsid w:val="00E74E41"/>
    <w:rsid w:val="00E803B8"/>
    <w:rsid w:val="00E83523"/>
    <w:rsid w:val="00E8437C"/>
    <w:rsid w:val="00E845CE"/>
    <w:rsid w:val="00E84691"/>
    <w:rsid w:val="00E847B0"/>
    <w:rsid w:val="00E8650D"/>
    <w:rsid w:val="00E87CAB"/>
    <w:rsid w:val="00E9332F"/>
    <w:rsid w:val="00E93E07"/>
    <w:rsid w:val="00E95811"/>
    <w:rsid w:val="00E961B5"/>
    <w:rsid w:val="00E963B6"/>
    <w:rsid w:val="00E972F1"/>
    <w:rsid w:val="00EA15C0"/>
    <w:rsid w:val="00EA2441"/>
    <w:rsid w:val="00EA4EF8"/>
    <w:rsid w:val="00EB3CA8"/>
    <w:rsid w:val="00EB3ED9"/>
    <w:rsid w:val="00EB48A7"/>
    <w:rsid w:val="00EB51DE"/>
    <w:rsid w:val="00EB72DE"/>
    <w:rsid w:val="00EC0473"/>
    <w:rsid w:val="00EC06EB"/>
    <w:rsid w:val="00EC2B6F"/>
    <w:rsid w:val="00EC4770"/>
    <w:rsid w:val="00EC5076"/>
    <w:rsid w:val="00EC50C0"/>
    <w:rsid w:val="00EC530C"/>
    <w:rsid w:val="00EC5A3E"/>
    <w:rsid w:val="00EC6725"/>
    <w:rsid w:val="00EC7691"/>
    <w:rsid w:val="00ED0D17"/>
    <w:rsid w:val="00ED13A3"/>
    <w:rsid w:val="00ED1D96"/>
    <w:rsid w:val="00ED31C5"/>
    <w:rsid w:val="00ED4AE0"/>
    <w:rsid w:val="00ED59DB"/>
    <w:rsid w:val="00ED66CD"/>
    <w:rsid w:val="00ED7244"/>
    <w:rsid w:val="00EE1665"/>
    <w:rsid w:val="00EE1915"/>
    <w:rsid w:val="00EE7E23"/>
    <w:rsid w:val="00EF103A"/>
    <w:rsid w:val="00EF23D2"/>
    <w:rsid w:val="00EF4F5D"/>
    <w:rsid w:val="00EF59CC"/>
    <w:rsid w:val="00EF651A"/>
    <w:rsid w:val="00EF7AED"/>
    <w:rsid w:val="00EF7B5E"/>
    <w:rsid w:val="00F005FE"/>
    <w:rsid w:val="00F00EB6"/>
    <w:rsid w:val="00F016B8"/>
    <w:rsid w:val="00F01894"/>
    <w:rsid w:val="00F01AE9"/>
    <w:rsid w:val="00F03B20"/>
    <w:rsid w:val="00F03F6C"/>
    <w:rsid w:val="00F04100"/>
    <w:rsid w:val="00F041DB"/>
    <w:rsid w:val="00F0630F"/>
    <w:rsid w:val="00F066F7"/>
    <w:rsid w:val="00F072C6"/>
    <w:rsid w:val="00F07E68"/>
    <w:rsid w:val="00F1204D"/>
    <w:rsid w:val="00F131B2"/>
    <w:rsid w:val="00F13DF3"/>
    <w:rsid w:val="00F161AC"/>
    <w:rsid w:val="00F17431"/>
    <w:rsid w:val="00F21AD1"/>
    <w:rsid w:val="00F22C94"/>
    <w:rsid w:val="00F23D7D"/>
    <w:rsid w:val="00F2439B"/>
    <w:rsid w:val="00F24538"/>
    <w:rsid w:val="00F257D8"/>
    <w:rsid w:val="00F25CD0"/>
    <w:rsid w:val="00F26D4C"/>
    <w:rsid w:val="00F27951"/>
    <w:rsid w:val="00F3204B"/>
    <w:rsid w:val="00F32788"/>
    <w:rsid w:val="00F35110"/>
    <w:rsid w:val="00F354C6"/>
    <w:rsid w:val="00F3597C"/>
    <w:rsid w:val="00F36245"/>
    <w:rsid w:val="00F413DA"/>
    <w:rsid w:val="00F41A2A"/>
    <w:rsid w:val="00F41FF3"/>
    <w:rsid w:val="00F42143"/>
    <w:rsid w:val="00F42251"/>
    <w:rsid w:val="00F4390B"/>
    <w:rsid w:val="00F515A5"/>
    <w:rsid w:val="00F51E90"/>
    <w:rsid w:val="00F5270B"/>
    <w:rsid w:val="00F52820"/>
    <w:rsid w:val="00F61BAB"/>
    <w:rsid w:val="00F6439D"/>
    <w:rsid w:val="00F64CA0"/>
    <w:rsid w:val="00F65433"/>
    <w:rsid w:val="00F70A2F"/>
    <w:rsid w:val="00F71CFC"/>
    <w:rsid w:val="00F72AAC"/>
    <w:rsid w:val="00F72E9E"/>
    <w:rsid w:val="00F7352C"/>
    <w:rsid w:val="00F737E2"/>
    <w:rsid w:val="00F7483F"/>
    <w:rsid w:val="00F76EAB"/>
    <w:rsid w:val="00F80A3D"/>
    <w:rsid w:val="00F81D19"/>
    <w:rsid w:val="00F856C1"/>
    <w:rsid w:val="00F85BDD"/>
    <w:rsid w:val="00F85F2F"/>
    <w:rsid w:val="00F86322"/>
    <w:rsid w:val="00F868D0"/>
    <w:rsid w:val="00F8730F"/>
    <w:rsid w:val="00F87ED5"/>
    <w:rsid w:val="00F87F2B"/>
    <w:rsid w:val="00F9042D"/>
    <w:rsid w:val="00F9067E"/>
    <w:rsid w:val="00F91609"/>
    <w:rsid w:val="00F91972"/>
    <w:rsid w:val="00F93B06"/>
    <w:rsid w:val="00F95518"/>
    <w:rsid w:val="00F95ADD"/>
    <w:rsid w:val="00F97B40"/>
    <w:rsid w:val="00FA1890"/>
    <w:rsid w:val="00FA2C23"/>
    <w:rsid w:val="00FA47AD"/>
    <w:rsid w:val="00FA7281"/>
    <w:rsid w:val="00FA7DFF"/>
    <w:rsid w:val="00FA7F91"/>
    <w:rsid w:val="00FB3D85"/>
    <w:rsid w:val="00FB4093"/>
    <w:rsid w:val="00FB4E23"/>
    <w:rsid w:val="00FC4690"/>
    <w:rsid w:val="00FC7139"/>
    <w:rsid w:val="00FD145D"/>
    <w:rsid w:val="00FD1AAF"/>
    <w:rsid w:val="00FD23E4"/>
    <w:rsid w:val="00FD623D"/>
    <w:rsid w:val="00FE07DE"/>
    <w:rsid w:val="00FE0D5D"/>
    <w:rsid w:val="00FE2826"/>
    <w:rsid w:val="00FE3C63"/>
    <w:rsid w:val="00FE4962"/>
    <w:rsid w:val="00FE58A1"/>
    <w:rsid w:val="00FF03C1"/>
    <w:rsid w:val="00FF09D4"/>
    <w:rsid w:val="00FF11D3"/>
    <w:rsid w:val="00FF1DE1"/>
    <w:rsid w:val="00FF228D"/>
    <w:rsid w:val="00FF2F89"/>
    <w:rsid w:val="00FF3689"/>
    <w:rsid w:val="00FF3943"/>
    <w:rsid w:val="00FF3F22"/>
    <w:rsid w:val="00FF41FA"/>
    <w:rsid w:val="00FF4286"/>
    <w:rsid w:val="00FF4DC6"/>
    <w:rsid w:val="00FF538D"/>
    <w:rsid w:val="00FF6B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E0B360"/>
  <w15:docId w15:val="{27715F26-FB4B-40A4-A20C-502B1F1DF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25A2"/>
    <w:pPr>
      <w:widowControl w:val="0"/>
    </w:pPr>
    <w:rPr>
      <w:snapToGrid w:val="0"/>
      <w:lang w:val="es-ES_tradnl"/>
    </w:rPr>
  </w:style>
  <w:style w:type="paragraph" w:styleId="Ttulo1">
    <w:name w:val="heading 1"/>
    <w:basedOn w:val="Normal"/>
    <w:next w:val="Normal"/>
    <w:qFormat/>
    <w:rsid w:val="00CC25A2"/>
    <w:pPr>
      <w:keepNext/>
      <w:spacing w:before="240"/>
      <w:outlineLvl w:val="0"/>
    </w:pPr>
    <w:rPr>
      <w:rFonts w:ascii="Arial" w:hAnsi="Arial"/>
      <w:b/>
      <w:color w:val="000000"/>
      <w:sz w:val="24"/>
    </w:rPr>
  </w:style>
  <w:style w:type="paragraph" w:styleId="Ttulo2">
    <w:name w:val="heading 2"/>
    <w:basedOn w:val="Normal"/>
    <w:next w:val="Normal"/>
    <w:qFormat/>
    <w:rsid w:val="00CC25A2"/>
    <w:pPr>
      <w:spacing w:before="240"/>
      <w:jc w:val="center"/>
      <w:outlineLvl w:val="1"/>
    </w:pPr>
    <w:rPr>
      <w:rFonts w:ascii="Arial" w:hAnsi="Arial"/>
      <w:b/>
      <w:color w:val="000000"/>
      <w:sz w:val="28"/>
    </w:rPr>
  </w:style>
  <w:style w:type="paragraph" w:styleId="Ttulo4">
    <w:name w:val="heading 4"/>
    <w:basedOn w:val="Normal"/>
    <w:next w:val="Normal"/>
    <w:link w:val="Ttulo4Car"/>
    <w:semiHidden/>
    <w:unhideWhenUsed/>
    <w:qFormat/>
    <w:rsid w:val="00215B1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CC25A2"/>
    <w:pPr>
      <w:tabs>
        <w:tab w:val="center" w:pos="4252"/>
        <w:tab w:val="right" w:pos="8504"/>
      </w:tabs>
    </w:pPr>
  </w:style>
  <w:style w:type="paragraph" w:styleId="Encabezado">
    <w:name w:val="header"/>
    <w:basedOn w:val="Normal"/>
    <w:link w:val="EncabezadoCar"/>
    <w:rsid w:val="00CC25A2"/>
    <w:pPr>
      <w:tabs>
        <w:tab w:val="center" w:pos="4252"/>
        <w:tab w:val="right" w:pos="8504"/>
      </w:tabs>
    </w:pPr>
  </w:style>
  <w:style w:type="paragraph" w:customStyle="1" w:styleId="p0">
    <w:name w:val="p0"/>
    <w:basedOn w:val="Normal"/>
    <w:rsid w:val="00CC25A2"/>
    <w:pPr>
      <w:keepLines/>
      <w:spacing w:before="240"/>
      <w:jc w:val="both"/>
    </w:pPr>
    <w:rPr>
      <w:rFonts w:ascii="Arial" w:hAnsi="Arial"/>
      <w:color w:val="0000FF"/>
      <w:sz w:val="24"/>
    </w:rPr>
  </w:style>
  <w:style w:type="paragraph" w:customStyle="1" w:styleId="bullet">
    <w:name w:val="bullet"/>
    <w:basedOn w:val="Normal"/>
    <w:rsid w:val="00CC25A2"/>
    <w:pPr>
      <w:spacing w:before="240"/>
      <w:ind w:left="1701" w:right="699" w:hanging="274"/>
    </w:pPr>
    <w:rPr>
      <w:rFonts w:ascii="Arial" w:hAnsi="Arial"/>
      <w:b/>
      <w:color w:val="000080"/>
      <w:sz w:val="22"/>
    </w:rPr>
  </w:style>
  <w:style w:type="paragraph" w:customStyle="1" w:styleId="p1">
    <w:name w:val="p1"/>
    <w:basedOn w:val="p0"/>
    <w:rsid w:val="00CC25A2"/>
    <w:pPr>
      <w:spacing w:before="360"/>
    </w:pPr>
  </w:style>
  <w:style w:type="paragraph" w:styleId="Mapadeldocumento">
    <w:name w:val="Document Map"/>
    <w:basedOn w:val="Normal"/>
    <w:semiHidden/>
    <w:rsid w:val="00CC25A2"/>
    <w:pPr>
      <w:shd w:val="clear" w:color="auto" w:fill="000080"/>
    </w:pPr>
    <w:rPr>
      <w:rFonts w:ascii="Tahoma" w:hAnsi="Tahoma"/>
    </w:rPr>
  </w:style>
  <w:style w:type="paragraph" w:styleId="TDC7">
    <w:name w:val="toc 7"/>
    <w:basedOn w:val="Normal"/>
    <w:next w:val="Normal"/>
    <w:autoRedefine/>
    <w:semiHidden/>
    <w:rsid w:val="00CC25A2"/>
    <w:pPr>
      <w:widowControl/>
      <w:tabs>
        <w:tab w:val="left" w:leader="dot" w:pos="8079"/>
        <w:tab w:val="right" w:pos="8505"/>
      </w:tabs>
      <w:ind w:left="4253" w:right="850"/>
    </w:pPr>
    <w:rPr>
      <w:rFonts w:ascii="Univers" w:hAnsi="Univers"/>
      <w:snapToGrid/>
      <w:sz w:val="24"/>
    </w:rPr>
  </w:style>
  <w:style w:type="paragraph" w:customStyle="1" w:styleId="not3">
    <w:name w:val="not3"/>
    <w:basedOn w:val="Normal"/>
    <w:rsid w:val="00CC25A2"/>
    <w:pPr>
      <w:keepLines/>
      <w:widowControl/>
      <w:spacing w:before="480"/>
      <w:ind w:right="14"/>
      <w:jc w:val="both"/>
    </w:pPr>
    <w:rPr>
      <w:rFonts w:ascii="Arial" w:hAnsi="Arial"/>
      <w:snapToGrid/>
      <w:color w:val="0000FF"/>
      <w:sz w:val="24"/>
    </w:rPr>
  </w:style>
  <w:style w:type="paragraph" w:styleId="Textoindependiente">
    <w:name w:val="Body Text"/>
    <w:basedOn w:val="Normal"/>
    <w:rsid w:val="00CC25A2"/>
    <w:pPr>
      <w:spacing w:before="360"/>
      <w:jc w:val="both"/>
    </w:pPr>
    <w:rPr>
      <w:rFonts w:ascii="Arial" w:hAnsi="Arial"/>
      <w:sz w:val="24"/>
    </w:rPr>
  </w:style>
  <w:style w:type="paragraph" w:styleId="Textoindependiente2">
    <w:name w:val="Body Text 2"/>
    <w:basedOn w:val="Normal"/>
    <w:rsid w:val="00CC25A2"/>
    <w:pPr>
      <w:keepLines/>
      <w:spacing w:before="120"/>
      <w:jc w:val="both"/>
    </w:pPr>
    <w:rPr>
      <w:rFonts w:ascii="Arial" w:hAnsi="Arial"/>
      <w:snapToGrid/>
      <w:color w:val="000000"/>
      <w:sz w:val="24"/>
      <w:lang w:val="es-MX"/>
    </w:rPr>
  </w:style>
  <w:style w:type="paragraph" w:styleId="Textodeglobo">
    <w:name w:val="Balloon Text"/>
    <w:basedOn w:val="Normal"/>
    <w:link w:val="TextodegloboCar"/>
    <w:uiPriority w:val="99"/>
    <w:semiHidden/>
    <w:rsid w:val="00CC25A2"/>
    <w:rPr>
      <w:rFonts w:ascii="Tahoma" w:hAnsi="Tahoma" w:cs="Tahoma"/>
      <w:sz w:val="16"/>
      <w:szCs w:val="16"/>
    </w:rPr>
  </w:style>
  <w:style w:type="paragraph" w:styleId="NormalWeb">
    <w:name w:val="Normal (Web)"/>
    <w:basedOn w:val="Normal"/>
    <w:uiPriority w:val="99"/>
    <w:rsid w:val="007C1993"/>
    <w:pPr>
      <w:widowControl/>
      <w:spacing w:before="100" w:beforeAutospacing="1" w:after="100" w:afterAutospacing="1"/>
    </w:pPr>
    <w:rPr>
      <w:rFonts w:ascii="Arial" w:hAnsi="Arial" w:cs="Arial"/>
      <w:snapToGrid/>
      <w:color w:val="000000"/>
      <w:sz w:val="16"/>
      <w:szCs w:val="16"/>
      <w:lang w:val="es-ES"/>
    </w:rPr>
  </w:style>
  <w:style w:type="character" w:customStyle="1" w:styleId="EncabezadoCar">
    <w:name w:val="Encabezado Car"/>
    <w:basedOn w:val="Fuentedeprrafopredeter"/>
    <w:link w:val="Encabezado"/>
    <w:rsid w:val="001A1A23"/>
    <w:rPr>
      <w:snapToGrid w:val="0"/>
      <w:lang w:val="es-ES_tradnl"/>
    </w:rPr>
  </w:style>
  <w:style w:type="character" w:customStyle="1" w:styleId="PiedepginaCar">
    <w:name w:val="Pie de página Car"/>
    <w:basedOn w:val="Fuentedeprrafopredeter"/>
    <w:link w:val="Piedepgina"/>
    <w:uiPriority w:val="99"/>
    <w:rsid w:val="001A1A23"/>
    <w:rPr>
      <w:snapToGrid w:val="0"/>
      <w:lang w:val="es-ES_tradnl"/>
    </w:rPr>
  </w:style>
  <w:style w:type="table" w:styleId="Tablaconcuadrcula">
    <w:name w:val="Table Grid"/>
    <w:basedOn w:val="Tablanormal"/>
    <w:rsid w:val="00372D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rafo1">
    <w:name w:val="parrafo1"/>
    <w:basedOn w:val="p0"/>
    <w:rsid w:val="000B3FFF"/>
    <w:pPr>
      <w:keepLines w:val="0"/>
      <w:widowControl/>
      <w:spacing w:before="480"/>
      <w:ind w:left="426" w:right="443"/>
    </w:pPr>
    <w:rPr>
      <w:snapToGrid/>
      <w:color w:val="auto"/>
    </w:rPr>
  </w:style>
  <w:style w:type="paragraph" w:styleId="TDC8">
    <w:name w:val="toc 8"/>
    <w:basedOn w:val="Normal"/>
    <w:next w:val="Normal"/>
    <w:autoRedefine/>
    <w:rsid w:val="00ED59DB"/>
    <w:pPr>
      <w:spacing w:after="100"/>
      <w:ind w:left="1400"/>
    </w:pPr>
  </w:style>
  <w:style w:type="paragraph" w:styleId="Ttulo">
    <w:name w:val="Title"/>
    <w:basedOn w:val="Normal"/>
    <w:link w:val="TtuloCar"/>
    <w:qFormat/>
    <w:rsid w:val="00ED59DB"/>
    <w:pPr>
      <w:widowControl/>
      <w:jc w:val="center"/>
    </w:pPr>
    <w:rPr>
      <w:rFonts w:ascii="Arial" w:hAnsi="Arial"/>
      <w:b/>
      <w:smallCaps/>
      <w:snapToGrid/>
      <w:sz w:val="24"/>
      <w:lang w:val="es-ES"/>
    </w:rPr>
  </w:style>
  <w:style w:type="character" w:customStyle="1" w:styleId="TtuloCar">
    <w:name w:val="Título Car"/>
    <w:basedOn w:val="Fuentedeprrafopredeter"/>
    <w:link w:val="Ttulo"/>
    <w:rsid w:val="00ED59DB"/>
    <w:rPr>
      <w:rFonts w:ascii="Arial" w:hAnsi="Arial"/>
      <w:b/>
      <w:smallCaps/>
      <w:sz w:val="24"/>
    </w:rPr>
  </w:style>
  <w:style w:type="paragraph" w:customStyle="1" w:styleId="not41">
    <w:name w:val="not41"/>
    <w:basedOn w:val="Normal"/>
    <w:rsid w:val="00ED59DB"/>
    <w:pPr>
      <w:keepLines/>
      <w:widowControl/>
      <w:spacing w:before="480"/>
      <w:ind w:left="504" w:right="14" w:hanging="504"/>
      <w:jc w:val="both"/>
    </w:pPr>
    <w:rPr>
      <w:rFonts w:ascii="Arial" w:hAnsi="Arial"/>
      <w:snapToGrid/>
      <w:color w:val="0000FF"/>
      <w:sz w:val="24"/>
    </w:rPr>
  </w:style>
  <w:style w:type="paragraph" w:styleId="Textonotapie">
    <w:name w:val="footnote text"/>
    <w:basedOn w:val="Normal"/>
    <w:link w:val="TextonotapieCar"/>
    <w:rsid w:val="00D84935"/>
    <w:pPr>
      <w:widowControl/>
    </w:pPr>
    <w:rPr>
      <w:snapToGrid/>
      <w:lang w:val="es-ES"/>
    </w:rPr>
  </w:style>
  <w:style w:type="character" w:customStyle="1" w:styleId="TextonotapieCar">
    <w:name w:val="Texto nota pie Car"/>
    <w:basedOn w:val="Fuentedeprrafopredeter"/>
    <w:link w:val="Textonotapie"/>
    <w:rsid w:val="00D84935"/>
  </w:style>
  <w:style w:type="character" w:styleId="Refdenotaalpie">
    <w:name w:val="footnote reference"/>
    <w:basedOn w:val="Fuentedeprrafopredeter"/>
    <w:rsid w:val="00D84935"/>
    <w:rPr>
      <w:rFonts w:cs="Arial"/>
      <w:b/>
      <w:smallCaps/>
      <w:sz w:val="22"/>
      <w:vertAlign w:val="superscript"/>
      <w:lang w:val="es-MX"/>
    </w:rPr>
  </w:style>
  <w:style w:type="paragraph" w:customStyle="1" w:styleId="numero1">
    <w:name w:val="numero1"/>
    <w:basedOn w:val="Normal"/>
    <w:next w:val="Normal"/>
    <w:rsid w:val="00F04100"/>
    <w:pPr>
      <w:widowControl/>
      <w:spacing w:before="360" w:after="120"/>
      <w:ind w:left="446" w:hanging="446"/>
      <w:jc w:val="both"/>
    </w:pPr>
    <w:rPr>
      <w:rFonts w:ascii="Arial" w:hAnsi="Arial"/>
      <w:snapToGrid/>
      <w:sz w:val="24"/>
    </w:rPr>
  </w:style>
  <w:style w:type="paragraph" w:customStyle="1" w:styleId="titdoc">
    <w:name w:val="titdoc"/>
    <w:basedOn w:val="Normal"/>
    <w:rsid w:val="00F04100"/>
    <w:pPr>
      <w:widowControl/>
      <w:spacing w:before="120"/>
      <w:ind w:left="709" w:hanging="709"/>
      <w:jc w:val="both"/>
    </w:pPr>
    <w:rPr>
      <w:rFonts w:ascii="Arial" w:hAnsi="Arial"/>
      <w:b/>
      <w:snapToGrid/>
      <w:sz w:val="24"/>
    </w:rPr>
  </w:style>
  <w:style w:type="paragraph" w:customStyle="1" w:styleId="not31">
    <w:name w:val="not31"/>
    <w:basedOn w:val="Normal"/>
    <w:rsid w:val="0057593E"/>
    <w:pPr>
      <w:keepLines/>
      <w:widowControl/>
      <w:spacing w:before="480"/>
      <w:ind w:right="14"/>
      <w:jc w:val="both"/>
    </w:pPr>
    <w:rPr>
      <w:rFonts w:ascii="Arial" w:hAnsi="Arial"/>
      <w:snapToGrid/>
      <w:color w:val="0000FF"/>
      <w:sz w:val="24"/>
    </w:rPr>
  </w:style>
  <w:style w:type="paragraph" w:customStyle="1" w:styleId="p01">
    <w:name w:val="p01"/>
    <w:basedOn w:val="Normal"/>
    <w:next w:val="p0"/>
    <w:rsid w:val="0057593E"/>
    <w:pPr>
      <w:keepLines/>
      <w:widowControl/>
      <w:spacing w:before="240"/>
      <w:jc w:val="both"/>
    </w:pPr>
    <w:rPr>
      <w:rFonts w:ascii="Univers" w:hAnsi="Univers"/>
      <w:snapToGrid/>
      <w:color w:val="0000FF"/>
      <w:sz w:val="24"/>
    </w:rPr>
  </w:style>
  <w:style w:type="paragraph" w:customStyle="1" w:styleId="Default">
    <w:name w:val="Default"/>
    <w:rsid w:val="00215435"/>
    <w:pPr>
      <w:widowControl w:val="0"/>
      <w:autoSpaceDE w:val="0"/>
      <w:autoSpaceDN w:val="0"/>
      <w:adjustRightInd w:val="0"/>
    </w:pPr>
    <w:rPr>
      <w:rFonts w:ascii="Arial" w:eastAsiaTheme="minorEastAsia" w:hAnsi="Arial" w:cs="Arial"/>
      <w:color w:val="000000"/>
      <w:sz w:val="24"/>
      <w:szCs w:val="24"/>
    </w:rPr>
  </w:style>
  <w:style w:type="character" w:customStyle="1" w:styleId="Ttulo4Car">
    <w:name w:val="Título 4 Car"/>
    <w:basedOn w:val="Fuentedeprrafopredeter"/>
    <w:link w:val="Ttulo4"/>
    <w:semiHidden/>
    <w:rsid w:val="00215B14"/>
    <w:rPr>
      <w:rFonts w:asciiTheme="majorHAnsi" w:eastAsiaTheme="majorEastAsia" w:hAnsiTheme="majorHAnsi" w:cstheme="majorBidi"/>
      <w:i/>
      <w:iCs/>
      <w:snapToGrid w:val="0"/>
      <w:color w:val="365F91" w:themeColor="accent1" w:themeShade="BF"/>
      <w:lang w:val="es-ES_tradnl"/>
    </w:rPr>
  </w:style>
  <w:style w:type="character" w:styleId="Hipervnculo">
    <w:name w:val="Hyperlink"/>
    <w:basedOn w:val="Fuentedeprrafopredeter"/>
    <w:rsid w:val="005D2DE3"/>
    <w:rPr>
      <w:color w:val="0000FF"/>
      <w:u w:val="single"/>
    </w:rPr>
  </w:style>
  <w:style w:type="paragraph" w:styleId="Prrafodelista">
    <w:name w:val="List Paragraph"/>
    <w:basedOn w:val="Normal"/>
    <w:uiPriority w:val="34"/>
    <w:qFormat/>
    <w:rsid w:val="00B80710"/>
    <w:pPr>
      <w:ind w:left="720"/>
      <w:contextualSpacing/>
    </w:pPr>
  </w:style>
  <w:style w:type="character" w:styleId="Refdecomentario">
    <w:name w:val="annotation reference"/>
    <w:basedOn w:val="Fuentedeprrafopredeter"/>
    <w:semiHidden/>
    <w:unhideWhenUsed/>
    <w:rsid w:val="00D92426"/>
    <w:rPr>
      <w:sz w:val="16"/>
      <w:szCs w:val="16"/>
    </w:rPr>
  </w:style>
  <w:style w:type="paragraph" w:styleId="Textocomentario">
    <w:name w:val="annotation text"/>
    <w:basedOn w:val="Normal"/>
    <w:link w:val="TextocomentarioCar"/>
    <w:semiHidden/>
    <w:unhideWhenUsed/>
    <w:rsid w:val="00D92426"/>
  </w:style>
  <w:style w:type="character" w:customStyle="1" w:styleId="TextocomentarioCar">
    <w:name w:val="Texto comentario Car"/>
    <w:basedOn w:val="Fuentedeprrafopredeter"/>
    <w:link w:val="Textocomentario"/>
    <w:semiHidden/>
    <w:rsid w:val="00D92426"/>
    <w:rPr>
      <w:snapToGrid w:val="0"/>
      <w:lang w:val="es-ES_tradnl"/>
    </w:rPr>
  </w:style>
  <w:style w:type="paragraph" w:styleId="Asuntodelcomentario">
    <w:name w:val="annotation subject"/>
    <w:basedOn w:val="Textocomentario"/>
    <w:next w:val="Textocomentario"/>
    <w:link w:val="AsuntodelcomentarioCar"/>
    <w:semiHidden/>
    <w:unhideWhenUsed/>
    <w:rsid w:val="00D92426"/>
    <w:rPr>
      <w:b/>
      <w:bCs/>
    </w:rPr>
  </w:style>
  <w:style w:type="character" w:customStyle="1" w:styleId="AsuntodelcomentarioCar">
    <w:name w:val="Asunto del comentario Car"/>
    <w:basedOn w:val="TextocomentarioCar"/>
    <w:link w:val="Asuntodelcomentario"/>
    <w:semiHidden/>
    <w:rsid w:val="00D92426"/>
    <w:rPr>
      <w:b/>
      <w:bCs/>
      <w:snapToGrid w:val="0"/>
      <w:lang w:val="es-ES_tradnl"/>
    </w:rPr>
  </w:style>
  <w:style w:type="character" w:customStyle="1" w:styleId="TextodegloboCar">
    <w:name w:val="Texto de globo Car"/>
    <w:basedOn w:val="Fuentedeprrafopredeter"/>
    <w:link w:val="Textodeglobo"/>
    <w:uiPriority w:val="99"/>
    <w:semiHidden/>
    <w:rsid w:val="00696FDA"/>
    <w:rPr>
      <w:rFonts w:ascii="Tahoma" w:hAnsi="Tahoma" w:cs="Tahoma"/>
      <w:snapToGrid w:val="0"/>
      <w:sz w:val="16"/>
      <w:szCs w:val="16"/>
      <w:lang w:val="es-ES_tradnl"/>
    </w:rPr>
  </w:style>
  <w:style w:type="paragraph" w:customStyle="1" w:styleId="Profesin">
    <w:name w:val="Profesión"/>
    <w:basedOn w:val="Normal"/>
    <w:rsid w:val="00856F76"/>
    <w:pPr>
      <w:widowControl/>
      <w:jc w:val="center"/>
    </w:pPr>
    <w:rPr>
      <w:rFonts w:ascii="Arial" w:hAnsi="Arial" w:cs="Arial"/>
      <w:b/>
      <w:bCs/>
      <w:caps/>
      <w:snapToGri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478095">
      <w:bodyDiv w:val="1"/>
      <w:marLeft w:val="0"/>
      <w:marRight w:val="0"/>
      <w:marTop w:val="0"/>
      <w:marBottom w:val="0"/>
      <w:divBdr>
        <w:top w:val="none" w:sz="0" w:space="0" w:color="auto"/>
        <w:left w:val="none" w:sz="0" w:space="0" w:color="auto"/>
        <w:bottom w:val="none" w:sz="0" w:space="0" w:color="auto"/>
        <w:right w:val="none" w:sz="0" w:space="0" w:color="auto"/>
      </w:divBdr>
    </w:div>
    <w:div w:id="1492675663">
      <w:bodyDiv w:val="1"/>
      <w:marLeft w:val="0"/>
      <w:marRight w:val="0"/>
      <w:marTop w:val="0"/>
      <w:marBottom w:val="0"/>
      <w:divBdr>
        <w:top w:val="none" w:sz="0" w:space="0" w:color="auto"/>
        <w:left w:val="none" w:sz="0" w:space="0" w:color="auto"/>
        <w:bottom w:val="none" w:sz="0" w:space="0" w:color="auto"/>
        <w:right w:val="none" w:sz="0" w:space="0" w:color="auto"/>
      </w:divBdr>
    </w:div>
    <w:div w:id="191709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39" Type="http://schemas.openxmlformats.org/officeDocument/2006/relationships/hyperlink" Target="https://www.inegi.org.mx/app/biblioteca/ficha.html?upc=702825099060" TargetMode="External"/><Relationship Id="rId21" Type="http://schemas.openxmlformats.org/officeDocument/2006/relationships/chart" Target="charts/chart1.xml"/><Relationship Id="rId34" Type="http://schemas.openxmlformats.org/officeDocument/2006/relationships/hyperlink" Target="http://www.inegi.org.mx"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hyperlink" Target="https://www.inegi.org.mx/temas/ofyd/" TargetMode="External"/><Relationship Id="rId37" Type="http://schemas.openxmlformats.org/officeDocument/2006/relationships/hyperlink" Target="https://www.inegi.org.mx/app/indicadores/bie.html" TargetMode="External"/><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hyperlink" Target="https://www.inegi.org.mx/temas/itab/" TargetMode="Externa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s://www.inegi.org.mx/contenidos/programas/ofyd/2013/doc/met_oubst.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hyperlink" Target="https://www.inegi.org.mx/contenidos/programas/itab/2013/doc/met_itab.pdf" TargetMode="External"/><Relationship Id="rId43" Type="http://schemas.openxmlformats.org/officeDocument/2006/relationships/footer" Target="footer3.xml"/><Relationship Id="rId8" Type="http://schemas.openxmlformats.org/officeDocument/2006/relationships/hyperlink" Target="mailto:comunicacionsocial@inegi.org.m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hyperlink" Target="https://www.inegi.org.mx/app/indicadores/bie.html" TargetMode="External"/><Relationship Id="rId38" Type="http://schemas.openxmlformats.org/officeDocument/2006/relationships/hyperlink" Target="http://www.inegi.org.mx" TargetMode="External"/><Relationship Id="rId20" Type="http://schemas.openxmlformats.org/officeDocument/2006/relationships/footer" Target="footer1.xml"/><Relationship Id="rId41"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Oferta%20y%20demanda%20y%20ahorro\2021\2do.%20Trim\Gr&#225;fica%20Oferta%20y%20utilizaci&#243;n%20desestacionalizada%20y%20tendencia.xlsm"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Notas%20Trabajo%202021\Oferta%20y%20demanda%20y%20ahorro\2021\2do.%20Trim\Gr&#225;fica%20ahorro%20desestacionalizada%20y%20tendencia%20II%20Trim21).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Oferta%20y%20demanda%20y%20ahorro\2021\2do.%20Trim\Gr&#225;fica%20Oferta%20y%20utilizaci&#243;n%20desestacionalizada%20y%20tendencia.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Oferta%20y%20demanda%20y%20ahorro\2021\2do.%20Trim\Gr&#225;fica%20Oferta%20y%20utilizaci&#243;n%20desestacionalizada%20y%20tendencia.xlsm"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Oferta%20y%20demanda%20y%20ahorro\2021\2do.%20Trim\Gr&#225;fica%20Oferta%20y%20utilizaci&#243;n%20desestacionalizada%20y%20tendencia.xlsm"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Oferta%20y%20demanda%20y%20ahorro\2021\2do.%20Trim\Gr&#225;fica%20Oferta%20y%20utilizaci&#243;n%20desestacionalizada%20y%20tendencia.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Oferta%20y%20demanda%20y%20ahorro\2021\2do.%20Trim\Gr&#225;fica%20Oferta%20y%20utilizaci&#243;n%20desestacionalizada%20y%20tendencia.xlsm"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Notas%20Trabajo%202021\Oferta%20y%20demanda%20y%20ahorro\2021\2do.%20Trim\Gr&#225;fica%20Oferta%20y%20utilizaci&#243;n%20desestacionalizada%20y%20tendencia.xlsm"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Notas%20Trabajo%202021\Oferta%20y%20demanda%20y%20ahorro\2021\2do.%20Trim\Gr&#225;fica%20ahorro%20desestacionalizada%20y%20tendencia%20II%20Trim21).xlsm"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Notas%20Trabajo%202021\Oferta%20y%20demanda%20y%20ahorro\2021\2do.%20Trim\Gr&#225;fica%20ahorro%20desestacionalizada%20y%20tendencia%20II%20Trim21).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3787956737965963"/>
          <c:h val="0.81211954070389314"/>
        </c:manualLayout>
      </c:layout>
      <c:barChart>
        <c:barDir val="col"/>
        <c:grouping val="clustered"/>
        <c:varyColors val="0"/>
        <c:ser>
          <c:idx val="0"/>
          <c:order val="0"/>
          <c:tx>
            <c:strRef>
              <c:f>Datos!$C$5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Datos!$A$38:$B$79</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Datos!$K$38:$K$79</c:f>
              <c:numCache>
                <c:formatCode>0.0</c:formatCode>
                <c:ptCount val="42"/>
                <c:pt idx="0">
                  <c:v>20097562.3535221</c:v>
                </c:pt>
                <c:pt idx="1">
                  <c:v>20217016.618494</c:v>
                </c:pt>
                <c:pt idx="2">
                  <c:v>20639285.599925499</c:v>
                </c:pt>
                <c:pt idx="3">
                  <c:v>20688669.642689299</c:v>
                </c:pt>
                <c:pt idx="4">
                  <c:v>20935928.559542801</c:v>
                </c:pt>
                <c:pt idx="5">
                  <c:v>21127901.343172301</c:v>
                </c:pt>
                <c:pt idx="6">
                  <c:v>21210798.138397299</c:v>
                </c:pt>
                <c:pt idx="7">
                  <c:v>21494001.3180703</c:v>
                </c:pt>
                <c:pt idx="8">
                  <c:v>21526015.873372801</c:v>
                </c:pt>
                <c:pt idx="9">
                  <c:v>21451572.603659801</c:v>
                </c:pt>
                <c:pt idx="10">
                  <c:v>21620194.153137799</c:v>
                </c:pt>
                <c:pt idx="11">
                  <c:v>21677135.6886601</c:v>
                </c:pt>
                <c:pt idx="12">
                  <c:v>21923903.5222877</c:v>
                </c:pt>
                <c:pt idx="13">
                  <c:v>22301184.9015476</c:v>
                </c:pt>
                <c:pt idx="14">
                  <c:v>22409789.4636047</c:v>
                </c:pt>
                <c:pt idx="15">
                  <c:v>22750789.829236899</c:v>
                </c:pt>
                <c:pt idx="16">
                  <c:v>22841205.0360456</c:v>
                </c:pt>
                <c:pt idx="17">
                  <c:v>23188489.809103899</c:v>
                </c:pt>
                <c:pt idx="18">
                  <c:v>23493882.310518201</c:v>
                </c:pt>
                <c:pt idx="19">
                  <c:v>23424840.0992097</c:v>
                </c:pt>
                <c:pt idx="20">
                  <c:v>23509045.1605727</c:v>
                </c:pt>
                <c:pt idx="21">
                  <c:v>23610458.112705301</c:v>
                </c:pt>
                <c:pt idx="22">
                  <c:v>23931519.9298134</c:v>
                </c:pt>
                <c:pt idx="23">
                  <c:v>24162391.561849698</c:v>
                </c:pt>
                <c:pt idx="24">
                  <c:v>24430322.5382227</c:v>
                </c:pt>
                <c:pt idx="25">
                  <c:v>24591512.9887814</c:v>
                </c:pt>
                <c:pt idx="26">
                  <c:v>24546837.085997</c:v>
                </c:pt>
                <c:pt idx="27">
                  <c:v>24911204.546989299</c:v>
                </c:pt>
                <c:pt idx="28">
                  <c:v>25334460.930981301</c:v>
                </c:pt>
                <c:pt idx="29">
                  <c:v>25353291.8759536</c:v>
                </c:pt>
                <c:pt idx="30">
                  <c:v>25494333.975736398</c:v>
                </c:pt>
                <c:pt idx="31">
                  <c:v>25533257.33704</c:v>
                </c:pt>
                <c:pt idx="32">
                  <c:v>25426244.253807399</c:v>
                </c:pt>
                <c:pt idx="33">
                  <c:v>25421335.7898736</c:v>
                </c:pt>
                <c:pt idx="34">
                  <c:v>25509540.4215279</c:v>
                </c:pt>
                <c:pt idx="35">
                  <c:v>25053390.421762899</c:v>
                </c:pt>
                <c:pt idx="36">
                  <c:v>24758415.894593801</c:v>
                </c:pt>
                <c:pt idx="37">
                  <c:v>19910728.557881299</c:v>
                </c:pt>
                <c:pt idx="38">
                  <c:v>22604907.7150224</c:v>
                </c:pt>
                <c:pt idx="39">
                  <c:v>23770825.404434901</c:v>
                </c:pt>
                <c:pt idx="40">
                  <c:v>24255678.710710701</c:v>
                </c:pt>
                <c:pt idx="41">
                  <c:v>24545434.79042</c:v>
                </c:pt>
              </c:numCache>
            </c:numRef>
          </c:val>
          <c:extLst>
            <c:ext xmlns:c16="http://schemas.microsoft.com/office/drawing/2014/chart" uri="{C3380CC4-5D6E-409C-BE32-E72D297353CC}">
              <c16:uniqueId val="{00000000-D348-4843-90B9-C53781A6B1FE}"/>
            </c:ext>
          </c:extLst>
        </c:ser>
        <c:dLbls>
          <c:showLegendKey val="0"/>
          <c:showVal val="1"/>
          <c:showCatName val="0"/>
          <c:showSerName val="0"/>
          <c:showPercent val="0"/>
          <c:showBubbleSize val="0"/>
        </c:dLbls>
        <c:gapWidth val="40"/>
        <c:axId val="318171952"/>
        <c:axId val="318173520"/>
      </c:barChart>
      <c:lineChart>
        <c:grouping val="standard"/>
        <c:varyColors val="0"/>
        <c:ser>
          <c:idx val="1"/>
          <c:order val="1"/>
          <c:tx>
            <c:strRef>
              <c:f>Datos!$D$5</c:f>
              <c:strCache>
                <c:ptCount val="1"/>
                <c:pt idx="0">
                  <c:v>Tendencia-Ciclo</c:v>
                </c:pt>
              </c:strCache>
            </c:strRef>
          </c:tx>
          <c:spPr>
            <a:ln w="15875">
              <a:solidFill>
                <a:srgbClr val="FF0000"/>
              </a:solidFill>
            </a:ln>
          </c:spPr>
          <c:marker>
            <c:symbol val="none"/>
          </c:marker>
          <c:cat>
            <c:multiLvlStrRef>
              <c:f>Datos!$A$38:$B$79</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Datos!$L$38:$L$79</c:f>
              <c:numCache>
                <c:formatCode>0.0</c:formatCode>
                <c:ptCount val="42"/>
                <c:pt idx="0">
                  <c:v>20081703.8565889</c:v>
                </c:pt>
                <c:pt idx="1">
                  <c:v>20274327.237186201</c:v>
                </c:pt>
                <c:pt idx="2">
                  <c:v>20491207.155854098</c:v>
                </c:pt>
                <c:pt idx="3">
                  <c:v>20713437.935644802</c:v>
                </c:pt>
                <c:pt idx="4">
                  <c:v>20929308.148999002</c:v>
                </c:pt>
                <c:pt idx="5">
                  <c:v>21102941.607160602</c:v>
                </c:pt>
                <c:pt idx="6">
                  <c:v>21269917.721629199</c:v>
                </c:pt>
                <c:pt idx="7">
                  <c:v>21451929.256244101</c:v>
                </c:pt>
                <c:pt idx="8">
                  <c:v>21510552.020875499</c:v>
                </c:pt>
                <c:pt idx="9">
                  <c:v>21503284.551297601</c:v>
                </c:pt>
                <c:pt idx="10">
                  <c:v>21572007.8802379</c:v>
                </c:pt>
                <c:pt idx="11">
                  <c:v>21703629.396195799</c:v>
                </c:pt>
                <c:pt idx="12">
                  <c:v>21948859.570601001</c:v>
                </c:pt>
                <c:pt idx="13">
                  <c:v>22235139.822130699</c:v>
                </c:pt>
                <c:pt idx="14">
                  <c:v>22481812.559675202</c:v>
                </c:pt>
                <c:pt idx="15">
                  <c:v>22677622.5083916</c:v>
                </c:pt>
                <c:pt idx="16">
                  <c:v>22900170.169093698</c:v>
                </c:pt>
                <c:pt idx="17">
                  <c:v>23191028.3496967</c:v>
                </c:pt>
                <c:pt idx="18">
                  <c:v>23430718.978504401</c:v>
                </c:pt>
                <c:pt idx="19">
                  <c:v>23473574.884920299</c:v>
                </c:pt>
                <c:pt idx="20">
                  <c:v>23484191.707851499</c:v>
                </c:pt>
                <c:pt idx="21">
                  <c:v>23648073.079521101</c:v>
                </c:pt>
                <c:pt idx="22">
                  <c:v>23899426.01314</c:v>
                </c:pt>
                <c:pt idx="23">
                  <c:v>24182293.790488701</c:v>
                </c:pt>
                <c:pt idx="24">
                  <c:v>24426862.228388801</c:v>
                </c:pt>
                <c:pt idx="25">
                  <c:v>24539803.9972854</c:v>
                </c:pt>
                <c:pt idx="26">
                  <c:v>24619070.234252501</c:v>
                </c:pt>
                <c:pt idx="27">
                  <c:v>24920233.684107699</c:v>
                </c:pt>
                <c:pt idx="28">
                  <c:v>25261592.176469799</c:v>
                </c:pt>
                <c:pt idx="29">
                  <c:v>25408432.771861099</c:v>
                </c:pt>
                <c:pt idx="30">
                  <c:v>25481079.584366199</c:v>
                </c:pt>
                <c:pt idx="31">
                  <c:v>25511827.1476423</c:v>
                </c:pt>
                <c:pt idx="32">
                  <c:v>25446746.074278101</c:v>
                </c:pt>
                <c:pt idx="33">
                  <c:v>25460967.450728498</c:v>
                </c:pt>
                <c:pt idx="34">
                  <c:v>25398518.800803602</c:v>
                </c:pt>
                <c:pt idx="35">
                  <c:v>25072050.322427399</c:v>
                </c:pt>
                <c:pt idx="36">
                  <c:v>24812931.0669236</c:v>
                </c:pt>
                <c:pt idx="37">
                  <c:v>22483321.968721502</c:v>
                </c:pt>
                <c:pt idx="38">
                  <c:v>22915335.258396599</c:v>
                </c:pt>
                <c:pt idx="39">
                  <c:v>23572308.605834499</c:v>
                </c:pt>
                <c:pt idx="40">
                  <c:v>24209745.039605401</c:v>
                </c:pt>
                <c:pt idx="41">
                  <c:v>24537999.761182901</c:v>
                </c:pt>
              </c:numCache>
            </c:numRef>
          </c:val>
          <c:smooth val="0"/>
          <c:extLst>
            <c:ext xmlns:c16="http://schemas.microsoft.com/office/drawing/2014/chart" uri="{C3380CC4-5D6E-409C-BE32-E72D297353CC}">
              <c16:uniqueId val="{00000001-D348-4843-90B9-C53781A6B1FE}"/>
            </c:ext>
          </c:extLst>
        </c:ser>
        <c:dLbls>
          <c:showLegendKey val="0"/>
          <c:showVal val="0"/>
          <c:showCatName val="0"/>
          <c:showSerName val="0"/>
          <c:showPercent val="0"/>
          <c:showBubbleSize val="0"/>
        </c:dLbls>
        <c:marker val="1"/>
        <c:smooth val="0"/>
        <c:axId val="318171952"/>
        <c:axId val="318173520"/>
      </c:lineChart>
      <c:catAx>
        <c:axId val="318171952"/>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18173520"/>
        <c:crosses val="autoZero"/>
        <c:auto val="0"/>
        <c:lblAlgn val="ctr"/>
        <c:lblOffset val="0"/>
        <c:tickLblSkip val="1"/>
        <c:tickMarkSkip val="4"/>
        <c:noMultiLvlLbl val="1"/>
      </c:catAx>
      <c:valAx>
        <c:axId val="318173520"/>
        <c:scaling>
          <c:orientation val="minMax"/>
          <c:max val="26000000"/>
          <c:min val="170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318171952"/>
        <c:crosses val="autoZero"/>
        <c:crossBetween val="between"/>
        <c:majorUnit val="2000000"/>
        <c:minorUnit val="400000"/>
      </c:valAx>
      <c:spPr>
        <a:ln>
          <a:solidFill>
            <a:schemeClr val="bg1">
              <a:lumMod val="75000"/>
            </a:schemeClr>
          </a:solidFill>
        </a:ln>
      </c:spPr>
    </c:plotArea>
    <c:legend>
      <c:legendPos val="b"/>
      <c:layout>
        <c:manualLayout>
          <c:xMode val="edge"/>
          <c:yMode val="edge"/>
          <c:x val="2.9468730201828229E-3"/>
          <c:y val="0.94392532357352621"/>
          <c:w val="0.99195267999730785"/>
          <c:h val="5.1710246530149412E-2"/>
        </c:manualLayout>
      </c:layout>
      <c:overlay val="0"/>
      <c:txPr>
        <a:bodyPr/>
        <a:lstStyle/>
        <a:p>
          <a:pPr>
            <a:defRPr sz="600"/>
          </a:pPr>
          <a:endParaRPr lang="es-MX"/>
        </a:p>
      </c:txPr>
    </c:legend>
    <c:plotVisOnly val="1"/>
    <c:dispBlanksAs val="gap"/>
    <c:showDLblsOverMax val="0"/>
  </c:chart>
  <c:spPr>
    <a:noFill/>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3787956737965963"/>
          <c:h val="0.81211954070389314"/>
        </c:manualLayout>
      </c:layout>
      <c:barChart>
        <c:barDir val="col"/>
        <c:grouping val="clustered"/>
        <c:varyColors val="0"/>
        <c:ser>
          <c:idx val="0"/>
          <c:order val="0"/>
          <c:tx>
            <c:strRef>
              <c:f>Datos!$E$5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Datos!$A$18:$B$59</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Datos!$G$18:$G$59</c:f>
              <c:numCache>
                <c:formatCode>0.0</c:formatCode>
                <c:ptCount val="42"/>
                <c:pt idx="0">
                  <c:v>113909.595466937</c:v>
                </c:pt>
                <c:pt idx="1">
                  <c:v>157791.66802035601</c:v>
                </c:pt>
                <c:pt idx="2">
                  <c:v>305875.86872478097</c:v>
                </c:pt>
                <c:pt idx="3">
                  <c:v>85385.412489659604</c:v>
                </c:pt>
                <c:pt idx="4">
                  <c:v>148640.79777354401</c:v>
                </c:pt>
                <c:pt idx="5">
                  <c:v>122841.460471642</c:v>
                </c:pt>
                <c:pt idx="6">
                  <c:v>215629.69462698401</c:v>
                </c:pt>
                <c:pt idx="7">
                  <c:v>355851.47566673299</c:v>
                </c:pt>
                <c:pt idx="8">
                  <c:v>405425.430337005</c:v>
                </c:pt>
                <c:pt idx="9">
                  <c:v>445356.38473974698</c:v>
                </c:pt>
                <c:pt idx="10">
                  <c:v>365030.77999468503</c:v>
                </c:pt>
                <c:pt idx="11">
                  <c:v>397439.53436842101</c:v>
                </c:pt>
                <c:pt idx="12">
                  <c:v>388821.365129654</c:v>
                </c:pt>
                <c:pt idx="13">
                  <c:v>448946.80232077697</c:v>
                </c:pt>
                <c:pt idx="14">
                  <c:v>223723.99353092501</c:v>
                </c:pt>
                <c:pt idx="15">
                  <c:v>312229.06354664802</c:v>
                </c:pt>
                <c:pt idx="16">
                  <c:v>413971.88955656998</c:v>
                </c:pt>
                <c:pt idx="17">
                  <c:v>495515.57776675402</c:v>
                </c:pt>
                <c:pt idx="18">
                  <c:v>559039.75882850902</c:v>
                </c:pt>
                <c:pt idx="19">
                  <c:v>520102.29056679801</c:v>
                </c:pt>
                <c:pt idx="20">
                  <c:v>477454.35744915</c:v>
                </c:pt>
                <c:pt idx="21">
                  <c:v>513811.78829439299</c:v>
                </c:pt>
                <c:pt idx="22">
                  <c:v>448269.62121158099</c:v>
                </c:pt>
                <c:pt idx="23">
                  <c:v>413228.97082525399</c:v>
                </c:pt>
                <c:pt idx="24">
                  <c:v>608832.698548374</c:v>
                </c:pt>
                <c:pt idx="25">
                  <c:v>298875.67467175802</c:v>
                </c:pt>
                <c:pt idx="26">
                  <c:v>406534.40581577999</c:v>
                </c:pt>
                <c:pt idx="27">
                  <c:v>358545.62405346101</c:v>
                </c:pt>
                <c:pt idx="28">
                  <c:v>401470.804961043</c:v>
                </c:pt>
                <c:pt idx="29">
                  <c:v>473960.66870106303</c:v>
                </c:pt>
                <c:pt idx="30">
                  <c:v>551464.49604074995</c:v>
                </c:pt>
                <c:pt idx="31">
                  <c:v>557512.20731332304</c:v>
                </c:pt>
                <c:pt idx="32">
                  <c:v>246380.377222974</c:v>
                </c:pt>
                <c:pt idx="33">
                  <c:v>-43105.412839639001</c:v>
                </c:pt>
                <c:pt idx="34">
                  <c:v>92240.536495130495</c:v>
                </c:pt>
                <c:pt idx="35">
                  <c:v>111494.89130107799</c:v>
                </c:pt>
                <c:pt idx="36">
                  <c:v>-110797.45652233899</c:v>
                </c:pt>
                <c:pt idx="37">
                  <c:v>265637.03679407999</c:v>
                </c:pt>
                <c:pt idx="38">
                  <c:v>-1386914.97342778</c:v>
                </c:pt>
                <c:pt idx="39">
                  <c:v>-911658.53271062695</c:v>
                </c:pt>
                <c:pt idx="40">
                  <c:v>-383616.88100386702</c:v>
                </c:pt>
                <c:pt idx="41">
                  <c:v>-230900.784163542</c:v>
                </c:pt>
              </c:numCache>
            </c:numRef>
          </c:val>
          <c:extLst>
            <c:ext xmlns:c16="http://schemas.microsoft.com/office/drawing/2014/chart" uri="{C3380CC4-5D6E-409C-BE32-E72D297353CC}">
              <c16:uniqueId val="{00000000-7151-4D75-85D4-89ED7D7E8BC1}"/>
            </c:ext>
          </c:extLst>
        </c:ser>
        <c:dLbls>
          <c:showLegendKey val="0"/>
          <c:showVal val="1"/>
          <c:showCatName val="0"/>
          <c:showSerName val="0"/>
          <c:showPercent val="0"/>
          <c:showBubbleSize val="0"/>
        </c:dLbls>
        <c:gapWidth val="40"/>
        <c:axId val="559935712"/>
        <c:axId val="183259136"/>
      </c:barChart>
      <c:lineChart>
        <c:grouping val="standard"/>
        <c:varyColors val="0"/>
        <c:ser>
          <c:idx val="1"/>
          <c:order val="1"/>
          <c:tx>
            <c:strRef>
              <c:f>Datos!$F$5</c:f>
              <c:strCache>
                <c:ptCount val="1"/>
                <c:pt idx="0">
                  <c:v>Tendencia-Ciclo</c:v>
                </c:pt>
              </c:strCache>
            </c:strRef>
          </c:tx>
          <c:spPr>
            <a:ln w="15875">
              <a:solidFill>
                <a:srgbClr val="FF0000"/>
              </a:solidFill>
            </a:ln>
          </c:spPr>
          <c:marker>
            <c:symbol val="none"/>
          </c:marker>
          <c:cat>
            <c:multiLvlStrRef>
              <c:f>Datos!$A$18:$B$59</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Datos!$H$18:$H$59</c:f>
              <c:numCache>
                <c:formatCode>0.0</c:formatCode>
                <c:ptCount val="42"/>
                <c:pt idx="0">
                  <c:v>148583.59463815199</c:v>
                </c:pt>
                <c:pt idx="1">
                  <c:v>137467.913533596</c:v>
                </c:pt>
                <c:pt idx="2">
                  <c:v>203590.38064400901</c:v>
                </c:pt>
                <c:pt idx="3">
                  <c:v>227948.555260016</c:v>
                </c:pt>
                <c:pt idx="4">
                  <c:v>172243.174634606</c:v>
                </c:pt>
                <c:pt idx="5">
                  <c:v>129248.39358925199</c:v>
                </c:pt>
                <c:pt idx="6">
                  <c:v>220543.940509159</c:v>
                </c:pt>
                <c:pt idx="7">
                  <c:v>339764.72676298302</c:v>
                </c:pt>
                <c:pt idx="8">
                  <c:v>419495.31175178301</c:v>
                </c:pt>
                <c:pt idx="9">
                  <c:v>420126.685368823</c:v>
                </c:pt>
                <c:pt idx="10">
                  <c:v>393428.66887914599</c:v>
                </c:pt>
                <c:pt idx="11">
                  <c:v>387699.62531705602</c:v>
                </c:pt>
                <c:pt idx="12">
                  <c:v>373444.328308984</c:v>
                </c:pt>
                <c:pt idx="13">
                  <c:v>349719.575185058</c:v>
                </c:pt>
                <c:pt idx="14">
                  <c:v>335110.33578001702</c:v>
                </c:pt>
                <c:pt idx="15">
                  <c:v>346212.77419768</c:v>
                </c:pt>
                <c:pt idx="16">
                  <c:v>400361.14390149602</c:v>
                </c:pt>
                <c:pt idx="17">
                  <c:v>501875.91772952798</c:v>
                </c:pt>
                <c:pt idx="18">
                  <c:v>545588.50057853095</c:v>
                </c:pt>
                <c:pt idx="19">
                  <c:v>521279.71178575902</c:v>
                </c:pt>
                <c:pt idx="20">
                  <c:v>496811.12879497302</c:v>
                </c:pt>
                <c:pt idx="21">
                  <c:v>490806.79666213703</c:v>
                </c:pt>
                <c:pt idx="22">
                  <c:v>456536.72835426399</c:v>
                </c:pt>
                <c:pt idx="23">
                  <c:v>418165.74529432401</c:v>
                </c:pt>
                <c:pt idx="24">
                  <c:v>429510.80369197298</c:v>
                </c:pt>
                <c:pt idx="25">
                  <c:v>438467.183076241</c:v>
                </c:pt>
                <c:pt idx="26">
                  <c:v>402984.41199623601</c:v>
                </c:pt>
                <c:pt idx="27">
                  <c:v>370303.01163994498</c:v>
                </c:pt>
                <c:pt idx="28">
                  <c:v>398768.81274880999</c:v>
                </c:pt>
                <c:pt idx="29">
                  <c:v>477772.92943223199</c:v>
                </c:pt>
                <c:pt idx="30">
                  <c:v>563892.18925127306</c:v>
                </c:pt>
                <c:pt idx="31">
                  <c:v>514590.77675242902</c:v>
                </c:pt>
                <c:pt idx="32">
                  <c:v>241654.63429444699</c:v>
                </c:pt>
                <c:pt idx="33">
                  <c:v>26217.27841635</c:v>
                </c:pt>
                <c:pt idx="34">
                  <c:v>61734.128305134298</c:v>
                </c:pt>
                <c:pt idx="35">
                  <c:v>109798.074296641</c:v>
                </c:pt>
                <c:pt idx="36">
                  <c:v>-167717.146838702</c:v>
                </c:pt>
                <c:pt idx="37">
                  <c:v>-621030.73101145495</c:v>
                </c:pt>
                <c:pt idx="38">
                  <c:v>-934792.23971399595</c:v>
                </c:pt>
                <c:pt idx="39">
                  <c:v>-852326.17651654396</c:v>
                </c:pt>
                <c:pt idx="40">
                  <c:v>-514547.638805795</c:v>
                </c:pt>
                <c:pt idx="41">
                  <c:v>-254956.375961941</c:v>
                </c:pt>
              </c:numCache>
            </c:numRef>
          </c:val>
          <c:smooth val="0"/>
          <c:extLst>
            <c:ext xmlns:c16="http://schemas.microsoft.com/office/drawing/2014/chart" uri="{C3380CC4-5D6E-409C-BE32-E72D297353CC}">
              <c16:uniqueId val="{00000001-7151-4D75-85D4-89ED7D7E8BC1}"/>
            </c:ext>
          </c:extLst>
        </c:ser>
        <c:dLbls>
          <c:showLegendKey val="0"/>
          <c:showVal val="0"/>
          <c:showCatName val="0"/>
          <c:showSerName val="0"/>
          <c:showPercent val="0"/>
          <c:showBubbleSize val="0"/>
        </c:dLbls>
        <c:marker val="1"/>
        <c:smooth val="0"/>
        <c:axId val="559935712"/>
        <c:axId val="183259136"/>
      </c:lineChart>
      <c:catAx>
        <c:axId val="559935712"/>
        <c:scaling>
          <c:orientation val="minMax"/>
        </c:scaling>
        <c:delete val="0"/>
        <c:axPos val="b"/>
        <c:numFmt formatCode="General" sourceLinked="1"/>
        <c:majorTickMark val="out"/>
        <c:minorTickMark val="none"/>
        <c:tickLblPos val="low"/>
        <c:spPr>
          <a:ln>
            <a:solidFill>
              <a:schemeClr val="tx1"/>
            </a:solidFill>
          </a:ln>
        </c:spPr>
        <c:txPr>
          <a:bodyPr rot="0" vert="horz"/>
          <a:lstStyle/>
          <a:p>
            <a:pPr>
              <a:defRPr sz="600"/>
            </a:pPr>
            <a:endParaRPr lang="es-MX"/>
          </a:p>
        </c:txPr>
        <c:crossAx val="183259136"/>
        <c:crosses val="autoZero"/>
        <c:auto val="0"/>
        <c:lblAlgn val="ctr"/>
        <c:lblOffset val="0"/>
        <c:tickLblSkip val="1"/>
        <c:tickMarkSkip val="4"/>
        <c:noMultiLvlLbl val="1"/>
      </c:catAx>
      <c:valAx>
        <c:axId val="183259136"/>
        <c:scaling>
          <c:orientation val="minMax"/>
          <c:max val="1000000"/>
          <c:min val="-15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559935712"/>
        <c:crosses val="autoZero"/>
        <c:crossBetween val="between"/>
        <c:majorUnit val="500000"/>
        <c:minorUnit val="100000"/>
      </c:valAx>
      <c:spPr>
        <a:noFill/>
        <a:ln w="9525">
          <a:solidFill>
            <a:schemeClr val="bg1">
              <a:lumMod val="75000"/>
            </a:schemeClr>
          </a:solidFill>
        </a:ln>
      </c:spPr>
    </c:plotArea>
    <c:legend>
      <c:legendPos val="b"/>
      <c:layout>
        <c:manualLayout>
          <c:xMode val="edge"/>
          <c:yMode val="edge"/>
          <c:x val="2.9468730201828229E-3"/>
          <c:y val="0.94392532357352621"/>
          <c:w val="0.99195267999730785"/>
          <c:h val="5.1710246530149412E-2"/>
        </c:manualLayout>
      </c:layout>
      <c:overlay val="0"/>
      <c:spPr>
        <a:noFill/>
      </c:spPr>
      <c:txPr>
        <a:bodyPr/>
        <a:lstStyle/>
        <a:p>
          <a:pPr>
            <a:defRPr sz="600"/>
          </a:pPr>
          <a:endParaRPr lang="es-MX"/>
        </a:p>
      </c:txPr>
    </c:legend>
    <c:plotVisOnly val="1"/>
    <c:dispBlanksAs val="gap"/>
    <c:showDLblsOverMax val="0"/>
  </c:chart>
  <c:spPr>
    <a:noFill/>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3787956737965963"/>
          <c:h val="0.81211954070389314"/>
        </c:manualLayout>
      </c:layout>
      <c:barChart>
        <c:barDir val="col"/>
        <c:grouping val="clustered"/>
        <c:varyColors val="0"/>
        <c:ser>
          <c:idx val="0"/>
          <c:order val="0"/>
          <c:tx>
            <c:strRef>
              <c:f>Datos!$C$5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Datos!$A$38:$B$79</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Datos!$U$38:$U$79</c:f>
              <c:numCache>
                <c:formatCode>0.0</c:formatCode>
                <c:ptCount val="42"/>
                <c:pt idx="0">
                  <c:v>15265069.7252908</c:v>
                </c:pt>
                <c:pt idx="1">
                  <c:v>15344618.597199401</c:v>
                </c:pt>
                <c:pt idx="2">
                  <c:v>15638936.396276001</c:v>
                </c:pt>
                <c:pt idx="3">
                  <c:v>15748143.044228099</c:v>
                </c:pt>
                <c:pt idx="4">
                  <c:v>15851680.5420058</c:v>
                </c:pt>
                <c:pt idx="5">
                  <c:v>15982568.0401216</c:v>
                </c:pt>
                <c:pt idx="6">
                  <c:v>16079064.180343701</c:v>
                </c:pt>
                <c:pt idx="7">
                  <c:v>16214546.349984299</c:v>
                </c:pt>
                <c:pt idx="8">
                  <c:v>16257072.5245158</c:v>
                </c:pt>
                <c:pt idx="9">
                  <c:v>16159384.022571201</c:v>
                </c:pt>
                <c:pt idx="10">
                  <c:v>16313145.035256401</c:v>
                </c:pt>
                <c:pt idx="11">
                  <c:v>16408312.425478101</c:v>
                </c:pt>
                <c:pt idx="12">
                  <c:v>16521310.9245917</c:v>
                </c:pt>
                <c:pt idx="13">
                  <c:v>16726142.5687174</c:v>
                </c:pt>
                <c:pt idx="14">
                  <c:v>16785529.5115171</c:v>
                </c:pt>
                <c:pt idx="15">
                  <c:v>16966118.925389599</c:v>
                </c:pt>
                <c:pt idx="16">
                  <c:v>17058839.786706101</c:v>
                </c:pt>
                <c:pt idx="17">
                  <c:v>17257308.776663501</c:v>
                </c:pt>
                <c:pt idx="18">
                  <c:v>17473547.300023101</c:v>
                </c:pt>
                <c:pt idx="19">
                  <c:v>17427934.8077101</c:v>
                </c:pt>
                <c:pt idx="20">
                  <c:v>17528997.776941899</c:v>
                </c:pt>
                <c:pt idx="21">
                  <c:v>17598780.551574498</c:v>
                </c:pt>
                <c:pt idx="22">
                  <c:v>17781782.9759425</c:v>
                </c:pt>
                <c:pt idx="23">
                  <c:v>17969342.238259401</c:v>
                </c:pt>
                <c:pt idx="24">
                  <c:v>18055591.1238342</c:v>
                </c:pt>
                <c:pt idx="25">
                  <c:v>18118776.907205299</c:v>
                </c:pt>
                <c:pt idx="26">
                  <c:v>18062642.440434601</c:v>
                </c:pt>
                <c:pt idx="27">
                  <c:v>18290090.519891299</c:v>
                </c:pt>
                <c:pt idx="28">
                  <c:v>18506261.014966901</c:v>
                </c:pt>
                <c:pt idx="29">
                  <c:v>18513461.735467602</c:v>
                </c:pt>
                <c:pt idx="30">
                  <c:v>18570941.011668898</c:v>
                </c:pt>
                <c:pt idx="31">
                  <c:v>18514824.311717398</c:v>
                </c:pt>
                <c:pt idx="32">
                  <c:v>18553908.4222284</c:v>
                </c:pt>
                <c:pt idx="33">
                  <c:v>18520183.210294101</c:v>
                </c:pt>
                <c:pt idx="34">
                  <c:v>18547763.115393601</c:v>
                </c:pt>
                <c:pt idx="35">
                  <c:v>18355726.9685473</c:v>
                </c:pt>
                <c:pt idx="36">
                  <c:v>18186876.856118701</c:v>
                </c:pt>
                <c:pt idx="37">
                  <c:v>15039190.6938051</c:v>
                </c:pt>
                <c:pt idx="38">
                  <c:v>16943300.5846214</c:v>
                </c:pt>
                <c:pt idx="39">
                  <c:v>17509718.9049972</c:v>
                </c:pt>
                <c:pt idx="40">
                  <c:v>17704143.515169799</c:v>
                </c:pt>
                <c:pt idx="41">
                  <c:v>17965150.4394232</c:v>
                </c:pt>
              </c:numCache>
            </c:numRef>
          </c:val>
          <c:extLst>
            <c:ext xmlns:c16="http://schemas.microsoft.com/office/drawing/2014/chart" uri="{C3380CC4-5D6E-409C-BE32-E72D297353CC}">
              <c16:uniqueId val="{00000000-A2E8-4DA8-891E-131D48A23222}"/>
            </c:ext>
          </c:extLst>
        </c:ser>
        <c:dLbls>
          <c:showLegendKey val="0"/>
          <c:showVal val="1"/>
          <c:showCatName val="0"/>
          <c:showSerName val="0"/>
          <c:showPercent val="0"/>
          <c:showBubbleSize val="0"/>
        </c:dLbls>
        <c:gapWidth val="40"/>
        <c:axId val="316957392"/>
        <c:axId val="316950336"/>
      </c:barChart>
      <c:lineChart>
        <c:grouping val="standard"/>
        <c:varyColors val="0"/>
        <c:ser>
          <c:idx val="1"/>
          <c:order val="1"/>
          <c:tx>
            <c:strRef>
              <c:f>Datos!$D$5</c:f>
              <c:strCache>
                <c:ptCount val="1"/>
                <c:pt idx="0">
                  <c:v>Tendencia-Ciclo</c:v>
                </c:pt>
              </c:strCache>
            </c:strRef>
          </c:tx>
          <c:spPr>
            <a:ln w="15875">
              <a:solidFill>
                <a:srgbClr val="FF0000"/>
              </a:solidFill>
            </a:ln>
          </c:spPr>
          <c:marker>
            <c:symbol val="none"/>
          </c:marker>
          <c:cat>
            <c:multiLvlStrRef>
              <c:f>Datos!$A$38:$B$79</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Datos!$V$38:$V$79</c:f>
              <c:numCache>
                <c:formatCode>0.0</c:formatCode>
                <c:ptCount val="42"/>
                <c:pt idx="0">
                  <c:v>15265747.8184819</c:v>
                </c:pt>
                <c:pt idx="1">
                  <c:v>15423075.8638571</c:v>
                </c:pt>
                <c:pt idx="2">
                  <c:v>15603588.3344543</c:v>
                </c:pt>
                <c:pt idx="3">
                  <c:v>15747579.8598311</c:v>
                </c:pt>
                <c:pt idx="4">
                  <c:v>15860255.655915201</c:v>
                </c:pt>
                <c:pt idx="5">
                  <c:v>15972647.7440734</c:v>
                </c:pt>
                <c:pt idx="6">
                  <c:v>16094140.430601699</c:v>
                </c:pt>
                <c:pt idx="7">
                  <c:v>16205879.0773688</c:v>
                </c:pt>
                <c:pt idx="8">
                  <c:v>16234641.505242299</c:v>
                </c:pt>
                <c:pt idx="9">
                  <c:v>16229569.9856048</c:v>
                </c:pt>
                <c:pt idx="10">
                  <c:v>16294565.570501501</c:v>
                </c:pt>
                <c:pt idx="11">
                  <c:v>16406040.931953199</c:v>
                </c:pt>
                <c:pt idx="12">
                  <c:v>16544167.140320901</c:v>
                </c:pt>
                <c:pt idx="13">
                  <c:v>16689141.0815299</c:v>
                </c:pt>
                <c:pt idx="14">
                  <c:v>16820459.868638199</c:v>
                </c:pt>
                <c:pt idx="15">
                  <c:v>16936550.947087299</c:v>
                </c:pt>
                <c:pt idx="16">
                  <c:v>17081110.762079999</c:v>
                </c:pt>
                <c:pt idx="17">
                  <c:v>17265002.792165998</c:v>
                </c:pt>
                <c:pt idx="18">
                  <c:v>17410871.219021499</c:v>
                </c:pt>
                <c:pt idx="19">
                  <c:v>17464620.584643699</c:v>
                </c:pt>
                <c:pt idx="20">
                  <c:v>17506915.373583101</c:v>
                </c:pt>
                <c:pt idx="21">
                  <c:v>17617369.417933099</c:v>
                </c:pt>
                <c:pt idx="22">
                  <c:v>17781577.704826999</c:v>
                </c:pt>
                <c:pt idx="23">
                  <c:v>17955823.342197102</c:v>
                </c:pt>
                <c:pt idx="24">
                  <c:v>18066659.0837989</c:v>
                </c:pt>
                <c:pt idx="25">
                  <c:v>18089106.510205101</c:v>
                </c:pt>
                <c:pt idx="26">
                  <c:v>18127174.318944901</c:v>
                </c:pt>
                <c:pt idx="27">
                  <c:v>18289937.018281799</c:v>
                </c:pt>
                <c:pt idx="28">
                  <c:v>18470964.136463601</c:v>
                </c:pt>
                <c:pt idx="29">
                  <c:v>18544530.197372202</c:v>
                </c:pt>
                <c:pt idx="30">
                  <c:v>18543577.033739399</c:v>
                </c:pt>
                <c:pt idx="31">
                  <c:v>18542491.952661399</c:v>
                </c:pt>
                <c:pt idx="32">
                  <c:v>18531808.841586798</c:v>
                </c:pt>
                <c:pt idx="33">
                  <c:v>18550320.2870465</c:v>
                </c:pt>
                <c:pt idx="34">
                  <c:v>18508664.928802699</c:v>
                </c:pt>
                <c:pt idx="35">
                  <c:v>18354636.210268799</c:v>
                </c:pt>
                <c:pt idx="36">
                  <c:v>18219310.261672001</c:v>
                </c:pt>
                <c:pt idx="37">
                  <c:v>16859466.059624702</c:v>
                </c:pt>
                <c:pt idx="38">
                  <c:v>17073159.535856199</c:v>
                </c:pt>
                <c:pt idx="39">
                  <c:v>17376152.507720198</c:v>
                </c:pt>
                <c:pt idx="40">
                  <c:v>17706989.321649399</c:v>
                </c:pt>
                <c:pt idx="41">
                  <c:v>17937855.354251001</c:v>
                </c:pt>
              </c:numCache>
            </c:numRef>
          </c:val>
          <c:smooth val="0"/>
          <c:extLst>
            <c:ext xmlns:c16="http://schemas.microsoft.com/office/drawing/2014/chart" uri="{C3380CC4-5D6E-409C-BE32-E72D297353CC}">
              <c16:uniqueId val="{00000001-A2E8-4DA8-891E-131D48A23222}"/>
            </c:ext>
          </c:extLst>
        </c:ser>
        <c:dLbls>
          <c:showLegendKey val="0"/>
          <c:showVal val="0"/>
          <c:showCatName val="0"/>
          <c:showSerName val="0"/>
          <c:showPercent val="0"/>
          <c:showBubbleSize val="0"/>
        </c:dLbls>
        <c:marker val="1"/>
        <c:smooth val="0"/>
        <c:axId val="316957392"/>
        <c:axId val="316950336"/>
      </c:lineChart>
      <c:catAx>
        <c:axId val="316957392"/>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16950336"/>
        <c:crosses val="autoZero"/>
        <c:auto val="0"/>
        <c:lblAlgn val="ctr"/>
        <c:lblOffset val="0"/>
        <c:tickLblSkip val="1"/>
        <c:tickMarkSkip val="4"/>
        <c:noMultiLvlLbl val="1"/>
      </c:catAx>
      <c:valAx>
        <c:axId val="316950336"/>
        <c:scaling>
          <c:orientation val="minMax"/>
          <c:max val="20000000"/>
          <c:min val="120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316957392"/>
        <c:crosses val="autoZero"/>
        <c:crossBetween val="between"/>
        <c:majorUnit val="2000000"/>
        <c:minorUnit val="400000"/>
      </c:valAx>
      <c:spPr>
        <a:noFill/>
        <a:ln>
          <a:solidFill>
            <a:schemeClr val="bg1">
              <a:lumMod val="75000"/>
            </a:schemeClr>
          </a:solidFill>
        </a:ln>
      </c:spPr>
    </c:plotArea>
    <c:legend>
      <c:legendPos val="b"/>
      <c:layout>
        <c:manualLayout>
          <c:xMode val="edge"/>
          <c:yMode val="edge"/>
          <c:x val="0"/>
          <c:y val="0.93466608340624091"/>
          <c:w val="0.99936832701251099"/>
          <c:h val="5.1710246530149412E-2"/>
        </c:manualLayout>
      </c:layout>
      <c:overlay val="0"/>
      <c:txPr>
        <a:bodyPr/>
        <a:lstStyle/>
        <a:p>
          <a:pPr>
            <a:defRPr sz="600"/>
          </a:pPr>
          <a:endParaRPr lang="es-MX"/>
        </a:p>
      </c:txPr>
    </c:legend>
    <c:plotVisOnly val="1"/>
    <c:dispBlanksAs val="gap"/>
    <c:showDLblsOverMax val="0"/>
  </c:chart>
  <c:spPr>
    <a:noFill/>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5122775670839745"/>
          <c:h val="0.81211954070389314"/>
        </c:manualLayout>
      </c:layout>
      <c:barChart>
        <c:barDir val="col"/>
        <c:grouping val="clustered"/>
        <c:varyColors val="0"/>
        <c:ser>
          <c:idx val="0"/>
          <c:order val="0"/>
          <c:tx>
            <c:strRef>
              <c:f>Datos!$C$5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Datos!$A$38:$B$79</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Datos!$G$38:$G$79</c:f>
              <c:numCache>
                <c:formatCode>0.0</c:formatCode>
                <c:ptCount val="42"/>
                <c:pt idx="0">
                  <c:v>4861356.7169630798</c:v>
                </c:pt>
                <c:pt idx="1">
                  <c:v>4867834.3774847202</c:v>
                </c:pt>
                <c:pt idx="2">
                  <c:v>4987455.0789439697</c:v>
                </c:pt>
                <c:pt idx="3">
                  <c:v>4936066.6269674301</c:v>
                </c:pt>
                <c:pt idx="4">
                  <c:v>5085513.6567425197</c:v>
                </c:pt>
                <c:pt idx="5">
                  <c:v>5143590.89846172</c:v>
                </c:pt>
                <c:pt idx="6">
                  <c:v>5117588.4048216399</c:v>
                </c:pt>
                <c:pt idx="7">
                  <c:v>5285288.3121951502</c:v>
                </c:pt>
                <c:pt idx="8">
                  <c:v>5280953.3863249198</c:v>
                </c:pt>
                <c:pt idx="9">
                  <c:v>5289658.1200475404</c:v>
                </c:pt>
                <c:pt idx="10">
                  <c:v>5305521.4420964401</c:v>
                </c:pt>
                <c:pt idx="11">
                  <c:v>5274319.4067869801</c:v>
                </c:pt>
                <c:pt idx="12">
                  <c:v>5395609.9860959798</c:v>
                </c:pt>
                <c:pt idx="13">
                  <c:v>5582014.4878888903</c:v>
                </c:pt>
                <c:pt idx="14">
                  <c:v>5626734.3473285101</c:v>
                </c:pt>
                <c:pt idx="15">
                  <c:v>5793892.6595326504</c:v>
                </c:pt>
                <c:pt idx="16">
                  <c:v>5766035.1977908099</c:v>
                </c:pt>
                <c:pt idx="17">
                  <c:v>5938152.9258357901</c:v>
                </c:pt>
                <c:pt idx="18">
                  <c:v>6036647.6182531901</c:v>
                </c:pt>
                <c:pt idx="19">
                  <c:v>5987216.7591400202</c:v>
                </c:pt>
                <c:pt idx="20">
                  <c:v>5945599.90916749</c:v>
                </c:pt>
                <c:pt idx="21">
                  <c:v>6015039.2233198602</c:v>
                </c:pt>
                <c:pt idx="22">
                  <c:v>6159640.68521953</c:v>
                </c:pt>
                <c:pt idx="23">
                  <c:v>6183198.9513617205</c:v>
                </c:pt>
                <c:pt idx="24">
                  <c:v>6381726.4842206603</c:v>
                </c:pt>
                <c:pt idx="25">
                  <c:v>6478474.31664088</c:v>
                </c:pt>
                <c:pt idx="26">
                  <c:v>6488839.5424944004</c:v>
                </c:pt>
                <c:pt idx="27">
                  <c:v>6611454.5629746597</c:v>
                </c:pt>
                <c:pt idx="28">
                  <c:v>6846359.0216707103</c:v>
                </c:pt>
                <c:pt idx="29">
                  <c:v>6838473.6570947096</c:v>
                </c:pt>
                <c:pt idx="30">
                  <c:v>6923562.9693975104</c:v>
                </c:pt>
                <c:pt idx="31">
                  <c:v>7016210.1619450999</c:v>
                </c:pt>
                <c:pt idx="32">
                  <c:v>6872288.4805711601</c:v>
                </c:pt>
                <c:pt idx="33">
                  <c:v>6908538.1011284702</c:v>
                </c:pt>
                <c:pt idx="34">
                  <c:v>6974395.4089883603</c:v>
                </c:pt>
                <c:pt idx="35">
                  <c:v>6680110.2415578999</c:v>
                </c:pt>
                <c:pt idx="36">
                  <c:v>6538468.6184217697</c:v>
                </c:pt>
                <c:pt idx="37">
                  <c:v>4869850.8257199898</c:v>
                </c:pt>
                <c:pt idx="38">
                  <c:v>5689023.6369752297</c:v>
                </c:pt>
                <c:pt idx="39">
                  <c:v>6231229.4648041604</c:v>
                </c:pt>
                <c:pt idx="40">
                  <c:v>6574880.0049932702</c:v>
                </c:pt>
                <c:pt idx="41">
                  <c:v>6587610.4870453104</c:v>
                </c:pt>
              </c:numCache>
            </c:numRef>
          </c:val>
          <c:extLst>
            <c:ext xmlns:c16="http://schemas.microsoft.com/office/drawing/2014/chart" uri="{C3380CC4-5D6E-409C-BE32-E72D297353CC}">
              <c16:uniqueId val="{00000000-AC54-4AF1-B4ED-C9B1DBCE4E46}"/>
            </c:ext>
          </c:extLst>
        </c:ser>
        <c:dLbls>
          <c:showLegendKey val="0"/>
          <c:showVal val="1"/>
          <c:showCatName val="0"/>
          <c:showSerName val="0"/>
          <c:showPercent val="0"/>
          <c:showBubbleSize val="0"/>
        </c:dLbls>
        <c:gapWidth val="40"/>
        <c:axId val="316954256"/>
        <c:axId val="316952296"/>
      </c:barChart>
      <c:lineChart>
        <c:grouping val="standard"/>
        <c:varyColors val="0"/>
        <c:ser>
          <c:idx val="1"/>
          <c:order val="1"/>
          <c:tx>
            <c:strRef>
              <c:f>Datos!$D$5</c:f>
              <c:strCache>
                <c:ptCount val="1"/>
                <c:pt idx="0">
                  <c:v>Tendencia-Ciclo</c:v>
                </c:pt>
              </c:strCache>
            </c:strRef>
          </c:tx>
          <c:spPr>
            <a:ln w="15875">
              <a:solidFill>
                <a:srgbClr val="FF0000"/>
              </a:solidFill>
            </a:ln>
          </c:spPr>
          <c:marker>
            <c:symbol val="none"/>
          </c:marker>
          <c:cat>
            <c:multiLvlStrRef>
              <c:f>Datos!$A$38:$B$79</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Datos!$H$38:$H$79</c:f>
              <c:numCache>
                <c:formatCode>0.0</c:formatCode>
                <c:ptCount val="42"/>
                <c:pt idx="0">
                  <c:v>4837826.3937969999</c:v>
                </c:pt>
                <c:pt idx="1">
                  <c:v>4896547.5851670597</c:v>
                </c:pt>
                <c:pt idx="2">
                  <c:v>4945178.5810975097</c:v>
                </c:pt>
                <c:pt idx="3">
                  <c:v>5005936.6434250604</c:v>
                </c:pt>
                <c:pt idx="4">
                  <c:v>5076603.60310023</c:v>
                </c:pt>
                <c:pt idx="5">
                  <c:v>5124140.4436172601</c:v>
                </c:pt>
                <c:pt idx="6">
                  <c:v>5171840.9628763897</c:v>
                </c:pt>
                <c:pt idx="7">
                  <c:v>5248519.6907327399</c:v>
                </c:pt>
                <c:pt idx="8">
                  <c:v>5294055.7000084296</c:v>
                </c:pt>
                <c:pt idx="9">
                  <c:v>5293207.7716656402</c:v>
                </c:pt>
                <c:pt idx="10">
                  <c:v>5286887.1054849299</c:v>
                </c:pt>
                <c:pt idx="11">
                  <c:v>5295388.1828231299</c:v>
                </c:pt>
                <c:pt idx="12">
                  <c:v>5404378.5781475799</c:v>
                </c:pt>
                <c:pt idx="13">
                  <c:v>5547571.86095702</c:v>
                </c:pt>
                <c:pt idx="14">
                  <c:v>5665509.6696381196</c:v>
                </c:pt>
                <c:pt idx="15">
                  <c:v>5754090.6281490102</c:v>
                </c:pt>
                <c:pt idx="16">
                  <c:v>5840381.52978124</c:v>
                </c:pt>
                <c:pt idx="17">
                  <c:v>5937197.9015824702</c:v>
                </c:pt>
                <c:pt idx="18">
                  <c:v>6016370.6568554798</c:v>
                </c:pt>
                <c:pt idx="19">
                  <c:v>5991071.4637534004</c:v>
                </c:pt>
                <c:pt idx="20">
                  <c:v>5955816.2014702903</c:v>
                </c:pt>
                <c:pt idx="21">
                  <c:v>6026810.33475227</c:v>
                </c:pt>
                <c:pt idx="22">
                  <c:v>6123498.81834694</c:v>
                </c:pt>
                <c:pt idx="23">
                  <c:v>6225254.8605303401</c:v>
                </c:pt>
                <c:pt idx="24">
                  <c:v>6360275.2000193503</c:v>
                </c:pt>
                <c:pt idx="25">
                  <c:v>6465019.9758935096</c:v>
                </c:pt>
                <c:pt idx="26">
                  <c:v>6503421.52819263</c:v>
                </c:pt>
                <c:pt idx="27">
                  <c:v>6637529.72733346</c:v>
                </c:pt>
                <c:pt idx="28">
                  <c:v>6795632.7314804597</c:v>
                </c:pt>
                <c:pt idx="29">
                  <c:v>6869399.5565089798</c:v>
                </c:pt>
                <c:pt idx="30">
                  <c:v>6935216.4977477901</c:v>
                </c:pt>
                <c:pt idx="31">
                  <c:v>6967684.9677828597</c:v>
                </c:pt>
                <c:pt idx="32">
                  <c:v>6916208.2864946797</c:v>
                </c:pt>
                <c:pt idx="33">
                  <c:v>6917042.2197689796</c:v>
                </c:pt>
                <c:pt idx="34">
                  <c:v>6890870.9269066202</c:v>
                </c:pt>
                <c:pt idx="35">
                  <c:v>6704149.4570096396</c:v>
                </c:pt>
                <c:pt idx="36">
                  <c:v>6548037.55417246</c:v>
                </c:pt>
                <c:pt idx="37">
                  <c:v>5612500.8986359797</c:v>
                </c:pt>
                <c:pt idx="38">
                  <c:v>5851054.9962015897</c:v>
                </c:pt>
                <c:pt idx="39">
                  <c:v>6233276.5522933099</c:v>
                </c:pt>
                <c:pt idx="40">
                  <c:v>6531125.8996825898</c:v>
                </c:pt>
                <c:pt idx="41">
                  <c:v>6601863.0423976397</c:v>
                </c:pt>
              </c:numCache>
            </c:numRef>
          </c:val>
          <c:smooth val="0"/>
          <c:extLst>
            <c:ext xmlns:c16="http://schemas.microsoft.com/office/drawing/2014/chart" uri="{C3380CC4-5D6E-409C-BE32-E72D297353CC}">
              <c16:uniqueId val="{00000001-AC54-4AF1-B4ED-C9B1DBCE4E46}"/>
            </c:ext>
          </c:extLst>
        </c:ser>
        <c:dLbls>
          <c:showLegendKey val="0"/>
          <c:showVal val="0"/>
          <c:showCatName val="0"/>
          <c:showSerName val="0"/>
          <c:showPercent val="0"/>
          <c:showBubbleSize val="0"/>
        </c:dLbls>
        <c:marker val="1"/>
        <c:smooth val="0"/>
        <c:axId val="316954256"/>
        <c:axId val="316952296"/>
      </c:lineChart>
      <c:catAx>
        <c:axId val="316954256"/>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16952296"/>
        <c:crosses val="autoZero"/>
        <c:auto val="0"/>
        <c:lblAlgn val="ctr"/>
        <c:lblOffset val="0"/>
        <c:tickLblSkip val="1"/>
        <c:tickMarkSkip val="4"/>
        <c:noMultiLvlLbl val="1"/>
      </c:catAx>
      <c:valAx>
        <c:axId val="316952296"/>
        <c:scaling>
          <c:orientation val="minMax"/>
          <c:max val="8000000"/>
          <c:min val="30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316954256"/>
        <c:crosses val="autoZero"/>
        <c:crossBetween val="between"/>
        <c:majorUnit val="1000000"/>
        <c:minorUnit val="100000"/>
      </c:valAx>
      <c:spPr>
        <a:ln>
          <a:solidFill>
            <a:schemeClr val="bg1">
              <a:lumMod val="75000"/>
            </a:schemeClr>
          </a:solidFill>
        </a:ln>
      </c:spPr>
    </c:plotArea>
    <c:legend>
      <c:legendPos val="b"/>
      <c:layout>
        <c:manualLayout>
          <c:xMode val="edge"/>
          <c:yMode val="edge"/>
          <c:x val="1.4637436171423964E-3"/>
          <c:y val="0.94392532357352577"/>
          <c:w val="0.99491893880339488"/>
          <c:h val="5.1710246530149412E-2"/>
        </c:manualLayout>
      </c:layout>
      <c:overlay val="0"/>
      <c:txPr>
        <a:bodyPr/>
        <a:lstStyle/>
        <a:p>
          <a:pPr>
            <a:defRPr sz="600"/>
          </a:pPr>
          <a:endParaRPr lang="es-MX"/>
        </a:p>
      </c:txPr>
    </c:legend>
    <c:plotVisOnly val="1"/>
    <c:dispBlanksAs val="gap"/>
    <c:showDLblsOverMax val="0"/>
  </c:chart>
  <c:spPr>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4974462730535871"/>
          <c:h val="0.81211954070389314"/>
        </c:manualLayout>
      </c:layout>
      <c:barChart>
        <c:barDir val="col"/>
        <c:grouping val="clustered"/>
        <c:varyColors val="0"/>
        <c:ser>
          <c:idx val="0"/>
          <c:order val="0"/>
          <c:tx>
            <c:strRef>
              <c:f>Datos!$C$5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Datos!$A$38:$B$79</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Datos!$M$38:$M$79</c:f>
              <c:numCache>
                <c:formatCode>0.0</c:formatCode>
                <c:ptCount val="42"/>
                <c:pt idx="0">
                  <c:v>10205730.9787613</c:v>
                </c:pt>
                <c:pt idx="1">
                  <c:v>10364346.5852676</c:v>
                </c:pt>
                <c:pt idx="2">
                  <c:v>10498146.912603499</c:v>
                </c:pt>
                <c:pt idx="3">
                  <c:v>10502099.5260261</c:v>
                </c:pt>
                <c:pt idx="4">
                  <c:v>10602174.338341</c:v>
                </c:pt>
                <c:pt idx="5">
                  <c:v>10576807.6397279</c:v>
                </c:pt>
                <c:pt idx="6">
                  <c:v>10622556.0930585</c:v>
                </c:pt>
                <c:pt idx="7">
                  <c:v>10678647.984659299</c:v>
                </c:pt>
                <c:pt idx="8">
                  <c:v>10815030.629568901</c:v>
                </c:pt>
                <c:pt idx="9">
                  <c:v>10770591.150461501</c:v>
                </c:pt>
                <c:pt idx="10">
                  <c:v>10822848.1517352</c:v>
                </c:pt>
                <c:pt idx="11">
                  <c:v>10891788.532942999</c:v>
                </c:pt>
                <c:pt idx="12">
                  <c:v>10896509.944003699</c:v>
                </c:pt>
                <c:pt idx="13">
                  <c:v>11097485.943489</c:v>
                </c:pt>
                <c:pt idx="14">
                  <c:v>11083833.3591916</c:v>
                </c:pt>
                <c:pt idx="15">
                  <c:v>11149629.3797275</c:v>
                </c:pt>
                <c:pt idx="16">
                  <c:v>11191124.567734901</c:v>
                </c:pt>
                <c:pt idx="17">
                  <c:v>11284266.909159901</c:v>
                </c:pt>
                <c:pt idx="18">
                  <c:v>11389711.604810201</c:v>
                </c:pt>
                <c:pt idx="19">
                  <c:v>11546229.656469399</c:v>
                </c:pt>
                <c:pt idx="20">
                  <c:v>11621168.3501452</c:v>
                </c:pt>
                <c:pt idx="21">
                  <c:v>11620225.841787999</c:v>
                </c:pt>
                <c:pt idx="22">
                  <c:v>11805865.619641</c:v>
                </c:pt>
                <c:pt idx="23">
                  <c:v>11944004.493147099</c:v>
                </c:pt>
                <c:pt idx="24">
                  <c:v>12044924.048929799</c:v>
                </c:pt>
                <c:pt idx="25">
                  <c:v>12149799.123639699</c:v>
                </c:pt>
                <c:pt idx="26">
                  <c:v>12167148.418686699</c:v>
                </c:pt>
                <c:pt idx="27">
                  <c:v>12216603.0895274</c:v>
                </c:pt>
                <c:pt idx="28">
                  <c:v>12447229.5577574</c:v>
                </c:pt>
                <c:pt idx="29">
                  <c:v>12470812.836461799</c:v>
                </c:pt>
                <c:pt idx="30">
                  <c:v>12503283.833983099</c:v>
                </c:pt>
                <c:pt idx="31">
                  <c:v>12402544.4033306</c:v>
                </c:pt>
                <c:pt idx="32">
                  <c:v>12454546.2352817</c:v>
                </c:pt>
                <c:pt idx="33">
                  <c:v>12536784.1633709</c:v>
                </c:pt>
                <c:pt idx="34">
                  <c:v>12570880.647570301</c:v>
                </c:pt>
                <c:pt idx="35">
                  <c:v>12447047.144938</c:v>
                </c:pt>
                <c:pt idx="36">
                  <c:v>12289450.1466162</c:v>
                </c:pt>
                <c:pt idx="37">
                  <c:v>9897175.0783337392</c:v>
                </c:pt>
                <c:pt idx="38">
                  <c:v>10963130.9691847</c:v>
                </c:pt>
                <c:pt idx="39">
                  <c:v>11531411.416807801</c:v>
                </c:pt>
                <c:pt idx="40">
                  <c:v>11879074.3762048</c:v>
                </c:pt>
                <c:pt idx="41">
                  <c:v>12103751.889749</c:v>
                </c:pt>
              </c:numCache>
            </c:numRef>
          </c:val>
          <c:extLst>
            <c:ext xmlns:c16="http://schemas.microsoft.com/office/drawing/2014/chart" uri="{C3380CC4-5D6E-409C-BE32-E72D297353CC}">
              <c16:uniqueId val="{00000000-941D-4108-B853-51015098D7AB}"/>
            </c:ext>
          </c:extLst>
        </c:ser>
        <c:dLbls>
          <c:showLegendKey val="0"/>
          <c:showVal val="1"/>
          <c:showCatName val="0"/>
          <c:showSerName val="0"/>
          <c:showPercent val="0"/>
          <c:showBubbleSize val="0"/>
        </c:dLbls>
        <c:gapWidth val="40"/>
        <c:axId val="316953080"/>
        <c:axId val="316953864"/>
      </c:barChart>
      <c:lineChart>
        <c:grouping val="standard"/>
        <c:varyColors val="0"/>
        <c:ser>
          <c:idx val="1"/>
          <c:order val="1"/>
          <c:tx>
            <c:strRef>
              <c:f>Datos!$D$5</c:f>
              <c:strCache>
                <c:ptCount val="1"/>
                <c:pt idx="0">
                  <c:v>Tendencia-Ciclo</c:v>
                </c:pt>
              </c:strCache>
            </c:strRef>
          </c:tx>
          <c:spPr>
            <a:ln w="15875">
              <a:solidFill>
                <a:srgbClr val="FF0000"/>
              </a:solidFill>
            </a:ln>
          </c:spPr>
          <c:marker>
            <c:symbol val="none"/>
          </c:marker>
          <c:cat>
            <c:multiLvlStrRef>
              <c:f>Datos!$A$38:$B$79</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Datos!$N$38:$N$79</c:f>
              <c:numCache>
                <c:formatCode>0.0</c:formatCode>
                <c:ptCount val="42"/>
                <c:pt idx="0">
                  <c:v>10242506.8820785</c:v>
                </c:pt>
                <c:pt idx="1">
                  <c:v>10358386.102952899</c:v>
                </c:pt>
                <c:pt idx="2">
                  <c:v>10473842.544426899</c:v>
                </c:pt>
                <c:pt idx="3">
                  <c:v>10534960.386428701</c:v>
                </c:pt>
                <c:pt idx="4">
                  <c:v>10571473.192094401</c:v>
                </c:pt>
                <c:pt idx="5">
                  <c:v>10595702.380663101</c:v>
                </c:pt>
                <c:pt idx="6">
                  <c:v>10613136.4205292</c:v>
                </c:pt>
                <c:pt idx="7">
                  <c:v>10702242.288860001</c:v>
                </c:pt>
                <c:pt idx="8">
                  <c:v>10774120.1725308</c:v>
                </c:pt>
                <c:pt idx="9">
                  <c:v>10796129.167117</c:v>
                </c:pt>
                <c:pt idx="10">
                  <c:v>10821627.9858141</c:v>
                </c:pt>
                <c:pt idx="11">
                  <c:v>10875049.989458701</c:v>
                </c:pt>
                <c:pt idx="12">
                  <c:v>10947074.479787501</c:v>
                </c:pt>
                <c:pt idx="13">
                  <c:v>11032749.8138352</c:v>
                </c:pt>
                <c:pt idx="14">
                  <c:v>11101694.900781</c:v>
                </c:pt>
                <c:pt idx="15">
                  <c:v>11138906.1801976</c:v>
                </c:pt>
                <c:pt idx="16">
                  <c:v>11199590.121888399</c:v>
                </c:pt>
                <c:pt idx="17">
                  <c:v>11278531.1335638</c:v>
                </c:pt>
                <c:pt idx="18">
                  <c:v>11402298.660863699</c:v>
                </c:pt>
                <c:pt idx="19">
                  <c:v>11536071.026158899</c:v>
                </c:pt>
                <c:pt idx="20">
                  <c:v>11602314.9516201</c:v>
                </c:pt>
                <c:pt idx="21">
                  <c:v>11656685.5629586</c:v>
                </c:pt>
                <c:pt idx="22">
                  <c:v>11787922.751386501</c:v>
                </c:pt>
                <c:pt idx="23">
                  <c:v>11941736.1076556</c:v>
                </c:pt>
                <c:pt idx="24">
                  <c:v>12054664.534384601</c:v>
                </c:pt>
                <c:pt idx="25">
                  <c:v>12131472.9394846</c:v>
                </c:pt>
                <c:pt idx="26">
                  <c:v>12176286.7681433</c:v>
                </c:pt>
                <c:pt idx="27">
                  <c:v>12277577.0226766</c:v>
                </c:pt>
                <c:pt idx="28">
                  <c:v>12414168.8750061</c:v>
                </c:pt>
                <c:pt idx="29">
                  <c:v>12494276.763135299</c:v>
                </c:pt>
                <c:pt idx="30">
                  <c:v>12471853.60114</c:v>
                </c:pt>
                <c:pt idx="31">
                  <c:v>12432535.990750499</c:v>
                </c:pt>
                <c:pt idx="32">
                  <c:v>12451306.094878901</c:v>
                </c:pt>
                <c:pt idx="33">
                  <c:v>12539090.5656828</c:v>
                </c:pt>
                <c:pt idx="34">
                  <c:v>12553702.1310816</c:v>
                </c:pt>
                <c:pt idx="35">
                  <c:v>12437791.104410401</c:v>
                </c:pt>
                <c:pt idx="36">
                  <c:v>12307557.782735201</c:v>
                </c:pt>
                <c:pt idx="37">
                  <c:v>10849262.678249201</c:v>
                </c:pt>
                <c:pt idx="38">
                  <c:v>11110755.555253901</c:v>
                </c:pt>
                <c:pt idx="39">
                  <c:v>11506692.6472866</c:v>
                </c:pt>
                <c:pt idx="40">
                  <c:v>11876701.175522801</c:v>
                </c:pt>
                <c:pt idx="41">
                  <c:v>12082825.541956799</c:v>
                </c:pt>
              </c:numCache>
            </c:numRef>
          </c:val>
          <c:smooth val="0"/>
          <c:extLst>
            <c:ext xmlns:c16="http://schemas.microsoft.com/office/drawing/2014/chart" uri="{C3380CC4-5D6E-409C-BE32-E72D297353CC}">
              <c16:uniqueId val="{00000001-941D-4108-B853-51015098D7AB}"/>
            </c:ext>
          </c:extLst>
        </c:ser>
        <c:dLbls>
          <c:showLegendKey val="0"/>
          <c:showVal val="0"/>
          <c:showCatName val="0"/>
          <c:showSerName val="0"/>
          <c:showPercent val="0"/>
          <c:showBubbleSize val="0"/>
        </c:dLbls>
        <c:marker val="1"/>
        <c:smooth val="0"/>
        <c:axId val="316953080"/>
        <c:axId val="316953864"/>
      </c:lineChart>
      <c:catAx>
        <c:axId val="316953080"/>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16953864"/>
        <c:crosses val="autoZero"/>
        <c:auto val="0"/>
        <c:lblAlgn val="ctr"/>
        <c:lblOffset val="0"/>
        <c:tickLblSkip val="1"/>
        <c:tickMarkSkip val="4"/>
        <c:noMultiLvlLbl val="1"/>
      </c:catAx>
      <c:valAx>
        <c:axId val="316953864"/>
        <c:scaling>
          <c:orientation val="minMax"/>
          <c:min val="90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316953080"/>
        <c:crosses val="autoZero"/>
        <c:crossBetween val="between"/>
        <c:majorUnit val="1000000"/>
      </c:valAx>
      <c:spPr>
        <a:noFill/>
        <a:ln>
          <a:solidFill>
            <a:schemeClr val="bg1">
              <a:lumMod val="75000"/>
            </a:schemeClr>
          </a:solidFill>
        </a:ln>
      </c:spPr>
    </c:plotArea>
    <c:legend>
      <c:legendPos val="b"/>
      <c:layout>
        <c:manualLayout>
          <c:xMode val="edge"/>
          <c:yMode val="edge"/>
          <c:x val="0"/>
          <c:y val="0.94392532357352643"/>
          <c:w val="0.99936832701251122"/>
          <c:h val="5.1710246530149412E-2"/>
        </c:manualLayout>
      </c:layout>
      <c:overlay val="0"/>
      <c:txPr>
        <a:bodyPr/>
        <a:lstStyle/>
        <a:p>
          <a:pPr>
            <a:defRPr sz="600"/>
          </a:pPr>
          <a:endParaRPr lang="es-MX"/>
        </a:p>
      </c:txPr>
    </c:legend>
    <c:plotVisOnly val="1"/>
    <c:dispBlanksAs val="gap"/>
    <c:showDLblsOverMax val="0"/>
  </c:chart>
  <c:spPr>
    <a:noFill/>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4974462730535871"/>
          <c:h val="0.81211954070389314"/>
        </c:manualLayout>
      </c:layout>
      <c:barChart>
        <c:barDir val="col"/>
        <c:grouping val="clustered"/>
        <c:varyColors val="0"/>
        <c:ser>
          <c:idx val="0"/>
          <c:order val="0"/>
          <c:tx>
            <c:strRef>
              <c:f>Datos!$C$5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Datos!$A$38:$B$79</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Datos!$O$38:$O$79</c:f>
              <c:numCache>
                <c:formatCode>0.0</c:formatCode>
                <c:ptCount val="42"/>
                <c:pt idx="0">
                  <c:v>1875158.99758043</c:v>
                </c:pt>
                <c:pt idx="1">
                  <c:v>1889637.10931556</c:v>
                </c:pt>
                <c:pt idx="2">
                  <c:v>1927081.5193596501</c:v>
                </c:pt>
                <c:pt idx="3">
                  <c:v>1945427.1227104799</c:v>
                </c:pt>
                <c:pt idx="4">
                  <c:v>1967861.81084922</c:v>
                </c:pt>
                <c:pt idx="5">
                  <c:v>1984885.9575473201</c:v>
                </c:pt>
                <c:pt idx="6">
                  <c:v>1968838.9749363801</c:v>
                </c:pt>
                <c:pt idx="7">
                  <c:v>1973811.2219734001</c:v>
                </c:pt>
                <c:pt idx="8">
                  <c:v>1960581.6130906399</c:v>
                </c:pt>
                <c:pt idx="9">
                  <c:v>1956074.6447125</c:v>
                </c:pt>
                <c:pt idx="10">
                  <c:v>1999596.63300882</c:v>
                </c:pt>
                <c:pt idx="11">
                  <c:v>2022399.5827842399</c:v>
                </c:pt>
                <c:pt idx="12">
                  <c:v>2010171.10353603</c:v>
                </c:pt>
                <c:pt idx="13">
                  <c:v>2013569.82876225</c:v>
                </c:pt>
                <c:pt idx="14">
                  <c:v>2064630.40367443</c:v>
                </c:pt>
                <c:pt idx="15">
                  <c:v>2059065.6694546801</c:v>
                </c:pt>
                <c:pt idx="16">
                  <c:v>2085813.6467309</c:v>
                </c:pt>
                <c:pt idx="17">
                  <c:v>2070606.3649567701</c:v>
                </c:pt>
                <c:pt idx="18">
                  <c:v>2070072.0499776399</c:v>
                </c:pt>
                <c:pt idx="19">
                  <c:v>2076961.0246840599</c:v>
                </c:pt>
                <c:pt idx="20">
                  <c:v>2093598.7260509301</c:v>
                </c:pt>
                <c:pt idx="21">
                  <c:v>2118568.1070943801</c:v>
                </c:pt>
                <c:pt idx="22">
                  <c:v>2151577.0521340501</c:v>
                </c:pt>
                <c:pt idx="23">
                  <c:v>2155817.4814228499</c:v>
                </c:pt>
                <c:pt idx="24">
                  <c:v>2132680.6553858998</c:v>
                </c:pt>
                <c:pt idx="25">
                  <c:v>2127556.5079089301</c:v>
                </c:pt>
                <c:pt idx="26">
                  <c:v>2139374.0944272201</c:v>
                </c:pt>
                <c:pt idx="27">
                  <c:v>2176234.4066179199</c:v>
                </c:pt>
                <c:pt idx="28">
                  <c:v>2208989.4199745199</c:v>
                </c:pt>
                <c:pt idx="29">
                  <c:v>2224320.8739532302</c:v>
                </c:pt>
                <c:pt idx="30">
                  <c:v>2199537.7645919099</c:v>
                </c:pt>
                <c:pt idx="31">
                  <c:v>2187473.6904495498</c:v>
                </c:pt>
                <c:pt idx="32">
                  <c:v>2186203.2273819102</c:v>
                </c:pt>
                <c:pt idx="33">
                  <c:v>2172582.7483043</c:v>
                </c:pt>
                <c:pt idx="34">
                  <c:v>2166585.1521088099</c:v>
                </c:pt>
                <c:pt idx="35">
                  <c:v>2182739.5299132201</c:v>
                </c:pt>
                <c:pt idx="36">
                  <c:v>2252956.9986860501</c:v>
                </c:pt>
                <c:pt idx="37">
                  <c:v>2215071.4755081502</c:v>
                </c:pt>
                <c:pt idx="38">
                  <c:v>2221960.7661765199</c:v>
                </c:pt>
                <c:pt idx="39">
                  <c:v>2220181.08034147</c:v>
                </c:pt>
                <c:pt idx="40">
                  <c:v>2238751.1075717802</c:v>
                </c:pt>
                <c:pt idx="41">
                  <c:v>2296094.2016953598</c:v>
                </c:pt>
              </c:numCache>
            </c:numRef>
          </c:val>
          <c:extLst>
            <c:ext xmlns:c16="http://schemas.microsoft.com/office/drawing/2014/chart" uri="{C3380CC4-5D6E-409C-BE32-E72D297353CC}">
              <c16:uniqueId val="{00000000-BA37-4ED3-B961-23FED21D2189}"/>
            </c:ext>
          </c:extLst>
        </c:ser>
        <c:dLbls>
          <c:showLegendKey val="0"/>
          <c:showVal val="1"/>
          <c:showCatName val="0"/>
          <c:showSerName val="0"/>
          <c:showPercent val="0"/>
          <c:showBubbleSize val="0"/>
        </c:dLbls>
        <c:gapWidth val="40"/>
        <c:axId val="316955040"/>
        <c:axId val="316955432"/>
      </c:barChart>
      <c:lineChart>
        <c:grouping val="standard"/>
        <c:varyColors val="0"/>
        <c:ser>
          <c:idx val="1"/>
          <c:order val="1"/>
          <c:tx>
            <c:strRef>
              <c:f>Datos!$D$5</c:f>
              <c:strCache>
                <c:ptCount val="1"/>
                <c:pt idx="0">
                  <c:v>Tendencia-Ciclo</c:v>
                </c:pt>
              </c:strCache>
            </c:strRef>
          </c:tx>
          <c:spPr>
            <a:ln w="15875">
              <a:solidFill>
                <a:srgbClr val="FF0000"/>
              </a:solidFill>
            </a:ln>
          </c:spPr>
          <c:marker>
            <c:symbol val="none"/>
          </c:marker>
          <c:cat>
            <c:multiLvlStrRef>
              <c:f>Datos!$A$38:$B$79</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Datos!$P$38:$P$79</c:f>
              <c:numCache>
                <c:formatCode>0.0</c:formatCode>
                <c:ptCount val="42"/>
                <c:pt idx="0">
                  <c:v>1872739.20480756</c:v>
                </c:pt>
                <c:pt idx="1">
                  <c:v>1894194.6125856801</c:v>
                </c:pt>
                <c:pt idx="2">
                  <c:v>1922290.2154220601</c:v>
                </c:pt>
                <c:pt idx="3">
                  <c:v>1947827.2551297301</c:v>
                </c:pt>
                <c:pt idx="4">
                  <c:v>1969195.3080325699</c:v>
                </c:pt>
                <c:pt idx="5">
                  <c:v>1978883.2656475501</c:v>
                </c:pt>
                <c:pt idx="6">
                  <c:v>1975690.51456931</c:v>
                </c:pt>
                <c:pt idx="7">
                  <c:v>1968828.3384918601</c:v>
                </c:pt>
                <c:pt idx="8">
                  <c:v>1960176.6186881301</c:v>
                </c:pt>
                <c:pt idx="9">
                  <c:v>1964969.00767179</c:v>
                </c:pt>
                <c:pt idx="10">
                  <c:v>1996103.7732780201</c:v>
                </c:pt>
                <c:pt idx="11">
                  <c:v>2017449.8831488099</c:v>
                </c:pt>
                <c:pt idx="12">
                  <c:v>2013277.1296838501</c:v>
                </c:pt>
                <c:pt idx="13">
                  <c:v>2017878.57453393</c:v>
                </c:pt>
                <c:pt idx="14">
                  <c:v>2039056.21031638</c:v>
                </c:pt>
                <c:pt idx="15">
                  <c:v>2064769.85427317</c:v>
                </c:pt>
                <c:pt idx="16">
                  <c:v>2077497.7284726701</c:v>
                </c:pt>
                <c:pt idx="17">
                  <c:v>2075175.4517924699</c:v>
                </c:pt>
                <c:pt idx="18">
                  <c:v>2069399.29433424</c:v>
                </c:pt>
                <c:pt idx="19">
                  <c:v>2077235.82245726</c:v>
                </c:pt>
                <c:pt idx="20">
                  <c:v>2093516.12619998</c:v>
                </c:pt>
                <c:pt idx="21">
                  <c:v>2121249.3492111699</c:v>
                </c:pt>
                <c:pt idx="22">
                  <c:v>2148772.20547804</c:v>
                </c:pt>
                <c:pt idx="23">
                  <c:v>2152586.8095953199</c:v>
                </c:pt>
                <c:pt idx="24">
                  <c:v>2136092.1184889101</c:v>
                </c:pt>
                <c:pt idx="25">
                  <c:v>2126883.044059</c:v>
                </c:pt>
                <c:pt idx="26">
                  <c:v>2142109.16204909</c:v>
                </c:pt>
                <c:pt idx="27">
                  <c:v>2175072.0812919801</c:v>
                </c:pt>
                <c:pt idx="28">
                  <c:v>2209677.6284073298</c:v>
                </c:pt>
                <c:pt idx="29">
                  <c:v>2218775.3611806999</c:v>
                </c:pt>
                <c:pt idx="30">
                  <c:v>2203558.5319932001</c:v>
                </c:pt>
                <c:pt idx="31">
                  <c:v>2189031.6703857402</c:v>
                </c:pt>
                <c:pt idx="32">
                  <c:v>2183037.32862138</c:v>
                </c:pt>
                <c:pt idx="33">
                  <c:v>2171898.9096431201</c:v>
                </c:pt>
                <c:pt idx="34">
                  <c:v>2172049.42835957</c:v>
                </c:pt>
                <c:pt idx="35">
                  <c:v>2195596.35880649</c:v>
                </c:pt>
                <c:pt idx="36">
                  <c:v>2215920.22092839</c:v>
                </c:pt>
                <c:pt idx="37">
                  <c:v>2219694.1761960401</c:v>
                </c:pt>
                <c:pt idx="38">
                  <c:v>2218407.7991224299</c:v>
                </c:pt>
                <c:pt idx="39">
                  <c:v>2221865.8362981998</c:v>
                </c:pt>
                <c:pt idx="40">
                  <c:v>2242687.4499599002</c:v>
                </c:pt>
                <c:pt idx="41">
                  <c:v>2279548.19041953</c:v>
                </c:pt>
              </c:numCache>
            </c:numRef>
          </c:val>
          <c:smooth val="0"/>
          <c:extLst>
            <c:ext xmlns:c16="http://schemas.microsoft.com/office/drawing/2014/chart" uri="{C3380CC4-5D6E-409C-BE32-E72D297353CC}">
              <c16:uniqueId val="{00000001-BA37-4ED3-B961-23FED21D2189}"/>
            </c:ext>
          </c:extLst>
        </c:ser>
        <c:dLbls>
          <c:showLegendKey val="0"/>
          <c:showVal val="0"/>
          <c:showCatName val="0"/>
          <c:showSerName val="0"/>
          <c:showPercent val="0"/>
          <c:showBubbleSize val="0"/>
        </c:dLbls>
        <c:marker val="1"/>
        <c:smooth val="0"/>
        <c:axId val="316955040"/>
        <c:axId val="316955432"/>
      </c:lineChart>
      <c:catAx>
        <c:axId val="316955040"/>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16955432"/>
        <c:crosses val="autoZero"/>
        <c:auto val="0"/>
        <c:lblAlgn val="ctr"/>
        <c:lblOffset val="0"/>
        <c:tickLblSkip val="1"/>
        <c:tickMarkSkip val="4"/>
        <c:noMultiLvlLbl val="1"/>
      </c:catAx>
      <c:valAx>
        <c:axId val="316955432"/>
        <c:scaling>
          <c:orientation val="minMax"/>
          <c:max val="2500000"/>
          <c:min val="15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316955040"/>
        <c:crosses val="autoZero"/>
        <c:crossBetween val="between"/>
        <c:majorUnit val="200000"/>
        <c:minorUnit val="2000"/>
      </c:valAx>
      <c:spPr>
        <a:noFill/>
        <a:ln>
          <a:solidFill>
            <a:schemeClr val="bg1">
              <a:lumMod val="75000"/>
            </a:schemeClr>
          </a:solidFill>
        </a:ln>
      </c:spPr>
    </c:plotArea>
    <c:legend>
      <c:legendPos val="b"/>
      <c:layout>
        <c:manualLayout>
          <c:xMode val="edge"/>
          <c:yMode val="edge"/>
          <c:x val="0"/>
          <c:y val="0.94392532357352665"/>
          <c:w val="0.99936832701251122"/>
          <c:h val="5.1710246530149412E-2"/>
        </c:manualLayout>
      </c:layout>
      <c:overlay val="0"/>
      <c:txPr>
        <a:bodyPr/>
        <a:lstStyle/>
        <a:p>
          <a:pPr>
            <a:defRPr sz="600"/>
          </a:pPr>
          <a:endParaRPr lang="es-MX"/>
        </a:p>
      </c:txPr>
    </c:legend>
    <c:plotVisOnly val="1"/>
    <c:dispBlanksAs val="gap"/>
    <c:showDLblsOverMax val="0"/>
  </c:chart>
  <c:spPr>
    <a:noFill/>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5122775670839745"/>
          <c:h val="0.81211954070389314"/>
        </c:manualLayout>
      </c:layout>
      <c:barChart>
        <c:barDir val="col"/>
        <c:grouping val="clustered"/>
        <c:varyColors val="0"/>
        <c:ser>
          <c:idx val="0"/>
          <c:order val="0"/>
          <c:tx>
            <c:strRef>
              <c:f>Datos!$C$5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Datos!$A$38:$B$79</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Datos!$Q$38:$Q$79</c:f>
              <c:numCache>
                <c:formatCode>0.0</c:formatCode>
                <c:ptCount val="42"/>
                <c:pt idx="0">
                  <c:v>3237123.4415584402</c:v>
                </c:pt>
                <c:pt idx="1">
                  <c:v>3373351.59310599</c:v>
                </c:pt>
                <c:pt idx="2">
                  <c:v>3460638.59467512</c:v>
                </c:pt>
                <c:pt idx="3">
                  <c:v>3551280.7278398401</c:v>
                </c:pt>
                <c:pt idx="4">
                  <c:v>3552589.82012814</c:v>
                </c:pt>
                <c:pt idx="5">
                  <c:v>3577097.7289295802</c:v>
                </c:pt>
                <c:pt idx="6">
                  <c:v>3627199.2575005698</c:v>
                </c:pt>
                <c:pt idx="7">
                  <c:v>3552250.4225598099</c:v>
                </c:pt>
                <c:pt idx="8">
                  <c:v>3553288.5742447702</c:v>
                </c:pt>
                <c:pt idx="9">
                  <c:v>3435282.83764636</c:v>
                </c:pt>
                <c:pt idx="10">
                  <c:v>3405661.2530908701</c:v>
                </c:pt>
                <c:pt idx="11">
                  <c:v>3442751.6650215201</c:v>
                </c:pt>
                <c:pt idx="12">
                  <c:v>3475410.6970866001</c:v>
                </c:pt>
                <c:pt idx="13">
                  <c:v>3554231.5401864802</c:v>
                </c:pt>
                <c:pt idx="14">
                  <c:v>3534868.2202777201</c:v>
                </c:pt>
                <c:pt idx="15">
                  <c:v>3667124.2924852902</c:v>
                </c:pt>
                <c:pt idx="16">
                  <c:v>3612370.8275598702</c:v>
                </c:pt>
                <c:pt idx="17">
                  <c:v>3740123.0424004402</c:v>
                </c:pt>
                <c:pt idx="18">
                  <c:v>3855473.5668476699</c:v>
                </c:pt>
                <c:pt idx="19">
                  <c:v>3718387.1072400901</c:v>
                </c:pt>
                <c:pt idx="20">
                  <c:v>3774531.67493795</c:v>
                </c:pt>
                <c:pt idx="21">
                  <c:v>3726346.9560389798</c:v>
                </c:pt>
                <c:pt idx="22">
                  <c:v>3747716.8006180101</c:v>
                </c:pt>
                <c:pt idx="23">
                  <c:v>3806594.7867796798</c:v>
                </c:pt>
                <c:pt idx="24">
                  <c:v>3710354.4774188702</c:v>
                </c:pt>
                <c:pt idx="25">
                  <c:v>3705360.8161766701</c:v>
                </c:pt>
                <c:pt idx="26">
                  <c:v>3733680.4560290002</c:v>
                </c:pt>
                <c:pt idx="27">
                  <c:v>3737133.8988553002</c:v>
                </c:pt>
                <c:pt idx="28">
                  <c:v>3809759.8315515202</c:v>
                </c:pt>
                <c:pt idx="29">
                  <c:v>3795503.9510094598</c:v>
                </c:pt>
                <c:pt idx="30">
                  <c:v>3766824.93595749</c:v>
                </c:pt>
                <c:pt idx="31">
                  <c:v>3635683.8484113798</c:v>
                </c:pt>
                <c:pt idx="32">
                  <c:v>3705087.0693876399</c:v>
                </c:pt>
                <c:pt idx="33">
                  <c:v>3587832.8761091698</c:v>
                </c:pt>
                <c:pt idx="34">
                  <c:v>3539486.5619905698</c:v>
                </c:pt>
                <c:pt idx="35">
                  <c:v>3471103.2751202998</c:v>
                </c:pt>
                <c:pt idx="36">
                  <c:v>3356269.14136892</c:v>
                </c:pt>
                <c:pt idx="37">
                  <c:v>2375189.72806306</c:v>
                </c:pt>
                <c:pt idx="38">
                  <c:v>2915530.2569421302</c:v>
                </c:pt>
                <c:pt idx="39">
                  <c:v>3026754.4212764301</c:v>
                </c:pt>
                <c:pt idx="40">
                  <c:v>3172564.565806</c:v>
                </c:pt>
                <c:pt idx="41">
                  <c:v>3187979.88993455</c:v>
                </c:pt>
              </c:numCache>
            </c:numRef>
          </c:val>
          <c:extLst>
            <c:ext xmlns:c16="http://schemas.microsoft.com/office/drawing/2014/chart" uri="{C3380CC4-5D6E-409C-BE32-E72D297353CC}">
              <c16:uniqueId val="{00000000-8363-47B9-953E-9510311F5DBB}"/>
            </c:ext>
          </c:extLst>
        </c:ser>
        <c:dLbls>
          <c:showLegendKey val="0"/>
          <c:showVal val="1"/>
          <c:showCatName val="0"/>
          <c:showSerName val="0"/>
          <c:showPercent val="0"/>
          <c:showBubbleSize val="0"/>
        </c:dLbls>
        <c:gapWidth val="40"/>
        <c:axId val="318172736"/>
        <c:axId val="318163720"/>
      </c:barChart>
      <c:lineChart>
        <c:grouping val="standard"/>
        <c:varyColors val="0"/>
        <c:ser>
          <c:idx val="1"/>
          <c:order val="1"/>
          <c:tx>
            <c:strRef>
              <c:f>Datos!$D$5</c:f>
              <c:strCache>
                <c:ptCount val="1"/>
                <c:pt idx="0">
                  <c:v>Tendencia-Ciclo</c:v>
                </c:pt>
              </c:strCache>
            </c:strRef>
          </c:tx>
          <c:spPr>
            <a:ln w="15875">
              <a:solidFill>
                <a:srgbClr val="FF0000"/>
              </a:solidFill>
            </a:ln>
          </c:spPr>
          <c:marker>
            <c:symbol val="none"/>
          </c:marker>
          <c:cat>
            <c:multiLvlStrRef>
              <c:f>Datos!$A$38:$B$79</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Datos!$R$38:$R$79</c:f>
              <c:numCache>
                <c:formatCode>0.0</c:formatCode>
                <c:ptCount val="42"/>
                <c:pt idx="0">
                  <c:v>3260707.4568388402</c:v>
                </c:pt>
                <c:pt idx="1">
                  <c:v>3357792.88788035</c:v>
                </c:pt>
                <c:pt idx="2">
                  <c:v>3471284.3063358399</c:v>
                </c:pt>
                <c:pt idx="3">
                  <c:v>3536212.1242486001</c:v>
                </c:pt>
                <c:pt idx="4">
                  <c:v>3560676.8066204302</c:v>
                </c:pt>
                <c:pt idx="5">
                  <c:v>3588334.8426263998</c:v>
                </c:pt>
                <c:pt idx="6">
                  <c:v>3601376.5022495398</c:v>
                </c:pt>
                <c:pt idx="7">
                  <c:v>3581332.35516812</c:v>
                </c:pt>
                <c:pt idx="8">
                  <c:v>3523737.3951540599</c:v>
                </c:pt>
                <c:pt idx="9">
                  <c:v>3452104.8800014099</c:v>
                </c:pt>
                <c:pt idx="10">
                  <c:v>3409293.7553170701</c:v>
                </c:pt>
                <c:pt idx="11">
                  <c:v>3433812.9660274899</c:v>
                </c:pt>
                <c:pt idx="12">
                  <c:v>3489724.4119950598</c:v>
                </c:pt>
                <c:pt idx="13">
                  <c:v>3527463.9534196798</c:v>
                </c:pt>
                <c:pt idx="14">
                  <c:v>3569380.9509872799</c:v>
                </c:pt>
                <c:pt idx="15">
                  <c:v>3598567.97946356</c:v>
                </c:pt>
                <c:pt idx="16">
                  <c:v>3647606.7245463398</c:v>
                </c:pt>
                <c:pt idx="17">
                  <c:v>3734972.87216915</c:v>
                </c:pt>
                <c:pt idx="18">
                  <c:v>3788953.56823393</c:v>
                </c:pt>
                <c:pt idx="19">
                  <c:v>3768292.9965164098</c:v>
                </c:pt>
                <c:pt idx="20">
                  <c:v>3745172.0703284498</c:v>
                </c:pt>
                <c:pt idx="21">
                  <c:v>3740775.0117375199</c:v>
                </c:pt>
                <c:pt idx="22">
                  <c:v>3759507.6408956498</c:v>
                </c:pt>
                <c:pt idx="23">
                  <c:v>3774361.1539276899</c:v>
                </c:pt>
                <c:pt idx="24">
                  <c:v>3732698.0582019798</c:v>
                </c:pt>
                <c:pt idx="25">
                  <c:v>3705378.8902082299</c:v>
                </c:pt>
                <c:pt idx="26">
                  <c:v>3722503.5962900301</c:v>
                </c:pt>
                <c:pt idx="27">
                  <c:v>3755497.3701493102</c:v>
                </c:pt>
                <c:pt idx="28">
                  <c:v>3792980.90631177</c:v>
                </c:pt>
                <c:pt idx="29">
                  <c:v>3802763.8401375799</c:v>
                </c:pt>
                <c:pt idx="30">
                  <c:v>3759973.3004779099</c:v>
                </c:pt>
                <c:pt idx="31">
                  <c:v>3705791.3850976601</c:v>
                </c:pt>
                <c:pt idx="32">
                  <c:v>3647328.5605027</c:v>
                </c:pt>
                <c:pt idx="33">
                  <c:v>3593556.6598479301</c:v>
                </c:pt>
                <c:pt idx="34">
                  <c:v>3538657.0052672699</c:v>
                </c:pt>
                <c:pt idx="35">
                  <c:v>3458376.8630624702</c:v>
                </c:pt>
                <c:pt idx="36">
                  <c:v>3372974.4112353902</c:v>
                </c:pt>
                <c:pt idx="37">
                  <c:v>2899057.8512810399</c:v>
                </c:pt>
                <c:pt idx="38">
                  <c:v>2927536.0179515998</c:v>
                </c:pt>
                <c:pt idx="39">
                  <c:v>3032863.1052596499</c:v>
                </c:pt>
                <c:pt idx="40">
                  <c:v>3149768.0722792</c:v>
                </c:pt>
                <c:pt idx="41">
                  <c:v>3195122.8024949399</c:v>
                </c:pt>
              </c:numCache>
            </c:numRef>
          </c:val>
          <c:smooth val="0"/>
          <c:extLst>
            <c:ext xmlns:c16="http://schemas.microsoft.com/office/drawing/2014/chart" uri="{C3380CC4-5D6E-409C-BE32-E72D297353CC}">
              <c16:uniqueId val="{00000001-8363-47B9-953E-9510311F5DBB}"/>
            </c:ext>
          </c:extLst>
        </c:ser>
        <c:dLbls>
          <c:showLegendKey val="0"/>
          <c:showVal val="0"/>
          <c:showCatName val="0"/>
          <c:showSerName val="0"/>
          <c:showPercent val="0"/>
          <c:showBubbleSize val="0"/>
        </c:dLbls>
        <c:marker val="1"/>
        <c:smooth val="0"/>
        <c:axId val="318172736"/>
        <c:axId val="318163720"/>
      </c:lineChart>
      <c:catAx>
        <c:axId val="318172736"/>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18163720"/>
        <c:crosses val="autoZero"/>
        <c:auto val="0"/>
        <c:lblAlgn val="ctr"/>
        <c:lblOffset val="0"/>
        <c:tickLblSkip val="1"/>
        <c:tickMarkSkip val="4"/>
        <c:noMultiLvlLbl val="1"/>
      </c:catAx>
      <c:valAx>
        <c:axId val="318163720"/>
        <c:scaling>
          <c:orientation val="minMax"/>
          <c:min val="20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318172736"/>
        <c:crosses val="autoZero"/>
        <c:crossBetween val="between"/>
        <c:majorUnit val="300000"/>
      </c:valAx>
      <c:spPr>
        <a:noFill/>
        <a:ln>
          <a:solidFill>
            <a:schemeClr val="bg1">
              <a:lumMod val="75000"/>
            </a:schemeClr>
          </a:solidFill>
        </a:ln>
      </c:spPr>
    </c:plotArea>
    <c:legend>
      <c:legendPos val="b"/>
      <c:layout>
        <c:manualLayout>
          <c:xMode val="edge"/>
          <c:yMode val="edge"/>
          <c:x val="1.4637436171423964E-3"/>
          <c:y val="0.94392532357352676"/>
          <c:w val="0.99853625638285759"/>
          <c:h val="5.1710246530149412E-2"/>
        </c:manualLayout>
      </c:layout>
      <c:overlay val="0"/>
      <c:txPr>
        <a:bodyPr/>
        <a:lstStyle/>
        <a:p>
          <a:pPr>
            <a:defRPr sz="600"/>
          </a:pPr>
          <a:endParaRPr lang="es-MX"/>
        </a:p>
      </c:txPr>
    </c:legend>
    <c:plotVisOnly val="1"/>
    <c:dispBlanksAs val="gap"/>
    <c:showDLblsOverMax val="0"/>
  </c:chart>
  <c:spPr>
    <a:noFill/>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5122775670839745"/>
          <c:h val="0.81211954070389314"/>
        </c:manualLayout>
      </c:layout>
      <c:barChart>
        <c:barDir val="col"/>
        <c:grouping val="clustered"/>
        <c:varyColors val="0"/>
        <c:ser>
          <c:idx val="0"/>
          <c:order val="0"/>
          <c:tx>
            <c:strRef>
              <c:f>Datos!$C$5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Datos!$A$38:$B$79</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Datos!$S$38:$S$79</c:f>
              <c:numCache>
                <c:formatCode>0.0</c:formatCode>
                <c:ptCount val="42"/>
                <c:pt idx="0">
                  <c:v>4718558.0356056001</c:v>
                </c:pt>
                <c:pt idx="1">
                  <c:v>4696336.9627619796</c:v>
                </c:pt>
                <c:pt idx="2">
                  <c:v>4731257.7755876696</c:v>
                </c:pt>
                <c:pt idx="3">
                  <c:v>4727552.8006927902</c:v>
                </c:pt>
                <c:pt idx="4">
                  <c:v>5016035.89368123</c:v>
                </c:pt>
                <c:pt idx="5">
                  <c:v>5073961.1418269696</c:v>
                </c:pt>
                <c:pt idx="6">
                  <c:v>4992235.4671845399</c:v>
                </c:pt>
                <c:pt idx="7">
                  <c:v>5023037.8895540303</c:v>
                </c:pt>
                <c:pt idx="8">
                  <c:v>4981464.2569894204</c:v>
                </c:pt>
                <c:pt idx="9">
                  <c:v>5060744.3616442997</c:v>
                </c:pt>
                <c:pt idx="10">
                  <c:v>5169394.8242585901</c:v>
                </c:pt>
                <c:pt idx="11">
                  <c:v>5163653.6521634301</c:v>
                </c:pt>
                <c:pt idx="12">
                  <c:v>5152905.0186570603</c:v>
                </c:pt>
                <c:pt idx="13">
                  <c:v>5374074.4301466504</c:v>
                </c:pt>
                <c:pt idx="14">
                  <c:v>5542730.4731405796</c:v>
                </c:pt>
                <c:pt idx="15">
                  <c:v>5720648.4205034897</c:v>
                </c:pt>
                <c:pt idx="16">
                  <c:v>5775547.6657314198</c:v>
                </c:pt>
                <c:pt idx="17">
                  <c:v>5936693.9879761701</c:v>
                </c:pt>
                <c:pt idx="18">
                  <c:v>5930836.8861396303</c:v>
                </c:pt>
                <c:pt idx="19">
                  <c:v>5997868.7073833598</c:v>
                </c:pt>
                <c:pt idx="20">
                  <c:v>5995695.3742890097</c:v>
                </c:pt>
                <c:pt idx="21">
                  <c:v>5978932.7255800497</c:v>
                </c:pt>
                <c:pt idx="22">
                  <c:v>6254250.7454783795</c:v>
                </c:pt>
                <c:pt idx="23">
                  <c:v>6261195.6642974596</c:v>
                </c:pt>
                <c:pt idx="24">
                  <c:v>6485038.5957174301</c:v>
                </c:pt>
                <c:pt idx="25">
                  <c:v>6290334.1474335399</c:v>
                </c:pt>
                <c:pt idx="26">
                  <c:v>6236162.77928684</c:v>
                </c:pt>
                <c:pt idx="27">
                  <c:v>6502648.7653924404</c:v>
                </c:pt>
                <c:pt idx="28">
                  <c:v>6661096.5376578402</c:v>
                </c:pt>
                <c:pt idx="29">
                  <c:v>6785820.68065897</c:v>
                </c:pt>
                <c:pt idx="30">
                  <c:v>6787181.8450824805</c:v>
                </c:pt>
                <c:pt idx="31">
                  <c:v>6795500.4482477596</c:v>
                </c:pt>
                <c:pt idx="32">
                  <c:v>6824037.3047371702</c:v>
                </c:pt>
                <c:pt idx="33">
                  <c:v>6999254.0468820799</c:v>
                </c:pt>
                <c:pt idx="34">
                  <c:v>6982036.4298141496</c:v>
                </c:pt>
                <c:pt idx="35">
                  <c:v>6631062.6671506297</c:v>
                </c:pt>
                <c:pt idx="36">
                  <c:v>6961504.56551666</c:v>
                </c:pt>
                <c:pt idx="37">
                  <c:v>4853695.6965894299</c:v>
                </c:pt>
                <c:pt idx="38">
                  <c:v>6791746.4004181698</c:v>
                </c:pt>
                <c:pt idx="39">
                  <c:v>6876148.91966449</c:v>
                </c:pt>
                <c:pt idx="40">
                  <c:v>6684958.4222806701</c:v>
                </c:pt>
                <c:pt idx="41">
                  <c:v>6882100.3589872597</c:v>
                </c:pt>
              </c:numCache>
            </c:numRef>
          </c:val>
          <c:extLst>
            <c:ext xmlns:c16="http://schemas.microsoft.com/office/drawing/2014/chart" uri="{C3380CC4-5D6E-409C-BE32-E72D297353CC}">
              <c16:uniqueId val="{00000000-9D5F-4A79-A87A-A4973024D098}"/>
            </c:ext>
          </c:extLst>
        </c:ser>
        <c:dLbls>
          <c:showLegendKey val="0"/>
          <c:showVal val="1"/>
          <c:showCatName val="0"/>
          <c:showSerName val="0"/>
          <c:showPercent val="0"/>
          <c:showBubbleSize val="0"/>
        </c:dLbls>
        <c:gapWidth val="40"/>
        <c:axId val="318161760"/>
        <c:axId val="318165680"/>
      </c:barChart>
      <c:lineChart>
        <c:grouping val="standard"/>
        <c:varyColors val="0"/>
        <c:ser>
          <c:idx val="1"/>
          <c:order val="1"/>
          <c:tx>
            <c:strRef>
              <c:f>Datos!$D$5</c:f>
              <c:strCache>
                <c:ptCount val="1"/>
                <c:pt idx="0">
                  <c:v>Tendencia-Ciclo</c:v>
                </c:pt>
              </c:strCache>
            </c:strRef>
          </c:tx>
          <c:spPr>
            <a:ln w="15875">
              <a:solidFill>
                <a:srgbClr val="FF0000"/>
              </a:solidFill>
            </a:ln>
          </c:spPr>
          <c:marker>
            <c:symbol val="none"/>
          </c:marker>
          <c:cat>
            <c:multiLvlStrRef>
              <c:f>Datos!$A$38:$B$79</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Datos!$T$38:$T$79</c:f>
              <c:numCache>
                <c:formatCode>0.0</c:formatCode>
                <c:ptCount val="42"/>
                <c:pt idx="0">
                  <c:v>4683137.5335189598</c:v>
                </c:pt>
                <c:pt idx="1">
                  <c:v>4715955.8189834403</c:v>
                </c:pt>
                <c:pt idx="2">
                  <c:v>4720511.1921848003</c:v>
                </c:pt>
                <c:pt idx="3">
                  <c:v>4829418.8393307198</c:v>
                </c:pt>
                <c:pt idx="4">
                  <c:v>4991553.3053080002</c:v>
                </c:pt>
                <c:pt idx="5">
                  <c:v>5056975.5251606498</c:v>
                </c:pt>
                <c:pt idx="6">
                  <c:v>5024328.9867882803</c:v>
                </c:pt>
                <c:pt idx="7">
                  <c:v>4995272.8097425196</c:v>
                </c:pt>
                <c:pt idx="8">
                  <c:v>5002369.7695757402</c:v>
                </c:pt>
                <c:pt idx="9">
                  <c:v>5064583.0010903999</c:v>
                </c:pt>
                <c:pt idx="10">
                  <c:v>5150807.1687155496</c:v>
                </c:pt>
                <c:pt idx="11">
                  <c:v>5154288.7291029803</c:v>
                </c:pt>
                <c:pt idx="12">
                  <c:v>5191186.4708174597</c:v>
                </c:pt>
                <c:pt idx="13">
                  <c:v>5348653.65947014</c:v>
                </c:pt>
                <c:pt idx="14">
                  <c:v>5556979.3314159</c:v>
                </c:pt>
                <c:pt idx="15">
                  <c:v>5694101.3082700204</c:v>
                </c:pt>
                <c:pt idx="16">
                  <c:v>5812445.7142812302</c:v>
                </c:pt>
                <c:pt idx="17">
                  <c:v>5899015.6669501103</c:v>
                </c:pt>
                <c:pt idx="18">
                  <c:v>5958884.840392</c:v>
                </c:pt>
                <c:pt idx="19">
                  <c:v>5983424.9722820399</c:v>
                </c:pt>
                <c:pt idx="20">
                  <c:v>5977187.9020670997</c:v>
                </c:pt>
                <c:pt idx="21">
                  <c:v>6042602.6515663303</c:v>
                </c:pt>
                <c:pt idx="22">
                  <c:v>6177603.9589903802</c:v>
                </c:pt>
                <c:pt idx="23">
                  <c:v>6342937.20333644</c:v>
                </c:pt>
                <c:pt idx="24">
                  <c:v>6396283.2578523597</c:v>
                </c:pt>
                <c:pt idx="25">
                  <c:v>6317610.7678521201</c:v>
                </c:pt>
                <c:pt idx="26">
                  <c:v>6281003.5425787801</c:v>
                </c:pt>
                <c:pt idx="27">
                  <c:v>6465714.4534832202</c:v>
                </c:pt>
                <c:pt idx="28">
                  <c:v>6673135.1132231299</c:v>
                </c:pt>
                <c:pt idx="29">
                  <c:v>6769669.7887034202</c:v>
                </c:pt>
                <c:pt idx="30">
                  <c:v>6795777.1305981399</c:v>
                </c:pt>
                <c:pt idx="31">
                  <c:v>6787188.50009136</c:v>
                </c:pt>
                <c:pt idx="32">
                  <c:v>6858222.9460700201</c:v>
                </c:pt>
                <c:pt idx="33">
                  <c:v>6968567.7169335401</c:v>
                </c:pt>
                <c:pt idx="34">
                  <c:v>6961771.4979790896</c:v>
                </c:pt>
                <c:pt idx="35">
                  <c:v>6910694.2235809704</c:v>
                </c:pt>
                <c:pt idx="36">
                  <c:v>6909476.3047046</c:v>
                </c:pt>
                <c:pt idx="37">
                  <c:v>6867755.8599724201</c:v>
                </c:pt>
                <c:pt idx="38">
                  <c:v>6831029.1859653303</c:v>
                </c:pt>
                <c:pt idx="39">
                  <c:v>6796775.88261416</c:v>
                </c:pt>
                <c:pt idx="40">
                  <c:v>6764731.9686110402</c:v>
                </c:pt>
                <c:pt idx="41">
                  <c:v>6861942.1055322802</c:v>
                </c:pt>
              </c:numCache>
            </c:numRef>
          </c:val>
          <c:smooth val="0"/>
          <c:extLst>
            <c:ext xmlns:c16="http://schemas.microsoft.com/office/drawing/2014/chart" uri="{C3380CC4-5D6E-409C-BE32-E72D297353CC}">
              <c16:uniqueId val="{00000001-9D5F-4A79-A87A-A4973024D098}"/>
            </c:ext>
          </c:extLst>
        </c:ser>
        <c:dLbls>
          <c:showLegendKey val="0"/>
          <c:showVal val="0"/>
          <c:showCatName val="0"/>
          <c:showSerName val="0"/>
          <c:showPercent val="0"/>
          <c:showBubbleSize val="0"/>
        </c:dLbls>
        <c:marker val="1"/>
        <c:smooth val="0"/>
        <c:axId val="318161760"/>
        <c:axId val="318165680"/>
      </c:lineChart>
      <c:catAx>
        <c:axId val="318161760"/>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18165680"/>
        <c:crosses val="autoZero"/>
        <c:auto val="0"/>
        <c:lblAlgn val="ctr"/>
        <c:lblOffset val="0"/>
        <c:tickLblSkip val="1"/>
        <c:tickMarkSkip val="4"/>
        <c:noMultiLvlLbl val="1"/>
      </c:catAx>
      <c:valAx>
        <c:axId val="318165680"/>
        <c:scaling>
          <c:orientation val="minMax"/>
          <c:min val="25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318161760"/>
        <c:crosses val="autoZero"/>
        <c:crossBetween val="between"/>
        <c:majorUnit val="1000000"/>
      </c:valAx>
      <c:spPr>
        <a:noFill/>
        <a:ln>
          <a:solidFill>
            <a:schemeClr val="bg1">
              <a:lumMod val="75000"/>
            </a:schemeClr>
          </a:solidFill>
        </a:ln>
      </c:spPr>
    </c:plotArea>
    <c:legend>
      <c:legendPos val="b"/>
      <c:layout>
        <c:manualLayout>
          <c:xMode val="edge"/>
          <c:yMode val="edge"/>
          <c:x val="0"/>
          <c:y val="0.94392532357352699"/>
          <c:w val="0.99936832701251122"/>
          <c:h val="5.1710246530149412E-2"/>
        </c:manualLayout>
      </c:layout>
      <c:overlay val="0"/>
      <c:txPr>
        <a:bodyPr/>
        <a:lstStyle/>
        <a:p>
          <a:pPr>
            <a:defRPr sz="600"/>
          </a:pPr>
          <a:endParaRPr lang="es-MX"/>
        </a:p>
      </c:txPr>
    </c:legend>
    <c:plotVisOnly val="1"/>
    <c:dispBlanksAs val="gap"/>
    <c:showDLblsOverMax val="0"/>
  </c:chart>
  <c:spPr>
    <a:noFill/>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3787956737965963"/>
          <c:h val="0.81211954070389314"/>
        </c:manualLayout>
      </c:layout>
      <c:barChart>
        <c:barDir val="col"/>
        <c:grouping val="clustered"/>
        <c:varyColors val="0"/>
        <c:ser>
          <c:idx val="0"/>
          <c:order val="0"/>
          <c:tx>
            <c:strRef>
              <c:f>Datos!$E$5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Datos!$A$18:$B$59</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Datos!$C$18:$C$59</c:f>
              <c:numCache>
                <c:formatCode>0.0</c:formatCode>
                <c:ptCount val="42"/>
                <c:pt idx="0">
                  <c:v>3150714.6205521799</c:v>
                </c:pt>
                <c:pt idx="1">
                  <c:v>3294060.0451019998</c:v>
                </c:pt>
                <c:pt idx="2">
                  <c:v>3475913.0523828198</c:v>
                </c:pt>
                <c:pt idx="3">
                  <c:v>3730577.1584587698</c:v>
                </c:pt>
                <c:pt idx="4">
                  <c:v>3693623.1376853199</c:v>
                </c:pt>
                <c:pt idx="5">
                  <c:v>3824908.1082608099</c:v>
                </c:pt>
                <c:pt idx="6">
                  <c:v>3823538.4920487502</c:v>
                </c:pt>
                <c:pt idx="7">
                  <c:v>3790522.8935972899</c:v>
                </c:pt>
                <c:pt idx="8">
                  <c:v>3688786.1322871801</c:v>
                </c:pt>
                <c:pt idx="9">
                  <c:v>3657335.6855367702</c:v>
                </c:pt>
                <c:pt idx="10">
                  <c:v>3612785.5979894898</c:v>
                </c:pt>
                <c:pt idx="11">
                  <c:v>3708268.6006386001</c:v>
                </c:pt>
                <c:pt idx="12">
                  <c:v>3843694.4777072198</c:v>
                </c:pt>
                <c:pt idx="13">
                  <c:v>3798998.2914663102</c:v>
                </c:pt>
                <c:pt idx="14">
                  <c:v>3852276.82460427</c:v>
                </c:pt>
                <c:pt idx="15">
                  <c:v>3813652.76892005</c:v>
                </c:pt>
                <c:pt idx="16">
                  <c:v>4086135.73206412</c:v>
                </c:pt>
                <c:pt idx="17">
                  <c:v>4285131.9894370101</c:v>
                </c:pt>
                <c:pt idx="18">
                  <c:v>4484676.3312903699</c:v>
                </c:pt>
                <c:pt idx="19">
                  <c:v>4467211.05758953</c:v>
                </c:pt>
                <c:pt idx="20">
                  <c:v>4564462.9215422003</c:v>
                </c:pt>
                <c:pt idx="21">
                  <c:v>4652707.00116318</c:v>
                </c:pt>
                <c:pt idx="22">
                  <c:v>4786859.01356404</c:v>
                </c:pt>
                <c:pt idx="23">
                  <c:v>5003977.2739871498</c:v>
                </c:pt>
                <c:pt idx="24">
                  <c:v>5004963.3227295298</c:v>
                </c:pt>
                <c:pt idx="25">
                  <c:v>5001042.1208537696</c:v>
                </c:pt>
                <c:pt idx="26">
                  <c:v>4989356.6389481602</c:v>
                </c:pt>
                <c:pt idx="27">
                  <c:v>5096307.2098988397</c:v>
                </c:pt>
                <c:pt idx="28">
                  <c:v>5210051.7930994201</c:v>
                </c:pt>
                <c:pt idx="29">
                  <c:v>5379047.44136889</c:v>
                </c:pt>
                <c:pt idx="30">
                  <c:v>5441790.3561393404</c:v>
                </c:pt>
                <c:pt idx="31">
                  <c:v>5350951.0932556996</c:v>
                </c:pt>
                <c:pt idx="32">
                  <c:v>5266730.3893379699</c:v>
                </c:pt>
                <c:pt idx="33">
                  <c:v>5182824.6067348002</c:v>
                </c:pt>
                <c:pt idx="34">
                  <c:v>5194551.0944261197</c:v>
                </c:pt>
                <c:pt idx="35">
                  <c:v>5076398.6065625399</c:v>
                </c:pt>
                <c:pt idx="36">
                  <c:v>4841659.5127020702</c:v>
                </c:pt>
                <c:pt idx="37">
                  <c:v>3738361.9844438401</c:v>
                </c:pt>
                <c:pt idx="38">
                  <c:v>4549401.2292129798</c:v>
                </c:pt>
                <c:pt idx="39">
                  <c:v>4685916.7302197898</c:v>
                </c:pt>
                <c:pt idx="40">
                  <c:v>5007776.52404013</c:v>
                </c:pt>
                <c:pt idx="41">
                  <c:v>5065867.89161909</c:v>
                </c:pt>
              </c:numCache>
            </c:numRef>
          </c:val>
          <c:extLst>
            <c:ext xmlns:c16="http://schemas.microsoft.com/office/drawing/2014/chart" uri="{C3380CC4-5D6E-409C-BE32-E72D297353CC}">
              <c16:uniqueId val="{00000000-CB06-4055-BBBF-59A6CA871D89}"/>
            </c:ext>
          </c:extLst>
        </c:ser>
        <c:dLbls>
          <c:showLegendKey val="0"/>
          <c:showVal val="1"/>
          <c:showCatName val="0"/>
          <c:showSerName val="0"/>
          <c:showPercent val="0"/>
          <c:showBubbleSize val="0"/>
        </c:dLbls>
        <c:gapWidth val="40"/>
        <c:axId val="556454136"/>
        <c:axId val="556455704"/>
      </c:barChart>
      <c:lineChart>
        <c:grouping val="standard"/>
        <c:varyColors val="0"/>
        <c:ser>
          <c:idx val="1"/>
          <c:order val="1"/>
          <c:tx>
            <c:strRef>
              <c:f>Datos!$F$5</c:f>
              <c:strCache>
                <c:ptCount val="1"/>
                <c:pt idx="0">
                  <c:v>Tendencia-Ciclo</c:v>
                </c:pt>
              </c:strCache>
            </c:strRef>
          </c:tx>
          <c:spPr>
            <a:ln w="15875">
              <a:solidFill>
                <a:srgbClr val="FF0000"/>
              </a:solidFill>
            </a:ln>
          </c:spPr>
          <c:marker>
            <c:symbol val="none"/>
          </c:marker>
          <c:cat>
            <c:multiLvlStrRef>
              <c:f>Datos!$A$18:$B$59</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Datos!$D$18:$D$59</c:f>
              <c:numCache>
                <c:formatCode>0.0</c:formatCode>
                <c:ptCount val="42"/>
                <c:pt idx="0">
                  <c:v>3168921.5873196898</c:v>
                </c:pt>
                <c:pt idx="1">
                  <c:v>3291591.5763101499</c:v>
                </c:pt>
                <c:pt idx="2">
                  <c:v>3481445.2653883998</c:v>
                </c:pt>
                <c:pt idx="3">
                  <c:v>3632428.64962513</c:v>
                </c:pt>
                <c:pt idx="4">
                  <c:v>3736838.3460829202</c:v>
                </c:pt>
                <c:pt idx="5">
                  <c:v>3806164.1166073298</c:v>
                </c:pt>
                <c:pt idx="6">
                  <c:v>3832389.5200417801</c:v>
                </c:pt>
                <c:pt idx="7">
                  <c:v>3777593.74737775</c:v>
                </c:pt>
                <c:pt idx="8">
                  <c:v>3705115.7200084198</c:v>
                </c:pt>
                <c:pt idx="9">
                  <c:v>3639968.9288467402</c:v>
                </c:pt>
                <c:pt idx="10">
                  <c:v>3631378.8912837999</c:v>
                </c:pt>
                <c:pt idx="11">
                  <c:v>3717077.9333693502</c:v>
                </c:pt>
                <c:pt idx="12">
                  <c:v>3807116.1695646802</c:v>
                </c:pt>
                <c:pt idx="13">
                  <c:v>3827873.4297476299</c:v>
                </c:pt>
                <c:pt idx="14">
                  <c:v>3830689.5526042702</c:v>
                </c:pt>
                <c:pt idx="15">
                  <c:v>3913286.4164654198</c:v>
                </c:pt>
                <c:pt idx="16">
                  <c:v>4074406.5944033102</c:v>
                </c:pt>
                <c:pt idx="17">
                  <c:v>4301056.0311705498</c:v>
                </c:pt>
                <c:pt idx="18">
                  <c:v>4444344.2560522901</c:v>
                </c:pt>
                <c:pt idx="19">
                  <c:v>4500653.3134603398</c:v>
                </c:pt>
                <c:pt idx="20">
                  <c:v>4551345.9515386</c:v>
                </c:pt>
                <c:pt idx="21">
                  <c:v>4654018.2089927299</c:v>
                </c:pt>
                <c:pt idx="22">
                  <c:v>4811541.8536823997</c:v>
                </c:pt>
                <c:pt idx="23">
                  <c:v>4966505.9738610098</c:v>
                </c:pt>
                <c:pt idx="24">
                  <c:v>5020682.6297223996</c:v>
                </c:pt>
                <c:pt idx="25">
                  <c:v>4991551.1956500802</c:v>
                </c:pt>
                <c:pt idx="26">
                  <c:v>5006849.9600787302</c:v>
                </c:pt>
                <c:pt idx="27">
                  <c:v>5084536.9967452297</c:v>
                </c:pt>
                <c:pt idx="28">
                  <c:v>5225468.4989704797</c:v>
                </c:pt>
                <c:pt idx="29">
                  <c:v>5370664.0097511597</c:v>
                </c:pt>
                <c:pt idx="30">
                  <c:v>5426552.1260824297</c:v>
                </c:pt>
                <c:pt idx="31">
                  <c:v>5362866.51503867</c:v>
                </c:pt>
                <c:pt idx="32">
                  <c:v>5260510.4040226899</c:v>
                </c:pt>
                <c:pt idx="33">
                  <c:v>5208747.0854366301</c:v>
                </c:pt>
                <c:pt idx="34">
                  <c:v>5178258.2587461602</c:v>
                </c:pt>
                <c:pt idx="35">
                  <c:v>5065503.18353689</c:v>
                </c:pt>
                <c:pt idx="36">
                  <c:v>4848515.5652118903</c:v>
                </c:pt>
                <c:pt idx="37">
                  <c:v>4644333.7697227001</c:v>
                </c:pt>
                <c:pt idx="38">
                  <c:v>4574423.3365539098</c:v>
                </c:pt>
                <c:pt idx="39">
                  <c:v>4694580.38763321</c:v>
                </c:pt>
                <c:pt idx="40">
                  <c:v>4915676.3634105502</c:v>
                </c:pt>
                <c:pt idx="41">
                  <c:v>5051929.2722451398</c:v>
                </c:pt>
              </c:numCache>
            </c:numRef>
          </c:val>
          <c:smooth val="0"/>
          <c:extLst>
            <c:ext xmlns:c16="http://schemas.microsoft.com/office/drawing/2014/chart" uri="{C3380CC4-5D6E-409C-BE32-E72D297353CC}">
              <c16:uniqueId val="{00000001-CB06-4055-BBBF-59A6CA871D89}"/>
            </c:ext>
          </c:extLst>
        </c:ser>
        <c:dLbls>
          <c:showLegendKey val="0"/>
          <c:showVal val="0"/>
          <c:showCatName val="0"/>
          <c:showSerName val="0"/>
          <c:showPercent val="0"/>
          <c:showBubbleSize val="0"/>
        </c:dLbls>
        <c:marker val="1"/>
        <c:smooth val="0"/>
        <c:axId val="556454136"/>
        <c:axId val="556455704"/>
      </c:lineChart>
      <c:catAx>
        <c:axId val="556454136"/>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556455704"/>
        <c:crosses val="autoZero"/>
        <c:auto val="0"/>
        <c:lblAlgn val="ctr"/>
        <c:lblOffset val="0"/>
        <c:tickLblSkip val="1"/>
        <c:tickMarkSkip val="4"/>
        <c:noMultiLvlLbl val="1"/>
      </c:catAx>
      <c:valAx>
        <c:axId val="556455704"/>
        <c:scaling>
          <c:orientation val="minMax"/>
          <c:max val="6000000"/>
          <c:min val="25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556454136"/>
        <c:crosses val="autoZero"/>
        <c:crossBetween val="between"/>
        <c:majorUnit val="1000000"/>
        <c:minorUnit val="200000"/>
      </c:valAx>
      <c:spPr>
        <a:noFill/>
        <a:ln w="9525">
          <a:solidFill>
            <a:schemeClr val="bg1">
              <a:lumMod val="75000"/>
            </a:schemeClr>
          </a:solidFill>
        </a:ln>
      </c:spPr>
    </c:plotArea>
    <c:legend>
      <c:legendPos val="b"/>
      <c:layout>
        <c:manualLayout>
          <c:xMode val="edge"/>
          <c:yMode val="edge"/>
          <c:x val="2.9468730201828229E-3"/>
          <c:y val="0.94392532357352621"/>
          <c:w val="0.99195267999730785"/>
          <c:h val="5.1710246530149412E-2"/>
        </c:manualLayout>
      </c:layout>
      <c:overlay val="0"/>
      <c:spPr>
        <a:noFill/>
      </c:spPr>
      <c:txPr>
        <a:bodyPr/>
        <a:lstStyle/>
        <a:p>
          <a:pPr>
            <a:defRPr sz="600"/>
          </a:pPr>
          <a:endParaRPr lang="es-MX"/>
        </a:p>
      </c:txPr>
    </c:legend>
    <c:plotVisOnly val="1"/>
    <c:dispBlanksAs val="gap"/>
    <c:showDLblsOverMax val="0"/>
  </c:chart>
  <c:spPr>
    <a:noFill/>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3787956737965963"/>
          <c:h val="0.81211954070389314"/>
        </c:manualLayout>
      </c:layout>
      <c:barChart>
        <c:barDir val="col"/>
        <c:grouping val="clustered"/>
        <c:varyColors val="0"/>
        <c:ser>
          <c:idx val="0"/>
          <c:order val="0"/>
          <c:tx>
            <c:strRef>
              <c:f>Datos!$E$5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Datos!$A$18:$B$59</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Datos!$E$18:$E$59</c:f>
              <c:numCache>
                <c:formatCode>0.0</c:formatCode>
                <c:ptCount val="42"/>
                <c:pt idx="0">
                  <c:v>3036805.0250852499</c:v>
                </c:pt>
                <c:pt idx="1">
                  <c:v>3136268.3770816401</c:v>
                </c:pt>
                <c:pt idx="2">
                  <c:v>3170037.1836580401</c:v>
                </c:pt>
                <c:pt idx="3">
                  <c:v>3645191.7459691102</c:v>
                </c:pt>
                <c:pt idx="4">
                  <c:v>3544982.3399117799</c:v>
                </c:pt>
                <c:pt idx="5">
                  <c:v>3702066.64778917</c:v>
                </c:pt>
                <c:pt idx="6">
                  <c:v>3607908.7974217702</c:v>
                </c:pt>
                <c:pt idx="7">
                  <c:v>3434671.4179305602</c:v>
                </c:pt>
                <c:pt idx="8">
                  <c:v>3283360.7019501701</c:v>
                </c:pt>
                <c:pt idx="9">
                  <c:v>3211979.3007970201</c:v>
                </c:pt>
                <c:pt idx="10">
                  <c:v>3247754.8179947999</c:v>
                </c:pt>
                <c:pt idx="11">
                  <c:v>3310829.06627018</c:v>
                </c:pt>
                <c:pt idx="12">
                  <c:v>3454873.1125775701</c:v>
                </c:pt>
                <c:pt idx="13">
                  <c:v>3350051.4891455299</c:v>
                </c:pt>
                <c:pt idx="14">
                  <c:v>3628552.83107334</c:v>
                </c:pt>
                <c:pt idx="15">
                  <c:v>3501423.7053733999</c:v>
                </c:pt>
                <c:pt idx="16">
                  <c:v>3672163.84250755</c:v>
                </c:pt>
                <c:pt idx="17">
                  <c:v>3789616.4116702601</c:v>
                </c:pt>
                <c:pt idx="18">
                  <c:v>3925636.5724618598</c:v>
                </c:pt>
                <c:pt idx="19">
                  <c:v>3947108.7670227299</c:v>
                </c:pt>
                <c:pt idx="20">
                  <c:v>4087008.5640930501</c:v>
                </c:pt>
                <c:pt idx="21">
                  <c:v>4138895.2128687901</c:v>
                </c:pt>
                <c:pt idx="22">
                  <c:v>4338589.39235246</c:v>
                </c:pt>
                <c:pt idx="23">
                  <c:v>4590748.3031618902</c:v>
                </c:pt>
                <c:pt idx="24">
                  <c:v>4396130.6241811598</c:v>
                </c:pt>
                <c:pt idx="25">
                  <c:v>4702166.4461820098</c:v>
                </c:pt>
                <c:pt idx="26">
                  <c:v>4582822.2331323801</c:v>
                </c:pt>
                <c:pt idx="27">
                  <c:v>4737761.5858453801</c:v>
                </c:pt>
                <c:pt idx="28">
                  <c:v>4808580.9881383702</c:v>
                </c:pt>
                <c:pt idx="29">
                  <c:v>4905086.7726678299</c:v>
                </c:pt>
                <c:pt idx="30">
                  <c:v>4890325.8600985901</c:v>
                </c:pt>
                <c:pt idx="31">
                  <c:v>4793438.8859423799</c:v>
                </c:pt>
                <c:pt idx="32">
                  <c:v>5020350.0121149998</c:v>
                </c:pt>
                <c:pt idx="33">
                  <c:v>5225930.0195744401</c:v>
                </c:pt>
                <c:pt idx="34">
                  <c:v>5102310.5579309901</c:v>
                </c:pt>
                <c:pt idx="35">
                  <c:v>4964903.7152614603</c:v>
                </c:pt>
                <c:pt idx="36">
                  <c:v>4952456.9692243999</c:v>
                </c:pt>
                <c:pt idx="37">
                  <c:v>3472724.9476497602</c:v>
                </c:pt>
                <c:pt idx="38">
                  <c:v>5936316.2026407598</c:v>
                </c:pt>
                <c:pt idx="39">
                  <c:v>5597575.2629304202</c:v>
                </c:pt>
                <c:pt idx="40">
                  <c:v>5391393.4050439997</c:v>
                </c:pt>
                <c:pt idx="41">
                  <c:v>5296768.6757826405</c:v>
                </c:pt>
              </c:numCache>
            </c:numRef>
          </c:val>
          <c:extLst>
            <c:ext xmlns:c16="http://schemas.microsoft.com/office/drawing/2014/chart" uri="{C3380CC4-5D6E-409C-BE32-E72D297353CC}">
              <c16:uniqueId val="{00000000-15A2-433E-8119-5FF075F5B773}"/>
            </c:ext>
          </c:extLst>
        </c:ser>
        <c:dLbls>
          <c:showLegendKey val="0"/>
          <c:showVal val="1"/>
          <c:showCatName val="0"/>
          <c:showSerName val="0"/>
          <c:showPercent val="0"/>
          <c:showBubbleSize val="0"/>
        </c:dLbls>
        <c:gapWidth val="40"/>
        <c:axId val="320904776"/>
        <c:axId val="320903208"/>
      </c:barChart>
      <c:lineChart>
        <c:grouping val="standard"/>
        <c:varyColors val="0"/>
        <c:ser>
          <c:idx val="1"/>
          <c:order val="1"/>
          <c:tx>
            <c:strRef>
              <c:f>Datos!$F$5</c:f>
              <c:strCache>
                <c:ptCount val="1"/>
                <c:pt idx="0">
                  <c:v>Tendencia-Ciclo</c:v>
                </c:pt>
              </c:strCache>
            </c:strRef>
          </c:tx>
          <c:spPr>
            <a:ln w="15875">
              <a:solidFill>
                <a:srgbClr val="FF0000"/>
              </a:solidFill>
            </a:ln>
          </c:spPr>
          <c:marker>
            <c:symbol val="none"/>
          </c:marker>
          <c:cat>
            <c:multiLvlStrRef>
              <c:f>Datos!$A$18:$B$59</c:f>
              <c:multiLvlStrCache>
                <c:ptCount val="4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Datos!$F$18:$F$59</c:f>
              <c:numCache>
                <c:formatCode>0.0</c:formatCode>
                <c:ptCount val="42"/>
                <c:pt idx="0">
                  <c:v>3020485.1009614398</c:v>
                </c:pt>
                <c:pt idx="1">
                  <c:v>3146006.2162183402</c:v>
                </c:pt>
                <c:pt idx="2">
                  <c:v>3307885.9823821099</c:v>
                </c:pt>
                <c:pt idx="3">
                  <c:v>3457180.46841378</c:v>
                </c:pt>
                <c:pt idx="4">
                  <c:v>3586692.51622921</c:v>
                </c:pt>
                <c:pt idx="5">
                  <c:v>3664722.3141178298</c:v>
                </c:pt>
                <c:pt idx="6">
                  <c:v>3612607.9654210298</c:v>
                </c:pt>
                <c:pt idx="7">
                  <c:v>3437897.3913608701</c:v>
                </c:pt>
                <c:pt idx="8">
                  <c:v>3285620.4082566299</c:v>
                </c:pt>
                <c:pt idx="9">
                  <c:v>3219842.2434779201</c:v>
                </c:pt>
                <c:pt idx="10">
                  <c:v>3237950.2224046499</c:v>
                </c:pt>
                <c:pt idx="11">
                  <c:v>3330347.5168485502</c:v>
                </c:pt>
                <c:pt idx="12">
                  <c:v>3428511.3190459199</c:v>
                </c:pt>
                <c:pt idx="13">
                  <c:v>3481390.7503552502</c:v>
                </c:pt>
                <c:pt idx="14">
                  <c:v>3479536.4715483999</c:v>
                </c:pt>
                <c:pt idx="15">
                  <c:v>3531374.9655241198</c:v>
                </c:pt>
                <c:pt idx="16">
                  <c:v>3650815.3808166301</c:v>
                </c:pt>
                <c:pt idx="17">
                  <c:v>3804666.7091061301</c:v>
                </c:pt>
                <c:pt idx="18">
                  <c:v>3898755.75547376</c:v>
                </c:pt>
                <c:pt idx="19">
                  <c:v>3979373.60167458</c:v>
                </c:pt>
                <c:pt idx="20">
                  <c:v>4054534.8227436198</c:v>
                </c:pt>
                <c:pt idx="21">
                  <c:v>4163211.4123306</c:v>
                </c:pt>
                <c:pt idx="22">
                  <c:v>4355700.9572797902</c:v>
                </c:pt>
                <c:pt idx="23">
                  <c:v>4544762.6977885496</c:v>
                </c:pt>
                <c:pt idx="24">
                  <c:v>4589047.0611420404</c:v>
                </c:pt>
                <c:pt idx="25">
                  <c:v>4556351.7550264802</c:v>
                </c:pt>
                <c:pt idx="26">
                  <c:v>4607738.1919202497</c:v>
                </c:pt>
                <c:pt idx="27">
                  <c:v>4713439.7821337599</c:v>
                </c:pt>
                <c:pt idx="28">
                  <c:v>4826699.6862216704</c:v>
                </c:pt>
                <c:pt idx="29">
                  <c:v>4892891.0803189296</c:v>
                </c:pt>
                <c:pt idx="30">
                  <c:v>4862659.9368311604</c:v>
                </c:pt>
                <c:pt idx="31">
                  <c:v>4848586.1621665601</c:v>
                </c:pt>
                <c:pt idx="32">
                  <c:v>5017614.0742069604</c:v>
                </c:pt>
                <c:pt idx="33">
                  <c:v>5180164.6726940302</c:v>
                </c:pt>
                <c:pt idx="34">
                  <c:v>5115282.4349197401</c:v>
                </c:pt>
                <c:pt idx="35">
                  <c:v>4962282.7856842801</c:v>
                </c:pt>
                <c:pt idx="36">
                  <c:v>4991734.7568952302</c:v>
                </c:pt>
                <c:pt idx="37">
                  <c:v>5215329.7846127097</c:v>
                </c:pt>
                <c:pt idx="38">
                  <c:v>5480880.5692094704</c:v>
                </c:pt>
                <c:pt idx="39">
                  <c:v>5546549.99954559</c:v>
                </c:pt>
                <c:pt idx="40">
                  <c:v>5422529.1587064201</c:v>
                </c:pt>
                <c:pt idx="41">
                  <c:v>5302546.0514371404</c:v>
                </c:pt>
              </c:numCache>
            </c:numRef>
          </c:val>
          <c:smooth val="0"/>
          <c:extLst>
            <c:ext xmlns:c16="http://schemas.microsoft.com/office/drawing/2014/chart" uri="{C3380CC4-5D6E-409C-BE32-E72D297353CC}">
              <c16:uniqueId val="{00000001-15A2-433E-8119-5FF075F5B773}"/>
            </c:ext>
          </c:extLst>
        </c:ser>
        <c:dLbls>
          <c:showLegendKey val="0"/>
          <c:showVal val="0"/>
          <c:showCatName val="0"/>
          <c:showSerName val="0"/>
          <c:showPercent val="0"/>
          <c:showBubbleSize val="0"/>
        </c:dLbls>
        <c:marker val="1"/>
        <c:smooth val="0"/>
        <c:axId val="320904776"/>
        <c:axId val="320903208"/>
      </c:lineChart>
      <c:catAx>
        <c:axId val="320904776"/>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20903208"/>
        <c:crosses val="autoZero"/>
        <c:auto val="0"/>
        <c:lblAlgn val="ctr"/>
        <c:lblOffset val="0"/>
        <c:tickLblSkip val="1"/>
        <c:tickMarkSkip val="4"/>
        <c:noMultiLvlLbl val="1"/>
      </c:catAx>
      <c:valAx>
        <c:axId val="320903208"/>
        <c:scaling>
          <c:orientation val="minMax"/>
          <c:min val="15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320904776"/>
        <c:crosses val="autoZero"/>
        <c:crossBetween val="between"/>
        <c:majorUnit val="1000000"/>
      </c:valAx>
      <c:spPr>
        <a:noFill/>
        <a:ln>
          <a:solidFill>
            <a:schemeClr val="bg1">
              <a:lumMod val="75000"/>
            </a:schemeClr>
          </a:solidFill>
        </a:ln>
      </c:spPr>
    </c:plotArea>
    <c:legend>
      <c:legendPos val="b"/>
      <c:layout>
        <c:manualLayout>
          <c:xMode val="edge"/>
          <c:yMode val="edge"/>
          <c:x val="2.9468730201828229E-3"/>
          <c:y val="0.94392532357352621"/>
          <c:w val="0.99195267999730785"/>
          <c:h val="5.1710246530149412E-2"/>
        </c:manualLayout>
      </c:layout>
      <c:overlay val="0"/>
      <c:spPr>
        <a:noFill/>
      </c:spPr>
      <c:txPr>
        <a:bodyPr/>
        <a:lstStyle/>
        <a:p>
          <a:pPr>
            <a:defRPr sz="600"/>
          </a:pPr>
          <a:endParaRPr lang="es-MX"/>
        </a:p>
      </c:txPr>
    </c:legend>
    <c:plotVisOnly val="1"/>
    <c:dispBlanksAs val="gap"/>
    <c:showDLblsOverMax val="0"/>
  </c:chart>
  <c:spPr>
    <a:noFill/>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BC12F-304C-4CF8-A9AF-713740BC8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21</Pages>
  <Words>5571</Words>
  <Characters>30644</Characters>
  <Application>Microsoft Office Word</Application>
  <DocSecurity>0</DocSecurity>
  <Lines>255</Lines>
  <Paragraphs>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Comunicado de Prensa. Indicadores Trimestrales de la Oferta y Demanda y del Ahorro Bruto. Segundo Trimestre de 2021</vt:lpstr>
      <vt:lpstr>Oferta y Demanda Global al 1°  trimestre del 2000 </vt:lpstr>
    </vt:vector>
  </TitlesOfParts>
  <Company>INEGI</Company>
  <LinksUpToDate>false</LinksUpToDate>
  <CharactersWithSpaces>36143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Trimestrales de la Oferta y Demanda y del Ahorro Bruto. Segundo Trimestre de 2021</dc:title>
  <dc:subject/>
  <dc:creator>Víctor M. Pérez M.</dc:creator>
  <cp:keywords/>
  <dc:description/>
  <cp:lastModifiedBy>GUILLEN MEDINA MOISES</cp:lastModifiedBy>
  <cp:revision>92</cp:revision>
  <cp:lastPrinted>2021-06-16T22:43:00Z</cp:lastPrinted>
  <dcterms:created xsi:type="dcterms:W3CDTF">2021-09-14T18:17:00Z</dcterms:created>
  <dcterms:modified xsi:type="dcterms:W3CDTF">2021-09-17T21:58:00Z</dcterms:modified>
</cp:coreProperties>
</file>