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5445A" w14:textId="77777777" w:rsidR="00F070BC" w:rsidRDefault="00F070BC" w:rsidP="00994BB9">
      <w:pPr>
        <w:pStyle w:val="Profesin"/>
        <w:spacing w:before="60"/>
        <w:outlineLvl w:val="0"/>
        <w:rPr>
          <w:rFonts w:ascii="Arial" w:hAnsi="Arial" w:cs="Arial"/>
          <w:sz w:val="24"/>
          <w:szCs w:val="24"/>
          <w:lang w:val="es-MX"/>
        </w:rPr>
      </w:pPr>
    </w:p>
    <w:p w14:paraId="7B53CC45" w14:textId="56D18E19" w:rsidR="00994BB9" w:rsidRPr="006C6EF7" w:rsidRDefault="00994BB9" w:rsidP="00994BB9">
      <w:pPr>
        <w:pStyle w:val="Profesin"/>
        <w:spacing w:before="60"/>
        <w:outlineLvl w:val="0"/>
        <w:rPr>
          <w:rFonts w:ascii="Arial" w:hAnsi="Arial" w:cs="Arial"/>
          <w:sz w:val="24"/>
          <w:szCs w:val="24"/>
          <w:lang w:val="es-MX"/>
        </w:rPr>
      </w:pPr>
      <w:bookmarkStart w:id="0" w:name="_GoBack"/>
      <w:r w:rsidRPr="006C6EF7">
        <w:rPr>
          <w:rFonts w:ascii="Arial" w:hAnsi="Arial" w:cs="Arial"/>
          <w:sz w:val="24"/>
          <w:szCs w:val="24"/>
          <w:lang w:val="es-MX"/>
        </w:rPr>
        <w:t>SISTEMA DE CUENTAS NACIONALES DE MÉXICO</w:t>
      </w:r>
    </w:p>
    <w:p w14:paraId="58D05C90" w14:textId="468FD491" w:rsidR="00994BB9" w:rsidRPr="006C6EF7" w:rsidRDefault="00994BB9" w:rsidP="00994BB9">
      <w:pPr>
        <w:pStyle w:val="Profesin"/>
        <w:outlineLvl w:val="0"/>
        <w:rPr>
          <w:rFonts w:ascii="Arial" w:hAnsi="Arial" w:cs="Arial"/>
          <w:sz w:val="24"/>
          <w:szCs w:val="24"/>
          <w:lang w:val="es-MX"/>
        </w:rPr>
      </w:pPr>
      <w:r w:rsidRPr="006C6EF7">
        <w:rPr>
          <w:rFonts w:ascii="Arial" w:hAnsi="Arial" w:cs="Arial"/>
          <w:sz w:val="24"/>
          <w:szCs w:val="24"/>
          <w:lang w:val="es-MX"/>
        </w:rPr>
        <w:t>CUENTAS DE BIENES Y SERVICIOS 20</w:t>
      </w:r>
      <w:r w:rsidR="001811D3" w:rsidRPr="006C6EF7">
        <w:rPr>
          <w:rFonts w:ascii="Arial" w:hAnsi="Arial" w:cs="Arial"/>
          <w:sz w:val="24"/>
          <w:szCs w:val="24"/>
          <w:lang w:val="es-MX"/>
        </w:rPr>
        <w:t>20</w:t>
      </w:r>
    </w:p>
    <w:bookmarkEnd w:id="0"/>
    <w:p w14:paraId="75D7B2C4" w14:textId="4B83A2FE" w:rsidR="006C6EF7" w:rsidRDefault="00994BB9" w:rsidP="006C6EF7">
      <w:pPr>
        <w:spacing w:before="240"/>
        <w:ind w:left="-426" w:right="-547"/>
        <w:jc w:val="both"/>
        <w:rPr>
          <w:rFonts w:ascii="Arial" w:hAnsi="Arial"/>
          <w:bCs/>
        </w:rPr>
      </w:pPr>
      <w:r w:rsidRPr="006B60A9">
        <w:rPr>
          <w:rFonts w:ascii="Arial" w:hAnsi="Arial"/>
          <w:bCs/>
        </w:rPr>
        <w:t>El Instituto Nacional de Estadística y Geografía (INEGI) presenta los resultados de las Cuentas de Bienes y Servicios 20</w:t>
      </w:r>
      <w:r w:rsidR="001811D3">
        <w:rPr>
          <w:rFonts w:ascii="Arial" w:hAnsi="Arial"/>
          <w:bCs/>
        </w:rPr>
        <w:t>20</w:t>
      </w:r>
      <w:r w:rsidRPr="006B60A9">
        <w:rPr>
          <w:rFonts w:ascii="Arial" w:hAnsi="Arial"/>
          <w:bCs/>
        </w:rPr>
        <w:t>, con año base 2013.</w:t>
      </w:r>
    </w:p>
    <w:p w14:paraId="4C7BF6EC" w14:textId="26A60E69" w:rsidR="00994BB9" w:rsidRPr="006B60A9" w:rsidRDefault="006C6EF7" w:rsidP="0085042C">
      <w:pPr>
        <w:spacing w:before="240"/>
        <w:ind w:left="-426" w:right="-547"/>
        <w:jc w:val="both"/>
        <w:rPr>
          <w:rFonts w:ascii="Arial" w:hAnsi="Arial"/>
          <w:bCs/>
        </w:rPr>
      </w:pPr>
      <w:r>
        <w:rPr>
          <w:rFonts w:ascii="Arial" w:hAnsi="Arial"/>
          <w:bCs/>
        </w:rPr>
        <w:t xml:space="preserve">Las Cuentas de Bienes y servicios </w:t>
      </w:r>
      <w:r w:rsidR="00994BB9" w:rsidRPr="006B60A9">
        <w:rPr>
          <w:rFonts w:ascii="Arial" w:hAnsi="Arial"/>
          <w:bCs/>
        </w:rPr>
        <w:t>forman parte del Sistema de Cuentas Nacionales de México (SCNM) y proporcionan información detallada sobre la estructura y evolución de los principales agregados macroeconómicos del país.</w:t>
      </w:r>
    </w:p>
    <w:p w14:paraId="4ABCAA2E" w14:textId="7ADF62E2" w:rsidR="00994BB9" w:rsidRPr="006B60A9" w:rsidRDefault="00994BB9" w:rsidP="0085042C">
      <w:pPr>
        <w:spacing w:before="360"/>
        <w:ind w:left="-426" w:right="-547"/>
        <w:jc w:val="both"/>
        <w:rPr>
          <w:rFonts w:ascii="Arial" w:hAnsi="Arial"/>
          <w:bCs/>
        </w:rPr>
      </w:pPr>
      <w:r w:rsidRPr="006B60A9">
        <w:rPr>
          <w:rFonts w:ascii="Arial" w:hAnsi="Arial"/>
          <w:bCs/>
        </w:rPr>
        <w:t>En 20</w:t>
      </w:r>
      <w:r w:rsidR="001811D3">
        <w:rPr>
          <w:rFonts w:ascii="Arial" w:hAnsi="Arial"/>
          <w:bCs/>
        </w:rPr>
        <w:t>20</w:t>
      </w:r>
      <w:r w:rsidRPr="006B60A9">
        <w:rPr>
          <w:rFonts w:ascii="Arial" w:hAnsi="Arial"/>
          <w:bCs/>
        </w:rPr>
        <w:t xml:space="preserve">, la oferta total de bienes y servicios se ubicó en </w:t>
      </w:r>
      <w:r w:rsidR="001811D3">
        <w:rPr>
          <w:rFonts w:ascii="Arial" w:hAnsi="Arial"/>
          <w:bCs/>
        </w:rPr>
        <w:t>48</w:t>
      </w:r>
      <w:r w:rsidR="0085042C">
        <w:rPr>
          <w:rFonts w:ascii="Arial" w:hAnsi="Arial"/>
          <w:bCs/>
        </w:rPr>
        <w:t xml:space="preserve"> </w:t>
      </w:r>
      <w:r w:rsidR="001811D3">
        <w:rPr>
          <w:rFonts w:ascii="Arial" w:hAnsi="Arial"/>
          <w:bCs/>
        </w:rPr>
        <w:t>658</w:t>
      </w:r>
      <w:r w:rsidR="0085042C">
        <w:rPr>
          <w:rFonts w:ascii="Arial" w:hAnsi="Arial"/>
          <w:bCs/>
        </w:rPr>
        <w:t xml:space="preserve"> </w:t>
      </w:r>
      <w:r w:rsidR="001811D3">
        <w:rPr>
          <w:rFonts w:ascii="Arial" w:hAnsi="Arial"/>
          <w:bCs/>
        </w:rPr>
        <w:t>250</w:t>
      </w:r>
      <w:r w:rsidRPr="006B60A9">
        <w:rPr>
          <w:rFonts w:ascii="Arial" w:hAnsi="Arial"/>
          <w:bCs/>
        </w:rPr>
        <w:t xml:space="preserve"> millones de pesos corrientes. De ésta, la producción total generada en el país (a precios de mercado) aportó 8</w:t>
      </w:r>
      <w:r w:rsidR="001811D3">
        <w:rPr>
          <w:rFonts w:ascii="Arial" w:hAnsi="Arial"/>
          <w:bCs/>
        </w:rPr>
        <w:t>2.0</w:t>
      </w:r>
      <w:r w:rsidRPr="006B60A9">
        <w:rPr>
          <w:rFonts w:ascii="Arial" w:hAnsi="Arial"/>
          <w:bCs/>
        </w:rPr>
        <w:t>% y las importaciones de bienes y servicios contribuyeron con el restante 18.</w:t>
      </w:r>
      <w:r w:rsidR="001811D3">
        <w:rPr>
          <w:rFonts w:ascii="Arial" w:hAnsi="Arial"/>
          <w:bCs/>
        </w:rPr>
        <w:t>0</w:t>
      </w:r>
      <w:r w:rsidRPr="006B60A9">
        <w:rPr>
          <w:rFonts w:ascii="Arial" w:hAnsi="Arial"/>
          <w:bCs/>
        </w:rPr>
        <w:t xml:space="preserve"> por ciento.</w:t>
      </w:r>
    </w:p>
    <w:p w14:paraId="42D97682" w14:textId="77777777" w:rsidR="00994BB9" w:rsidRDefault="00994BB9" w:rsidP="00994BB9">
      <w:pPr>
        <w:pStyle w:val="Textoindependiente"/>
        <w:tabs>
          <w:tab w:val="center" w:pos="3348"/>
        </w:tabs>
        <w:jc w:val="center"/>
        <w:rPr>
          <w:rFonts w:ascii="Arial" w:hAnsi="Arial" w:cs="Arial"/>
        </w:rPr>
      </w:pPr>
    </w:p>
    <w:p w14:paraId="2BA4443A" w14:textId="77777777" w:rsidR="00994BB9" w:rsidRDefault="00994BB9" w:rsidP="00994BB9">
      <w:pPr>
        <w:pStyle w:val="Textoindependiente"/>
        <w:jc w:val="center"/>
        <w:rPr>
          <w:rFonts w:ascii="Arial" w:hAnsi="Arial" w:cs="Arial"/>
          <w:b/>
          <w:iCs/>
          <w:smallCaps/>
          <w:sz w:val="22"/>
          <w:szCs w:val="22"/>
        </w:rPr>
      </w:pPr>
    </w:p>
    <w:p w14:paraId="57DA273B" w14:textId="05A40462" w:rsidR="00994BB9" w:rsidRPr="00DC31BC" w:rsidRDefault="00994BB9" w:rsidP="00994BB9">
      <w:pPr>
        <w:pStyle w:val="Textoindependiente"/>
        <w:jc w:val="center"/>
        <w:rPr>
          <w:rFonts w:ascii="Arial" w:hAnsi="Arial" w:cs="Arial"/>
          <w:b/>
          <w:iCs/>
          <w:smallCaps/>
          <w:sz w:val="22"/>
          <w:szCs w:val="22"/>
          <w:lang w:val="es-MX"/>
        </w:rPr>
      </w:pPr>
      <w:r w:rsidRPr="006D3F7A">
        <w:rPr>
          <w:rFonts w:ascii="Arial" w:hAnsi="Arial" w:cs="Arial"/>
          <w:b/>
          <w:iCs/>
          <w:smallCaps/>
          <w:sz w:val="22"/>
          <w:szCs w:val="22"/>
        </w:rPr>
        <w:t>Diagrama Oferta y Utilizac</w:t>
      </w:r>
      <w:r>
        <w:rPr>
          <w:rFonts w:ascii="Arial" w:hAnsi="Arial" w:cs="Arial"/>
          <w:b/>
          <w:iCs/>
          <w:smallCaps/>
          <w:sz w:val="22"/>
          <w:szCs w:val="22"/>
        </w:rPr>
        <w:t>ión Total, 20</w:t>
      </w:r>
      <w:r w:rsidR="00DC31BC">
        <w:rPr>
          <w:rFonts w:ascii="Arial" w:hAnsi="Arial" w:cs="Arial"/>
          <w:b/>
          <w:iCs/>
          <w:smallCaps/>
          <w:sz w:val="22"/>
          <w:szCs w:val="22"/>
          <w:lang w:val="es-MX"/>
        </w:rPr>
        <w:t>20</w:t>
      </w:r>
    </w:p>
    <w:p w14:paraId="671FEB2E" w14:textId="77777777" w:rsidR="00994BB9" w:rsidRDefault="00994BB9" w:rsidP="00994BB9">
      <w:pPr>
        <w:pStyle w:val="Textoindependiente"/>
        <w:jc w:val="center"/>
        <w:rPr>
          <w:rFonts w:ascii="Arial" w:hAnsi="Arial" w:cs="Arial"/>
          <w:sz w:val="18"/>
          <w:szCs w:val="18"/>
        </w:rPr>
      </w:pPr>
      <w:r w:rsidRPr="006D3F7A">
        <w:rPr>
          <w:rFonts w:ascii="Arial" w:hAnsi="Arial" w:cs="Arial"/>
          <w:sz w:val="18"/>
          <w:szCs w:val="18"/>
        </w:rPr>
        <w:t>(Porcentajes de la oferta/utilización)</w:t>
      </w:r>
    </w:p>
    <w:p w14:paraId="4E8E415D" w14:textId="5609EAB6" w:rsidR="00994BB9" w:rsidRPr="00A028E7" w:rsidRDefault="00994BB9" w:rsidP="00994BB9">
      <w:pPr>
        <w:pStyle w:val="Textoindependiente"/>
        <w:jc w:val="center"/>
        <w:rPr>
          <w:rFonts w:ascii="Arial" w:hAnsi="Arial" w:cs="Arial"/>
          <w:sz w:val="10"/>
          <w:szCs w:val="18"/>
        </w:rPr>
      </w:pPr>
      <w:r w:rsidRPr="00DD7B8C">
        <w:rPr>
          <w:rFonts w:ascii="Arial" w:hAnsi="Arial" w:cs="Arial"/>
          <w:sz w:val="10"/>
          <w:szCs w:val="18"/>
        </w:rPr>
        <w:t xml:space="preserve"> </w:t>
      </w:r>
      <w:r w:rsidR="00DC31BC">
        <w:rPr>
          <w:noProof/>
        </w:rPr>
        <w:drawing>
          <wp:inline distT="0" distB="0" distL="0" distR="0" wp14:anchorId="64548C4F" wp14:editId="6F1A10F8">
            <wp:extent cx="5593715" cy="2303780"/>
            <wp:effectExtent l="0" t="0" r="6985" b="1270"/>
            <wp:docPr id="13" name="Imagen 13" descr="Imagen Grafic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Grafic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3715" cy="2303780"/>
                    </a:xfrm>
                    <a:prstGeom prst="rect">
                      <a:avLst/>
                    </a:prstGeom>
                    <a:noFill/>
                    <a:ln>
                      <a:noFill/>
                    </a:ln>
                  </pic:spPr>
                </pic:pic>
              </a:graphicData>
            </a:graphic>
          </wp:inline>
        </w:drawing>
      </w:r>
    </w:p>
    <w:p w14:paraId="426E7E14" w14:textId="77777777" w:rsidR="00994BB9" w:rsidRPr="008930EC" w:rsidRDefault="00994BB9" w:rsidP="00994BB9">
      <w:pPr>
        <w:pStyle w:val="Textoindependiente"/>
        <w:ind w:left="-142"/>
        <w:jc w:val="center"/>
        <w:rPr>
          <w:rFonts w:ascii="Arial" w:hAnsi="Arial" w:cs="Arial"/>
          <w:noProof/>
          <w:sz w:val="4"/>
        </w:rPr>
      </w:pPr>
    </w:p>
    <w:p w14:paraId="0F305C73" w14:textId="77777777" w:rsidR="00DC31BC" w:rsidRPr="00D12F35" w:rsidRDefault="00DC31BC" w:rsidP="00DC31BC">
      <w:pPr>
        <w:pStyle w:val="Textoindependiente"/>
        <w:ind w:left="142"/>
        <w:jc w:val="left"/>
        <w:rPr>
          <w:rFonts w:ascii="Arial" w:hAnsi="Arial" w:cs="Arial"/>
          <w:sz w:val="16"/>
          <w:szCs w:val="16"/>
        </w:rPr>
      </w:pPr>
      <w:r w:rsidRPr="00D12F35">
        <w:rPr>
          <w:rFonts w:ascii="Arial" w:hAnsi="Arial" w:cs="Arial"/>
          <w:sz w:val="16"/>
          <w:szCs w:val="16"/>
        </w:rPr>
        <w:t>NOTA: La suma de los componentes puede no coincidir con los totales debido al redondeo.</w:t>
      </w:r>
    </w:p>
    <w:p w14:paraId="23E79152" w14:textId="124B8E33" w:rsidR="00994BB9" w:rsidRPr="00EB3764" w:rsidRDefault="00994BB9" w:rsidP="00994BB9">
      <w:pPr>
        <w:pStyle w:val="Textoindependiente"/>
        <w:ind w:left="142"/>
        <w:jc w:val="left"/>
        <w:rPr>
          <w:rFonts w:ascii="Arial" w:hAnsi="Arial" w:cs="Arial"/>
          <w:sz w:val="16"/>
          <w:szCs w:val="16"/>
        </w:rPr>
      </w:pPr>
      <w:r w:rsidRPr="00EB3764">
        <w:rPr>
          <w:rFonts w:ascii="Arial" w:hAnsi="Arial" w:cs="Arial"/>
          <w:sz w:val="16"/>
          <w:szCs w:val="16"/>
        </w:rPr>
        <w:t>* Incluye la utilización de bienes importados.</w:t>
      </w:r>
    </w:p>
    <w:p w14:paraId="05BEB848" w14:textId="77777777" w:rsidR="00994BB9" w:rsidRPr="00EB3764" w:rsidRDefault="00994BB9" w:rsidP="00994BB9">
      <w:pPr>
        <w:pStyle w:val="Textoindependiente"/>
        <w:ind w:left="142"/>
        <w:jc w:val="left"/>
        <w:rPr>
          <w:rFonts w:ascii="Arial" w:hAnsi="Arial" w:cs="Arial"/>
          <w:sz w:val="16"/>
          <w:szCs w:val="16"/>
        </w:rPr>
      </w:pPr>
      <w:r w:rsidRPr="00EB3764">
        <w:rPr>
          <w:rFonts w:ascii="Arial" w:hAnsi="Arial" w:cs="Arial"/>
          <w:sz w:val="16"/>
          <w:szCs w:val="16"/>
        </w:rPr>
        <w:t>Fuente: INEGI.</w:t>
      </w:r>
    </w:p>
    <w:p w14:paraId="00B04C32" w14:textId="77777777" w:rsidR="00994BB9" w:rsidRPr="002132D7" w:rsidRDefault="00994BB9" w:rsidP="00994BB9">
      <w:pPr>
        <w:spacing w:before="120"/>
        <w:ind w:left="-426" w:right="-405"/>
        <w:jc w:val="both"/>
        <w:rPr>
          <w:rFonts w:ascii="Arial" w:hAnsi="Arial"/>
        </w:rPr>
      </w:pPr>
    </w:p>
    <w:p w14:paraId="58BF3B15" w14:textId="5C50985F" w:rsidR="00994BB9" w:rsidRDefault="00994BB9" w:rsidP="0085042C">
      <w:pPr>
        <w:spacing w:before="120"/>
        <w:ind w:left="-426" w:right="-547"/>
        <w:jc w:val="both"/>
        <w:rPr>
          <w:rFonts w:ascii="Arial" w:hAnsi="Arial"/>
          <w:bCs/>
        </w:rPr>
      </w:pPr>
      <w:r w:rsidRPr="006B60A9">
        <w:rPr>
          <w:rFonts w:ascii="Arial" w:hAnsi="Arial"/>
          <w:bCs/>
        </w:rPr>
        <w:t>El Producto Interno Bruto en el año en cuestión a precios de mercado alcanzó un monto de 2</w:t>
      </w:r>
      <w:r w:rsidR="00DC31BC">
        <w:rPr>
          <w:rFonts w:ascii="Arial" w:hAnsi="Arial"/>
          <w:bCs/>
        </w:rPr>
        <w:t>3</w:t>
      </w:r>
      <w:r w:rsidR="006C6EF7">
        <w:rPr>
          <w:rFonts w:ascii="Arial" w:hAnsi="Arial"/>
          <w:bCs/>
        </w:rPr>
        <w:t xml:space="preserve"> </w:t>
      </w:r>
      <w:r w:rsidR="00DC31BC">
        <w:rPr>
          <w:rFonts w:ascii="Arial" w:hAnsi="Arial"/>
          <w:bCs/>
        </w:rPr>
        <w:t>357</w:t>
      </w:r>
      <w:r w:rsidR="006C6EF7">
        <w:rPr>
          <w:rFonts w:ascii="Arial" w:hAnsi="Arial"/>
          <w:bCs/>
        </w:rPr>
        <w:t xml:space="preserve"> </w:t>
      </w:r>
      <w:r w:rsidR="00DC31BC">
        <w:rPr>
          <w:rFonts w:ascii="Arial" w:hAnsi="Arial"/>
          <w:bCs/>
        </w:rPr>
        <w:t>378</w:t>
      </w:r>
      <w:r w:rsidRPr="006B60A9">
        <w:rPr>
          <w:rFonts w:ascii="Arial" w:hAnsi="Arial"/>
          <w:bCs/>
        </w:rPr>
        <w:t xml:space="preserve"> millones de pesos corrientes; su distribución factorial fue la siguiente</w:t>
      </w:r>
      <w:r w:rsidRPr="006B60A9">
        <w:rPr>
          <w:rStyle w:val="Refdenotaalpie"/>
          <w:rFonts w:ascii="Arial" w:hAnsi="Arial"/>
          <w:bCs/>
        </w:rPr>
        <w:footnoteReference w:id="1"/>
      </w:r>
      <w:r w:rsidRPr="006B60A9">
        <w:rPr>
          <w:rFonts w:ascii="Arial" w:hAnsi="Arial"/>
          <w:bCs/>
        </w:rPr>
        <w:t>: el excedente empresarial derivado de las actividades productivas representó 6</w:t>
      </w:r>
      <w:r w:rsidR="00DC31BC">
        <w:rPr>
          <w:rFonts w:ascii="Arial" w:hAnsi="Arial"/>
          <w:bCs/>
        </w:rPr>
        <w:t>4</w:t>
      </w:r>
      <w:r w:rsidRPr="006B60A9">
        <w:rPr>
          <w:rFonts w:ascii="Arial" w:hAnsi="Arial"/>
          <w:bCs/>
        </w:rPr>
        <w:t>.</w:t>
      </w:r>
      <w:r w:rsidR="00DC31BC">
        <w:rPr>
          <w:rFonts w:ascii="Arial" w:hAnsi="Arial"/>
          <w:bCs/>
        </w:rPr>
        <w:t>7</w:t>
      </w:r>
      <w:r w:rsidRPr="006B60A9">
        <w:rPr>
          <w:rFonts w:ascii="Arial" w:hAnsi="Arial"/>
          <w:bCs/>
        </w:rPr>
        <w:t>%,seguido de la remuneración de asalariados con 2</w:t>
      </w:r>
      <w:r w:rsidR="00DC31BC">
        <w:rPr>
          <w:rFonts w:ascii="Arial" w:hAnsi="Arial"/>
          <w:bCs/>
        </w:rPr>
        <w:t>8.4</w:t>
      </w:r>
      <w:r w:rsidRPr="006B60A9">
        <w:rPr>
          <w:rFonts w:ascii="Arial" w:hAnsi="Arial"/>
          <w:bCs/>
        </w:rPr>
        <w:t>% y los impuestos</w:t>
      </w:r>
      <w:r w:rsidRPr="006B60A9">
        <w:rPr>
          <w:rStyle w:val="Refdenotaalpie"/>
          <w:rFonts w:ascii="Arial" w:hAnsi="Arial"/>
          <w:bCs/>
        </w:rPr>
        <w:footnoteReference w:id="2"/>
      </w:r>
      <w:r w:rsidRPr="006B60A9">
        <w:rPr>
          <w:rStyle w:val="Refdenotaalpie"/>
          <w:rFonts w:ascii="Arial" w:hAnsi="Arial"/>
          <w:bCs/>
        </w:rPr>
        <w:t xml:space="preserve"> </w:t>
      </w:r>
      <w:r w:rsidRPr="006B60A9">
        <w:rPr>
          <w:rFonts w:ascii="Arial" w:hAnsi="Arial"/>
          <w:bCs/>
        </w:rPr>
        <w:t xml:space="preserve">a la producción e importaciones </w:t>
      </w:r>
      <w:r w:rsidR="0002598E">
        <w:rPr>
          <w:rFonts w:ascii="Arial" w:hAnsi="Arial"/>
          <w:bCs/>
        </w:rPr>
        <w:t>con</w:t>
      </w:r>
      <w:r w:rsidRPr="006B60A9">
        <w:rPr>
          <w:rFonts w:ascii="Arial" w:hAnsi="Arial"/>
          <w:bCs/>
        </w:rPr>
        <w:t xml:space="preserve"> 6.</w:t>
      </w:r>
      <w:r w:rsidR="00DC31BC">
        <w:rPr>
          <w:rFonts w:ascii="Arial" w:hAnsi="Arial"/>
          <w:bCs/>
        </w:rPr>
        <w:t>9</w:t>
      </w:r>
      <w:r w:rsidRPr="006B60A9">
        <w:rPr>
          <w:rFonts w:ascii="Arial" w:hAnsi="Arial"/>
          <w:bCs/>
        </w:rPr>
        <w:t xml:space="preserve"> por ciento.</w:t>
      </w:r>
    </w:p>
    <w:p w14:paraId="4701ED82" w14:textId="30016A65" w:rsidR="0085042C" w:rsidRDefault="0085042C" w:rsidP="0085042C">
      <w:pPr>
        <w:spacing w:before="120"/>
        <w:ind w:left="-426" w:right="-547"/>
        <w:jc w:val="both"/>
        <w:rPr>
          <w:rFonts w:ascii="Arial" w:hAnsi="Arial"/>
          <w:bCs/>
        </w:rPr>
      </w:pPr>
    </w:p>
    <w:p w14:paraId="415B7A2F" w14:textId="77777777" w:rsidR="0085042C" w:rsidRPr="006B60A9" w:rsidRDefault="0085042C" w:rsidP="0085042C">
      <w:pPr>
        <w:spacing w:before="120"/>
        <w:ind w:left="-426" w:right="-547"/>
        <w:jc w:val="both"/>
        <w:rPr>
          <w:rFonts w:ascii="Arial" w:hAnsi="Arial"/>
          <w:bCs/>
        </w:rPr>
      </w:pPr>
    </w:p>
    <w:p w14:paraId="3B4A7CDB" w14:textId="77777777" w:rsidR="00994BB9" w:rsidRDefault="00994BB9" w:rsidP="00994BB9">
      <w:pPr>
        <w:pStyle w:val="Textoindependiente"/>
        <w:tabs>
          <w:tab w:val="center" w:pos="3348"/>
        </w:tabs>
        <w:jc w:val="center"/>
        <w:rPr>
          <w:rFonts w:ascii="Arial" w:hAnsi="Arial" w:cs="Arial"/>
          <w:b/>
          <w:smallCaps/>
          <w:sz w:val="22"/>
          <w:szCs w:val="22"/>
        </w:rPr>
      </w:pPr>
    </w:p>
    <w:p w14:paraId="33A4AA70" w14:textId="013A350B" w:rsidR="00994BB9" w:rsidRPr="002E35B2" w:rsidRDefault="00994BB9" w:rsidP="00994BB9">
      <w:pPr>
        <w:pStyle w:val="Textoindependiente"/>
        <w:tabs>
          <w:tab w:val="center" w:pos="3348"/>
        </w:tabs>
        <w:jc w:val="center"/>
        <w:rPr>
          <w:rFonts w:ascii="Arial" w:hAnsi="Arial" w:cs="Arial"/>
          <w:b/>
          <w:smallCaps/>
          <w:sz w:val="22"/>
          <w:szCs w:val="22"/>
          <w:lang w:val="es-MX"/>
        </w:rPr>
      </w:pPr>
      <w:r w:rsidRPr="009E1EE6">
        <w:rPr>
          <w:rFonts w:ascii="Arial" w:hAnsi="Arial" w:cs="Arial"/>
          <w:b/>
          <w:smallCaps/>
          <w:sz w:val="22"/>
          <w:szCs w:val="22"/>
        </w:rPr>
        <w:t xml:space="preserve">Distribución factorial del Producto Interno Bruto durante </w:t>
      </w:r>
      <w:r>
        <w:rPr>
          <w:rFonts w:ascii="Arial" w:hAnsi="Arial" w:cs="Arial"/>
          <w:b/>
          <w:smallCaps/>
          <w:sz w:val="22"/>
          <w:szCs w:val="22"/>
        </w:rPr>
        <w:t>20</w:t>
      </w:r>
      <w:r w:rsidR="002E35B2">
        <w:rPr>
          <w:rFonts w:ascii="Arial" w:hAnsi="Arial" w:cs="Arial"/>
          <w:b/>
          <w:smallCaps/>
          <w:sz w:val="22"/>
          <w:szCs w:val="22"/>
          <w:lang w:val="es-MX"/>
        </w:rPr>
        <w:t>20</w:t>
      </w:r>
    </w:p>
    <w:tbl>
      <w:tblPr>
        <w:tblW w:w="6960" w:type="dxa"/>
        <w:jc w:val="center"/>
        <w:tblCellMar>
          <w:left w:w="70" w:type="dxa"/>
          <w:right w:w="70" w:type="dxa"/>
        </w:tblCellMar>
        <w:tblLook w:val="04A0" w:firstRow="1" w:lastRow="0" w:firstColumn="1" w:lastColumn="0" w:noHBand="0" w:noVBand="1"/>
      </w:tblPr>
      <w:tblGrid>
        <w:gridCol w:w="3840"/>
        <w:gridCol w:w="1828"/>
        <w:gridCol w:w="1292"/>
      </w:tblGrid>
      <w:tr w:rsidR="00994BB9" w:rsidRPr="00F0626E" w14:paraId="44A68823" w14:textId="77777777" w:rsidTr="002F2271">
        <w:trPr>
          <w:trHeight w:val="600"/>
          <w:jc w:val="center"/>
        </w:trPr>
        <w:tc>
          <w:tcPr>
            <w:tcW w:w="3840"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4F2B4C19" w14:textId="77777777" w:rsidR="00994BB9" w:rsidRPr="00F0626E" w:rsidRDefault="00994BB9" w:rsidP="002F2271">
            <w:pPr>
              <w:jc w:val="center"/>
              <w:rPr>
                <w:rFonts w:ascii="Arial" w:eastAsia="Times New Roman" w:hAnsi="Arial" w:cs="Arial"/>
                <w:b/>
                <w:bCs/>
                <w:color w:val="FFFFFF"/>
                <w:sz w:val="20"/>
                <w:szCs w:val="20"/>
              </w:rPr>
            </w:pPr>
            <w:r w:rsidRPr="00F0626E">
              <w:rPr>
                <w:rFonts w:ascii="Arial" w:eastAsia="Times New Roman" w:hAnsi="Arial" w:cs="Arial"/>
                <w:b/>
                <w:bCs/>
                <w:color w:val="FFFFFF"/>
                <w:sz w:val="20"/>
                <w:szCs w:val="20"/>
              </w:rPr>
              <w:t>Factor de producción</w:t>
            </w:r>
          </w:p>
        </w:tc>
        <w:tc>
          <w:tcPr>
            <w:tcW w:w="1828" w:type="dxa"/>
            <w:tcBorders>
              <w:top w:val="single" w:sz="4" w:space="0" w:color="auto"/>
              <w:left w:val="nil"/>
              <w:bottom w:val="single" w:sz="4" w:space="0" w:color="auto"/>
              <w:right w:val="single" w:sz="4" w:space="0" w:color="auto"/>
            </w:tcBorders>
            <w:shd w:val="clear" w:color="auto" w:fill="1F3864"/>
            <w:vAlign w:val="center"/>
            <w:hideMark/>
          </w:tcPr>
          <w:p w14:paraId="4B134AE0" w14:textId="77777777" w:rsidR="00994BB9" w:rsidRPr="00F0626E" w:rsidRDefault="00994BB9" w:rsidP="002F2271">
            <w:pPr>
              <w:jc w:val="center"/>
              <w:rPr>
                <w:rFonts w:ascii="Arial" w:eastAsia="Times New Roman" w:hAnsi="Arial" w:cs="Arial"/>
                <w:b/>
                <w:bCs/>
                <w:color w:val="FFFFFF"/>
                <w:sz w:val="20"/>
                <w:szCs w:val="20"/>
              </w:rPr>
            </w:pPr>
            <w:r w:rsidRPr="00F0626E">
              <w:rPr>
                <w:rFonts w:ascii="Arial" w:eastAsia="Times New Roman" w:hAnsi="Arial" w:cs="Arial"/>
                <w:b/>
                <w:bCs/>
                <w:color w:val="FFFFFF"/>
                <w:sz w:val="20"/>
                <w:szCs w:val="20"/>
              </w:rPr>
              <w:t>Millones de pesos corrientes</w:t>
            </w:r>
          </w:p>
        </w:tc>
        <w:tc>
          <w:tcPr>
            <w:tcW w:w="1292" w:type="dxa"/>
            <w:tcBorders>
              <w:top w:val="single" w:sz="4" w:space="0" w:color="auto"/>
              <w:left w:val="nil"/>
              <w:bottom w:val="single" w:sz="4" w:space="0" w:color="auto"/>
              <w:right w:val="single" w:sz="4" w:space="0" w:color="auto"/>
            </w:tcBorders>
            <w:shd w:val="clear" w:color="auto" w:fill="1F3864"/>
            <w:vAlign w:val="center"/>
            <w:hideMark/>
          </w:tcPr>
          <w:p w14:paraId="3E2C4D84" w14:textId="77777777" w:rsidR="00994BB9" w:rsidRPr="00F0626E" w:rsidRDefault="00994BB9" w:rsidP="002F2271">
            <w:pPr>
              <w:jc w:val="center"/>
              <w:rPr>
                <w:rFonts w:ascii="Arial" w:eastAsia="Times New Roman" w:hAnsi="Arial" w:cs="Arial"/>
                <w:b/>
                <w:bCs/>
                <w:color w:val="FFFFFF"/>
                <w:sz w:val="20"/>
                <w:szCs w:val="20"/>
              </w:rPr>
            </w:pPr>
            <w:r w:rsidRPr="00F0626E">
              <w:rPr>
                <w:rFonts w:ascii="Arial" w:eastAsia="Times New Roman" w:hAnsi="Arial" w:cs="Arial"/>
                <w:b/>
                <w:bCs/>
                <w:color w:val="FFFFFF"/>
                <w:sz w:val="20"/>
                <w:szCs w:val="20"/>
              </w:rPr>
              <w:t>Estructura %</w:t>
            </w:r>
          </w:p>
        </w:tc>
      </w:tr>
      <w:tr w:rsidR="00994BB9" w:rsidRPr="00F0626E" w14:paraId="090EE0A1" w14:textId="77777777" w:rsidTr="002F2271">
        <w:trPr>
          <w:trHeight w:val="465"/>
          <w:jc w:val="center"/>
        </w:trPr>
        <w:tc>
          <w:tcPr>
            <w:tcW w:w="3840" w:type="dxa"/>
            <w:tcBorders>
              <w:top w:val="nil"/>
              <w:left w:val="single" w:sz="4" w:space="0" w:color="auto"/>
              <w:bottom w:val="nil"/>
              <w:right w:val="single" w:sz="4" w:space="0" w:color="auto"/>
            </w:tcBorders>
            <w:shd w:val="clear" w:color="auto" w:fill="auto"/>
            <w:noWrap/>
            <w:vAlign w:val="bottom"/>
            <w:hideMark/>
          </w:tcPr>
          <w:p w14:paraId="43C16F9F" w14:textId="77777777" w:rsidR="00994BB9" w:rsidRPr="00F0626E" w:rsidRDefault="00994BB9" w:rsidP="002F2271">
            <w:pPr>
              <w:ind w:left="67"/>
              <w:rPr>
                <w:rFonts w:ascii="Arial" w:eastAsia="Times New Roman" w:hAnsi="Arial" w:cs="Arial"/>
                <w:b/>
                <w:bCs/>
                <w:color w:val="000000"/>
                <w:sz w:val="20"/>
                <w:szCs w:val="20"/>
              </w:rPr>
            </w:pPr>
            <w:r w:rsidRPr="00F0626E">
              <w:rPr>
                <w:rFonts w:ascii="Arial" w:eastAsia="Times New Roman" w:hAnsi="Arial" w:cs="Arial"/>
                <w:b/>
                <w:bCs/>
                <w:color w:val="000000"/>
                <w:sz w:val="20"/>
                <w:szCs w:val="20"/>
              </w:rPr>
              <w:t>PIB a precios de mercado</w:t>
            </w:r>
          </w:p>
        </w:tc>
        <w:tc>
          <w:tcPr>
            <w:tcW w:w="1828" w:type="dxa"/>
            <w:tcBorders>
              <w:top w:val="nil"/>
              <w:left w:val="nil"/>
              <w:bottom w:val="nil"/>
              <w:right w:val="single" w:sz="4" w:space="0" w:color="auto"/>
            </w:tcBorders>
            <w:shd w:val="clear" w:color="auto" w:fill="auto"/>
            <w:noWrap/>
            <w:vAlign w:val="bottom"/>
            <w:hideMark/>
          </w:tcPr>
          <w:p w14:paraId="6EE3F67C" w14:textId="3C8D15CC" w:rsidR="00994BB9" w:rsidRPr="00F0626E" w:rsidRDefault="00994BB9" w:rsidP="002F2271">
            <w:pPr>
              <w:ind w:right="268" w:firstLineChars="168" w:firstLine="337"/>
              <w:jc w:val="right"/>
              <w:rPr>
                <w:rFonts w:ascii="Arial" w:eastAsia="Times New Roman" w:hAnsi="Arial" w:cs="Arial"/>
                <w:b/>
                <w:bCs/>
                <w:color w:val="000000"/>
                <w:sz w:val="20"/>
                <w:szCs w:val="20"/>
              </w:rPr>
            </w:pPr>
            <w:r w:rsidRPr="00F0626E">
              <w:rPr>
                <w:rFonts w:ascii="Arial" w:eastAsia="Times New Roman" w:hAnsi="Arial" w:cs="Arial"/>
                <w:b/>
                <w:bCs/>
                <w:color w:val="000000"/>
                <w:sz w:val="20"/>
                <w:szCs w:val="20"/>
              </w:rPr>
              <w:t>2</w:t>
            </w:r>
            <w:r w:rsidR="00694001">
              <w:rPr>
                <w:rFonts w:ascii="Arial" w:eastAsia="Times New Roman" w:hAnsi="Arial" w:cs="Arial"/>
                <w:b/>
                <w:bCs/>
                <w:color w:val="000000"/>
                <w:sz w:val="20"/>
                <w:szCs w:val="20"/>
              </w:rPr>
              <w:t>3</w:t>
            </w:r>
            <w:r w:rsidR="0002598E">
              <w:rPr>
                <w:rFonts w:ascii="Arial" w:eastAsia="Times New Roman" w:hAnsi="Arial" w:cs="Arial"/>
                <w:b/>
                <w:bCs/>
                <w:color w:val="000000"/>
                <w:sz w:val="20"/>
                <w:szCs w:val="20"/>
              </w:rPr>
              <w:t xml:space="preserve"> </w:t>
            </w:r>
            <w:r w:rsidR="00694001">
              <w:rPr>
                <w:rFonts w:ascii="Arial" w:eastAsia="Times New Roman" w:hAnsi="Arial" w:cs="Arial"/>
                <w:b/>
                <w:bCs/>
                <w:color w:val="000000"/>
                <w:sz w:val="20"/>
                <w:szCs w:val="20"/>
              </w:rPr>
              <w:t>357</w:t>
            </w:r>
            <w:r w:rsidR="0002598E">
              <w:rPr>
                <w:rFonts w:ascii="Arial" w:eastAsia="Times New Roman" w:hAnsi="Arial" w:cs="Arial"/>
                <w:b/>
                <w:bCs/>
                <w:color w:val="000000"/>
                <w:sz w:val="20"/>
                <w:szCs w:val="20"/>
              </w:rPr>
              <w:t xml:space="preserve"> </w:t>
            </w:r>
            <w:r w:rsidR="00694001">
              <w:rPr>
                <w:rFonts w:ascii="Arial" w:eastAsia="Times New Roman" w:hAnsi="Arial" w:cs="Arial"/>
                <w:b/>
                <w:bCs/>
                <w:color w:val="000000"/>
                <w:sz w:val="20"/>
                <w:szCs w:val="20"/>
              </w:rPr>
              <w:t>378</w:t>
            </w:r>
          </w:p>
        </w:tc>
        <w:tc>
          <w:tcPr>
            <w:tcW w:w="1292" w:type="dxa"/>
            <w:tcBorders>
              <w:top w:val="nil"/>
              <w:left w:val="nil"/>
              <w:bottom w:val="nil"/>
              <w:right w:val="single" w:sz="4" w:space="0" w:color="auto"/>
            </w:tcBorders>
            <w:shd w:val="clear" w:color="auto" w:fill="auto"/>
            <w:noWrap/>
            <w:vAlign w:val="bottom"/>
            <w:hideMark/>
          </w:tcPr>
          <w:p w14:paraId="3A73D714" w14:textId="77777777" w:rsidR="00994BB9" w:rsidRPr="00F0626E" w:rsidRDefault="00994BB9" w:rsidP="002F2271">
            <w:pPr>
              <w:ind w:right="217" w:firstLineChars="149" w:firstLine="299"/>
              <w:jc w:val="right"/>
              <w:rPr>
                <w:rFonts w:ascii="Arial" w:eastAsia="Times New Roman" w:hAnsi="Arial" w:cs="Arial"/>
                <w:b/>
                <w:bCs/>
                <w:color w:val="000000"/>
                <w:sz w:val="20"/>
                <w:szCs w:val="20"/>
              </w:rPr>
            </w:pPr>
            <w:r w:rsidRPr="00F0626E">
              <w:rPr>
                <w:rFonts w:ascii="Arial" w:eastAsia="Times New Roman" w:hAnsi="Arial" w:cs="Arial"/>
                <w:b/>
                <w:bCs/>
                <w:color w:val="000000"/>
                <w:sz w:val="20"/>
                <w:szCs w:val="20"/>
              </w:rPr>
              <w:t>100.0</w:t>
            </w:r>
          </w:p>
        </w:tc>
      </w:tr>
      <w:tr w:rsidR="00994BB9" w:rsidRPr="00F0626E" w14:paraId="6745B9CD" w14:textId="77777777" w:rsidTr="002F2271">
        <w:trPr>
          <w:trHeight w:val="315"/>
          <w:jc w:val="center"/>
        </w:trPr>
        <w:tc>
          <w:tcPr>
            <w:tcW w:w="3840" w:type="dxa"/>
            <w:tcBorders>
              <w:top w:val="nil"/>
              <w:left w:val="single" w:sz="4" w:space="0" w:color="auto"/>
              <w:bottom w:val="nil"/>
              <w:right w:val="single" w:sz="4" w:space="0" w:color="auto"/>
            </w:tcBorders>
            <w:shd w:val="clear" w:color="auto" w:fill="auto"/>
            <w:noWrap/>
            <w:vAlign w:val="bottom"/>
            <w:hideMark/>
          </w:tcPr>
          <w:p w14:paraId="49DA066F" w14:textId="77777777" w:rsidR="00744A09" w:rsidRDefault="00744A09" w:rsidP="00A37384">
            <w:pPr>
              <w:spacing w:after="120"/>
              <w:ind w:left="204"/>
              <w:rPr>
                <w:rFonts w:ascii="Arial" w:eastAsia="Times New Roman" w:hAnsi="Arial" w:cs="Arial"/>
                <w:color w:val="000000"/>
                <w:sz w:val="20"/>
                <w:szCs w:val="20"/>
              </w:rPr>
            </w:pPr>
          </w:p>
          <w:p w14:paraId="1ACC231C" w14:textId="56B3C6AF" w:rsidR="00994BB9" w:rsidRPr="00F0626E" w:rsidRDefault="00994BB9" w:rsidP="00A37384">
            <w:pPr>
              <w:spacing w:after="120"/>
              <w:ind w:left="204"/>
              <w:rPr>
                <w:rFonts w:ascii="Arial" w:eastAsia="Times New Roman" w:hAnsi="Arial" w:cs="Arial"/>
                <w:color w:val="000000"/>
                <w:sz w:val="20"/>
                <w:szCs w:val="20"/>
              </w:rPr>
            </w:pPr>
            <w:r w:rsidRPr="00F0626E">
              <w:rPr>
                <w:rFonts w:ascii="Arial" w:eastAsia="Times New Roman" w:hAnsi="Arial" w:cs="Arial"/>
                <w:color w:val="000000"/>
                <w:sz w:val="20"/>
                <w:szCs w:val="20"/>
              </w:rPr>
              <w:t>Remuneración de asalariados</w:t>
            </w:r>
          </w:p>
        </w:tc>
        <w:tc>
          <w:tcPr>
            <w:tcW w:w="1828" w:type="dxa"/>
            <w:tcBorders>
              <w:top w:val="nil"/>
              <w:left w:val="nil"/>
              <w:bottom w:val="nil"/>
              <w:right w:val="single" w:sz="4" w:space="0" w:color="auto"/>
            </w:tcBorders>
            <w:shd w:val="clear" w:color="auto" w:fill="auto"/>
            <w:noWrap/>
            <w:vAlign w:val="bottom"/>
            <w:hideMark/>
          </w:tcPr>
          <w:p w14:paraId="246B9981" w14:textId="289DEFDA" w:rsidR="00994BB9" w:rsidRPr="00ED61A6" w:rsidRDefault="00994BB9" w:rsidP="002F2271">
            <w:pPr>
              <w:ind w:right="268" w:firstLineChars="168" w:firstLine="336"/>
              <w:jc w:val="right"/>
              <w:rPr>
                <w:rFonts w:ascii="Arial" w:eastAsia="Times New Roman" w:hAnsi="Arial" w:cs="Arial"/>
                <w:color w:val="000000"/>
                <w:sz w:val="20"/>
                <w:szCs w:val="20"/>
              </w:rPr>
            </w:pPr>
            <w:r w:rsidRPr="00ED61A6">
              <w:rPr>
                <w:rFonts w:ascii="Arial" w:eastAsia="Times New Roman" w:hAnsi="Arial" w:cs="Arial"/>
                <w:color w:val="000000"/>
                <w:sz w:val="20"/>
                <w:szCs w:val="20"/>
              </w:rPr>
              <w:t>6</w:t>
            </w:r>
            <w:r w:rsidR="0002598E">
              <w:rPr>
                <w:rFonts w:ascii="Arial" w:eastAsia="Times New Roman" w:hAnsi="Arial" w:cs="Arial"/>
                <w:color w:val="000000"/>
                <w:sz w:val="20"/>
                <w:szCs w:val="20"/>
              </w:rPr>
              <w:t xml:space="preserve"> </w:t>
            </w:r>
            <w:r w:rsidR="00694001">
              <w:rPr>
                <w:rFonts w:ascii="Arial" w:eastAsia="Times New Roman" w:hAnsi="Arial" w:cs="Arial"/>
                <w:color w:val="000000"/>
                <w:sz w:val="20"/>
                <w:szCs w:val="20"/>
              </w:rPr>
              <w:t>635</w:t>
            </w:r>
            <w:r w:rsidR="0002598E">
              <w:rPr>
                <w:rFonts w:ascii="Arial" w:eastAsia="Times New Roman" w:hAnsi="Arial" w:cs="Arial"/>
                <w:color w:val="000000"/>
                <w:sz w:val="20"/>
                <w:szCs w:val="20"/>
              </w:rPr>
              <w:t xml:space="preserve"> </w:t>
            </w:r>
            <w:r w:rsidRPr="00ED61A6">
              <w:rPr>
                <w:rFonts w:ascii="Arial" w:eastAsia="Times New Roman" w:hAnsi="Arial" w:cs="Arial"/>
                <w:color w:val="000000"/>
                <w:sz w:val="20"/>
                <w:szCs w:val="20"/>
              </w:rPr>
              <w:t>0</w:t>
            </w:r>
            <w:r w:rsidR="00694001">
              <w:rPr>
                <w:rFonts w:ascii="Arial" w:eastAsia="Times New Roman" w:hAnsi="Arial" w:cs="Arial"/>
                <w:color w:val="000000"/>
                <w:sz w:val="20"/>
                <w:szCs w:val="20"/>
              </w:rPr>
              <w:t>80</w:t>
            </w:r>
          </w:p>
        </w:tc>
        <w:tc>
          <w:tcPr>
            <w:tcW w:w="1292" w:type="dxa"/>
            <w:tcBorders>
              <w:top w:val="nil"/>
              <w:left w:val="nil"/>
              <w:bottom w:val="nil"/>
              <w:right w:val="single" w:sz="4" w:space="0" w:color="auto"/>
            </w:tcBorders>
            <w:shd w:val="clear" w:color="auto" w:fill="auto"/>
            <w:noWrap/>
            <w:vAlign w:val="bottom"/>
            <w:hideMark/>
          </w:tcPr>
          <w:p w14:paraId="4EECA368" w14:textId="39746E82" w:rsidR="00994BB9" w:rsidRPr="00F0626E" w:rsidRDefault="00994BB9" w:rsidP="002F2271">
            <w:pPr>
              <w:ind w:right="217" w:firstLineChars="79" w:firstLine="158"/>
              <w:jc w:val="right"/>
              <w:rPr>
                <w:rFonts w:ascii="Arial" w:eastAsia="Times New Roman" w:hAnsi="Arial" w:cs="Arial"/>
                <w:color w:val="000000"/>
                <w:sz w:val="20"/>
                <w:szCs w:val="20"/>
              </w:rPr>
            </w:pPr>
            <w:r w:rsidRPr="00F0626E">
              <w:rPr>
                <w:rFonts w:ascii="Arial" w:eastAsia="Times New Roman" w:hAnsi="Arial" w:cs="Arial"/>
                <w:color w:val="000000"/>
                <w:sz w:val="20"/>
                <w:szCs w:val="20"/>
              </w:rPr>
              <w:t>2</w:t>
            </w:r>
            <w:r w:rsidR="00694001">
              <w:rPr>
                <w:rFonts w:ascii="Arial" w:eastAsia="Times New Roman" w:hAnsi="Arial" w:cs="Arial"/>
                <w:color w:val="000000"/>
                <w:sz w:val="20"/>
                <w:szCs w:val="20"/>
              </w:rPr>
              <w:t>8.4</w:t>
            </w:r>
          </w:p>
        </w:tc>
      </w:tr>
      <w:tr w:rsidR="00A37384" w:rsidRPr="00F0626E" w14:paraId="66FA1DA8" w14:textId="77777777" w:rsidTr="002F2271">
        <w:trPr>
          <w:trHeight w:val="315"/>
          <w:jc w:val="center"/>
        </w:trPr>
        <w:tc>
          <w:tcPr>
            <w:tcW w:w="3840" w:type="dxa"/>
            <w:tcBorders>
              <w:top w:val="nil"/>
              <w:left w:val="single" w:sz="4" w:space="0" w:color="auto"/>
              <w:bottom w:val="nil"/>
              <w:right w:val="single" w:sz="4" w:space="0" w:color="auto"/>
            </w:tcBorders>
            <w:shd w:val="clear" w:color="auto" w:fill="auto"/>
            <w:noWrap/>
            <w:vAlign w:val="bottom"/>
          </w:tcPr>
          <w:p w14:paraId="2C983E8C" w14:textId="5FB48A6C" w:rsidR="00A37384" w:rsidRPr="00F0626E" w:rsidRDefault="00A37384" w:rsidP="002F2271">
            <w:pPr>
              <w:ind w:left="202"/>
              <w:rPr>
                <w:rFonts w:ascii="Arial" w:eastAsia="Times New Roman" w:hAnsi="Arial" w:cs="Arial"/>
                <w:color w:val="000000"/>
                <w:sz w:val="20"/>
                <w:szCs w:val="20"/>
              </w:rPr>
            </w:pPr>
            <w:r w:rsidRPr="00F0626E">
              <w:rPr>
                <w:rFonts w:ascii="Arial" w:eastAsia="Times New Roman" w:hAnsi="Arial" w:cs="Arial"/>
                <w:color w:val="000000"/>
                <w:sz w:val="20"/>
                <w:szCs w:val="20"/>
              </w:rPr>
              <w:t>Impuestos a la producción e importaciones, netos de subsidios</w:t>
            </w:r>
          </w:p>
        </w:tc>
        <w:tc>
          <w:tcPr>
            <w:tcW w:w="1828" w:type="dxa"/>
            <w:tcBorders>
              <w:top w:val="nil"/>
              <w:left w:val="nil"/>
              <w:bottom w:val="nil"/>
              <w:right w:val="single" w:sz="4" w:space="0" w:color="auto"/>
            </w:tcBorders>
            <w:shd w:val="clear" w:color="auto" w:fill="auto"/>
            <w:noWrap/>
            <w:vAlign w:val="bottom"/>
          </w:tcPr>
          <w:p w14:paraId="67A44D82" w14:textId="03BCA42F" w:rsidR="00A37384" w:rsidRPr="00ED61A6" w:rsidRDefault="00A37384" w:rsidP="00866368">
            <w:pPr>
              <w:spacing w:after="120"/>
              <w:ind w:right="266" w:firstLineChars="168" w:firstLine="336"/>
              <w:jc w:val="right"/>
              <w:rPr>
                <w:rFonts w:ascii="Arial" w:eastAsia="Times New Roman" w:hAnsi="Arial" w:cs="Arial"/>
                <w:color w:val="000000"/>
                <w:sz w:val="20"/>
                <w:szCs w:val="20"/>
              </w:rPr>
            </w:pPr>
            <w:r w:rsidRPr="00F0626E">
              <w:rPr>
                <w:rFonts w:ascii="Arial" w:eastAsia="Times New Roman" w:hAnsi="Arial" w:cs="Arial"/>
                <w:color w:val="000000"/>
                <w:sz w:val="20"/>
                <w:szCs w:val="20"/>
              </w:rPr>
              <w:t>1</w:t>
            </w:r>
            <w:r w:rsidR="0002598E">
              <w:rPr>
                <w:rFonts w:ascii="Arial" w:eastAsia="Times New Roman" w:hAnsi="Arial" w:cs="Arial"/>
                <w:color w:val="000000"/>
                <w:sz w:val="20"/>
                <w:szCs w:val="20"/>
              </w:rPr>
              <w:t xml:space="preserve"> </w:t>
            </w:r>
            <w:r>
              <w:rPr>
                <w:rFonts w:ascii="Arial" w:eastAsia="Times New Roman" w:hAnsi="Arial" w:cs="Arial"/>
                <w:color w:val="000000"/>
                <w:sz w:val="20"/>
                <w:szCs w:val="20"/>
              </w:rPr>
              <w:t>616</w:t>
            </w:r>
            <w:r w:rsidR="0002598E">
              <w:rPr>
                <w:rFonts w:ascii="Arial" w:eastAsia="Times New Roman" w:hAnsi="Arial" w:cs="Arial"/>
                <w:color w:val="000000"/>
                <w:sz w:val="20"/>
                <w:szCs w:val="20"/>
              </w:rPr>
              <w:t xml:space="preserve"> </w:t>
            </w:r>
            <w:r>
              <w:rPr>
                <w:rFonts w:ascii="Arial" w:eastAsia="Times New Roman" w:hAnsi="Arial" w:cs="Arial"/>
                <w:color w:val="000000"/>
                <w:sz w:val="20"/>
                <w:szCs w:val="20"/>
              </w:rPr>
              <w:t>720</w:t>
            </w:r>
          </w:p>
        </w:tc>
        <w:tc>
          <w:tcPr>
            <w:tcW w:w="1292" w:type="dxa"/>
            <w:tcBorders>
              <w:top w:val="nil"/>
              <w:left w:val="nil"/>
              <w:bottom w:val="nil"/>
              <w:right w:val="single" w:sz="4" w:space="0" w:color="auto"/>
            </w:tcBorders>
            <w:shd w:val="clear" w:color="auto" w:fill="auto"/>
            <w:noWrap/>
            <w:vAlign w:val="bottom"/>
          </w:tcPr>
          <w:p w14:paraId="253E6D76" w14:textId="2553C296" w:rsidR="00A37384" w:rsidRPr="00F0626E" w:rsidRDefault="00A37384" w:rsidP="00B511F8">
            <w:pPr>
              <w:spacing w:after="120"/>
              <w:ind w:right="215" w:firstLineChars="79" w:firstLine="158"/>
              <w:jc w:val="right"/>
              <w:rPr>
                <w:rFonts w:ascii="Arial" w:eastAsia="Times New Roman" w:hAnsi="Arial" w:cs="Arial"/>
                <w:color w:val="000000"/>
                <w:sz w:val="20"/>
                <w:szCs w:val="20"/>
              </w:rPr>
            </w:pPr>
            <w:r w:rsidRPr="00F0626E">
              <w:rPr>
                <w:rFonts w:ascii="Arial" w:eastAsia="Times New Roman" w:hAnsi="Arial" w:cs="Arial"/>
                <w:color w:val="000000"/>
                <w:sz w:val="20"/>
                <w:szCs w:val="20"/>
              </w:rPr>
              <w:t>6.</w:t>
            </w:r>
            <w:r>
              <w:rPr>
                <w:rFonts w:ascii="Arial" w:eastAsia="Times New Roman" w:hAnsi="Arial" w:cs="Arial"/>
                <w:color w:val="000000"/>
                <w:sz w:val="20"/>
                <w:szCs w:val="20"/>
              </w:rPr>
              <w:t>9</w:t>
            </w:r>
          </w:p>
        </w:tc>
      </w:tr>
      <w:tr w:rsidR="00A37384" w:rsidRPr="00F0626E" w14:paraId="7F0D527A" w14:textId="77777777" w:rsidTr="002F2271">
        <w:trPr>
          <w:trHeight w:val="315"/>
          <w:jc w:val="center"/>
        </w:trPr>
        <w:tc>
          <w:tcPr>
            <w:tcW w:w="3840" w:type="dxa"/>
            <w:tcBorders>
              <w:top w:val="nil"/>
              <w:left w:val="single" w:sz="4" w:space="0" w:color="auto"/>
              <w:bottom w:val="nil"/>
              <w:right w:val="single" w:sz="4" w:space="0" w:color="auto"/>
            </w:tcBorders>
            <w:shd w:val="clear" w:color="auto" w:fill="auto"/>
            <w:noWrap/>
            <w:vAlign w:val="bottom"/>
          </w:tcPr>
          <w:p w14:paraId="794C388A" w14:textId="207982D9" w:rsidR="00A37384" w:rsidRPr="00F0626E" w:rsidRDefault="00A37384" w:rsidP="002F2271">
            <w:pPr>
              <w:ind w:left="202"/>
              <w:rPr>
                <w:rFonts w:ascii="Arial" w:eastAsia="Times New Roman" w:hAnsi="Arial" w:cs="Arial"/>
                <w:color w:val="000000"/>
                <w:sz w:val="20"/>
                <w:szCs w:val="20"/>
              </w:rPr>
            </w:pPr>
            <w:r w:rsidRPr="00F0626E">
              <w:rPr>
                <w:rFonts w:ascii="Arial" w:eastAsia="Times New Roman" w:hAnsi="Arial" w:cs="Arial"/>
                <w:color w:val="000000"/>
                <w:sz w:val="20"/>
                <w:szCs w:val="20"/>
              </w:rPr>
              <w:t>Excedente bruto de operación</w:t>
            </w:r>
          </w:p>
        </w:tc>
        <w:tc>
          <w:tcPr>
            <w:tcW w:w="1828" w:type="dxa"/>
            <w:tcBorders>
              <w:top w:val="nil"/>
              <w:left w:val="nil"/>
              <w:bottom w:val="nil"/>
              <w:right w:val="single" w:sz="4" w:space="0" w:color="auto"/>
            </w:tcBorders>
            <w:shd w:val="clear" w:color="auto" w:fill="auto"/>
            <w:noWrap/>
            <w:vAlign w:val="bottom"/>
          </w:tcPr>
          <w:p w14:paraId="7C21F89F" w14:textId="4FC71E2E" w:rsidR="00A37384" w:rsidRPr="00ED61A6" w:rsidRDefault="00A37384" w:rsidP="002F2271">
            <w:pPr>
              <w:ind w:right="268" w:firstLineChars="168" w:firstLine="336"/>
              <w:jc w:val="right"/>
              <w:rPr>
                <w:rFonts w:ascii="Arial" w:eastAsia="Times New Roman" w:hAnsi="Arial" w:cs="Arial"/>
                <w:color w:val="000000"/>
                <w:sz w:val="20"/>
                <w:szCs w:val="20"/>
              </w:rPr>
            </w:pPr>
            <w:r w:rsidRPr="00F0626E">
              <w:rPr>
                <w:rFonts w:ascii="Arial" w:eastAsia="Times New Roman" w:hAnsi="Arial" w:cs="Arial"/>
                <w:color w:val="000000"/>
                <w:sz w:val="20"/>
                <w:szCs w:val="20"/>
              </w:rPr>
              <w:t>1</w:t>
            </w:r>
            <w:r>
              <w:rPr>
                <w:rFonts w:ascii="Arial" w:eastAsia="Times New Roman" w:hAnsi="Arial" w:cs="Arial"/>
                <w:color w:val="000000"/>
                <w:sz w:val="20"/>
                <w:szCs w:val="20"/>
              </w:rPr>
              <w:t>5</w:t>
            </w:r>
            <w:r w:rsidR="0002598E">
              <w:rPr>
                <w:rFonts w:ascii="Arial" w:eastAsia="Times New Roman" w:hAnsi="Arial" w:cs="Arial"/>
                <w:color w:val="000000"/>
                <w:sz w:val="20"/>
                <w:szCs w:val="20"/>
              </w:rPr>
              <w:t xml:space="preserve"> </w:t>
            </w:r>
            <w:r>
              <w:rPr>
                <w:rFonts w:ascii="Arial" w:eastAsia="Times New Roman" w:hAnsi="Arial" w:cs="Arial"/>
                <w:color w:val="000000"/>
                <w:sz w:val="20"/>
                <w:szCs w:val="20"/>
              </w:rPr>
              <w:t>105</w:t>
            </w:r>
            <w:r w:rsidR="0002598E">
              <w:rPr>
                <w:rFonts w:ascii="Arial" w:eastAsia="Times New Roman" w:hAnsi="Arial" w:cs="Arial"/>
                <w:color w:val="000000"/>
                <w:sz w:val="20"/>
                <w:szCs w:val="20"/>
              </w:rPr>
              <w:t xml:space="preserve"> </w:t>
            </w:r>
            <w:r>
              <w:rPr>
                <w:rFonts w:ascii="Arial" w:eastAsia="Times New Roman" w:hAnsi="Arial" w:cs="Arial"/>
                <w:color w:val="000000"/>
                <w:sz w:val="20"/>
                <w:szCs w:val="20"/>
              </w:rPr>
              <w:t>578</w:t>
            </w:r>
          </w:p>
        </w:tc>
        <w:tc>
          <w:tcPr>
            <w:tcW w:w="1292" w:type="dxa"/>
            <w:tcBorders>
              <w:top w:val="nil"/>
              <w:left w:val="nil"/>
              <w:bottom w:val="nil"/>
              <w:right w:val="single" w:sz="4" w:space="0" w:color="auto"/>
            </w:tcBorders>
            <w:shd w:val="clear" w:color="auto" w:fill="auto"/>
            <w:noWrap/>
            <w:vAlign w:val="bottom"/>
          </w:tcPr>
          <w:p w14:paraId="3E4BDA95" w14:textId="08B22CFD" w:rsidR="00A37384" w:rsidRPr="00F0626E" w:rsidRDefault="00A37384" w:rsidP="002F2271">
            <w:pPr>
              <w:ind w:right="217" w:firstLineChars="79" w:firstLine="158"/>
              <w:jc w:val="right"/>
              <w:rPr>
                <w:rFonts w:ascii="Arial" w:eastAsia="Times New Roman" w:hAnsi="Arial" w:cs="Arial"/>
                <w:color w:val="000000"/>
                <w:sz w:val="20"/>
                <w:szCs w:val="20"/>
              </w:rPr>
            </w:pPr>
            <w:r w:rsidRPr="00F0626E">
              <w:rPr>
                <w:rFonts w:ascii="Arial" w:eastAsia="Times New Roman" w:hAnsi="Arial" w:cs="Arial"/>
                <w:color w:val="000000"/>
                <w:sz w:val="20"/>
                <w:szCs w:val="20"/>
              </w:rPr>
              <w:t>6</w:t>
            </w:r>
            <w:r>
              <w:rPr>
                <w:rFonts w:ascii="Arial" w:eastAsia="Times New Roman" w:hAnsi="Arial" w:cs="Arial"/>
                <w:color w:val="000000"/>
                <w:sz w:val="20"/>
                <w:szCs w:val="20"/>
              </w:rPr>
              <w:t>4</w:t>
            </w:r>
            <w:r w:rsidRPr="00F0626E">
              <w:rPr>
                <w:rFonts w:ascii="Arial" w:eastAsia="Times New Roman" w:hAnsi="Arial" w:cs="Arial"/>
                <w:color w:val="000000"/>
                <w:sz w:val="20"/>
                <w:szCs w:val="20"/>
              </w:rPr>
              <w:t>.</w:t>
            </w:r>
            <w:r>
              <w:rPr>
                <w:rFonts w:ascii="Arial" w:eastAsia="Times New Roman" w:hAnsi="Arial" w:cs="Arial"/>
                <w:color w:val="000000"/>
                <w:sz w:val="20"/>
                <w:szCs w:val="20"/>
              </w:rPr>
              <w:t>7</w:t>
            </w:r>
          </w:p>
        </w:tc>
      </w:tr>
      <w:tr w:rsidR="00994BB9" w:rsidRPr="00F0626E" w14:paraId="37533A12" w14:textId="77777777" w:rsidTr="002F2271">
        <w:trPr>
          <w:trHeight w:val="255"/>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5405522C" w14:textId="77777777" w:rsidR="00994BB9" w:rsidRPr="00F0626E" w:rsidRDefault="00994BB9" w:rsidP="002F2271">
            <w:pPr>
              <w:rPr>
                <w:rFonts w:ascii="Arial" w:eastAsia="Times New Roman" w:hAnsi="Arial" w:cs="Arial"/>
                <w:color w:val="000000"/>
                <w:sz w:val="20"/>
                <w:szCs w:val="20"/>
              </w:rPr>
            </w:pPr>
            <w:r w:rsidRPr="00F0626E">
              <w:rPr>
                <w:rFonts w:ascii="Arial" w:eastAsia="Times New Roman" w:hAnsi="Arial" w:cs="Arial"/>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14:paraId="6B2E3D9F" w14:textId="77777777" w:rsidR="00994BB9" w:rsidRPr="00F0626E" w:rsidRDefault="00994BB9" w:rsidP="002F2271">
            <w:pPr>
              <w:rPr>
                <w:rFonts w:ascii="Arial" w:eastAsia="Times New Roman" w:hAnsi="Arial" w:cs="Arial"/>
                <w:color w:val="000000"/>
                <w:sz w:val="20"/>
                <w:szCs w:val="20"/>
              </w:rPr>
            </w:pPr>
            <w:r w:rsidRPr="00F0626E">
              <w:rPr>
                <w:rFonts w:ascii="Arial" w:eastAsia="Times New Roman" w:hAnsi="Arial" w:cs="Arial"/>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14:paraId="67FEDC38" w14:textId="77777777" w:rsidR="00994BB9" w:rsidRPr="00F0626E" w:rsidRDefault="00994BB9" w:rsidP="002F2271">
            <w:pPr>
              <w:rPr>
                <w:rFonts w:ascii="Arial" w:eastAsia="Times New Roman" w:hAnsi="Arial" w:cs="Arial"/>
                <w:color w:val="000000"/>
                <w:sz w:val="20"/>
                <w:szCs w:val="20"/>
              </w:rPr>
            </w:pPr>
            <w:r w:rsidRPr="00F0626E">
              <w:rPr>
                <w:rFonts w:ascii="Arial" w:eastAsia="Times New Roman" w:hAnsi="Arial" w:cs="Arial"/>
                <w:color w:val="000000"/>
                <w:sz w:val="20"/>
                <w:szCs w:val="20"/>
              </w:rPr>
              <w:t> </w:t>
            </w:r>
          </w:p>
        </w:tc>
      </w:tr>
    </w:tbl>
    <w:p w14:paraId="0EE78355" w14:textId="77777777" w:rsidR="00994BB9" w:rsidRPr="007A0065" w:rsidRDefault="00994BB9" w:rsidP="00994BB9">
      <w:pPr>
        <w:pStyle w:val="Textoindependiente"/>
        <w:tabs>
          <w:tab w:val="center" w:pos="3348"/>
        </w:tabs>
        <w:ind w:left="284"/>
        <w:rPr>
          <w:rFonts w:ascii="Arial" w:hAnsi="Arial" w:cs="Arial"/>
          <w:sz w:val="16"/>
          <w:szCs w:val="16"/>
          <w:lang w:val="es-MX"/>
        </w:rPr>
      </w:pPr>
      <w:r w:rsidRPr="009F1BA2">
        <w:rPr>
          <w:sz w:val="16"/>
          <w:szCs w:val="16"/>
        </w:rPr>
        <w:t xml:space="preserve">            </w:t>
      </w:r>
      <w:r w:rsidRPr="009F1BA2">
        <w:rPr>
          <w:sz w:val="16"/>
          <w:szCs w:val="16"/>
          <w:lang w:val="es-MX"/>
        </w:rPr>
        <w:t xml:space="preserve">      </w:t>
      </w:r>
      <w:r w:rsidRPr="009F1BA2">
        <w:rPr>
          <w:rFonts w:cs="Tahoma"/>
          <w:sz w:val="16"/>
          <w:szCs w:val="16"/>
        </w:rPr>
        <w:t xml:space="preserve"> </w:t>
      </w:r>
      <w:r>
        <w:rPr>
          <w:rFonts w:cs="Tahoma"/>
          <w:sz w:val="16"/>
          <w:szCs w:val="16"/>
          <w:lang w:val="es-MX"/>
        </w:rPr>
        <w:t xml:space="preserve"> </w:t>
      </w:r>
      <w:r w:rsidRPr="007A0065">
        <w:rPr>
          <w:rFonts w:ascii="Arial" w:hAnsi="Arial" w:cs="Arial"/>
          <w:sz w:val="16"/>
          <w:szCs w:val="16"/>
        </w:rPr>
        <w:t>NOTA: La suma de los parciales puede no coincidir con el total debido al redondeo.</w:t>
      </w:r>
    </w:p>
    <w:p w14:paraId="62A60F98" w14:textId="77777777" w:rsidR="00994BB9" w:rsidRPr="007A0065" w:rsidRDefault="00994BB9" w:rsidP="00994BB9">
      <w:pPr>
        <w:pStyle w:val="Textoindependiente"/>
        <w:tabs>
          <w:tab w:val="center" w:pos="3348"/>
        </w:tabs>
        <w:ind w:left="284"/>
        <w:jc w:val="left"/>
        <w:rPr>
          <w:rFonts w:ascii="Arial" w:hAnsi="Arial" w:cs="Arial"/>
          <w:sz w:val="16"/>
          <w:szCs w:val="16"/>
        </w:rPr>
      </w:pPr>
      <w:r w:rsidRPr="007A0065">
        <w:rPr>
          <w:rFonts w:ascii="Arial" w:hAnsi="Arial" w:cs="Arial"/>
          <w:sz w:val="16"/>
          <w:szCs w:val="16"/>
          <w:lang w:val="es-MX"/>
        </w:rPr>
        <w:t xml:space="preserve">                    </w:t>
      </w:r>
      <w:r w:rsidRPr="007A0065">
        <w:rPr>
          <w:rFonts w:ascii="Arial" w:hAnsi="Arial" w:cs="Arial"/>
          <w:sz w:val="16"/>
          <w:szCs w:val="16"/>
        </w:rPr>
        <w:t>Fuente: INEGI.</w:t>
      </w:r>
    </w:p>
    <w:p w14:paraId="17B13182" w14:textId="77777777" w:rsidR="00994BB9" w:rsidRDefault="00994BB9" w:rsidP="00994BB9">
      <w:pPr>
        <w:pStyle w:val="Textoindependiente"/>
        <w:tabs>
          <w:tab w:val="center" w:pos="3348"/>
        </w:tabs>
        <w:jc w:val="left"/>
        <w:rPr>
          <w:sz w:val="16"/>
          <w:szCs w:val="16"/>
        </w:rPr>
      </w:pPr>
    </w:p>
    <w:p w14:paraId="03C5024D" w14:textId="1F873A3C" w:rsidR="00994BB9" w:rsidRPr="006B60A9" w:rsidRDefault="00994BB9" w:rsidP="0085042C">
      <w:pPr>
        <w:ind w:left="-426" w:right="-547"/>
        <w:jc w:val="both"/>
        <w:rPr>
          <w:rFonts w:ascii="Arial" w:hAnsi="Arial"/>
          <w:bCs/>
        </w:rPr>
      </w:pPr>
      <w:r w:rsidRPr="006B60A9">
        <w:rPr>
          <w:rFonts w:ascii="Arial" w:hAnsi="Arial"/>
          <w:bCs/>
        </w:rPr>
        <w:t>Del ingreso nacional disponible generado en 20</w:t>
      </w:r>
      <w:r w:rsidR="002E35B2">
        <w:rPr>
          <w:rFonts w:ascii="Arial" w:hAnsi="Arial"/>
          <w:bCs/>
        </w:rPr>
        <w:t>20</w:t>
      </w:r>
      <w:r w:rsidRPr="006B60A9">
        <w:rPr>
          <w:rFonts w:ascii="Arial" w:hAnsi="Arial"/>
          <w:bCs/>
        </w:rPr>
        <w:t>, 9</w:t>
      </w:r>
      <w:r w:rsidR="002E35B2">
        <w:rPr>
          <w:rFonts w:ascii="Arial" w:hAnsi="Arial"/>
          <w:bCs/>
        </w:rPr>
        <w:t>3</w:t>
      </w:r>
      <w:r w:rsidRPr="006B60A9">
        <w:rPr>
          <w:rFonts w:ascii="Arial" w:hAnsi="Arial"/>
          <w:bCs/>
        </w:rPr>
        <w:t>.</w:t>
      </w:r>
      <w:r w:rsidR="002E35B2">
        <w:rPr>
          <w:rFonts w:ascii="Arial" w:hAnsi="Arial"/>
          <w:bCs/>
        </w:rPr>
        <w:t>8</w:t>
      </w:r>
      <w:r w:rsidRPr="006B60A9">
        <w:rPr>
          <w:rFonts w:ascii="Arial" w:hAnsi="Arial"/>
          <w:bCs/>
        </w:rPr>
        <w:t xml:space="preserve">% se destinó al consumo final y </w:t>
      </w:r>
      <w:r w:rsidR="002E35B2">
        <w:rPr>
          <w:rFonts w:ascii="Arial" w:hAnsi="Arial"/>
          <w:bCs/>
        </w:rPr>
        <w:t>6.2</w:t>
      </w:r>
      <w:r w:rsidRPr="006B60A9">
        <w:rPr>
          <w:rFonts w:ascii="Arial" w:hAnsi="Arial"/>
          <w:bCs/>
        </w:rPr>
        <w:t xml:space="preserve">% al ahorro interno neto. El gasto de consumo final privado, que incluye el de los hogares y el de las Instituciones Privadas Sin Fines de Lucro (IPSFL) </w:t>
      </w:r>
      <w:r w:rsidR="002E35B2">
        <w:rPr>
          <w:rFonts w:ascii="Arial" w:hAnsi="Arial"/>
          <w:bCs/>
        </w:rPr>
        <w:t>disminuyó</w:t>
      </w:r>
      <w:r w:rsidRPr="006B60A9">
        <w:rPr>
          <w:rFonts w:ascii="Arial" w:hAnsi="Arial"/>
          <w:bCs/>
        </w:rPr>
        <w:t xml:space="preserve"> </w:t>
      </w:r>
      <w:r w:rsidR="002E35B2">
        <w:rPr>
          <w:rFonts w:ascii="Arial" w:hAnsi="Arial"/>
          <w:bCs/>
        </w:rPr>
        <w:t>1</w:t>
      </w:r>
      <w:r w:rsidRPr="006B60A9">
        <w:rPr>
          <w:rFonts w:ascii="Arial" w:hAnsi="Arial"/>
          <w:bCs/>
        </w:rPr>
        <w:t>0.</w:t>
      </w:r>
      <w:r w:rsidR="002E35B2">
        <w:rPr>
          <w:rFonts w:ascii="Arial" w:hAnsi="Arial"/>
          <w:bCs/>
        </w:rPr>
        <w:t>5</w:t>
      </w:r>
      <w:r w:rsidRPr="006B60A9">
        <w:rPr>
          <w:rFonts w:ascii="Arial" w:hAnsi="Arial"/>
          <w:bCs/>
        </w:rPr>
        <w:t>% en términos reales respecto a 201</w:t>
      </w:r>
      <w:r w:rsidR="002E35B2">
        <w:rPr>
          <w:rFonts w:ascii="Arial" w:hAnsi="Arial"/>
          <w:bCs/>
        </w:rPr>
        <w:t>9</w:t>
      </w:r>
      <w:r w:rsidRPr="006B60A9">
        <w:rPr>
          <w:rFonts w:ascii="Arial" w:hAnsi="Arial"/>
          <w:bCs/>
        </w:rPr>
        <w:t>.</w:t>
      </w:r>
    </w:p>
    <w:p w14:paraId="37F5EEAF" w14:textId="502C60C4" w:rsidR="00994BB9" w:rsidRPr="006B60A9" w:rsidRDefault="00994BB9" w:rsidP="0085042C">
      <w:pPr>
        <w:spacing w:before="120"/>
        <w:ind w:left="-426" w:right="-547"/>
        <w:jc w:val="both"/>
        <w:rPr>
          <w:rFonts w:ascii="Arial" w:hAnsi="Arial"/>
          <w:bCs/>
        </w:rPr>
      </w:pPr>
      <w:bookmarkStart w:id="1" w:name="_Hlk83385905"/>
      <w:r w:rsidRPr="00966BF8">
        <w:rPr>
          <w:rFonts w:ascii="Arial" w:hAnsi="Arial"/>
          <w:bCs/>
        </w:rPr>
        <w:t>En el año de referencia, el ahorro interno bruto</w:t>
      </w:r>
      <w:r w:rsidRPr="00966BF8">
        <w:rPr>
          <w:rStyle w:val="Refdenotaalpie"/>
          <w:rFonts w:ascii="Arial" w:hAnsi="Arial"/>
          <w:bCs/>
        </w:rPr>
        <w:footnoteReference w:id="3"/>
      </w:r>
      <w:r w:rsidRPr="00966BF8">
        <w:rPr>
          <w:rFonts w:ascii="Arial" w:hAnsi="Arial"/>
          <w:bCs/>
        </w:rPr>
        <w:t xml:space="preserve"> representó </w:t>
      </w:r>
      <w:r w:rsidR="001573E0" w:rsidRPr="00966BF8">
        <w:rPr>
          <w:rFonts w:ascii="Arial" w:hAnsi="Arial"/>
          <w:bCs/>
        </w:rPr>
        <w:t>24.7</w:t>
      </w:r>
      <w:r w:rsidRPr="00966BF8">
        <w:rPr>
          <w:rFonts w:ascii="Arial" w:hAnsi="Arial"/>
          <w:bCs/>
        </w:rPr>
        <w:t>% del PIB a precios de mercado, mientras que el ahorro externo</w:t>
      </w:r>
      <w:r w:rsidR="0085042C" w:rsidRPr="00966BF8">
        <w:rPr>
          <w:rFonts w:ascii="Arial" w:hAnsi="Arial"/>
          <w:bCs/>
        </w:rPr>
        <w:t xml:space="preserve"> fue de</w:t>
      </w:r>
      <w:r w:rsidRPr="00966BF8">
        <w:rPr>
          <w:rFonts w:ascii="Arial" w:hAnsi="Arial"/>
          <w:bCs/>
        </w:rPr>
        <w:t xml:space="preserve"> </w:t>
      </w:r>
      <w:r w:rsidR="001573E0" w:rsidRPr="00966BF8">
        <w:rPr>
          <w:rFonts w:ascii="Arial" w:hAnsi="Arial"/>
          <w:bCs/>
        </w:rPr>
        <w:t>(-)</w:t>
      </w:r>
      <w:r w:rsidR="005B4D9D" w:rsidRPr="00966BF8">
        <w:rPr>
          <w:rFonts w:ascii="Arial" w:hAnsi="Arial"/>
          <w:bCs/>
        </w:rPr>
        <w:t>2.4</w:t>
      </w:r>
      <w:r w:rsidRPr="00966BF8">
        <w:rPr>
          <w:rFonts w:ascii="Arial" w:hAnsi="Arial"/>
          <w:bCs/>
        </w:rPr>
        <w:t xml:space="preserve"> por ciento. De esta forma la inversión bruta de capital, </w:t>
      </w:r>
      <w:r w:rsidR="0085042C" w:rsidRPr="00966BF8">
        <w:rPr>
          <w:rFonts w:ascii="Arial" w:hAnsi="Arial"/>
          <w:bCs/>
        </w:rPr>
        <w:t xml:space="preserve">equivalente a </w:t>
      </w:r>
      <w:r w:rsidRPr="00966BF8">
        <w:rPr>
          <w:rFonts w:ascii="Arial" w:hAnsi="Arial"/>
          <w:bCs/>
        </w:rPr>
        <w:t>2</w:t>
      </w:r>
      <w:r w:rsidR="001573E0" w:rsidRPr="00966BF8">
        <w:rPr>
          <w:rFonts w:ascii="Arial" w:hAnsi="Arial"/>
          <w:bCs/>
        </w:rPr>
        <w:t>2.3</w:t>
      </w:r>
      <w:r w:rsidRPr="00966BF8">
        <w:rPr>
          <w:rFonts w:ascii="Arial" w:hAnsi="Arial"/>
          <w:bCs/>
        </w:rPr>
        <w:t>% del PIB, se financió con el ahorro total.</w:t>
      </w:r>
    </w:p>
    <w:bookmarkEnd w:id="1"/>
    <w:p w14:paraId="70D27794" w14:textId="2D32F9BF" w:rsidR="00994BB9" w:rsidRDefault="00994BB9" w:rsidP="0085042C">
      <w:pPr>
        <w:spacing w:before="240"/>
        <w:ind w:left="-426" w:right="-547"/>
        <w:jc w:val="both"/>
        <w:rPr>
          <w:rFonts w:ascii="Arial" w:hAnsi="Arial"/>
          <w:bCs/>
        </w:rPr>
      </w:pPr>
      <w:r w:rsidRPr="006B60A9">
        <w:rPr>
          <w:rFonts w:ascii="Arial" w:hAnsi="Arial"/>
          <w:bCs/>
        </w:rPr>
        <w:t>En 20</w:t>
      </w:r>
      <w:r w:rsidR="005B4D9D">
        <w:rPr>
          <w:rFonts w:ascii="Arial" w:hAnsi="Arial"/>
          <w:bCs/>
        </w:rPr>
        <w:t>20</w:t>
      </w:r>
      <w:r w:rsidRPr="006B60A9">
        <w:rPr>
          <w:rFonts w:ascii="Arial" w:hAnsi="Arial"/>
          <w:bCs/>
        </w:rPr>
        <w:t xml:space="preserve"> el número de puestos de trabajo remunerados registró un total de 3</w:t>
      </w:r>
      <w:r w:rsidR="005B4D9D">
        <w:rPr>
          <w:rFonts w:ascii="Arial" w:hAnsi="Arial"/>
          <w:bCs/>
        </w:rPr>
        <w:t>7</w:t>
      </w:r>
      <w:r w:rsidR="0085042C">
        <w:rPr>
          <w:rFonts w:ascii="Arial" w:hAnsi="Arial"/>
          <w:bCs/>
        </w:rPr>
        <w:t xml:space="preserve"> </w:t>
      </w:r>
      <w:r w:rsidR="005B4D9D">
        <w:rPr>
          <w:rFonts w:ascii="Arial" w:hAnsi="Arial"/>
          <w:bCs/>
        </w:rPr>
        <w:t>496</w:t>
      </w:r>
      <w:r w:rsidR="0085042C">
        <w:rPr>
          <w:rFonts w:ascii="Arial" w:hAnsi="Arial"/>
          <w:bCs/>
        </w:rPr>
        <w:t xml:space="preserve"> </w:t>
      </w:r>
      <w:r w:rsidR="005B4D9D">
        <w:rPr>
          <w:rFonts w:ascii="Arial" w:hAnsi="Arial"/>
          <w:bCs/>
        </w:rPr>
        <w:t>488</w:t>
      </w:r>
      <w:r w:rsidRPr="006B60A9">
        <w:rPr>
          <w:rFonts w:ascii="Arial" w:hAnsi="Arial"/>
          <w:bCs/>
        </w:rPr>
        <w:t>, cifra que presentó un</w:t>
      </w:r>
      <w:r w:rsidR="005B4D9D">
        <w:rPr>
          <w:rFonts w:ascii="Arial" w:hAnsi="Arial"/>
          <w:bCs/>
        </w:rPr>
        <w:t>a</w:t>
      </w:r>
      <w:r w:rsidRPr="006B60A9">
        <w:rPr>
          <w:rFonts w:ascii="Arial" w:hAnsi="Arial"/>
          <w:bCs/>
        </w:rPr>
        <w:t xml:space="preserve"> </w:t>
      </w:r>
      <w:r w:rsidR="005B4D9D">
        <w:rPr>
          <w:rFonts w:ascii="Arial" w:hAnsi="Arial"/>
          <w:bCs/>
        </w:rPr>
        <w:t>caída</w:t>
      </w:r>
      <w:r w:rsidRPr="006B60A9">
        <w:rPr>
          <w:rFonts w:ascii="Arial" w:hAnsi="Arial"/>
          <w:bCs/>
        </w:rPr>
        <w:t xml:space="preserve"> de </w:t>
      </w:r>
      <w:r w:rsidR="005B4D9D">
        <w:rPr>
          <w:rFonts w:ascii="Arial" w:hAnsi="Arial"/>
          <w:bCs/>
        </w:rPr>
        <w:t>4.9</w:t>
      </w:r>
      <w:r w:rsidRPr="006B60A9">
        <w:rPr>
          <w:rFonts w:ascii="Arial" w:hAnsi="Arial"/>
          <w:bCs/>
        </w:rPr>
        <w:t>% en comparación con 201</w:t>
      </w:r>
      <w:r w:rsidR="005B4D9D">
        <w:rPr>
          <w:rFonts w:ascii="Arial" w:hAnsi="Arial"/>
          <w:bCs/>
        </w:rPr>
        <w:t>9</w:t>
      </w:r>
      <w:r w:rsidRPr="006B60A9">
        <w:rPr>
          <w:rFonts w:ascii="Arial" w:hAnsi="Arial"/>
          <w:bCs/>
        </w:rPr>
        <w:t xml:space="preserve">. Dentro del total de los puestos de trabajo, los sectores con la mayor contribución fueron: </w:t>
      </w:r>
      <w:r w:rsidR="006C6EF7">
        <w:rPr>
          <w:rFonts w:ascii="Arial" w:hAnsi="Arial"/>
          <w:bCs/>
        </w:rPr>
        <w:t>A</w:t>
      </w:r>
      <w:r w:rsidR="005B4D9D">
        <w:rPr>
          <w:rFonts w:ascii="Arial" w:hAnsi="Arial"/>
          <w:bCs/>
        </w:rPr>
        <w:t>gricultura</w:t>
      </w:r>
      <w:r w:rsidRPr="006B60A9">
        <w:rPr>
          <w:rFonts w:ascii="Arial" w:hAnsi="Arial"/>
          <w:bCs/>
        </w:rPr>
        <w:t xml:space="preserve">, </w:t>
      </w:r>
      <w:r w:rsidR="005B4D9D">
        <w:rPr>
          <w:rFonts w:ascii="Arial" w:hAnsi="Arial"/>
          <w:bCs/>
        </w:rPr>
        <w:t>cría y explotación de animales</w:t>
      </w:r>
      <w:r w:rsidR="0002598E">
        <w:rPr>
          <w:rFonts w:ascii="Arial" w:hAnsi="Arial"/>
          <w:bCs/>
        </w:rPr>
        <w:t>;</w:t>
      </w:r>
      <w:r w:rsidR="005B4D9D">
        <w:rPr>
          <w:rFonts w:ascii="Arial" w:hAnsi="Arial"/>
          <w:bCs/>
        </w:rPr>
        <w:t xml:space="preserve"> </w:t>
      </w:r>
      <w:r w:rsidR="006C6EF7">
        <w:rPr>
          <w:rFonts w:ascii="Arial" w:hAnsi="Arial"/>
          <w:bCs/>
        </w:rPr>
        <w:t>A</w:t>
      </w:r>
      <w:r w:rsidR="005B4D9D">
        <w:rPr>
          <w:rFonts w:ascii="Arial" w:hAnsi="Arial"/>
          <w:bCs/>
        </w:rPr>
        <w:t>provechamiento forestal, pesca y caza</w:t>
      </w:r>
      <w:r w:rsidR="0002598E">
        <w:rPr>
          <w:rFonts w:ascii="Arial" w:hAnsi="Arial"/>
          <w:bCs/>
        </w:rPr>
        <w:t>;</w:t>
      </w:r>
      <w:r w:rsidRPr="006B60A9">
        <w:rPr>
          <w:rFonts w:ascii="Arial" w:hAnsi="Arial"/>
          <w:bCs/>
        </w:rPr>
        <w:t xml:space="preserve"> </w:t>
      </w:r>
      <w:r w:rsidR="006C6EF7">
        <w:rPr>
          <w:rFonts w:ascii="Arial" w:hAnsi="Arial"/>
          <w:bCs/>
        </w:rPr>
        <w:t>C</w:t>
      </w:r>
      <w:r w:rsidRPr="006B60A9">
        <w:rPr>
          <w:rFonts w:ascii="Arial" w:hAnsi="Arial"/>
          <w:bCs/>
        </w:rPr>
        <w:t>omercio</w:t>
      </w:r>
      <w:r w:rsidR="0002598E">
        <w:rPr>
          <w:rFonts w:ascii="Arial" w:hAnsi="Arial"/>
          <w:bCs/>
        </w:rPr>
        <w:t xml:space="preserve">; </w:t>
      </w:r>
      <w:r w:rsidR="006C6EF7">
        <w:rPr>
          <w:rFonts w:ascii="Arial" w:hAnsi="Arial"/>
          <w:bCs/>
        </w:rPr>
        <w:t>C</w:t>
      </w:r>
      <w:r w:rsidRPr="006B60A9">
        <w:rPr>
          <w:rFonts w:ascii="Arial" w:hAnsi="Arial"/>
          <w:bCs/>
        </w:rPr>
        <w:t>onstrucción</w:t>
      </w:r>
      <w:r w:rsidR="0002598E">
        <w:rPr>
          <w:rFonts w:ascii="Arial" w:hAnsi="Arial"/>
          <w:bCs/>
        </w:rPr>
        <w:t>,</w:t>
      </w:r>
      <w:r w:rsidRPr="006B60A9">
        <w:rPr>
          <w:rFonts w:ascii="Arial" w:hAnsi="Arial"/>
          <w:bCs/>
        </w:rPr>
        <w:t xml:space="preserve"> </w:t>
      </w:r>
      <w:r w:rsidR="0002598E">
        <w:rPr>
          <w:rFonts w:ascii="Arial" w:hAnsi="Arial"/>
          <w:bCs/>
        </w:rPr>
        <w:t xml:space="preserve">así como </w:t>
      </w:r>
      <w:r w:rsidR="006C6EF7">
        <w:rPr>
          <w:rFonts w:ascii="Arial" w:hAnsi="Arial"/>
          <w:bCs/>
        </w:rPr>
        <w:t>I</w:t>
      </w:r>
      <w:r w:rsidR="005953CD">
        <w:rPr>
          <w:rFonts w:ascii="Arial" w:hAnsi="Arial"/>
          <w:bCs/>
        </w:rPr>
        <w:t>ndustrias manufactureras</w:t>
      </w:r>
      <w:r w:rsidRPr="006B60A9">
        <w:rPr>
          <w:rFonts w:ascii="Arial" w:hAnsi="Arial"/>
          <w:bCs/>
        </w:rPr>
        <w:t xml:space="preserve">, que en conjunto generaron </w:t>
      </w:r>
      <w:r w:rsidR="005953CD">
        <w:rPr>
          <w:rFonts w:ascii="Arial" w:hAnsi="Arial"/>
          <w:bCs/>
        </w:rPr>
        <w:t>46.9</w:t>
      </w:r>
      <w:r w:rsidRPr="006B60A9">
        <w:rPr>
          <w:rFonts w:ascii="Arial" w:hAnsi="Arial"/>
          <w:bCs/>
        </w:rPr>
        <w:t xml:space="preserve"> por ciento.</w:t>
      </w:r>
    </w:p>
    <w:p w14:paraId="04CD34CA" w14:textId="04E5DFDD" w:rsidR="002209A6" w:rsidRDefault="00994BB9" w:rsidP="002209A6">
      <w:pPr>
        <w:spacing w:before="240"/>
        <w:ind w:left="-567" w:right="-688"/>
        <w:jc w:val="both"/>
        <w:rPr>
          <w:rFonts w:ascii="Arial" w:hAnsi="Arial" w:cs="Arial"/>
          <w:b/>
          <w:color w:val="000000"/>
        </w:rPr>
      </w:pP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cs="Arial"/>
          <w:b/>
          <w:color w:val="000000"/>
        </w:rPr>
        <w:tab/>
        <w:t>S</w:t>
      </w:r>
      <w:r w:rsidRPr="003B1ACA">
        <w:rPr>
          <w:rFonts w:ascii="Arial" w:hAnsi="Arial" w:cs="Arial"/>
          <w:b/>
          <w:color w:val="000000"/>
        </w:rPr>
        <w:t>e anexa Nota Técnica</w:t>
      </w:r>
    </w:p>
    <w:p w14:paraId="01C9D776" w14:textId="375B89DB" w:rsidR="002209A6" w:rsidRDefault="002209A6" w:rsidP="002209A6">
      <w:pPr>
        <w:spacing w:before="240"/>
        <w:ind w:left="-567" w:right="-688"/>
        <w:jc w:val="both"/>
        <w:rPr>
          <w:rFonts w:ascii="Arial" w:hAnsi="Arial" w:cs="Arial"/>
          <w:b/>
          <w:color w:val="000000"/>
        </w:rPr>
      </w:pPr>
    </w:p>
    <w:p w14:paraId="4DC4750C" w14:textId="77777777" w:rsidR="002209A6" w:rsidRDefault="002209A6" w:rsidP="002209A6">
      <w:pPr>
        <w:spacing w:before="240"/>
        <w:ind w:left="-567" w:right="-688"/>
        <w:jc w:val="both"/>
        <w:rPr>
          <w:rFonts w:ascii="Arial" w:hAnsi="Arial" w:cs="Arial"/>
          <w:b/>
          <w:color w:val="000000"/>
        </w:rPr>
      </w:pPr>
    </w:p>
    <w:p w14:paraId="6AB71A1E" w14:textId="0D71E770" w:rsidR="002209A6" w:rsidRPr="006B60A9" w:rsidRDefault="00994BB9" w:rsidP="002209A6">
      <w:pPr>
        <w:spacing w:before="240"/>
        <w:ind w:left="-567" w:right="-688"/>
        <w:jc w:val="both"/>
        <w:rPr>
          <w:rFonts w:ascii="Arial" w:hAnsi="Arial" w:cs="Arial"/>
          <w:sz w:val="20"/>
          <w:szCs w:val="20"/>
        </w:rPr>
      </w:pPr>
      <w:r>
        <w:rPr>
          <w:rFonts w:ascii="Arial" w:hAnsi="Arial" w:cs="Arial"/>
          <w:b/>
          <w:color w:val="000000"/>
        </w:rPr>
        <w:tab/>
      </w:r>
      <w:r>
        <w:rPr>
          <w:rFonts w:ascii="Arial" w:hAnsi="Arial" w:cs="Arial"/>
          <w:b/>
          <w:color w:val="000000"/>
        </w:rPr>
        <w:tab/>
      </w:r>
      <w:r w:rsidRPr="006B60A9">
        <w:rPr>
          <w:rFonts w:ascii="Arial" w:hAnsi="Arial" w:cs="Arial"/>
          <w:sz w:val="20"/>
          <w:szCs w:val="20"/>
        </w:rPr>
        <w:t xml:space="preserve">Para consultas de medios y periodistas, contactar a: </w:t>
      </w:r>
      <w:hyperlink r:id="rId9" w:history="1">
        <w:r w:rsidRPr="006B60A9">
          <w:rPr>
            <w:rStyle w:val="Hipervnculo"/>
            <w:rFonts w:ascii="Arial" w:hAnsi="Arial" w:cs="Arial"/>
            <w:sz w:val="20"/>
            <w:szCs w:val="20"/>
          </w:rPr>
          <w:t>comunicacionsocial@inegi.org.mx</w:t>
        </w:r>
      </w:hyperlink>
      <w:r w:rsidRPr="006B60A9">
        <w:rPr>
          <w:rFonts w:ascii="Arial" w:hAnsi="Arial" w:cs="Arial"/>
          <w:sz w:val="20"/>
          <w:szCs w:val="20"/>
        </w:rPr>
        <w:t xml:space="preserve"> </w:t>
      </w:r>
    </w:p>
    <w:p w14:paraId="2F102A6A" w14:textId="677ABCD1" w:rsidR="00994BB9" w:rsidRDefault="00994BB9" w:rsidP="00994BB9">
      <w:pPr>
        <w:pStyle w:val="NormalWeb"/>
        <w:spacing w:before="0" w:beforeAutospacing="0" w:after="0" w:afterAutospacing="0"/>
        <w:ind w:left="-426" w:right="-518"/>
        <w:contextualSpacing/>
        <w:jc w:val="center"/>
        <w:rPr>
          <w:rFonts w:ascii="Arial" w:hAnsi="Arial" w:cs="Arial"/>
          <w:sz w:val="20"/>
          <w:szCs w:val="20"/>
        </w:rPr>
      </w:pPr>
      <w:r w:rsidRPr="006B60A9">
        <w:rPr>
          <w:rFonts w:ascii="Arial" w:hAnsi="Arial" w:cs="Arial"/>
          <w:sz w:val="20"/>
          <w:szCs w:val="20"/>
        </w:rPr>
        <w:t xml:space="preserve">o llamar al teléfono (55) 52-78-10-00, </w:t>
      </w:r>
      <w:proofErr w:type="spellStart"/>
      <w:r w:rsidRPr="006B60A9">
        <w:rPr>
          <w:rFonts w:ascii="Arial" w:hAnsi="Arial" w:cs="Arial"/>
          <w:sz w:val="20"/>
          <w:szCs w:val="20"/>
        </w:rPr>
        <w:t>exts</w:t>
      </w:r>
      <w:proofErr w:type="spellEnd"/>
      <w:r w:rsidRPr="006B60A9">
        <w:rPr>
          <w:rFonts w:ascii="Arial" w:hAnsi="Arial" w:cs="Arial"/>
          <w:sz w:val="20"/>
          <w:szCs w:val="20"/>
        </w:rPr>
        <w:t>. 1134, 1260 y 1241.</w:t>
      </w:r>
    </w:p>
    <w:p w14:paraId="6AAA8D13" w14:textId="77777777" w:rsidR="0002598E" w:rsidRPr="006B60A9" w:rsidRDefault="0002598E" w:rsidP="00994BB9">
      <w:pPr>
        <w:pStyle w:val="NormalWeb"/>
        <w:spacing w:before="0" w:beforeAutospacing="0" w:after="0" w:afterAutospacing="0"/>
        <w:ind w:left="-426" w:right="-518"/>
        <w:contextualSpacing/>
        <w:jc w:val="center"/>
        <w:rPr>
          <w:rFonts w:ascii="Arial" w:hAnsi="Arial" w:cs="Arial"/>
          <w:sz w:val="20"/>
          <w:szCs w:val="20"/>
        </w:rPr>
      </w:pPr>
    </w:p>
    <w:p w14:paraId="1A37EA92" w14:textId="77777777" w:rsidR="00994BB9" w:rsidRDefault="00994BB9" w:rsidP="00994BB9">
      <w:pPr>
        <w:ind w:left="-426" w:right="-518"/>
        <w:contextualSpacing/>
        <w:jc w:val="center"/>
        <w:rPr>
          <w:sz w:val="20"/>
          <w:szCs w:val="20"/>
        </w:rPr>
      </w:pPr>
      <w:r w:rsidRPr="006B60A9">
        <w:rPr>
          <w:sz w:val="20"/>
          <w:szCs w:val="20"/>
        </w:rPr>
        <w:t xml:space="preserve">Dirección de Atención a Medios / Dirección General Adjunta de Comunicación </w:t>
      </w:r>
    </w:p>
    <w:p w14:paraId="5635B064" w14:textId="64BCD6F3" w:rsidR="002209A6" w:rsidRDefault="002209A6" w:rsidP="00994BB9">
      <w:pPr>
        <w:ind w:left="-426" w:right="-518"/>
        <w:contextualSpacing/>
        <w:jc w:val="center"/>
        <w:rPr>
          <w:sz w:val="22"/>
          <w:szCs w:val="22"/>
        </w:rPr>
      </w:pPr>
    </w:p>
    <w:p w14:paraId="3B8F1453" w14:textId="77777777" w:rsidR="002209A6" w:rsidRPr="00F3688E" w:rsidRDefault="002209A6" w:rsidP="00994BB9">
      <w:pPr>
        <w:ind w:left="-426" w:right="-518"/>
        <w:contextualSpacing/>
        <w:jc w:val="center"/>
        <w:rPr>
          <w:sz w:val="22"/>
          <w:szCs w:val="22"/>
        </w:rPr>
      </w:pPr>
    </w:p>
    <w:p w14:paraId="0B5CC29F" w14:textId="701D31A4" w:rsidR="00994BB9" w:rsidRPr="00157C43" w:rsidRDefault="00994BB9" w:rsidP="00994BB9">
      <w:pPr>
        <w:ind w:left="-425" w:right="-516"/>
        <w:contextualSpacing/>
        <w:jc w:val="center"/>
        <w:rPr>
          <w:rFonts w:cs="Arial"/>
        </w:rPr>
        <w:sectPr w:rsidR="00994BB9" w:rsidRPr="00157C43" w:rsidSect="0085042C">
          <w:headerReference w:type="default" r:id="rId10"/>
          <w:footerReference w:type="default" r:id="rId11"/>
          <w:pgSz w:w="12240" w:h="15840" w:code="1"/>
          <w:pgMar w:top="1" w:right="1701" w:bottom="0" w:left="1588" w:header="510" w:footer="916" w:gutter="0"/>
          <w:cols w:space="720"/>
          <w:docGrid w:linePitch="272"/>
        </w:sectPr>
      </w:pPr>
      <w:r w:rsidRPr="00BF5137">
        <w:rPr>
          <w:noProof/>
        </w:rPr>
        <w:drawing>
          <wp:inline distT="0" distB="0" distL="0" distR="0" wp14:anchorId="1E58A788" wp14:editId="3C77D803">
            <wp:extent cx="366395" cy="364490"/>
            <wp:effectExtent l="0" t="0" r="0" b="0"/>
            <wp:docPr id="7" name="Imagen 7"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395" cy="364490"/>
                    </a:xfrm>
                    <a:prstGeom prst="rect">
                      <a:avLst/>
                    </a:prstGeom>
                    <a:noFill/>
                    <a:ln>
                      <a:noFill/>
                    </a:ln>
                  </pic:spPr>
                </pic:pic>
              </a:graphicData>
            </a:graphic>
          </wp:inline>
        </w:drawing>
      </w:r>
      <w:r>
        <w:rPr>
          <w:noProof/>
        </w:rPr>
        <w:t xml:space="preserve"> </w:t>
      </w:r>
      <w:r w:rsidRPr="00BF5137">
        <w:rPr>
          <w:noProof/>
        </w:rPr>
        <w:drawing>
          <wp:inline distT="0" distB="0" distL="0" distR="0" wp14:anchorId="4A1FC86C" wp14:editId="36BA6FB5">
            <wp:extent cx="364490" cy="364490"/>
            <wp:effectExtent l="0" t="0" r="0" b="0"/>
            <wp:docPr id="6" name="Imagen 6"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noProof/>
        </w:rPr>
        <w:t xml:space="preserve"> </w:t>
      </w:r>
      <w:r w:rsidRPr="00BF5137">
        <w:rPr>
          <w:noProof/>
        </w:rPr>
        <w:drawing>
          <wp:inline distT="0" distB="0" distL="0" distR="0" wp14:anchorId="4058C408" wp14:editId="03991708">
            <wp:extent cx="364490" cy="364490"/>
            <wp:effectExtent l="0" t="0" r="0" b="0"/>
            <wp:docPr id="5" name="Imagen 5"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noProof/>
        </w:rPr>
        <w:t xml:space="preserve"> </w:t>
      </w:r>
      <w:r w:rsidRPr="00BF5137">
        <w:rPr>
          <w:noProof/>
        </w:rPr>
        <w:drawing>
          <wp:inline distT="0" distB="0" distL="0" distR="0" wp14:anchorId="286536DB" wp14:editId="717A4F3F">
            <wp:extent cx="364490" cy="364490"/>
            <wp:effectExtent l="0" t="0" r="0" b="0"/>
            <wp:docPr id="3" name="Imagen 3"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noProof/>
        </w:rPr>
        <w:t xml:space="preserve">  </w:t>
      </w:r>
      <w:r w:rsidRPr="003F1F87">
        <w:rPr>
          <w:noProof/>
          <w:sz w:val="14"/>
          <w:szCs w:val="18"/>
        </w:rPr>
        <w:drawing>
          <wp:inline distT="0" distB="0" distL="0" distR="0" wp14:anchorId="4DF64221" wp14:editId="2AEC4DA7">
            <wp:extent cx="2286000" cy="271145"/>
            <wp:effectExtent l="0" t="0" r="0" b="0"/>
            <wp:docPr id="2" name="Imagen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1145"/>
                    </a:xfrm>
                    <a:prstGeom prst="rect">
                      <a:avLst/>
                    </a:prstGeom>
                    <a:noFill/>
                    <a:ln>
                      <a:noFill/>
                    </a:ln>
                  </pic:spPr>
                </pic:pic>
              </a:graphicData>
            </a:graphic>
          </wp:inline>
        </w:drawing>
      </w:r>
    </w:p>
    <w:p w14:paraId="00A305E3" w14:textId="77777777" w:rsidR="00994BB9" w:rsidRPr="0085042C" w:rsidRDefault="00994BB9" w:rsidP="00994BB9">
      <w:pPr>
        <w:pStyle w:val="Ttulo2"/>
        <w:tabs>
          <w:tab w:val="left" w:pos="1276"/>
        </w:tabs>
        <w:spacing w:before="0" w:after="120"/>
        <w:jc w:val="center"/>
        <w:rPr>
          <w:rFonts w:ascii="Arial" w:hAnsi="Arial" w:cs="Arial"/>
          <w:b w:val="0"/>
          <w:i w:val="0"/>
          <w:color w:val="000000"/>
        </w:rPr>
      </w:pPr>
      <w:r w:rsidRPr="0085042C">
        <w:rPr>
          <w:rFonts w:ascii="Arial" w:hAnsi="Arial" w:cs="Arial"/>
          <w:i w:val="0"/>
          <w:color w:val="000000"/>
        </w:rPr>
        <w:lastRenderedPageBreak/>
        <w:t>NOTA TÉCNICA</w:t>
      </w:r>
    </w:p>
    <w:p w14:paraId="02741C8B" w14:textId="77777777" w:rsidR="00ED71F9" w:rsidRPr="0085042C" w:rsidRDefault="00ED71F9" w:rsidP="00ED71F9">
      <w:pPr>
        <w:pStyle w:val="Profesin"/>
        <w:spacing w:before="60"/>
        <w:outlineLvl w:val="0"/>
        <w:rPr>
          <w:rFonts w:ascii="Arial" w:hAnsi="Arial" w:cs="Arial"/>
          <w:sz w:val="24"/>
          <w:szCs w:val="24"/>
          <w:lang w:val="es-MX"/>
        </w:rPr>
      </w:pPr>
      <w:r w:rsidRPr="0085042C">
        <w:rPr>
          <w:rFonts w:ascii="Arial" w:hAnsi="Arial" w:cs="Arial"/>
          <w:sz w:val="24"/>
          <w:szCs w:val="24"/>
          <w:lang w:val="es-MX"/>
        </w:rPr>
        <w:t>SISTEMA DE CUENTAS NACIONALES DE MÉXICO</w:t>
      </w:r>
    </w:p>
    <w:p w14:paraId="3B77A117" w14:textId="23E19ABD" w:rsidR="00ED71F9" w:rsidRPr="0085042C" w:rsidRDefault="00ED71F9" w:rsidP="00ED71F9">
      <w:pPr>
        <w:pStyle w:val="Profesin"/>
        <w:outlineLvl w:val="0"/>
        <w:rPr>
          <w:rFonts w:ascii="Arial" w:hAnsi="Arial" w:cs="Arial"/>
          <w:sz w:val="24"/>
          <w:szCs w:val="24"/>
          <w:lang w:val="es-MX"/>
        </w:rPr>
      </w:pPr>
      <w:r w:rsidRPr="0085042C">
        <w:rPr>
          <w:rFonts w:ascii="Arial" w:hAnsi="Arial" w:cs="Arial"/>
          <w:sz w:val="24"/>
          <w:szCs w:val="24"/>
          <w:lang w:val="es-MX"/>
        </w:rPr>
        <w:t>CUENTAS DE BIENES Y SERVICIOS 20</w:t>
      </w:r>
      <w:r w:rsidR="002F2271" w:rsidRPr="0085042C">
        <w:rPr>
          <w:rFonts w:ascii="Arial" w:hAnsi="Arial" w:cs="Arial"/>
          <w:sz w:val="24"/>
          <w:szCs w:val="24"/>
          <w:lang w:val="es-MX"/>
        </w:rPr>
        <w:t>20</w:t>
      </w:r>
    </w:p>
    <w:p w14:paraId="47317D8E" w14:textId="77777777" w:rsidR="00994BB9" w:rsidRDefault="00994BB9" w:rsidP="00ED71F9">
      <w:pPr>
        <w:pStyle w:val="Textodebloque1"/>
        <w:tabs>
          <w:tab w:val="left" w:pos="0"/>
          <w:tab w:val="left" w:pos="8222"/>
        </w:tabs>
        <w:spacing w:before="0"/>
        <w:ind w:left="0" w:right="618" w:firstLine="0"/>
        <w:rPr>
          <w:rFonts w:ascii="Arial" w:hAnsi="Arial" w:cs="Arial"/>
          <w:i/>
          <w:iCs/>
          <w:smallCaps/>
          <w:sz w:val="24"/>
          <w:szCs w:val="24"/>
        </w:rPr>
      </w:pPr>
    </w:p>
    <w:p w14:paraId="37963FE7" w14:textId="77777777" w:rsidR="00994BB9" w:rsidRDefault="00994BB9" w:rsidP="00ED71F9">
      <w:pPr>
        <w:pStyle w:val="Textodebloque1"/>
        <w:tabs>
          <w:tab w:val="left" w:pos="0"/>
          <w:tab w:val="left" w:pos="8222"/>
        </w:tabs>
        <w:spacing w:before="0"/>
        <w:ind w:left="0" w:right="618" w:firstLine="0"/>
        <w:rPr>
          <w:rFonts w:ascii="Arial" w:hAnsi="Arial" w:cs="Arial"/>
          <w:i/>
          <w:iCs/>
          <w:smallCaps/>
          <w:sz w:val="24"/>
          <w:szCs w:val="24"/>
        </w:rPr>
      </w:pPr>
    </w:p>
    <w:p w14:paraId="7B4C1BB0" w14:textId="50AA7D50" w:rsidR="00ED71F9" w:rsidRPr="006D3F7A" w:rsidRDefault="00ED71F9" w:rsidP="00ED71F9">
      <w:pPr>
        <w:pStyle w:val="Textodebloque1"/>
        <w:tabs>
          <w:tab w:val="left" w:pos="0"/>
          <w:tab w:val="left" w:pos="8222"/>
        </w:tabs>
        <w:spacing w:before="0"/>
        <w:ind w:left="0" w:right="618" w:firstLine="0"/>
        <w:rPr>
          <w:rFonts w:ascii="Arial" w:hAnsi="Arial" w:cs="Arial"/>
          <w:i/>
          <w:iCs/>
          <w:smallCaps/>
          <w:sz w:val="24"/>
          <w:szCs w:val="24"/>
        </w:rPr>
      </w:pPr>
      <w:r w:rsidRPr="006D3F7A">
        <w:rPr>
          <w:rFonts w:ascii="Arial" w:hAnsi="Arial" w:cs="Arial"/>
          <w:i/>
          <w:iCs/>
          <w:smallCaps/>
          <w:sz w:val="24"/>
          <w:szCs w:val="24"/>
        </w:rPr>
        <w:t>Aspectos Generales</w:t>
      </w:r>
    </w:p>
    <w:p w14:paraId="440D54BF" w14:textId="65472B97" w:rsidR="009D0C99" w:rsidRPr="00713947" w:rsidRDefault="009D0C99" w:rsidP="00994BB9">
      <w:pPr>
        <w:pStyle w:val="Textoindependiente"/>
        <w:spacing w:before="480"/>
        <w:rPr>
          <w:rFonts w:ascii="Arial" w:hAnsi="Arial" w:cs="Arial"/>
        </w:rPr>
      </w:pPr>
      <w:r w:rsidRPr="00EB3764">
        <w:rPr>
          <w:rFonts w:ascii="Arial" w:hAnsi="Arial" w:cs="Arial"/>
        </w:rPr>
        <w:t xml:space="preserve">El INEGI da a conocer los resultados de </w:t>
      </w:r>
      <w:r w:rsidRPr="00713947">
        <w:rPr>
          <w:rFonts w:ascii="Arial" w:hAnsi="Arial" w:cs="Arial"/>
        </w:rPr>
        <w:t>las “Cuentas</w:t>
      </w:r>
      <w:r w:rsidR="009A45F4" w:rsidRPr="00713947">
        <w:rPr>
          <w:rFonts w:ascii="Arial" w:hAnsi="Arial" w:cs="Arial"/>
          <w:lang w:val="es-MX"/>
        </w:rPr>
        <w:t xml:space="preserve"> </w:t>
      </w:r>
      <w:r w:rsidRPr="00713947">
        <w:rPr>
          <w:rFonts w:ascii="Arial" w:hAnsi="Arial" w:cs="Arial"/>
        </w:rPr>
        <w:t>de Bienes y Servicios,</w:t>
      </w:r>
      <w:r w:rsidR="009A45F4" w:rsidRPr="00713947">
        <w:rPr>
          <w:rFonts w:ascii="Arial" w:hAnsi="Arial" w:cs="Arial"/>
          <w:lang w:val="es-MX"/>
        </w:rPr>
        <w:t xml:space="preserve"> </w:t>
      </w:r>
      <w:r w:rsidRPr="00713947">
        <w:rPr>
          <w:rFonts w:ascii="Arial" w:hAnsi="Arial" w:cs="Arial"/>
        </w:rPr>
        <w:t>20</w:t>
      </w:r>
      <w:r w:rsidR="00782122" w:rsidRPr="00713947">
        <w:rPr>
          <w:rFonts w:ascii="Arial" w:hAnsi="Arial" w:cs="Arial"/>
          <w:lang w:val="es-MX"/>
        </w:rPr>
        <w:t>20</w:t>
      </w:r>
      <w:r w:rsidR="009A45F4" w:rsidRPr="00713947">
        <w:rPr>
          <w:rFonts w:ascii="Arial" w:hAnsi="Arial" w:cs="Arial"/>
          <w:lang w:val="es-MX"/>
        </w:rPr>
        <w:t>. Preliminar. Año base</w:t>
      </w:r>
      <w:r w:rsidRPr="00713947">
        <w:rPr>
          <w:rFonts w:ascii="Arial" w:hAnsi="Arial" w:cs="Arial"/>
        </w:rPr>
        <w:t xml:space="preserve"> 2013,” del Sistema de Cuentas Nacionales de México, las cuales concentran información detallada sobre la estructura y evolución de los principales agregados macroeconómicos del país.</w:t>
      </w:r>
    </w:p>
    <w:p w14:paraId="67888D4E" w14:textId="4EC670BD" w:rsidR="009D0C99" w:rsidRPr="009A45F4" w:rsidRDefault="009D0C99" w:rsidP="00994BB9">
      <w:pPr>
        <w:pStyle w:val="Textoindependiente"/>
        <w:spacing w:before="360"/>
        <w:rPr>
          <w:rFonts w:ascii="Arial" w:hAnsi="Arial" w:cs="Arial"/>
          <w:lang w:val="es-MX"/>
        </w:rPr>
      </w:pPr>
      <w:r w:rsidRPr="00713947">
        <w:rPr>
          <w:rFonts w:ascii="Arial" w:hAnsi="Arial" w:cs="Arial"/>
        </w:rPr>
        <w:t>Las cuentas contienen los resultados en valores corrientes de las principales variables macroeconómicas. Asimismo integra información de la mayoría de los agregados macroeconómicos medidos a precios constantes de 2013, y los consecuentes índices de precios implícitos. La información se complementa con las respectivas estructuras relativas y las variaciones porcentuales anuales de las variables.</w:t>
      </w:r>
      <w:r w:rsidR="009A45F4" w:rsidRPr="00713947">
        <w:rPr>
          <w:rFonts w:ascii="Arial" w:hAnsi="Arial" w:cs="Arial"/>
          <w:lang w:val="es-MX"/>
        </w:rPr>
        <w:t xml:space="preserve"> Las series se presentan en su versión ampliada para el periodo 2003 a 20</w:t>
      </w:r>
      <w:r w:rsidR="00782122" w:rsidRPr="00713947">
        <w:rPr>
          <w:rFonts w:ascii="Arial" w:hAnsi="Arial" w:cs="Arial"/>
          <w:lang w:val="es-MX"/>
        </w:rPr>
        <w:t>20</w:t>
      </w:r>
      <w:r w:rsidR="009A45F4" w:rsidRPr="00713947">
        <w:rPr>
          <w:rFonts w:ascii="Arial" w:hAnsi="Arial" w:cs="Arial"/>
          <w:lang w:val="es-MX"/>
        </w:rPr>
        <w:t xml:space="preserve"> y en su versión reducida para el periodo 1993 a 20</w:t>
      </w:r>
      <w:r w:rsidR="00782122" w:rsidRPr="00713947">
        <w:rPr>
          <w:rFonts w:ascii="Arial" w:hAnsi="Arial" w:cs="Arial"/>
          <w:lang w:val="es-MX"/>
        </w:rPr>
        <w:t>20</w:t>
      </w:r>
      <w:r w:rsidR="009A45F4" w:rsidRPr="00713947">
        <w:rPr>
          <w:rFonts w:ascii="Arial" w:hAnsi="Arial" w:cs="Arial"/>
          <w:lang w:val="es-MX"/>
        </w:rPr>
        <w:t>.</w:t>
      </w:r>
    </w:p>
    <w:p w14:paraId="575D0D60" w14:textId="140A3B10" w:rsidR="00ED71F9" w:rsidRPr="006D3F7A" w:rsidRDefault="00ED71F9" w:rsidP="00994BB9">
      <w:pPr>
        <w:pStyle w:val="Textoindependiente"/>
        <w:spacing w:before="720"/>
        <w:rPr>
          <w:rFonts w:ascii="Arial" w:hAnsi="Arial" w:cs="Arial"/>
          <w:b/>
          <w:iCs/>
          <w:smallCaps/>
        </w:rPr>
      </w:pPr>
      <w:r w:rsidRPr="006D3F7A">
        <w:rPr>
          <w:rFonts w:ascii="Arial" w:hAnsi="Arial" w:cs="Arial"/>
          <w:b/>
          <w:iCs/>
          <w:smallCaps/>
        </w:rPr>
        <w:t>Principales Resultados</w:t>
      </w:r>
    </w:p>
    <w:p w14:paraId="27D7024E" w14:textId="77777777" w:rsidR="00ED71F9" w:rsidRPr="006D3F7A" w:rsidRDefault="00ED71F9" w:rsidP="00994BB9">
      <w:pPr>
        <w:pStyle w:val="n01"/>
        <w:keepLines w:val="0"/>
        <w:spacing w:before="480"/>
        <w:ind w:left="0" w:firstLine="0"/>
        <w:outlineLvl w:val="0"/>
        <w:rPr>
          <w:rFonts w:ascii="Arial" w:hAnsi="Arial" w:cs="Arial"/>
          <w:b/>
          <w:smallCaps/>
          <w:color w:val="auto"/>
          <w:lang w:val="es-MX"/>
        </w:rPr>
      </w:pPr>
      <w:r w:rsidRPr="006D3F7A">
        <w:rPr>
          <w:rFonts w:ascii="Arial" w:hAnsi="Arial" w:cs="Arial"/>
          <w:b/>
          <w:smallCaps/>
          <w:color w:val="auto"/>
          <w:lang w:val="es-MX"/>
        </w:rPr>
        <w:t>Oferta y Utilización Total</w:t>
      </w:r>
    </w:p>
    <w:p w14:paraId="7E80296C" w14:textId="5E2197E4" w:rsidR="00ED71F9" w:rsidRPr="00EB3764" w:rsidRDefault="00ED71F9" w:rsidP="00994BB9">
      <w:pPr>
        <w:pStyle w:val="Textoindependiente"/>
        <w:tabs>
          <w:tab w:val="center" w:pos="3348"/>
        </w:tabs>
        <w:spacing w:before="360"/>
        <w:rPr>
          <w:rFonts w:ascii="Arial" w:hAnsi="Arial" w:cs="Arial"/>
        </w:rPr>
      </w:pPr>
      <w:r w:rsidRPr="00EB3764">
        <w:rPr>
          <w:rFonts w:ascii="Arial" w:hAnsi="Arial" w:cs="Arial"/>
        </w:rPr>
        <w:t xml:space="preserve">Durante </w:t>
      </w:r>
      <w:r w:rsidR="00AB5F83" w:rsidRPr="00EB3764">
        <w:rPr>
          <w:rFonts w:ascii="Arial" w:hAnsi="Arial" w:cs="Arial"/>
        </w:rPr>
        <w:t>20</w:t>
      </w:r>
      <w:r w:rsidR="002F2271">
        <w:rPr>
          <w:rFonts w:ascii="Arial" w:hAnsi="Arial" w:cs="Arial"/>
          <w:lang w:val="es-MX"/>
        </w:rPr>
        <w:t>20</w:t>
      </w:r>
      <w:r w:rsidRPr="00EB3764">
        <w:rPr>
          <w:rFonts w:ascii="Arial" w:hAnsi="Arial" w:cs="Arial"/>
        </w:rPr>
        <w:t xml:space="preserve">, la oferta total de bienes y servicios (que es igual a la utilización total) se ubicó en </w:t>
      </w:r>
      <w:r w:rsidR="002F2271">
        <w:rPr>
          <w:rFonts w:ascii="Arial" w:hAnsi="Arial" w:cs="Arial"/>
          <w:lang w:val="es-MX"/>
        </w:rPr>
        <w:t>48</w:t>
      </w:r>
      <w:r w:rsidR="0002598E">
        <w:rPr>
          <w:rFonts w:ascii="Arial" w:hAnsi="Arial" w:cs="Arial"/>
          <w:lang w:val="es-MX"/>
        </w:rPr>
        <w:t xml:space="preserve"> </w:t>
      </w:r>
      <w:r w:rsidR="002F2271">
        <w:rPr>
          <w:rFonts w:ascii="Arial" w:hAnsi="Arial" w:cs="Arial"/>
          <w:lang w:val="es-MX"/>
        </w:rPr>
        <w:t>658</w:t>
      </w:r>
      <w:r w:rsidR="0002598E">
        <w:rPr>
          <w:rFonts w:ascii="Arial" w:hAnsi="Arial" w:cs="Arial"/>
          <w:lang w:val="es-MX"/>
        </w:rPr>
        <w:t xml:space="preserve"> </w:t>
      </w:r>
      <w:r w:rsidR="002F2271">
        <w:rPr>
          <w:rFonts w:ascii="Arial" w:hAnsi="Arial" w:cs="Arial"/>
          <w:lang w:val="es-MX"/>
        </w:rPr>
        <w:t>250</w:t>
      </w:r>
      <w:r w:rsidR="006D437B" w:rsidRPr="00EB3764">
        <w:rPr>
          <w:rFonts w:ascii="Arial" w:hAnsi="Arial" w:cs="Arial"/>
          <w:lang w:val="es-MX"/>
        </w:rPr>
        <w:t xml:space="preserve"> </w:t>
      </w:r>
      <w:r w:rsidRPr="00EB3764">
        <w:rPr>
          <w:rFonts w:ascii="Arial" w:hAnsi="Arial" w:cs="Arial"/>
        </w:rPr>
        <w:t>millones de pesos corrientes a precios de mercado</w:t>
      </w:r>
      <w:r w:rsidRPr="00EB3764">
        <w:rPr>
          <w:rFonts w:ascii="Arial" w:hAnsi="Arial" w:cs="Arial"/>
          <w:vertAlign w:val="superscript"/>
        </w:rPr>
        <w:footnoteReference w:id="4"/>
      </w:r>
      <w:r w:rsidR="00777D18">
        <w:rPr>
          <w:rFonts w:ascii="Arial" w:hAnsi="Arial" w:cs="Arial"/>
          <w:lang w:val="es-MX"/>
        </w:rPr>
        <w:t>. A su interior,</w:t>
      </w:r>
      <w:r w:rsidRPr="00EB3764">
        <w:rPr>
          <w:rFonts w:ascii="Arial" w:hAnsi="Arial" w:cs="Arial"/>
        </w:rPr>
        <w:t xml:space="preserve"> la producción total generada en el país representó 8</w:t>
      </w:r>
      <w:r w:rsidR="002F2271">
        <w:rPr>
          <w:rFonts w:ascii="Arial" w:hAnsi="Arial" w:cs="Arial"/>
          <w:lang w:val="es-MX"/>
        </w:rPr>
        <w:t>2.0</w:t>
      </w:r>
      <w:r w:rsidRPr="00EB3764">
        <w:rPr>
          <w:rFonts w:ascii="Arial" w:hAnsi="Arial" w:cs="Arial"/>
        </w:rPr>
        <w:t>% de dicha oferta y las importaciones</w:t>
      </w:r>
      <w:r w:rsidRPr="00EB3764">
        <w:rPr>
          <w:rFonts w:ascii="Arial" w:hAnsi="Arial" w:cs="Arial"/>
          <w:vertAlign w:val="superscript"/>
        </w:rPr>
        <w:footnoteReference w:id="5"/>
      </w:r>
      <w:r w:rsidRPr="00EB3764">
        <w:rPr>
          <w:rFonts w:ascii="Arial" w:hAnsi="Arial" w:cs="Arial"/>
        </w:rPr>
        <w:t xml:space="preserve"> de bienes y servicios 1</w:t>
      </w:r>
      <w:r w:rsidR="002F1847" w:rsidRPr="00EB3764">
        <w:rPr>
          <w:rFonts w:ascii="Arial" w:hAnsi="Arial" w:cs="Arial"/>
          <w:lang w:val="es-MX"/>
        </w:rPr>
        <w:t>8.</w:t>
      </w:r>
      <w:r w:rsidR="002F2271">
        <w:rPr>
          <w:rFonts w:ascii="Arial" w:hAnsi="Arial" w:cs="Arial"/>
          <w:lang w:val="es-MX"/>
        </w:rPr>
        <w:t>0</w:t>
      </w:r>
      <w:r w:rsidRPr="00EB3764">
        <w:rPr>
          <w:rFonts w:ascii="Arial" w:hAnsi="Arial" w:cs="Arial"/>
        </w:rPr>
        <w:t xml:space="preserve"> por ciento.</w:t>
      </w:r>
    </w:p>
    <w:p w14:paraId="15C21231" w14:textId="77777777" w:rsidR="00ED71F9" w:rsidRPr="00EB3764" w:rsidRDefault="00ED71F9" w:rsidP="00ED71F9">
      <w:pPr>
        <w:jc w:val="both"/>
        <w:rPr>
          <w:rFonts w:ascii="Arial" w:hAnsi="Arial" w:cs="Arial"/>
          <w:highlight w:val="yellow"/>
        </w:rPr>
      </w:pPr>
    </w:p>
    <w:p w14:paraId="765C87D9" w14:textId="215DD820" w:rsidR="009D0C99" w:rsidRPr="00EB3764" w:rsidRDefault="009D0C99" w:rsidP="00994BB9">
      <w:pPr>
        <w:jc w:val="both"/>
        <w:rPr>
          <w:rFonts w:ascii="Arial" w:hAnsi="Arial" w:cs="Arial"/>
        </w:rPr>
      </w:pPr>
      <w:r w:rsidRPr="009F2B76">
        <w:rPr>
          <w:rFonts w:ascii="Arial" w:hAnsi="Arial" w:cs="Arial"/>
        </w:rPr>
        <w:t xml:space="preserve">En particular, la producción total </w:t>
      </w:r>
      <w:r w:rsidR="00777D18" w:rsidRPr="009F2B76">
        <w:rPr>
          <w:rFonts w:ascii="Arial" w:hAnsi="Arial" w:cs="Arial"/>
        </w:rPr>
        <w:t>(</w:t>
      </w:r>
      <w:r w:rsidRPr="009F2B76">
        <w:rPr>
          <w:rFonts w:ascii="Arial" w:hAnsi="Arial" w:cs="Arial"/>
        </w:rPr>
        <w:t>a precios de mercado</w:t>
      </w:r>
      <w:r w:rsidR="00777D18" w:rsidRPr="009F2B76">
        <w:rPr>
          <w:rFonts w:ascii="Arial" w:hAnsi="Arial" w:cs="Arial"/>
        </w:rPr>
        <w:t>)</w:t>
      </w:r>
      <w:r w:rsidRPr="009F2B76">
        <w:rPr>
          <w:rFonts w:ascii="Arial" w:hAnsi="Arial" w:cs="Arial"/>
        </w:rPr>
        <w:t xml:space="preserve"> </w:t>
      </w:r>
      <w:r w:rsidR="00DB4B09" w:rsidRPr="009F2B76">
        <w:rPr>
          <w:rFonts w:ascii="Arial" w:hAnsi="Arial" w:cs="Arial"/>
        </w:rPr>
        <w:t xml:space="preserve">que </w:t>
      </w:r>
      <w:r w:rsidRPr="009F2B76">
        <w:rPr>
          <w:rFonts w:ascii="Arial" w:hAnsi="Arial" w:cs="Arial"/>
        </w:rPr>
        <w:t xml:space="preserve">generó el país fue de </w:t>
      </w:r>
      <w:r w:rsidR="009F2B76">
        <w:rPr>
          <w:rFonts w:ascii="Arial" w:hAnsi="Arial" w:cs="Arial"/>
        </w:rPr>
        <w:t>38</w:t>
      </w:r>
      <w:r w:rsidR="0002598E">
        <w:rPr>
          <w:rFonts w:ascii="Arial" w:hAnsi="Arial" w:cs="Arial"/>
        </w:rPr>
        <w:t xml:space="preserve"> </w:t>
      </w:r>
      <w:r w:rsidR="009F2B76">
        <w:rPr>
          <w:rFonts w:ascii="Arial" w:hAnsi="Arial" w:cs="Arial"/>
        </w:rPr>
        <w:t>886</w:t>
      </w:r>
      <w:r w:rsidR="0002598E">
        <w:rPr>
          <w:rFonts w:ascii="Arial" w:hAnsi="Arial" w:cs="Arial"/>
        </w:rPr>
        <w:t xml:space="preserve"> </w:t>
      </w:r>
      <w:r w:rsidR="009F2B76">
        <w:rPr>
          <w:rFonts w:ascii="Arial" w:hAnsi="Arial" w:cs="Arial"/>
        </w:rPr>
        <w:t>218</w:t>
      </w:r>
      <w:r w:rsidRPr="009F2B76">
        <w:rPr>
          <w:rFonts w:ascii="Arial" w:hAnsi="Arial" w:cs="Arial"/>
        </w:rPr>
        <w:t xml:space="preserve"> millones de pesos en el año de referencia</w:t>
      </w:r>
      <w:r w:rsidRPr="008D3481">
        <w:rPr>
          <w:rFonts w:ascii="Arial" w:hAnsi="Arial" w:cs="Arial"/>
        </w:rPr>
        <w:t xml:space="preserve">. </w:t>
      </w:r>
      <w:r w:rsidRPr="00977D98">
        <w:rPr>
          <w:rFonts w:ascii="Arial" w:hAnsi="Arial" w:cs="Arial"/>
        </w:rPr>
        <w:t>De ésta,</w:t>
      </w:r>
      <w:r w:rsidRPr="008D3481">
        <w:rPr>
          <w:rFonts w:ascii="Arial" w:hAnsi="Arial" w:cs="Arial"/>
        </w:rPr>
        <w:t xml:space="preserve"> </w:t>
      </w:r>
      <w:r w:rsidR="00777D18" w:rsidRPr="008D3481">
        <w:rPr>
          <w:rFonts w:ascii="Arial" w:hAnsi="Arial" w:cs="Arial"/>
        </w:rPr>
        <w:t xml:space="preserve">el valor de </w:t>
      </w:r>
      <w:r w:rsidRPr="008D3481">
        <w:rPr>
          <w:rFonts w:ascii="Arial" w:hAnsi="Arial" w:cs="Arial"/>
        </w:rPr>
        <w:t xml:space="preserve">la producción de bienes y servicios destinados para el consumo intermedio constituyó </w:t>
      </w:r>
      <w:r w:rsidR="007D7541" w:rsidRPr="008D3481">
        <w:rPr>
          <w:rFonts w:ascii="Arial" w:hAnsi="Arial" w:cs="Arial"/>
        </w:rPr>
        <w:t>34.0</w:t>
      </w:r>
      <w:r w:rsidRPr="008D3481">
        <w:rPr>
          <w:rFonts w:ascii="Arial" w:hAnsi="Arial" w:cs="Arial"/>
        </w:rPr>
        <w:t>% y el Producto Interno Bruto</w:t>
      </w:r>
      <w:r w:rsidRPr="008D3481">
        <w:rPr>
          <w:rStyle w:val="Refdenotaalpie"/>
          <w:rFonts w:ascii="Arial" w:hAnsi="Arial" w:cs="Arial"/>
        </w:rPr>
        <w:footnoteReference w:id="6"/>
      </w:r>
      <w:r w:rsidRPr="008D3481">
        <w:rPr>
          <w:rFonts w:ascii="Arial" w:hAnsi="Arial" w:cs="Arial"/>
        </w:rPr>
        <w:t xml:space="preserve"> </w:t>
      </w:r>
      <w:r w:rsidR="007D7541" w:rsidRPr="008D3481">
        <w:rPr>
          <w:rFonts w:ascii="Arial" w:hAnsi="Arial" w:cs="Arial"/>
        </w:rPr>
        <w:t>48.0</w:t>
      </w:r>
      <w:r w:rsidR="00DD7B8C" w:rsidRPr="008D3481">
        <w:rPr>
          <w:rFonts w:ascii="Arial" w:hAnsi="Arial" w:cs="Arial"/>
        </w:rPr>
        <w:t xml:space="preserve"> por ciento</w:t>
      </w:r>
      <w:r w:rsidRPr="008D3481">
        <w:rPr>
          <w:rFonts w:ascii="Arial" w:hAnsi="Arial" w:cs="Arial"/>
        </w:rPr>
        <w:t>.</w:t>
      </w:r>
    </w:p>
    <w:p w14:paraId="56D47668" w14:textId="77777777" w:rsidR="009D0C99" w:rsidRPr="006D3F7A" w:rsidRDefault="009D0C99" w:rsidP="009D0C99">
      <w:pPr>
        <w:rPr>
          <w:rFonts w:ascii="Tahoma" w:hAnsi="Tahoma" w:cs="Tahoma"/>
          <w:sz w:val="2"/>
        </w:rPr>
      </w:pPr>
      <w:r w:rsidRPr="006D3F7A">
        <w:br w:type="page"/>
      </w:r>
    </w:p>
    <w:p w14:paraId="2FCF673F" w14:textId="77777777" w:rsidR="009D0C99" w:rsidRPr="00ED417B" w:rsidRDefault="009D0C99" w:rsidP="009D0C99">
      <w:pPr>
        <w:pStyle w:val="Textoindependiente"/>
        <w:tabs>
          <w:tab w:val="center" w:pos="3348"/>
        </w:tabs>
        <w:jc w:val="center"/>
        <w:rPr>
          <w:rFonts w:ascii="Arial" w:hAnsi="Arial" w:cs="Arial"/>
        </w:rPr>
      </w:pPr>
      <w:r w:rsidRPr="00ED417B">
        <w:rPr>
          <w:rFonts w:ascii="Arial" w:hAnsi="Arial" w:cs="Arial"/>
        </w:rPr>
        <w:lastRenderedPageBreak/>
        <w:t>Gráfica 1</w:t>
      </w:r>
    </w:p>
    <w:p w14:paraId="42B8B234" w14:textId="3497B15D" w:rsidR="009D0C99" w:rsidRPr="00ED417B" w:rsidRDefault="009D0C99" w:rsidP="009D0C99">
      <w:pPr>
        <w:pStyle w:val="Textoindependiente"/>
        <w:jc w:val="center"/>
        <w:rPr>
          <w:rFonts w:ascii="Arial" w:hAnsi="Arial" w:cs="Arial"/>
          <w:b/>
          <w:iCs/>
          <w:smallCaps/>
          <w:sz w:val="22"/>
          <w:szCs w:val="22"/>
          <w:lang w:val="es-MX"/>
        </w:rPr>
      </w:pPr>
      <w:r w:rsidRPr="00ED417B">
        <w:rPr>
          <w:rFonts w:ascii="Arial" w:hAnsi="Arial" w:cs="Arial"/>
          <w:b/>
          <w:iCs/>
          <w:smallCaps/>
          <w:sz w:val="22"/>
          <w:szCs w:val="22"/>
        </w:rPr>
        <w:t xml:space="preserve">Diagrama Oferta y Utilización Total, </w:t>
      </w:r>
      <w:r w:rsidR="00AB5F83" w:rsidRPr="00ED417B">
        <w:rPr>
          <w:rFonts w:ascii="Arial" w:hAnsi="Arial" w:cs="Arial"/>
          <w:b/>
          <w:iCs/>
          <w:smallCaps/>
          <w:sz w:val="22"/>
          <w:szCs w:val="22"/>
        </w:rPr>
        <w:t>20</w:t>
      </w:r>
      <w:r w:rsidR="00E7232B" w:rsidRPr="00ED417B">
        <w:rPr>
          <w:rFonts w:ascii="Arial" w:hAnsi="Arial" w:cs="Arial"/>
          <w:b/>
          <w:iCs/>
          <w:smallCaps/>
          <w:sz w:val="22"/>
          <w:szCs w:val="22"/>
          <w:lang w:val="es-MX"/>
        </w:rPr>
        <w:t>20</w:t>
      </w:r>
    </w:p>
    <w:p w14:paraId="42995852" w14:textId="77777777" w:rsidR="009D0C99" w:rsidRDefault="009D0C99" w:rsidP="009D0C99">
      <w:pPr>
        <w:pStyle w:val="Textoindependiente"/>
        <w:jc w:val="center"/>
        <w:rPr>
          <w:rFonts w:ascii="Arial" w:hAnsi="Arial" w:cs="Arial"/>
          <w:sz w:val="18"/>
          <w:szCs w:val="18"/>
        </w:rPr>
      </w:pPr>
      <w:r w:rsidRPr="00ED417B">
        <w:rPr>
          <w:rFonts w:ascii="Arial" w:hAnsi="Arial" w:cs="Arial"/>
          <w:sz w:val="18"/>
          <w:szCs w:val="18"/>
        </w:rPr>
        <w:t>(Porcentajes de la oferta/utilización)</w:t>
      </w:r>
    </w:p>
    <w:p w14:paraId="0FDE1D0E" w14:textId="2C3FBDBA" w:rsidR="009D0C99" w:rsidRPr="00A028E7" w:rsidRDefault="00DD7B8C" w:rsidP="009D0C99">
      <w:pPr>
        <w:pStyle w:val="Textoindependiente"/>
        <w:jc w:val="center"/>
        <w:rPr>
          <w:rFonts w:ascii="Arial" w:hAnsi="Arial" w:cs="Arial"/>
          <w:sz w:val="10"/>
          <w:szCs w:val="18"/>
        </w:rPr>
      </w:pPr>
      <w:r w:rsidRPr="00DD7B8C">
        <w:rPr>
          <w:rFonts w:ascii="Arial" w:hAnsi="Arial" w:cs="Arial"/>
          <w:sz w:val="10"/>
          <w:szCs w:val="18"/>
        </w:rPr>
        <w:t xml:space="preserve"> </w:t>
      </w:r>
      <w:r w:rsidR="00ED417B">
        <w:rPr>
          <w:noProof/>
        </w:rPr>
        <w:drawing>
          <wp:inline distT="0" distB="0" distL="0" distR="0" wp14:anchorId="68334CC6" wp14:editId="7D75D380">
            <wp:extent cx="5593715" cy="2303780"/>
            <wp:effectExtent l="0" t="0" r="6985" b="1270"/>
            <wp:docPr id="8" name="Imagen 8" descr="Imagen Grafic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Grafic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3715" cy="2303780"/>
                    </a:xfrm>
                    <a:prstGeom prst="rect">
                      <a:avLst/>
                    </a:prstGeom>
                    <a:noFill/>
                    <a:ln>
                      <a:noFill/>
                    </a:ln>
                  </pic:spPr>
                </pic:pic>
              </a:graphicData>
            </a:graphic>
          </wp:inline>
        </w:drawing>
      </w:r>
    </w:p>
    <w:p w14:paraId="0D3B8BA0" w14:textId="77777777" w:rsidR="007B5CCF" w:rsidRPr="008930EC" w:rsidRDefault="007B5CCF" w:rsidP="009D0C99">
      <w:pPr>
        <w:pStyle w:val="Textoindependiente"/>
        <w:ind w:left="-142"/>
        <w:jc w:val="center"/>
        <w:rPr>
          <w:rFonts w:ascii="Arial" w:hAnsi="Arial" w:cs="Arial"/>
          <w:noProof/>
          <w:sz w:val="4"/>
        </w:rPr>
      </w:pPr>
    </w:p>
    <w:p w14:paraId="05474972" w14:textId="1AD93D42" w:rsidR="00E7232B" w:rsidRDefault="00E7232B" w:rsidP="00EB3764">
      <w:pPr>
        <w:pStyle w:val="Textoindependiente"/>
        <w:ind w:left="142"/>
        <w:jc w:val="left"/>
        <w:rPr>
          <w:rFonts w:ascii="Arial" w:hAnsi="Arial" w:cs="Arial"/>
          <w:sz w:val="16"/>
          <w:szCs w:val="16"/>
        </w:rPr>
      </w:pPr>
      <w:r w:rsidRPr="00D12F35">
        <w:rPr>
          <w:rFonts w:ascii="Arial" w:hAnsi="Arial" w:cs="Arial"/>
          <w:sz w:val="16"/>
          <w:szCs w:val="16"/>
        </w:rPr>
        <w:t>NOTA: La suma de los componentes puede no coincidir con los totales debido al redondeo.</w:t>
      </w:r>
    </w:p>
    <w:p w14:paraId="3B768199" w14:textId="77F175F6" w:rsidR="009D0C99" w:rsidRPr="00EB3764" w:rsidRDefault="009D0C99" w:rsidP="00EB3764">
      <w:pPr>
        <w:pStyle w:val="Textoindependiente"/>
        <w:ind w:left="142"/>
        <w:jc w:val="left"/>
        <w:rPr>
          <w:rFonts w:ascii="Arial" w:hAnsi="Arial" w:cs="Arial"/>
          <w:sz w:val="16"/>
          <w:szCs w:val="16"/>
        </w:rPr>
      </w:pPr>
      <w:r w:rsidRPr="00EB3764">
        <w:rPr>
          <w:rFonts w:ascii="Arial" w:hAnsi="Arial" w:cs="Arial"/>
          <w:sz w:val="16"/>
          <w:szCs w:val="16"/>
        </w:rPr>
        <w:t>* Incluye la utilización de bienes importados.</w:t>
      </w:r>
    </w:p>
    <w:p w14:paraId="4C56A026" w14:textId="77777777" w:rsidR="009D0C99" w:rsidRPr="00EB3764" w:rsidRDefault="009D0C99" w:rsidP="00EB3764">
      <w:pPr>
        <w:pStyle w:val="Textoindependiente"/>
        <w:ind w:left="142"/>
        <w:jc w:val="left"/>
        <w:rPr>
          <w:rFonts w:ascii="Arial" w:hAnsi="Arial" w:cs="Arial"/>
          <w:sz w:val="16"/>
          <w:szCs w:val="16"/>
        </w:rPr>
      </w:pPr>
      <w:r w:rsidRPr="00EB3764">
        <w:rPr>
          <w:rFonts w:ascii="Arial" w:hAnsi="Arial" w:cs="Arial"/>
          <w:sz w:val="16"/>
          <w:szCs w:val="16"/>
        </w:rPr>
        <w:t>Fuente: INEGI.</w:t>
      </w:r>
    </w:p>
    <w:p w14:paraId="324ABC47" w14:textId="0B09A099" w:rsidR="009D0C99" w:rsidRPr="007A0065" w:rsidRDefault="009D0C99" w:rsidP="009A09CB">
      <w:pPr>
        <w:spacing w:before="360"/>
        <w:jc w:val="both"/>
        <w:rPr>
          <w:rFonts w:ascii="Arial" w:hAnsi="Arial" w:cs="Arial"/>
        </w:rPr>
      </w:pPr>
      <w:r w:rsidRPr="00E7232B">
        <w:rPr>
          <w:rFonts w:ascii="Arial" w:hAnsi="Arial" w:cs="Arial"/>
        </w:rPr>
        <w:t>La producción también se puede obtener a precios básicos</w:t>
      </w:r>
      <w:r w:rsidRPr="00E7232B">
        <w:rPr>
          <w:rStyle w:val="Refdenotaalpie"/>
          <w:rFonts w:ascii="Arial" w:hAnsi="Arial" w:cs="Arial"/>
        </w:rPr>
        <w:footnoteReference w:id="7"/>
      </w:r>
      <w:r w:rsidRPr="00E7232B">
        <w:rPr>
          <w:rFonts w:ascii="Arial" w:hAnsi="Arial" w:cs="Arial"/>
        </w:rPr>
        <w:t xml:space="preserve">, misma que en </w:t>
      </w:r>
      <w:r w:rsidR="00AB5F83" w:rsidRPr="00E7232B">
        <w:rPr>
          <w:rFonts w:ascii="Arial" w:hAnsi="Arial" w:cs="Arial"/>
        </w:rPr>
        <w:t>20</w:t>
      </w:r>
      <w:r w:rsidR="00F1338E">
        <w:rPr>
          <w:rFonts w:ascii="Arial" w:hAnsi="Arial" w:cs="Arial"/>
        </w:rPr>
        <w:t>20</w:t>
      </w:r>
      <w:r w:rsidRPr="00E7232B">
        <w:rPr>
          <w:rFonts w:ascii="Arial" w:hAnsi="Arial" w:cs="Arial"/>
        </w:rPr>
        <w:t xml:space="preserve"> registró un monto de </w:t>
      </w:r>
      <w:r w:rsidR="00E7232B">
        <w:rPr>
          <w:rFonts w:ascii="Arial" w:hAnsi="Arial" w:cs="Arial"/>
        </w:rPr>
        <w:t>38</w:t>
      </w:r>
      <w:r w:rsidR="0002598E">
        <w:rPr>
          <w:rFonts w:ascii="Arial" w:hAnsi="Arial" w:cs="Arial"/>
        </w:rPr>
        <w:t xml:space="preserve"> </w:t>
      </w:r>
      <w:r w:rsidR="00E7232B">
        <w:rPr>
          <w:rFonts w:ascii="Arial" w:hAnsi="Arial" w:cs="Arial"/>
        </w:rPr>
        <w:t>412</w:t>
      </w:r>
      <w:r w:rsidR="0002598E">
        <w:rPr>
          <w:rFonts w:ascii="Arial" w:hAnsi="Arial" w:cs="Arial"/>
        </w:rPr>
        <w:t xml:space="preserve"> </w:t>
      </w:r>
      <w:r w:rsidR="00E7232B">
        <w:rPr>
          <w:rFonts w:ascii="Arial" w:hAnsi="Arial" w:cs="Arial"/>
        </w:rPr>
        <w:t>869</w:t>
      </w:r>
      <w:r w:rsidRPr="00E7232B">
        <w:rPr>
          <w:rFonts w:ascii="Arial" w:hAnsi="Arial" w:cs="Arial"/>
        </w:rPr>
        <w:t xml:space="preserve"> millones de pesos corrientes. Ésta se clasifica en tres tipos: la que se destina al mercado para su venta</w:t>
      </w:r>
      <w:r w:rsidRPr="00E7232B">
        <w:rPr>
          <w:rStyle w:val="Refdenotaalpie"/>
          <w:rFonts w:ascii="Arial" w:hAnsi="Arial" w:cs="Arial"/>
        </w:rPr>
        <w:footnoteReference w:id="8"/>
      </w:r>
      <w:r w:rsidRPr="00E7232B">
        <w:rPr>
          <w:rFonts w:ascii="Arial" w:hAnsi="Arial" w:cs="Arial"/>
        </w:rPr>
        <w:t xml:space="preserve"> (que en el año de referencia tuvo una participación de 87.</w:t>
      </w:r>
      <w:r w:rsidR="00E7232B">
        <w:rPr>
          <w:rFonts w:ascii="Arial" w:hAnsi="Arial" w:cs="Arial"/>
        </w:rPr>
        <w:t>3</w:t>
      </w:r>
      <w:r w:rsidRPr="00E7232B">
        <w:rPr>
          <w:rFonts w:ascii="Arial" w:hAnsi="Arial" w:cs="Arial"/>
        </w:rPr>
        <w:t>%); la que se utiliza para uso final propio</w:t>
      </w:r>
      <w:r w:rsidRPr="00E7232B">
        <w:rPr>
          <w:rStyle w:val="Refdenotaalpie"/>
          <w:rFonts w:ascii="Arial" w:hAnsi="Arial" w:cs="Arial"/>
        </w:rPr>
        <w:footnoteReference w:id="9"/>
      </w:r>
      <w:r w:rsidRPr="00E7232B">
        <w:rPr>
          <w:rFonts w:ascii="Arial" w:hAnsi="Arial" w:cs="Arial"/>
        </w:rPr>
        <w:t xml:space="preserve"> (5</w:t>
      </w:r>
      <w:r w:rsidR="00C41F82" w:rsidRPr="00E7232B">
        <w:rPr>
          <w:rFonts w:ascii="Arial" w:hAnsi="Arial" w:cs="Arial"/>
        </w:rPr>
        <w:t>.1</w:t>
      </w:r>
      <w:r w:rsidRPr="00E7232B">
        <w:rPr>
          <w:rFonts w:ascii="Arial" w:hAnsi="Arial" w:cs="Arial"/>
        </w:rPr>
        <w:t>%) y otra producción no de mercado generada por las instituciones privadas sin fines de lucro o el gobierno general y que se proporciona de manera gratuita o a precios no económicamente significativos (7.</w:t>
      </w:r>
      <w:r w:rsidR="00E7232B">
        <w:rPr>
          <w:rFonts w:ascii="Arial" w:hAnsi="Arial" w:cs="Arial"/>
        </w:rPr>
        <w:t>6</w:t>
      </w:r>
      <w:r w:rsidR="0002598E">
        <w:rPr>
          <w:rFonts w:ascii="Arial" w:hAnsi="Arial" w:cs="Arial"/>
        </w:rPr>
        <w:t>%</w:t>
      </w:r>
      <w:r w:rsidRPr="00E7232B">
        <w:rPr>
          <w:rFonts w:ascii="Arial" w:hAnsi="Arial" w:cs="Arial"/>
        </w:rPr>
        <w:t>).</w:t>
      </w:r>
    </w:p>
    <w:p w14:paraId="7825CDE6" w14:textId="2F3D179E" w:rsidR="009D0C99" w:rsidRDefault="009D0C99" w:rsidP="009D0C99">
      <w:pPr>
        <w:pStyle w:val="Textoindependiente"/>
        <w:tabs>
          <w:tab w:val="center" w:pos="3348"/>
        </w:tabs>
        <w:spacing w:before="360"/>
        <w:rPr>
          <w:rFonts w:ascii="Arial" w:hAnsi="Arial" w:cs="Arial"/>
        </w:rPr>
      </w:pPr>
      <w:r w:rsidRPr="00E7232B">
        <w:rPr>
          <w:rFonts w:ascii="Arial" w:hAnsi="Arial" w:cs="Arial"/>
          <w:lang w:val="es-MX" w:eastAsia="es-MX"/>
        </w:rPr>
        <w:t>La oferta total disponible en el país fue utilizada, en el año de referencia, de la siguiente manera: 34.</w:t>
      </w:r>
      <w:r w:rsidR="00E7232B">
        <w:rPr>
          <w:rFonts w:ascii="Arial" w:hAnsi="Arial" w:cs="Arial"/>
          <w:lang w:val="es-MX" w:eastAsia="es-MX"/>
        </w:rPr>
        <w:t>0</w:t>
      </w:r>
      <w:r w:rsidRPr="00E7232B">
        <w:rPr>
          <w:rFonts w:ascii="Arial" w:hAnsi="Arial" w:cs="Arial"/>
          <w:lang w:val="es-MX" w:eastAsia="es-MX"/>
        </w:rPr>
        <w:t>% cubrió la demanda intermedia y el 6</w:t>
      </w:r>
      <w:r w:rsidR="00E7232B">
        <w:rPr>
          <w:rFonts w:ascii="Arial" w:hAnsi="Arial" w:cs="Arial"/>
          <w:lang w:val="es-MX" w:eastAsia="es-MX"/>
        </w:rPr>
        <w:t>6</w:t>
      </w:r>
      <w:r w:rsidRPr="00E7232B">
        <w:rPr>
          <w:rFonts w:ascii="Arial" w:hAnsi="Arial" w:cs="Arial"/>
          <w:lang w:val="es-MX" w:eastAsia="es-MX"/>
        </w:rPr>
        <w:t>.</w:t>
      </w:r>
      <w:r w:rsidR="00E7232B">
        <w:rPr>
          <w:rFonts w:ascii="Arial" w:hAnsi="Arial" w:cs="Arial"/>
          <w:lang w:val="es-MX" w:eastAsia="es-MX"/>
        </w:rPr>
        <w:t>0</w:t>
      </w:r>
      <w:r w:rsidRPr="00E7232B">
        <w:rPr>
          <w:rFonts w:ascii="Arial" w:hAnsi="Arial" w:cs="Arial"/>
          <w:lang w:val="es-MX" w:eastAsia="es-MX"/>
        </w:rPr>
        <w:t>% restante a la</w:t>
      </w:r>
      <w:r w:rsidRPr="00E7232B">
        <w:rPr>
          <w:rFonts w:ascii="Arial" w:hAnsi="Arial" w:cs="Arial"/>
          <w:lang w:val="es-MX"/>
        </w:rPr>
        <w:t xml:space="preserve"> </w:t>
      </w:r>
      <w:r w:rsidRPr="00E7232B">
        <w:rPr>
          <w:rFonts w:ascii="Arial" w:hAnsi="Arial" w:cs="Arial"/>
        </w:rPr>
        <w:t>demanda final</w:t>
      </w:r>
      <w:r w:rsidRPr="00E7232B">
        <w:rPr>
          <w:rStyle w:val="Refdenotaalpie"/>
          <w:rFonts w:ascii="Arial" w:hAnsi="Arial" w:cs="Arial"/>
        </w:rPr>
        <w:footnoteReference w:id="10"/>
      </w:r>
      <w:r w:rsidRPr="00E7232B">
        <w:rPr>
          <w:rFonts w:ascii="Arial" w:hAnsi="Arial" w:cs="Arial"/>
        </w:rPr>
        <w:t>; de esta última, 3</w:t>
      </w:r>
      <w:r w:rsidR="00E7232B">
        <w:rPr>
          <w:rFonts w:ascii="Arial" w:hAnsi="Arial" w:cs="Arial"/>
          <w:lang w:val="es-MX"/>
        </w:rPr>
        <w:t>6.3</w:t>
      </w:r>
      <w:r w:rsidRPr="00E7232B">
        <w:rPr>
          <w:rFonts w:ascii="Arial" w:hAnsi="Arial" w:cs="Arial"/>
        </w:rPr>
        <w:t>% se empleó en el consumo final, 1</w:t>
      </w:r>
      <w:r w:rsidR="00E7232B">
        <w:rPr>
          <w:rFonts w:ascii="Arial" w:hAnsi="Arial" w:cs="Arial"/>
          <w:lang w:val="es-MX"/>
        </w:rPr>
        <w:t>9.0</w:t>
      </w:r>
      <w:r w:rsidRPr="00E7232B">
        <w:rPr>
          <w:rFonts w:ascii="Arial" w:hAnsi="Arial" w:cs="Arial"/>
        </w:rPr>
        <w:t xml:space="preserve">% se exportó y </w:t>
      </w:r>
      <w:r w:rsidR="00E7232B">
        <w:rPr>
          <w:rFonts w:ascii="Arial" w:hAnsi="Arial" w:cs="Arial"/>
          <w:lang w:val="es-MX"/>
        </w:rPr>
        <w:t>10.7</w:t>
      </w:r>
      <w:r w:rsidRPr="00E7232B">
        <w:rPr>
          <w:rFonts w:ascii="Arial" w:hAnsi="Arial" w:cs="Arial"/>
        </w:rPr>
        <w:t xml:space="preserve">% de la utilización se </w:t>
      </w:r>
      <w:r w:rsidRPr="00E7232B">
        <w:rPr>
          <w:rFonts w:ascii="Arial" w:hAnsi="Arial" w:cs="Arial"/>
          <w:lang w:val="es-MX"/>
        </w:rPr>
        <w:t>destinó</w:t>
      </w:r>
      <w:r w:rsidRPr="00E7232B">
        <w:rPr>
          <w:rFonts w:ascii="Arial" w:hAnsi="Arial" w:cs="Arial"/>
        </w:rPr>
        <w:t xml:space="preserve"> a la formación bruta de capital</w:t>
      </w:r>
      <w:r w:rsidRPr="00E7232B">
        <w:rPr>
          <w:rStyle w:val="Refdenotaalpie"/>
          <w:rFonts w:ascii="Arial" w:hAnsi="Arial" w:cs="Arial"/>
        </w:rPr>
        <w:footnoteReference w:id="11"/>
      </w:r>
      <w:r w:rsidRPr="00E7232B">
        <w:rPr>
          <w:rFonts w:ascii="Arial" w:hAnsi="Arial" w:cs="Arial"/>
        </w:rPr>
        <w:t>.</w:t>
      </w:r>
    </w:p>
    <w:p w14:paraId="4024A892" w14:textId="77777777" w:rsidR="00713947" w:rsidRPr="007A0065" w:rsidRDefault="00713947" w:rsidP="009D0C99">
      <w:pPr>
        <w:pStyle w:val="Textoindependiente"/>
        <w:tabs>
          <w:tab w:val="center" w:pos="3348"/>
        </w:tabs>
        <w:spacing w:before="360"/>
        <w:rPr>
          <w:rFonts w:ascii="Arial" w:hAnsi="Arial" w:cs="Arial"/>
        </w:rPr>
      </w:pPr>
    </w:p>
    <w:p w14:paraId="5D58F626" w14:textId="77777777" w:rsidR="009D0C99" w:rsidRDefault="009D0C99" w:rsidP="009D0C99">
      <w:pPr>
        <w:pStyle w:val="n01"/>
        <w:keepLines w:val="0"/>
        <w:spacing w:before="600"/>
        <w:ind w:left="0" w:firstLine="0"/>
        <w:outlineLvl w:val="0"/>
        <w:rPr>
          <w:rFonts w:ascii="Arial" w:hAnsi="Arial" w:cs="Arial"/>
          <w:b/>
          <w:smallCaps/>
          <w:color w:val="auto"/>
          <w:lang w:val="es-MX"/>
        </w:rPr>
      </w:pPr>
      <w:r w:rsidRPr="006D3F7A">
        <w:rPr>
          <w:rFonts w:ascii="Arial" w:hAnsi="Arial" w:cs="Arial"/>
          <w:b/>
          <w:smallCaps/>
          <w:color w:val="auto"/>
          <w:lang w:val="es-MX"/>
        </w:rPr>
        <w:lastRenderedPageBreak/>
        <w:t>Distribución factorial del PIB</w:t>
      </w:r>
    </w:p>
    <w:p w14:paraId="38E80AEA" w14:textId="77777777" w:rsidR="009D0C99" w:rsidRDefault="009D0C99" w:rsidP="009D0C99">
      <w:pPr>
        <w:jc w:val="both"/>
        <w:rPr>
          <w:rFonts w:ascii="Arial" w:hAnsi="Arial" w:cs="Arial"/>
          <w:lang w:val="x-none" w:eastAsia="x-none"/>
        </w:rPr>
      </w:pPr>
    </w:p>
    <w:p w14:paraId="38F77731" w14:textId="77777777" w:rsidR="009D0C99" w:rsidRDefault="009D0C99" w:rsidP="009D0C99">
      <w:pPr>
        <w:jc w:val="both"/>
        <w:rPr>
          <w:rFonts w:ascii="Arial" w:hAnsi="Arial" w:cs="Arial"/>
          <w:lang w:val="x-none" w:eastAsia="x-none"/>
        </w:rPr>
      </w:pPr>
    </w:p>
    <w:p w14:paraId="08A477E2" w14:textId="00C73826" w:rsidR="009D0C99" w:rsidRPr="006D3F7A" w:rsidRDefault="009D0C99" w:rsidP="009D0C99">
      <w:pPr>
        <w:jc w:val="both"/>
        <w:rPr>
          <w:rFonts w:ascii="Arial" w:hAnsi="Arial" w:cs="Arial"/>
        </w:rPr>
      </w:pPr>
      <w:r w:rsidRPr="00A714F7">
        <w:rPr>
          <w:rFonts w:ascii="Arial" w:hAnsi="Arial" w:cs="Arial"/>
          <w:lang w:val="x-none" w:eastAsia="x-none"/>
        </w:rPr>
        <w:t xml:space="preserve">El Producto Interno Bruto de </w:t>
      </w:r>
      <w:r w:rsidR="00AB5F83">
        <w:rPr>
          <w:rFonts w:ascii="Arial" w:hAnsi="Arial" w:cs="Arial"/>
          <w:lang w:val="x-none" w:eastAsia="x-none"/>
        </w:rPr>
        <w:t>20</w:t>
      </w:r>
      <w:r w:rsidR="00EE7F94">
        <w:rPr>
          <w:rFonts w:ascii="Arial" w:hAnsi="Arial" w:cs="Arial"/>
          <w:lang w:eastAsia="x-none"/>
        </w:rPr>
        <w:t>20</w:t>
      </w:r>
      <w:r w:rsidRPr="00A714F7">
        <w:rPr>
          <w:rFonts w:ascii="Arial" w:hAnsi="Arial" w:cs="Arial"/>
          <w:lang w:val="x-none" w:eastAsia="x-none"/>
        </w:rPr>
        <w:t xml:space="preserve"> a precios de mercado </w:t>
      </w:r>
      <w:r w:rsidRPr="00A714F7">
        <w:rPr>
          <w:rFonts w:ascii="Arial" w:hAnsi="Arial" w:cs="Arial"/>
          <w:lang w:eastAsia="x-none"/>
        </w:rPr>
        <w:t>cerró en</w:t>
      </w:r>
      <w:r w:rsidRPr="00A714F7">
        <w:rPr>
          <w:rFonts w:ascii="Arial" w:hAnsi="Arial" w:cs="Arial"/>
          <w:lang w:val="x-none" w:eastAsia="x-none"/>
        </w:rPr>
        <w:t xml:space="preserve"> </w:t>
      </w:r>
      <w:r w:rsidR="00EE7F94">
        <w:rPr>
          <w:rFonts w:ascii="Arial" w:hAnsi="Arial" w:cs="Arial"/>
          <w:lang w:eastAsia="x-none"/>
        </w:rPr>
        <w:t>23</w:t>
      </w:r>
      <w:r w:rsidR="0002598E">
        <w:rPr>
          <w:rFonts w:ascii="Arial" w:hAnsi="Arial" w:cs="Arial"/>
          <w:lang w:eastAsia="x-none"/>
        </w:rPr>
        <w:t xml:space="preserve"> </w:t>
      </w:r>
      <w:r w:rsidR="00EE7F94">
        <w:rPr>
          <w:rFonts w:ascii="Arial" w:hAnsi="Arial" w:cs="Arial"/>
          <w:lang w:eastAsia="x-none"/>
        </w:rPr>
        <w:t>357</w:t>
      </w:r>
      <w:r w:rsidR="0002598E">
        <w:rPr>
          <w:rFonts w:ascii="Arial" w:hAnsi="Arial" w:cs="Arial"/>
          <w:lang w:eastAsia="x-none"/>
        </w:rPr>
        <w:t xml:space="preserve"> </w:t>
      </w:r>
      <w:r w:rsidR="00EE7F94">
        <w:rPr>
          <w:rFonts w:ascii="Arial" w:hAnsi="Arial" w:cs="Arial"/>
          <w:lang w:eastAsia="x-none"/>
        </w:rPr>
        <w:t>378</w:t>
      </w:r>
      <w:r w:rsidRPr="00A714F7">
        <w:rPr>
          <w:rFonts w:ascii="Arial" w:hAnsi="Arial" w:cs="Arial"/>
          <w:lang w:eastAsia="x-none"/>
        </w:rPr>
        <w:t xml:space="preserve"> </w:t>
      </w:r>
      <w:r w:rsidRPr="00A714F7">
        <w:rPr>
          <w:rFonts w:ascii="Arial" w:hAnsi="Arial" w:cs="Arial"/>
        </w:rPr>
        <w:t>millones de pesos corrientes, siendo su distribución factorial como sigue: el excedente empresarial derivado de las actividades productivas significó 6</w:t>
      </w:r>
      <w:r w:rsidR="00EE7F94">
        <w:rPr>
          <w:rFonts w:ascii="Arial" w:hAnsi="Arial" w:cs="Arial"/>
        </w:rPr>
        <w:t>4.7</w:t>
      </w:r>
      <w:r w:rsidRPr="00A714F7">
        <w:rPr>
          <w:rFonts w:ascii="Arial" w:hAnsi="Arial" w:cs="Arial"/>
        </w:rPr>
        <w:t xml:space="preserve">%, la remuneración de asalariados </w:t>
      </w:r>
      <w:r w:rsidRPr="00A714F7">
        <w:rPr>
          <w:rFonts w:ascii="Arial" w:hAnsi="Arial" w:cs="Arial"/>
          <w:lang w:val="x-none"/>
        </w:rPr>
        <w:t>2</w:t>
      </w:r>
      <w:r w:rsidR="00EE7F94">
        <w:rPr>
          <w:rFonts w:ascii="Arial" w:hAnsi="Arial" w:cs="Arial"/>
        </w:rPr>
        <w:t>8.4</w:t>
      </w:r>
      <w:r w:rsidRPr="00A714F7">
        <w:rPr>
          <w:rFonts w:ascii="Arial" w:hAnsi="Arial" w:cs="Arial"/>
        </w:rPr>
        <w:t xml:space="preserve">% y los impuestos a la producción e importaciones, netos de subsidios, representaron </w:t>
      </w:r>
      <w:r w:rsidRPr="00A714F7">
        <w:rPr>
          <w:rFonts w:ascii="Arial" w:hAnsi="Arial" w:cs="Arial"/>
          <w:lang w:val="x-none"/>
        </w:rPr>
        <w:t>6.</w:t>
      </w:r>
      <w:r w:rsidR="00EE7F94">
        <w:rPr>
          <w:rFonts w:ascii="Arial" w:hAnsi="Arial" w:cs="Arial"/>
        </w:rPr>
        <w:t>9</w:t>
      </w:r>
      <w:r w:rsidRPr="00A714F7">
        <w:rPr>
          <w:rFonts w:ascii="Arial" w:hAnsi="Arial" w:cs="Arial"/>
        </w:rPr>
        <w:t xml:space="preserve"> por ciento.</w:t>
      </w:r>
    </w:p>
    <w:p w14:paraId="2897CDDA" w14:textId="77777777" w:rsidR="009D0C99" w:rsidRPr="009E1EE6" w:rsidRDefault="009D0C99" w:rsidP="009D0C99">
      <w:pPr>
        <w:pStyle w:val="Textoindependiente"/>
        <w:tabs>
          <w:tab w:val="center" w:pos="3348"/>
        </w:tabs>
        <w:spacing w:before="960"/>
        <w:jc w:val="center"/>
        <w:rPr>
          <w:rFonts w:ascii="Arial" w:hAnsi="Arial" w:cs="Arial"/>
        </w:rPr>
      </w:pPr>
      <w:r w:rsidRPr="009E1EE6">
        <w:rPr>
          <w:rFonts w:ascii="Arial" w:hAnsi="Arial" w:cs="Arial"/>
        </w:rPr>
        <w:t>Cuadro 1</w:t>
      </w:r>
    </w:p>
    <w:p w14:paraId="62C0F93D" w14:textId="69D7EB39" w:rsidR="009D0C99" w:rsidRDefault="009D0C99" w:rsidP="009D0C99">
      <w:pPr>
        <w:pStyle w:val="Textoindependiente"/>
        <w:tabs>
          <w:tab w:val="center" w:pos="3348"/>
        </w:tabs>
        <w:jc w:val="center"/>
        <w:rPr>
          <w:rFonts w:ascii="Arial" w:hAnsi="Arial" w:cs="Arial"/>
          <w:b/>
          <w:smallCaps/>
          <w:sz w:val="22"/>
          <w:szCs w:val="22"/>
          <w:lang w:val="es-MX"/>
        </w:rPr>
      </w:pPr>
      <w:r w:rsidRPr="009E1EE6">
        <w:rPr>
          <w:rFonts w:ascii="Arial" w:hAnsi="Arial" w:cs="Arial"/>
          <w:b/>
          <w:smallCaps/>
          <w:sz w:val="22"/>
          <w:szCs w:val="22"/>
        </w:rPr>
        <w:t xml:space="preserve">Distribución factorial del Producto Interno Bruto durante </w:t>
      </w:r>
      <w:r w:rsidR="00AB5F83">
        <w:rPr>
          <w:rFonts w:ascii="Arial" w:hAnsi="Arial" w:cs="Arial"/>
          <w:b/>
          <w:smallCaps/>
          <w:sz w:val="22"/>
          <w:szCs w:val="22"/>
        </w:rPr>
        <w:t>20</w:t>
      </w:r>
      <w:r w:rsidR="00A830B6">
        <w:rPr>
          <w:rFonts w:ascii="Arial" w:hAnsi="Arial" w:cs="Arial"/>
          <w:b/>
          <w:smallCaps/>
          <w:sz w:val="22"/>
          <w:szCs w:val="22"/>
          <w:lang w:val="es-MX"/>
        </w:rPr>
        <w:t>20</w:t>
      </w:r>
    </w:p>
    <w:tbl>
      <w:tblPr>
        <w:tblW w:w="6960" w:type="dxa"/>
        <w:jc w:val="center"/>
        <w:tblCellMar>
          <w:left w:w="70" w:type="dxa"/>
          <w:right w:w="70" w:type="dxa"/>
        </w:tblCellMar>
        <w:tblLook w:val="04A0" w:firstRow="1" w:lastRow="0" w:firstColumn="1" w:lastColumn="0" w:noHBand="0" w:noVBand="1"/>
      </w:tblPr>
      <w:tblGrid>
        <w:gridCol w:w="3840"/>
        <w:gridCol w:w="1828"/>
        <w:gridCol w:w="1292"/>
      </w:tblGrid>
      <w:tr w:rsidR="004F017B" w:rsidRPr="00F0626E" w14:paraId="37E00405" w14:textId="77777777" w:rsidTr="00E432AF">
        <w:trPr>
          <w:trHeight w:val="600"/>
          <w:jc w:val="center"/>
        </w:trPr>
        <w:tc>
          <w:tcPr>
            <w:tcW w:w="3840"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1E80E12B" w14:textId="77777777" w:rsidR="004F017B" w:rsidRPr="00F0626E" w:rsidRDefault="004F017B" w:rsidP="00E432AF">
            <w:pPr>
              <w:jc w:val="center"/>
              <w:rPr>
                <w:rFonts w:ascii="Arial" w:eastAsia="Times New Roman" w:hAnsi="Arial" w:cs="Arial"/>
                <w:b/>
                <w:bCs/>
                <w:color w:val="FFFFFF"/>
                <w:sz w:val="20"/>
                <w:szCs w:val="20"/>
              </w:rPr>
            </w:pPr>
            <w:r w:rsidRPr="00F0626E">
              <w:rPr>
                <w:rFonts w:ascii="Arial" w:eastAsia="Times New Roman" w:hAnsi="Arial" w:cs="Arial"/>
                <w:b/>
                <w:bCs/>
                <w:color w:val="FFFFFF"/>
                <w:sz w:val="20"/>
                <w:szCs w:val="20"/>
              </w:rPr>
              <w:t>Factor de producción</w:t>
            </w:r>
          </w:p>
        </w:tc>
        <w:tc>
          <w:tcPr>
            <w:tcW w:w="1828" w:type="dxa"/>
            <w:tcBorders>
              <w:top w:val="single" w:sz="4" w:space="0" w:color="auto"/>
              <w:left w:val="nil"/>
              <w:bottom w:val="single" w:sz="4" w:space="0" w:color="auto"/>
              <w:right w:val="single" w:sz="4" w:space="0" w:color="auto"/>
            </w:tcBorders>
            <w:shd w:val="clear" w:color="auto" w:fill="1F3864"/>
            <w:vAlign w:val="center"/>
            <w:hideMark/>
          </w:tcPr>
          <w:p w14:paraId="514AE05F" w14:textId="77777777" w:rsidR="004F017B" w:rsidRPr="00F0626E" w:rsidRDefault="004F017B" w:rsidP="00E432AF">
            <w:pPr>
              <w:jc w:val="center"/>
              <w:rPr>
                <w:rFonts w:ascii="Arial" w:eastAsia="Times New Roman" w:hAnsi="Arial" w:cs="Arial"/>
                <w:b/>
                <w:bCs/>
                <w:color w:val="FFFFFF"/>
                <w:sz w:val="20"/>
                <w:szCs w:val="20"/>
              </w:rPr>
            </w:pPr>
            <w:r w:rsidRPr="00F0626E">
              <w:rPr>
                <w:rFonts w:ascii="Arial" w:eastAsia="Times New Roman" w:hAnsi="Arial" w:cs="Arial"/>
                <w:b/>
                <w:bCs/>
                <w:color w:val="FFFFFF"/>
                <w:sz w:val="20"/>
                <w:szCs w:val="20"/>
              </w:rPr>
              <w:t>Millones de pesos corrientes</w:t>
            </w:r>
          </w:p>
        </w:tc>
        <w:tc>
          <w:tcPr>
            <w:tcW w:w="1292" w:type="dxa"/>
            <w:tcBorders>
              <w:top w:val="single" w:sz="4" w:space="0" w:color="auto"/>
              <w:left w:val="nil"/>
              <w:bottom w:val="single" w:sz="4" w:space="0" w:color="auto"/>
              <w:right w:val="single" w:sz="4" w:space="0" w:color="auto"/>
            </w:tcBorders>
            <w:shd w:val="clear" w:color="auto" w:fill="1F3864"/>
            <w:vAlign w:val="center"/>
            <w:hideMark/>
          </w:tcPr>
          <w:p w14:paraId="408E8DBB" w14:textId="77777777" w:rsidR="004F017B" w:rsidRPr="00F0626E" w:rsidRDefault="004F017B" w:rsidP="00E432AF">
            <w:pPr>
              <w:jc w:val="center"/>
              <w:rPr>
                <w:rFonts w:ascii="Arial" w:eastAsia="Times New Roman" w:hAnsi="Arial" w:cs="Arial"/>
                <w:b/>
                <w:bCs/>
                <w:color w:val="FFFFFF"/>
                <w:sz w:val="20"/>
                <w:szCs w:val="20"/>
              </w:rPr>
            </w:pPr>
            <w:r w:rsidRPr="00F0626E">
              <w:rPr>
                <w:rFonts w:ascii="Arial" w:eastAsia="Times New Roman" w:hAnsi="Arial" w:cs="Arial"/>
                <w:b/>
                <w:bCs/>
                <w:color w:val="FFFFFF"/>
                <w:sz w:val="20"/>
                <w:szCs w:val="20"/>
              </w:rPr>
              <w:t>Estructura %</w:t>
            </w:r>
          </w:p>
        </w:tc>
      </w:tr>
      <w:tr w:rsidR="004F017B" w:rsidRPr="00F0626E" w14:paraId="47F72922" w14:textId="77777777" w:rsidTr="00E432AF">
        <w:trPr>
          <w:trHeight w:val="465"/>
          <w:jc w:val="center"/>
        </w:trPr>
        <w:tc>
          <w:tcPr>
            <w:tcW w:w="3840" w:type="dxa"/>
            <w:tcBorders>
              <w:top w:val="nil"/>
              <w:left w:val="single" w:sz="4" w:space="0" w:color="auto"/>
              <w:bottom w:val="nil"/>
              <w:right w:val="single" w:sz="4" w:space="0" w:color="auto"/>
            </w:tcBorders>
            <w:shd w:val="clear" w:color="auto" w:fill="auto"/>
            <w:noWrap/>
            <w:vAlign w:val="bottom"/>
            <w:hideMark/>
          </w:tcPr>
          <w:p w14:paraId="2806F96D" w14:textId="77777777" w:rsidR="004F017B" w:rsidRPr="00F0626E" w:rsidRDefault="004F017B" w:rsidP="00E432AF">
            <w:pPr>
              <w:ind w:left="67"/>
              <w:rPr>
                <w:rFonts w:ascii="Arial" w:eastAsia="Times New Roman" w:hAnsi="Arial" w:cs="Arial"/>
                <w:b/>
                <w:bCs/>
                <w:color w:val="000000"/>
                <w:sz w:val="20"/>
                <w:szCs w:val="20"/>
              </w:rPr>
            </w:pPr>
            <w:r w:rsidRPr="00F0626E">
              <w:rPr>
                <w:rFonts w:ascii="Arial" w:eastAsia="Times New Roman" w:hAnsi="Arial" w:cs="Arial"/>
                <w:b/>
                <w:bCs/>
                <w:color w:val="000000"/>
                <w:sz w:val="20"/>
                <w:szCs w:val="20"/>
              </w:rPr>
              <w:t>PIB a precios de mercado</w:t>
            </w:r>
          </w:p>
        </w:tc>
        <w:tc>
          <w:tcPr>
            <w:tcW w:w="1828" w:type="dxa"/>
            <w:tcBorders>
              <w:top w:val="nil"/>
              <w:left w:val="nil"/>
              <w:bottom w:val="nil"/>
              <w:right w:val="single" w:sz="4" w:space="0" w:color="auto"/>
            </w:tcBorders>
            <w:shd w:val="clear" w:color="auto" w:fill="auto"/>
            <w:noWrap/>
            <w:vAlign w:val="bottom"/>
            <w:hideMark/>
          </w:tcPr>
          <w:p w14:paraId="2E9B9A9F" w14:textId="733E124F" w:rsidR="004F017B" w:rsidRPr="00F0626E" w:rsidRDefault="004F017B" w:rsidP="00E432AF">
            <w:pPr>
              <w:ind w:right="268" w:firstLineChars="168" w:firstLine="337"/>
              <w:jc w:val="right"/>
              <w:rPr>
                <w:rFonts w:ascii="Arial" w:eastAsia="Times New Roman" w:hAnsi="Arial" w:cs="Arial"/>
                <w:b/>
                <w:bCs/>
                <w:color w:val="000000"/>
                <w:sz w:val="20"/>
                <w:szCs w:val="20"/>
              </w:rPr>
            </w:pPr>
            <w:r w:rsidRPr="00F0626E">
              <w:rPr>
                <w:rFonts w:ascii="Arial" w:eastAsia="Times New Roman" w:hAnsi="Arial" w:cs="Arial"/>
                <w:b/>
                <w:bCs/>
                <w:color w:val="000000"/>
                <w:sz w:val="20"/>
                <w:szCs w:val="20"/>
              </w:rPr>
              <w:t>2</w:t>
            </w:r>
            <w:r>
              <w:rPr>
                <w:rFonts w:ascii="Arial" w:eastAsia="Times New Roman" w:hAnsi="Arial" w:cs="Arial"/>
                <w:b/>
                <w:bCs/>
                <w:color w:val="000000"/>
                <w:sz w:val="20"/>
                <w:szCs w:val="20"/>
              </w:rPr>
              <w:t>3</w:t>
            </w:r>
            <w:r w:rsidR="0002598E">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357</w:t>
            </w:r>
            <w:r w:rsidR="0002598E">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378</w:t>
            </w:r>
          </w:p>
        </w:tc>
        <w:tc>
          <w:tcPr>
            <w:tcW w:w="1292" w:type="dxa"/>
            <w:tcBorders>
              <w:top w:val="nil"/>
              <w:left w:val="nil"/>
              <w:bottom w:val="nil"/>
              <w:right w:val="single" w:sz="4" w:space="0" w:color="auto"/>
            </w:tcBorders>
            <w:shd w:val="clear" w:color="auto" w:fill="auto"/>
            <w:noWrap/>
            <w:vAlign w:val="bottom"/>
            <w:hideMark/>
          </w:tcPr>
          <w:p w14:paraId="22879F4E" w14:textId="77777777" w:rsidR="004F017B" w:rsidRPr="00F0626E" w:rsidRDefault="004F017B" w:rsidP="00E432AF">
            <w:pPr>
              <w:ind w:right="217" w:firstLineChars="149" w:firstLine="299"/>
              <w:jc w:val="right"/>
              <w:rPr>
                <w:rFonts w:ascii="Arial" w:eastAsia="Times New Roman" w:hAnsi="Arial" w:cs="Arial"/>
                <w:b/>
                <w:bCs/>
                <w:color w:val="000000"/>
                <w:sz w:val="20"/>
                <w:szCs w:val="20"/>
              </w:rPr>
            </w:pPr>
            <w:r w:rsidRPr="00F0626E">
              <w:rPr>
                <w:rFonts w:ascii="Arial" w:eastAsia="Times New Roman" w:hAnsi="Arial" w:cs="Arial"/>
                <w:b/>
                <w:bCs/>
                <w:color w:val="000000"/>
                <w:sz w:val="20"/>
                <w:szCs w:val="20"/>
              </w:rPr>
              <w:t>100.0</w:t>
            </w:r>
          </w:p>
        </w:tc>
      </w:tr>
      <w:tr w:rsidR="004F017B" w:rsidRPr="00F0626E" w14:paraId="6132C2F3" w14:textId="77777777" w:rsidTr="00E432AF">
        <w:trPr>
          <w:trHeight w:val="315"/>
          <w:jc w:val="center"/>
        </w:trPr>
        <w:tc>
          <w:tcPr>
            <w:tcW w:w="3840" w:type="dxa"/>
            <w:tcBorders>
              <w:top w:val="nil"/>
              <w:left w:val="single" w:sz="4" w:space="0" w:color="auto"/>
              <w:bottom w:val="nil"/>
              <w:right w:val="single" w:sz="4" w:space="0" w:color="auto"/>
            </w:tcBorders>
            <w:shd w:val="clear" w:color="auto" w:fill="auto"/>
            <w:noWrap/>
            <w:vAlign w:val="bottom"/>
            <w:hideMark/>
          </w:tcPr>
          <w:p w14:paraId="6FF1E739" w14:textId="77777777" w:rsidR="004F017B" w:rsidRPr="00F0626E" w:rsidRDefault="004F017B" w:rsidP="00E432AF">
            <w:pPr>
              <w:spacing w:after="120"/>
              <w:ind w:left="204"/>
              <w:rPr>
                <w:rFonts w:ascii="Arial" w:eastAsia="Times New Roman" w:hAnsi="Arial" w:cs="Arial"/>
                <w:color w:val="000000"/>
                <w:sz w:val="20"/>
                <w:szCs w:val="20"/>
              </w:rPr>
            </w:pPr>
            <w:r w:rsidRPr="00F0626E">
              <w:rPr>
                <w:rFonts w:ascii="Arial" w:eastAsia="Times New Roman" w:hAnsi="Arial" w:cs="Arial"/>
                <w:color w:val="000000"/>
                <w:sz w:val="20"/>
                <w:szCs w:val="20"/>
              </w:rPr>
              <w:t>Remuneración de asalariados</w:t>
            </w:r>
          </w:p>
        </w:tc>
        <w:tc>
          <w:tcPr>
            <w:tcW w:w="1828" w:type="dxa"/>
            <w:tcBorders>
              <w:top w:val="nil"/>
              <w:left w:val="nil"/>
              <w:bottom w:val="nil"/>
              <w:right w:val="single" w:sz="4" w:space="0" w:color="auto"/>
            </w:tcBorders>
            <w:shd w:val="clear" w:color="auto" w:fill="auto"/>
            <w:noWrap/>
            <w:vAlign w:val="bottom"/>
            <w:hideMark/>
          </w:tcPr>
          <w:p w14:paraId="2E4068CC" w14:textId="159E4467" w:rsidR="004F017B" w:rsidRPr="00ED61A6" w:rsidRDefault="004F017B" w:rsidP="00E432AF">
            <w:pPr>
              <w:ind w:right="268" w:firstLineChars="168" w:firstLine="336"/>
              <w:jc w:val="right"/>
              <w:rPr>
                <w:rFonts w:ascii="Arial" w:eastAsia="Times New Roman" w:hAnsi="Arial" w:cs="Arial"/>
                <w:color w:val="000000"/>
                <w:sz w:val="20"/>
                <w:szCs w:val="20"/>
              </w:rPr>
            </w:pPr>
            <w:r w:rsidRPr="00ED61A6">
              <w:rPr>
                <w:rFonts w:ascii="Arial" w:eastAsia="Times New Roman" w:hAnsi="Arial" w:cs="Arial"/>
                <w:color w:val="000000"/>
                <w:sz w:val="20"/>
                <w:szCs w:val="20"/>
              </w:rPr>
              <w:t>6</w:t>
            </w:r>
            <w:r w:rsidR="0002598E">
              <w:rPr>
                <w:rFonts w:ascii="Arial" w:eastAsia="Times New Roman" w:hAnsi="Arial" w:cs="Arial"/>
                <w:color w:val="000000"/>
                <w:sz w:val="20"/>
                <w:szCs w:val="20"/>
              </w:rPr>
              <w:t xml:space="preserve"> </w:t>
            </w:r>
            <w:r>
              <w:rPr>
                <w:rFonts w:ascii="Arial" w:eastAsia="Times New Roman" w:hAnsi="Arial" w:cs="Arial"/>
                <w:color w:val="000000"/>
                <w:sz w:val="20"/>
                <w:szCs w:val="20"/>
              </w:rPr>
              <w:t>635</w:t>
            </w:r>
            <w:r w:rsidR="0002598E">
              <w:rPr>
                <w:rFonts w:ascii="Arial" w:eastAsia="Times New Roman" w:hAnsi="Arial" w:cs="Arial"/>
                <w:color w:val="000000"/>
                <w:sz w:val="20"/>
                <w:szCs w:val="20"/>
              </w:rPr>
              <w:t xml:space="preserve"> </w:t>
            </w:r>
            <w:r w:rsidRPr="00ED61A6">
              <w:rPr>
                <w:rFonts w:ascii="Arial" w:eastAsia="Times New Roman" w:hAnsi="Arial" w:cs="Arial"/>
                <w:color w:val="000000"/>
                <w:sz w:val="20"/>
                <w:szCs w:val="20"/>
              </w:rPr>
              <w:t>0</w:t>
            </w:r>
            <w:r>
              <w:rPr>
                <w:rFonts w:ascii="Arial" w:eastAsia="Times New Roman" w:hAnsi="Arial" w:cs="Arial"/>
                <w:color w:val="000000"/>
                <w:sz w:val="20"/>
                <w:szCs w:val="20"/>
              </w:rPr>
              <w:t>80</w:t>
            </w:r>
          </w:p>
        </w:tc>
        <w:tc>
          <w:tcPr>
            <w:tcW w:w="1292" w:type="dxa"/>
            <w:tcBorders>
              <w:top w:val="nil"/>
              <w:left w:val="nil"/>
              <w:bottom w:val="nil"/>
              <w:right w:val="single" w:sz="4" w:space="0" w:color="auto"/>
            </w:tcBorders>
            <w:shd w:val="clear" w:color="auto" w:fill="auto"/>
            <w:noWrap/>
            <w:vAlign w:val="bottom"/>
            <w:hideMark/>
          </w:tcPr>
          <w:p w14:paraId="780133F2" w14:textId="77777777" w:rsidR="004F017B" w:rsidRPr="00F0626E" w:rsidRDefault="004F017B" w:rsidP="00E432AF">
            <w:pPr>
              <w:ind w:right="217" w:firstLineChars="79" w:firstLine="158"/>
              <w:jc w:val="right"/>
              <w:rPr>
                <w:rFonts w:ascii="Arial" w:eastAsia="Times New Roman" w:hAnsi="Arial" w:cs="Arial"/>
                <w:color w:val="000000"/>
                <w:sz w:val="20"/>
                <w:szCs w:val="20"/>
              </w:rPr>
            </w:pPr>
            <w:r w:rsidRPr="00F0626E">
              <w:rPr>
                <w:rFonts w:ascii="Arial" w:eastAsia="Times New Roman" w:hAnsi="Arial" w:cs="Arial"/>
                <w:color w:val="000000"/>
                <w:sz w:val="20"/>
                <w:szCs w:val="20"/>
              </w:rPr>
              <w:t>2</w:t>
            </w:r>
            <w:r>
              <w:rPr>
                <w:rFonts w:ascii="Arial" w:eastAsia="Times New Roman" w:hAnsi="Arial" w:cs="Arial"/>
                <w:color w:val="000000"/>
                <w:sz w:val="20"/>
                <w:szCs w:val="20"/>
              </w:rPr>
              <w:t>8.4</w:t>
            </w:r>
          </w:p>
        </w:tc>
      </w:tr>
      <w:tr w:rsidR="004F017B" w:rsidRPr="00F0626E" w14:paraId="6167E11D" w14:textId="77777777" w:rsidTr="00E432AF">
        <w:trPr>
          <w:trHeight w:val="315"/>
          <w:jc w:val="center"/>
        </w:trPr>
        <w:tc>
          <w:tcPr>
            <w:tcW w:w="3840" w:type="dxa"/>
            <w:tcBorders>
              <w:top w:val="nil"/>
              <w:left w:val="single" w:sz="4" w:space="0" w:color="auto"/>
              <w:bottom w:val="nil"/>
              <w:right w:val="single" w:sz="4" w:space="0" w:color="auto"/>
            </w:tcBorders>
            <w:shd w:val="clear" w:color="auto" w:fill="auto"/>
            <w:noWrap/>
            <w:vAlign w:val="bottom"/>
          </w:tcPr>
          <w:p w14:paraId="736DBDD0" w14:textId="77777777" w:rsidR="004F017B" w:rsidRPr="00F0626E" w:rsidRDefault="004F017B" w:rsidP="00E432AF">
            <w:pPr>
              <w:ind w:left="202"/>
              <w:rPr>
                <w:rFonts w:ascii="Arial" w:eastAsia="Times New Roman" w:hAnsi="Arial" w:cs="Arial"/>
                <w:color w:val="000000"/>
                <w:sz w:val="20"/>
                <w:szCs w:val="20"/>
              </w:rPr>
            </w:pPr>
            <w:r w:rsidRPr="00F0626E">
              <w:rPr>
                <w:rFonts w:ascii="Arial" w:eastAsia="Times New Roman" w:hAnsi="Arial" w:cs="Arial"/>
                <w:color w:val="000000"/>
                <w:sz w:val="20"/>
                <w:szCs w:val="20"/>
              </w:rPr>
              <w:t>Impuestos a la producción e importaciones, netos de subsidios</w:t>
            </w:r>
          </w:p>
        </w:tc>
        <w:tc>
          <w:tcPr>
            <w:tcW w:w="1828" w:type="dxa"/>
            <w:tcBorders>
              <w:top w:val="nil"/>
              <w:left w:val="nil"/>
              <w:bottom w:val="nil"/>
              <w:right w:val="single" w:sz="4" w:space="0" w:color="auto"/>
            </w:tcBorders>
            <w:shd w:val="clear" w:color="auto" w:fill="auto"/>
            <w:noWrap/>
            <w:vAlign w:val="bottom"/>
          </w:tcPr>
          <w:p w14:paraId="5417D716" w14:textId="7A7A9AAD" w:rsidR="004F017B" w:rsidRPr="00ED61A6" w:rsidRDefault="004F017B" w:rsidP="00E432AF">
            <w:pPr>
              <w:spacing w:after="120"/>
              <w:ind w:right="266" w:firstLineChars="168" w:firstLine="336"/>
              <w:jc w:val="right"/>
              <w:rPr>
                <w:rFonts w:ascii="Arial" w:eastAsia="Times New Roman" w:hAnsi="Arial" w:cs="Arial"/>
                <w:color w:val="000000"/>
                <w:sz w:val="20"/>
                <w:szCs w:val="20"/>
              </w:rPr>
            </w:pPr>
            <w:r w:rsidRPr="00F0626E">
              <w:rPr>
                <w:rFonts w:ascii="Arial" w:eastAsia="Times New Roman" w:hAnsi="Arial" w:cs="Arial"/>
                <w:color w:val="000000"/>
                <w:sz w:val="20"/>
                <w:szCs w:val="20"/>
              </w:rPr>
              <w:t>1</w:t>
            </w:r>
            <w:r w:rsidR="0002598E">
              <w:rPr>
                <w:rFonts w:ascii="Arial" w:eastAsia="Times New Roman" w:hAnsi="Arial" w:cs="Arial"/>
                <w:color w:val="000000"/>
                <w:sz w:val="20"/>
                <w:szCs w:val="20"/>
              </w:rPr>
              <w:t xml:space="preserve"> </w:t>
            </w:r>
            <w:r>
              <w:rPr>
                <w:rFonts w:ascii="Arial" w:eastAsia="Times New Roman" w:hAnsi="Arial" w:cs="Arial"/>
                <w:color w:val="000000"/>
                <w:sz w:val="20"/>
                <w:szCs w:val="20"/>
              </w:rPr>
              <w:t>616</w:t>
            </w:r>
            <w:r w:rsidR="0002598E">
              <w:rPr>
                <w:rFonts w:ascii="Arial" w:eastAsia="Times New Roman" w:hAnsi="Arial" w:cs="Arial"/>
                <w:color w:val="000000"/>
                <w:sz w:val="20"/>
                <w:szCs w:val="20"/>
              </w:rPr>
              <w:t xml:space="preserve"> </w:t>
            </w:r>
            <w:r>
              <w:rPr>
                <w:rFonts w:ascii="Arial" w:eastAsia="Times New Roman" w:hAnsi="Arial" w:cs="Arial"/>
                <w:color w:val="000000"/>
                <w:sz w:val="20"/>
                <w:szCs w:val="20"/>
              </w:rPr>
              <w:t>720</w:t>
            </w:r>
          </w:p>
        </w:tc>
        <w:tc>
          <w:tcPr>
            <w:tcW w:w="1292" w:type="dxa"/>
            <w:tcBorders>
              <w:top w:val="nil"/>
              <w:left w:val="nil"/>
              <w:bottom w:val="nil"/>
              <w:right w:val="single" w:sz="4" w:space="0" w:color="auto"/>
            </w:tcBorders>
            <w:shd w:val="clear" w:color="auto" w:fill="auto"/>
            <w:noWrap/>
            <w:vAlign w:val="bottom"/>
          </w:tcPr>
          <w:p w14:paraId="31A35104" w14:textId="77777777" w:rsidR="004F017B" w:rsidRPr="00F0626E" w:rsidRDefault="004F017B" w:rsidP="00C83753">
            <w:pPr>
              <w:spacing w:after="120"/>
              <w:ind w:right="215" w:firstLineChars="79" w:firstLine="158"/>
              <w:jc w:val="right"/>
              <w:rPr>
                <w:rFonts w:ascii="Arial" w:eastAsia="Times New Roman" w:hAnsi="Arial" w:cs="Arial"/>
                <w:color w:val="000000"/>
                <w:sz w:val="20"/>
                <w:szCs w:val="20"/>
              </w:rPr>
            </w:pPr>
            <w:r w:rsidRPr="00F0626E">
              <w:rPr>
                <w:rFonts w:ascii="Arial" w:eastAsia="Times New Roman" w:hAnsi="Arial" w:cs="Arial"/>
                <w:color w:val="000000"/>
                <w:sz w:val="20"/>
                <w:szCs w:val="20"/>
              </w:rPr>
              <w:t>6.</w:t>
            </w:r>
            <w:r>
              <w:rPr>
                <w:rFonts w:ascii="Arial" w:eastAsia="Times New Roman" w:hAnsi="Arial" w:cs="Arial"/>
                <w:color w:val="000000"/>
                <w:sz w:val="20"/>
                <w:szCs w:val="20"/>
              </w:rPr>
              <w:t>9</w:t>
            </w:r>
          </w:p>
        </w:tc>
      </w:tr>
      <w:tr w:rsidR="004F017B" w:rsidRPr="00F0626E" w14:paraId="7129D9FC" w14:textId="77777777" w:rsidTr="00E432AF">
        <w:trPr>
          <w:trHeight w:val="315"/>
          <w:jc w:val="center"/>
        </w:trPr>
        <w:tc>
          <w:tcPr>
            <w:tcW w:w="3840" w:type="dxa"/>
            <w:tcBorders>
              <w:top w:val="nil"/>
              <w:left w:val="single" w:sz="4" w:space="0" w:color="auto"/>
              <w:bottom w:val="nil"/>
              <w:right w:val="single" w:sz="4" w:space="0" w:color="auto"/>
            </w:tcBorders>
            <w:shd w:val="clear" w:color="auto" w:fill="auto"/>
            <w:noWrap/>
            <w:vAlign w:val="bottom"/>
          </w:tcPr>
          <w:p w14:paraId="69340D7E" w14:textId="77777777" w:rsidR="004F017B" w:rsidRPr="00F0626E" w:rsidRDefault="004F017B" w:rsidP="00E432AF">
            <w:pPr>
              <w:ind w:left="202"/>
              <w:rPr>
                <w:rFonts w:ascii="Arial" w:eastAsia="Times New Roman" w:hAnsi="Arial" w:cs="Arial"/>
                <w:color w:val="000000"/>
                <w:sz w:val="20"/>
                <w:szCs w:val="20"/>
              </w:rPr>
            </w:pPr>
            <w:r w:rsidRPr="00F0626E">
              <w:rPr>
                <w:rFonts w:ascii="Arial" w:eastAsia="Times New Roman" w:hAnsi="Arial" w:cs="Arial"/>
                <w:color w:val="000000"/>
                <w:sz w:val="20"/>
                <w:szCs w:val="20"/>
              </w:rPr>
              <w:t>Excedente bruto de operación</w:t>
            </w:r>
          </w:p>
        </w:tc>
        <w:tc>
          <w:tcPr>
            <w:tcW w:w="1828" w:type="dxa"/>
            <w:tcBorders>
              <w:top w:val="nil"/>
              <w:left w:val="nil"/>
              <w:bottom w:val="nil"/>
              <w:right w:val="single" w:sz="4" w:space="0" w:color="auto"/>
            </w:tcBorders>
            <w:shd w:val="clear" w:color="auto" w:fill="auto"/>
            <w:noWrap/>
            <w:vAlign w:val="bottom"/>
          </w:tcPr>
          <w:p w14:paraId="0CF69390" w14:textId="2FF79F0D" w:rsidR="004F017B" w:rsidRPr="00ED61A6" w:rsidRDefault="004F017B" w:rsidP="00E432AF">
            <w:pPr>
              <w:ind w:right="268" w:firstLineChars="168" w:firstLine="336"/>
              <w:jc w:val="right"/>
              <w:rPr>
                <w:rFonts w:ascii="Arial" w:eastAsia="Times New Roman" w:hAnsi="Arial" w:cs="Arial"/>
                <w:color w:val="000000"/>
                <w:sz w:val="20"/>
                <w:szCs w:val="20"/>
              </w:rPr>
            </w:pPr>
            <w:r w:rsidRPr="00F0626E">
              <w:rPr>
                <w:rFonts w:ascii="Arial" w:eastAsia="Times New Roman" w:hAnsi="Arial" w:cs="Arial"/>
                <w:color w:val="000000"/>
                <w:sz w:val="20"/>
                <w:szCs w:val="20"/>
              </w:rPr>
              <w:t>1</w:t>
            </w:r>
            <w:r>
              <w:rPr>
                <w:rFonts w:ascii="Arial" w:eastAsia="Times New Roman" w:hAnsi="Arial" w:cs="Arial"/>
                <w:color w:val="000000"/>
                <w:sz w:val="20"/>
                <w:szCs w:val="20"/>
              </w:rPr>
              <w:t>5</w:t>
            </w:r>
            <w:r w:rsidR="0002598E">
              <w:rPr>
                <w:rFonts w:ascii="Arial" w:eastAsia="Times New Roman" w:hAnsi="Arial" w:cs="Arial"/>
                <w:color w:val="000000"/>
                <w:sz w:val="20"/>
                <w:szCs w:val="20"/>
              </w:rPr>
              <w:t xml:space="preserve"> </w:t>
            </w:r>
            <w:r>
              <w:rPr>
                <w:rFonts w:ascii="Arial" w:eastAsia="Times New Roman" w:hAnsi="Arial" w:cs="Arial"/>
                <w:color w:val="000000"/>
                <w:sz w:val="20"/>
                <w:szCs w:val="20"/>
              </w:rPr>
              <w:t>105</w:t>
            </w:r>
            <w:r w:rsidR="0002598E">
              <w:rPr>
                <w:rFonts w:ascii="Arial" w:eastAsia="Times New Roman" w:hAnsi="Arial" w:cs="Arial"/>
                <w:color w:val="000000"/>
                <w:sz w:val="20"/>
                <w:szCs w:val="20"/>
              </w:rPr>
              <w:t xml:space="preserve"> </w:t>
            </w:r>
            <w:r>
              <w:rPr>
                <w:rFonts w:ascii="Arial" w:eastAsia="Times New Roman" w:hAnsi="Arial" w:cs="Arial"/>
                <w:color w:val="000000"/>
                <w:sz w:val="20"/>
                <w:szCs w:val="20"/>
              </w:rPr>
              <w:t>578</w:t>
            </w:r>
          </w:p>
        </w:tc>
        <w:tc>
          <w:tcPr>
            <w:tcW w:w="1292" w:type="dxa"/>
            <w:tcBorders>
              <w:top w:val="nil"/>
              <w:left w:val="nil"/>
              <w:bottom w:val="nil"/>
              <w:right w:val="single" w:sz="4" w:space="0" w:color="auto"/>
            </w:tcBorders>
            <w:shd w:val="clear" w:color="auto" w:fill="auto"/>
            <w:noWrap/>
            <w:vAlign w:val="bottom"/>
          </w:tcPr>
          <w:p w14:paraId="6A87A74B" w14:textId="77777777" w:rsidR="004F017B" w:rsidRPr="00F0626E" w:rsidRDefault="004F017B" w:rsidP="00E432AF">
            <w:pPr>
              <w:ind w:right="217" w:firstLineChars="79" w:firstLine="158"/>
              <w:jc w:val="right"/>
              <w:rPr>
                <w:rFonts w:ascii="Arial" w:eastAsia="Times New Roman" w:hAnsi="Arial" w:cs="Arial"/>
                <w:color w:val="000000"/>
                <w:sz w:val="20"/>
                <w:szCs w:val="20"/>
              </w:rPr>
            </w:pPr>
            <w:r w:rsidRPr="00F0626E">
              <w:rPr>
                <w:rFonts w:ascii="Arial" w:eastAsia="Times New Roman" w:hAnsi="Arial" w:cs="Arial"/>
                <w:color w:val="000000"/>
                <w:sz w:val="20"/>
                <w:szCs w:val="20"/>
              </w:rPr>
              <w:t>6</w:t>
            </w:r>
            <w:r>
              <w:rPr>
                <w:rFonts w:ascii="Arial" w:eastAsia="Times New Roman" w:hAnsi="Arial" w:cs="Arial"/>
                <w:color w:val="000000"/>
                <w:sz w:val="20"/>
                <w:szCs w:val="20"/>
              </w:rPr>
              <w:t>4</w:t>
            </w:r>
            <w:r w:rsidRPr="00F0626E">
              <w:rPr>
                <w:rFonts w:ascii="Arial" w:eastAsia="Times New Roman" w:hAnsi="Arial" w:cs="Arial"/>
                <w:color w:val="000000"/>
                <w:sz w:val="20"/>
                <w:szCs w:val="20"/>
              </w:rPr>
              <w:t>.</w:t>
            </w:r>
            <w:r>
              <w:rPr>
                <w:rFonts w:ascii="Arial" w:eastAsia="Times New Roman" w:hAnsi="Arial" w:cs="Arial"/>
                <w:color w:val="000000"/>
                <w:sz w:val="20"/>
                <w:szCs w:val="20"/>
              </w:rPr>
              <w:t>7</w:t>
            </w:r>
          </w:p>
        </w:tc>
      </w:tr>
      <w:tr w:rsidR="004F017B" w:rsidRPr="00F0626E" w14:paraId="5EF84521" w14:textId="77777777" w:rsidTr="00E432AF">
        <w:trPr>
          <w:trHeight w:val="255"/>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6D9C8E68" w14:textId="77777777" w:rsidR="004F017B" w:rsidRPr="00F0626E" w:rsidRDefault="004F017B" w:rsidP="00E432AF">
            <w:pPr>
              <w:rPr>
                <w:rFonts w:ascii="Arial" w:eastAsia="Times New Roman" w:hAnsi="Arial" w:cs="Arial"/>
                <w:color w:val="000000"/>
                <w:sz w:val="20"/>
                <w:szCs w:val="20"/>
              </w:rPr>
            </w:pPr>
            <w:r w:rsidRPr="00F0626E">
              <w:rPr>
                <w:rFonts w:ascii="Arial" w:eastAsia="Times New Roman" w:hAnsi="Arial" w:cs="Arial"/>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14:paraId="2A102158" w14:textId="77777777" w:rsidR="004F017B" w:rsidRPr="00F0626E" w:rsidRDefault="004F017B" w:rsidP="00E432AF">
            <w:pPr>
              <w:rPr>
                <w:rFonts w:ascii="Arial" w:eastAsia="Times New Roman" w:hAnsi="Arial" w:cs="Arial"/>
                <w:color w:val="000000"/>
                <w:sz w:val="20"/>
                <w:szCs w:val="20"/>
              </w:rPr>
            </w:pPr>
            <w:r w:rsidRPr="00F0626E">
              <w:rPr>
                <w:rFonts w:ascii="Arial" w:eastAsia="Times New Roman" w:hAnsi="Arial" w:cs="Arial"/>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14:paraId="47DC06A8" w14:textId="77777777" w:rsidR="004F017B" w:rsidRPr="00F0626E" w:rsidRDefault="004F017B" w:rsidP="00E432AF">
            <w:pPr>
              <w:rPr>
                <w:rFonts w:ascii="Arial" w:eastAsia="Times New Roman" w:hAnsi="Arial" w:cs="Arial"/>
                <w:color w:val="000000"/>
                <w:sz w:val="20"/>
                <w:szCs w:val="20"/>
              </w:rPr>
            </w:pPr>
            <w:r w:rsidRPr="00F0626E">
              <w:rPr>
                <w:rFonts w:ascii="Arial" w:eastAsia="Times New Roman" w:hAnsi="Arial" w:cs="Arial"/>
                <w:color w:val="000000"/>
                <w:sz w:val="20"/>
                <w:szCs w:val="20"/>
              </w:rPr>
              <w:t> </w:t>
            </w:r>
          </w:p>
        </w:tc>
      </w:tr>
    </w:tbl>
    <w:p w14:paraId="14BB0020" w14:textId="7BE0BD19" w:rsidR="009D0C99" w:rsidRPr="007A0065" w:rsidRDefault="009D0C99" w:rsidP="009D0C99">
      <w:pPr>
        <w:pStyle w:val="Textoindependiente"/>
        <w:tabs>
          <w:tab w:val="center" w:pos="3348"/>
        </w:tabs>
        <w:rPr>
          <w:rFonts w:ascii="Arial" w:hAnsi="Arial" w:cs="Arial"/>
          <w:sz w:val="16"/>
          <w:szCs w:val="16"/>
          <w:lang w:val="es-MX"/>
        </w:rPr>
      </w:pPr>
      <w:r w:rsidRPr="009F1BA2">
        <w:rPr>
          <w:sz w:val="16"/>
          <w:szCs w:val="16"/>
        </w:rPr>
        <w:t xml:space="preserve">            </w:t>
      </w:r>
      <w:r w:rsidRPr="009F1BA2">
        <w:rPr>
          <w:sz w:val="16"/>
          <w:szCs w:val="16"/>
          <w:lang w:val="es-MX"/>
        </w:rPr>
        <w:t xml:space="preserve">      </w:t>
      </w:r>
      <w:r w:rsidRPr="009F1BA2">
        <w:rPr>
          <w:rFonts w:cs="Tahoma"/>
          <w:sz w:val="16"/>
          <w:szCs w:val="16"/>
        </w:rPr>
        <w:t xml:space="preserve"> </w:t>
      </w:r>
      <w:r w:rsidR="00F0626E">
        <w:rPr>
          <w:rFonts w:cs="Tahoma"/>
          <w:sz w:val="16"/>
          <w:szCs w:val="16"/>
          <w:lang w:val="es-MX"/>
        </w:rPr>
        <w:t xml:space="preserve"> </w:t>
      </w:r>
      <w:r w:rsidRPr="007A0065">
        <w:rPr>
          <w:rFonts w:ascii="Arial" w:hAnsi="Arial" w:cs="Arial"/>
          <w:sz w:val="16"/>
          <w:szCs w:val="16"/>
        </w:rPr>
        <w:t>NOTA: La suma de los parciales puede no coincidir con el total debido al redondeo.</w:t>
      </w:r>
    </w:p>
    <w:p w14:paraId="650082D8" w14:textId="77C35FAA" w:rsidR="009D0C99" w:rsidRPr="007A0065" w:rsidRDefault="009D0C99" w:rsidP="009D0C99">
      <w:pPr>
        <w:pStyle w:val="Textoindependiente"/>
        <w:tabs>
          <w:tab w:val="center" w:pos="3348"/>
        </w:tabs>
        <w:jc w:val="left"/>
        <w:rPr>
          <w:rFonts w:ascii="Arial" w:hAnsi="Arial" w:cs="Arial"/>
          <w:sz w:val="16"/>
          <w:szCs w:val="16"/>
        </w:rPr>
      </w:pPr>
      <w:r w:rsidRPr="007A0065">
        <w:rPr>
          <w:rFonts w:ascii="Arial" w:hAnsi="Arial" w:cs="Arial"/>
          <w:sz w:val="16"/>
          <w:szCs w:val="16"/>
          <w:lang w:val="es-MX"/>
        </w:rPr>
        <w:t xml:space="preserve">                   </w:t>
      </w:r>
      <w:r w:rsidR="00F0626E" w:rsidRPr="007A0065">
        <w:rPr>
          <w:rFonts w:ascii="Arial" w:hAnsi="Arial" w:cs="Arial"/>
          <w:sz w:val="16"/>
          <w:szCs w:val="16"/>
          <w:lang w:val="es-MX"/>
        </w:rPr>
        <w:t xml:space="preserve"> </w:t>
      </w:r>
      <w:r w:rsidRPr="007A0065">
        <w:rPr>
          <w:rFonts w:ascii="Arial" w:hAnsi="Arial" w:cs="Arial"/>
          <w:sz w:val="16"/>
          <w:szCs w:val="16"/>
        </w:rPr>
        <w:t>Fuente: INEGI.</w:t>
      </w:r>
    </w:p>
    <w:p w14:paraId="5FA893A6" w14:textId="77777777" w:rsidR="009D0C99" w:rsidRDefault="009D0C99" w:rsidP="009D0C99">
      <w:pPr>
        <w:pStyle w:val="Textoindependiente"/>
        <w:tabs>
          <w:tab w:val="center" w:pos="3348"/>
        </w:tabs>
        <w:jc w:val="left"/>
        <w:rPr>
          <w:sz w:val="16"/>
          <w:szCs w:val="16"/>
        </w:rPr>
      </w:pPr>
    </w:p>
    <w:p w14:paraId="613538D2" w14:textId="77777777" w:rsidR="009D0C99" w:rsidRPr="009F1BA2" w:rsidRDefault="009D0C99" w:rsidP="009D0C99">
      <w:pPr>
        <w:pStyle w:val="Textoindependiente"/>
        <w:tabs>
          <w:tab w:val="center" w:pos="3348"/>
        </w:tabs>
        <w:jc w:val="left"/>
        <w:rPr>
          <w:sz w:val="16"/>
          <w:szCs w:val="16"/>
        </w:rPr>
      </w:pPr>
    </w:p>
    <w:p w14:paraId="51D1B13F" w14:textId="77777777" w:rsidR="009D0C99" w:rsidRPr="00AD37A9" w:rsidRDefault="009D0C99" w:rsidP="009D0C99">
      <w:pPr>
        <w:pStyle w:val="n01"/>
        <w:keepLines w:val="0"/>
        <w:spacing w:before="840"/>
        <w:ind w:left="0" w:firstLine="0"/>
        <w:outlineLvl w:val="0"/>
        <w:rPr>
          <w:rFonts w:ascii="Arial" w:hAnsi="Arial" w:cs="Arial"/>
          <w:b/>
          <w:smallCaps/>
          <w:color w:val="auto"/>
          <w:lang w:val="es-MX"/>
        </w:rPr>
      </w:pPr>
      <w:r w:rsidRPr="00AD37A9">
        <w:rPr>
          <w:rFonts w:ascii="Arial" w:hAnsi="Arial" w:cs="Arial"/>
          <w:b/>
          <w:smallCaps/>
          <w:color w:val="auto"/>
          <w:lang w:val="es-MX"/>
        </w:rPr>
        <w:t>Por actividad económica</w:t>
      </w:r>
    </w:p>
    <w:p w14:paraId="7489995F" w14:textId="72279E4D" w:rsidR="009D0C99" w:rsidRPr="00AD37A9" w:rsidRDefault="009D0C99" w:rsidP="009D0C99">
      <w:pPr>
        <w:pStyle w:val="Textoindependiente"/>
        <w:tabs>
          <w:tab w:val="center" w:pos="3348"/>
        </w:tabs>
        <w:spacing w:before="480"/>
        <w:rPr>
          <w:rFonts w:ascii="Arial" w:hAnsi="Arial" w:cs="Arial"/>
        </w:rPr>
      </w:pPr>
      <w:r w:rsidRPr="005779C9">
        <w:rPr>
          <w:rFonts w:ascii="Arial" w:hAnsi="Arial" w:cs="Arial"/>
        </w:rPr>
        <w:t xml:space="preserve">Durante </w:t>
      </w:r>
      <w:r w:rsidR="00AB5F83">
        <w:rPr>
          <w:rFonts w:ascii="Arial" w:hAnsi="Arial" w:cs="Arial"/>
        </w:rPr>
        <w:t>20</w:t>
      </w:r>
      <w:r w:rsidR="007D0EC2">
        <w:rPr>
          <w:rFonts w:ascii="Arial" w:hAnsi="Arial" w:cs="Arial"/>
          <w:lang w:val="es-MX"/>
        </w:rPr>
        <w:t>20</w:t>
      </w:r>
      <w:r w:rsidRPr="005779C9">
        <w:rPr>
          <w:rFonts w:ascii="Arial" w:hAnsi="Arial" w:cs="Arial"/>
        </w:rPr>
        <w:t xml:space="preserve"> los sectores que más aportaron a la generación del Valor Agregado Bruto del país fueron: el Comercio</w:t>
      </w:r>
      <w:r w:rsidRPr="005779C9">
        <w:rPr>
          <w:rFonts w:ascii="Arial" w:hAnsi="Arial" w:cs="Arial"/>
          <w:lang w:val="es-MX"/>
        </w:rPr>
        <w:t xml:space="preserve"> al por menor y al por mayor</w:t>
      </w:r>
      <w:r w:rsidRPr="005779C9">
        <w:rPr>
          <w:rFonts w:ascii="Arial" w:hAnsi="Arial" w:cs="Arial"/>
        </w:rPr>
        <w:t xml:space="preserve"> </w:t>
      </w:r>
      <w:r w:rsidRPr="005779C9">
        <w:rPr>
          <w:rFonts w:ascii="Arial" w:hAnsi="Arial" w:cs="Arial"/>
          <w:lang w:val="es-MX"/>
        </w:rPr>
        <w:t xml:space="preserve">con </w:t>
      </w:r>
      <w:r w:rsidRPr="005779C9">
        <w:rPr>
          <w:rFonts w:ascii="Arial" w:hAnsi="Arial" w:cs="Arial"/>
        </w:rPr>
        <w:t>1</w:t>
      </w:r>
      <w:r w:rsidRPr="005779C9">
        <w:rPr>
          <w:rFonts w:ascii="Arial" w:hAnsi="Arial" w:cs="Arial"/>
          <w:lang w:val="es-MX"/>
        </w:rPr>
        <w:t>9.</w:t>
      </w:r>
      <w:r w:rsidR="007D0EC2">
        <w:rPr>
          <w:rFonts w:ascii="Arial" w:hAnsi="Arial" w:cs="Arial"/>
          <w:lang w:val="es-MX"/>
        </w:rPr>
        <w:t>9</w:t>
      </w:r>
      <w:r w:rsidRPr="005779C9">
        <w:rPr>
          <w:rFonts w:ascii="Arial" w:hAnsi="Arial" w:cs="Arial"/>
        </w:rPr>
        <w:t>%</w:t>
      </w:r>
      <w:r w:rsidR="00AB07AB">
        <w:rPr>
          <w:rFonts w:ascii="Arial" w:hAnsi="Arial" w:cs="Arial"/>
          <w:lang w:val="es-MX"/>
        </w:rPr>
        <w:t>;</w:t>
      </w:r>
      <w:r w:rsidRPr="005779C9">
        <w:rPr>
          <w:rFonts w:ascii="Arial" w:hAnsi="Arial" w:cs="Arial"/>
          <w:lang w:val="es-MX"/>
        </w:rPr>
        <w:t xml:space="preserve"> </w:t>
      </w:r>
      <w:r w:rsidRPr="005779C9">
        <w:rPr>
          <w:rFonts w:ascii="Arial" w:hAnsi="Arial" w:cs="Arial"/>
        </w:rPr>
        <w:t xml:space="preserve">las Industrias manufactureras </w:t>
      </w:r>
      <w:r w:rsidRPr="005779C9">
        <w:rPr>
          <w:rFonts w:ascii="Arial" w:hAnsi="Arial" w:cs="Arial"/>
          <w:lang w:val="es-MX"/>
        </w:rPr>
        <w:t>18.</w:t>
      </w:r>
      <w:r w:rsidR="00AE2EA3">
        <w:rPr>
          <w:rFonts w:ascii="Arial" w:hAnsi="Arial" w:cs="Arial"/>
          <w:lang w:val="es-MX"/>
        </w:rPr>
        <w:t>4</w:t>
      </w:r>
      <w:r w:rsidRPr="005779C9">
        <w:rPr>
          <w:rFonts w:ascii="Arial" w:hAnsi="Arial" w:cs="Arial"/>
        </w:rPr>
        <w:t>%</w:t>
      </w:r>
      <w:r w:rsidRPr="005779C9">
        <w:rPr>
          <w:rFonts w:ascii="Arial" w:hAnsi="Arial" w:cs="Arial"/>
          <w:lang w:val="es-MX"/>
        </w:rPr>
        <w:t xml:space="preserve">; </w:t>
      </w:r>
      <w:r w:rsidRPr="005779C9">
        <w:rPr>
          <w:rFonts w:ascii="Arial" w:hAnsi="Arial" w:cs="Arial"/>
        </w:rPr>
        <w:t>los Servicios inmobiliarios y de alquiler de bienes muebles e intangibles 1</w:t>
      </w:r>
      <w:r w:rsidR="00971814">
        <w:rPr>
          <w:rFonts w:ascii="Arial" w:hAnsi="Arial" w:cs="Arial"/>
          <w:lang w:val="es-MX"/>
        </w:rPr>
        <w:t>1</w:t>
      </w:r>
      <w:r w:rsidRPr="005779C9">
        <w:rPr>
          <w:rFonts w:ascii="Arial" w:hAnsi="Arial" w:cs="Arial"/>
        </w:rPr>
        <w:t>.</w:t>
      </w:r>
      <w:r w:rsidR="007D0EC2">
        <w:rPr>
          <w:rFonts w:ascii="Arial" w:hAnsi="Arial" w:cs="Arial"/>
          <w:lang w:val="es-MX"/>
        </w:rPr>
        <w:t>1</w:t>
      </w:r>
      <w:r w:rsidRPr="005779C9">
        <w:rPr>
          <w:rFonts w:ascii="Arial" w:hAnsi="Arial" w:cs="Arial"/>
        </w:rPr>
        <w:t>%</w:t>
      </w:r>
      <w:r w:rsidRPr="005779C9">
        <w:rPr>
          <w:rFonts w:ascii="Arial" w:hAnsi="Arial" w:cs="Arial"/>
          <w:lang w:val="es-MX"/>
        </w:rPr>
        <w:t xml:space="preserve">; </w:t>
      </w:r>
      <w:r w:rsidRPr="005779C9">
        <w:rPr>
          <w:rFonts w:ascii="Arial" w:hAnsi="Arial" w:cs="Arial"/>
        </w:rPr>
        <w:t>la Construcción</w:t>
      </w:r>
      <w:r w:rsidRPr="005779C9">
        <w:rPr>
          <w:rFonts w:ascii="Arial" w:hAnsi="Arial" w:cs="Arial"/>
          <w:lang w:val="es-MX"/>
        </w:rPr>
        <w:t xml:space="preserve"> </w:t>
      </w:r>
      <w:r w:rsidR="007D0EC2">
        <w:rPr>
          <w:rFonts w:ascii="Arial" w:hAnsi="Arial" w:cs="Arial"/>
          <w:lang w:val="es-MX"/>
        </w:rPr>
        <w:t>6.8</w:t>
      </w:r>
      <w:r w:rsidRPr="005779C9">
        <w:rPr>
          <w:rFonts w:ascii="Arial" w:hAnsi="Arial" w:cs="Arial"/>
          <w:lang w:val="es-MX"/>
        </w:rPr>
        <w:t xml:space="preserve">%; </w:t>
      </w:r>
      <w:r w:rsidRPr="005779C9">
        <w:rPr>
          <w:rFonts w:ascii="Arial" w:hAnsi="Arial" w:cs="Arial"/>
        </w:rPr>
        <w:t>los Transportes, correos y almacenamiento</w:t>
      </w:r>
      <w:r w:rsidR="00904A80">
        <w:rPr>
          <w:rFonts w:ascii="Arial" w:hAnsi="Arial" w:cs="Arial"/>
          <w:lang w:val="es-MX"/>
        </w:rPr>
        <w:t xml:space="preserve"> </w:t>
      </w:r>
      <w:r w:rsidR="007D0EC2">
        <w:rPr>
          <w:rFonts w:ascii="Arial" w:hAnsi="Arial" w:cs="Arial"/>
          <w:lang w:val="es-MX"/>
        </w:rPr>
        <w:t>5.8</w:t>
      </w:r>
      <w:r w:rsidRPr="005779C9">
        <w:rPr>
          <w:rFonts w:ascii="Arial" w:hAnsi="Arial" w:cs="Arial"/>
        </w:rPr>
        <w:t>%</w:t>
      </w:r>
      <w:r w:rsidRPr="005779C9">
        <w:rPr>
          <w:rFonts w:ascii="Arial" w:hAnsi="Arial" w:cs="Arial"/>
          <w:lang w:val="es-MX"/>
        </w:rPr>
        <w:t xml:space="preserve">; </w:t>
      </w:r>
      <w:r w:rsidR="00000486" w:rsidRPr="007D0EC2">
        <w:rPr>
          <w:rFonts w:ascii="Arial" w:hAnsi="Arial" w:cs="Arial"/>
          <w:lang w:val="es-MX"/>
        </w:rPr>
        <w:t>los Servicios financieros y de seguros 4.5%</w:t>
      </w:r>
      <w:r w:rsidR="00000486" w:rsidRPr="005779C9">
        <w:rPr>
          <w:rFonts w:ascii="Arial" w:hAnsi="Arial" w:cs="Arial"/>
          <w:lang w:val="es-MX"/>
        </w:rPr>
        <w:t>;</w:t>
      </w:r>
      <w:r w:rsidR="00000486">
        <w:rPr>
          <w:rFonts w:ascii="Arial" w:hAnsi="Arial" w:cs="Arial"/>
          <w:lang w:val="es-MX"/>
        </w:rPr>
        <w:t xml:space="preserve"> </w:t>
      </w:r>
      <w:r w:rsidR="00860186" w:rsidRPr="005779C9">
        <w:rPr>
          <w:rFonts w:ascii="Arial" w:hAnsi="Arial" w:cs="Arial"/>
          <w:lang w:val="es-MX"/>
        </w:rPr>
        <w:t>las Actividades legislativas, gubernamentales, de impartición de justicia y de organismos internacionales y extraterritoriales</w:t>
      </w:r>
      <w:r w:rsidR="00860186">
        <w:rPr>
          <w:rFonts w:ascii="Arial" w:hAnsi="Arial" w:cs="Arial"/>
          <w:lang w:val="es-MX"/>
        </w:rPr>
        <w:t xml:space="preserve"> con 4.3%; </w:t>
      </w:r>
      <w:r w:rsidR="007D0EC2" w:rsidRPr="005779C9">
        <w:rPr>
          <w:rFonts w:ascii="Arial" w:hAnsi="Arial" w:cs="Arial"/>
          <w:lang w:val="es-MX"/>
        </w:rPr>
        <w:t>los Servicios educativos</w:t>
      </w:r>
      <w:r w:rsidR="007D0EC2">
        <w:rPr>
          <w:rFonts w:ascii="Arial" w:hAnsi="Arial" w:cs="Arial"/>
          <w:lang w:val="es-MX"/>
        </w:rPr>
        <w:t xml:space="preserve"> 4.2</w:t>
      </w:r>
      <w:r w:rsidR="007D0EC2" w:rsidRPr="005779C9">
        <w:rPr>
          <w:rFonts w:ascii="Arial" w:hAnsi="Arial" w:cs="Arial"/>
        </w:rPr>
        <w:t>%</w:t>
      </w:r>
      <w:r w:rsidR="007D0EC2">
        <w:rPr>
          <w:rFonts w:ascii="Arial" w:hAnsi="Arial" w:cs="Arial"/>
          <w:lang w:val="es-MX"/>
        </w:rPr>
        <w:t xml:space="preserve">; </w:t>
      </w:r>
      <w:r w:rsidR="00000486">
        <w:rPr>
          <w:rFonts w:ascii="Arial" w:hAnsi="Arial" w:cs="Arial"/>
          <w:lang w:val="es-MX"/>
        </w:rPr>
        <w:t xml:space="preserve">y </w:t>
      </w:r>
      <w:r w:rsidRPr="00000486">
        <w:rPr>
          <w:rFonts w:ascii="Arial" w:hAnsi="Arial" w:cs="Arial"/>
        </w:rPr>
        <w:t>la Minería</w:t>
      </w:r>
      <w:r w:rsidRPr="00000486">
        <w:rPr>
          <w:rFonts w:ascii="Arial" w:hAnsi="Arial" w:cs="Arial"/>
          <w:lang w:val="es-MX"/>
        </w:rPr>
        <w:t xml:space="preserve"> 4.</w:t>
      </w:r>
      <w:r w:rsidR="00860186">
        <w:rPr>
          <w:rFonts w:ascii="Arial" w:hAnsi="Arial" w:cs="Arial"/>
          <w:lang w:val="es-MX"/>
        </w:rPr>
        <w:t>2</w:t>
      </w:r>
      <w:r w:rsidR="00000486">
        <w:rPr>
          <w:rFonts w:ascii="Arial" w:hAnsi="Arial" w:cs="Arial"/>
          <w:lang w:val="es-MX"/>
        </w:rPr>
        <w:t xml:space="preserve"> </w:t>
      </w:r>
      <w:r w:rsidR="00AE2EA3" w:rsidRPr="00000486">
        <w:rPr>
          <w:rFonts w:ascii="Arial" w:hAnsi="Arial" w:cs="Arial"/>
          <w:lang w:val="es-MX"/>
        </w:rPr>
        <w:t>por ci</w:t>
      </w:r>
      <w:r w:rsidR="00AE2EA3">
        <w:rPr>
          <w:rFonts w:ascii="Arial" w:hAnsi="Arial" w:cs="Arial"/>
          <w:lang w:val="es-MX"/>
        </w:rPr>
        <w:t>ento</w:t>
      </w:r>
      <w:r w:rsidRPr="005779C9">
        <w:rPr>
          <w:rFonts w:ascii="Arial" w:hAnsi="Arial" w:cs="Arial"/>
        </w:rPr>
        <w:t xml:space="preserve">. </w:t>
      </w:r>
      <w:r w:rsidRPr="005779C9">
        <w:rPr>
          <w:rFonts w:ascii="Arial" w:hAnsi="Arial" w:cs="Arial"/>
          <w:lang w:val="es-MX"/>
        </w:rPr>
        <w:t xml:space="preserve">Éstos </w:t>
      </w:r>
      <w:r w:rsidRPr="005779C9">
        <w:rPr>
          <w:rFonts w:ascii="Arial" w:hAnsi="Arial" w:cs="Arial"/>
        </w:rPr>
        <w:t>en conjunto contribuye</w:t>
      </w:r>
      <w:r>
        <w:rPr>
          <w:rFonts w:ascii="Arial" w:hAnsi="Arial" w:cs="Arial"/>
          <w:lang w:val="es-MX"/>
        </w:rPr>
        <w:t>ro</w:t>
      </w:r>
      <w:r w:rsidRPr="005779C9">
        <w:rPr>
          <w:rFonts w:ascii="Arial" w:hAnsi="Arial" w:cs="Arial"/>
          <w:lang w:val="es-MX"/>
        </w:rPr>
        <w:t>n</w:t>
      </w:r>
      <w:r w:rsidRPr="005779C9">
        <w:rPr>
          <w:rFonts w:ascii="Arial" w:hAnsi="Arial" w:cs="Arial"/>
        </w:rPr>
        <w:t xml:space="preserve"> con </w:t>
      </w:r>
      <w:r w:rsidRPr="005779C9">
        <w:rPr>
          <w:rFonts w:ascii="Arial" w:hAnsi="Arial" w:cs="Arial"/>
          <w:lang w:val="es-MX"/>
        </w:rPr>
        <w:t>7</w:t>
      </w:r>
      <w:r w:rsidR="00860186">
        <w:rPr>
          <w:rFonts w:ascii="Arial" w:hAnsi="Arial" w:cs="Arial"/>
          <w:lang w:val="es-MX"/>
        </w:rPr>
        <w:t>9.2</w:t>
      </w:r>
      <w:r w:rsidRPr="005779C9">
        <w:rPr>
          <w:rFonts w:ascii="Arial" w:hAnsi="Arial" w:cs="Arial"/>
        </w:rPr>
        <w:t>% del Valor Agregado Bruto (v</w:t>
      </w:r>
      <w:r w:rsidRPr="005779C9">
        <w:rPr>
          <w:rFonts w:ascii="Arial" w:hAnsi="Arial" w:cs="Arial"/>
          <w:lang w:val="es-MX"/>
        </w:rPr>
        <w:t>éase</w:t>
      </w:r>
      <w:r w:rsidRPr="005779C9">
        <w:rPr>
          <w:rFonts w:ascii="Arial" w:hAnsi="Arial" w:cs="Arial"/>
        </w:rPr>
        <w:t xml:space="preserve"> cuadro siguiente).</w:t>
      </w:r>
    </w:p>
    <w:p w14:paraId="5DCDC965" w14:textId="77777777" w:rsidR="009D0C99" w:rsidRPr="00AD37A9" w:rsidRDefault="009D0C99" w:rsidP="009D0C99">
      <w:pPr>
        <w:pStyle w:val="Textoindependiente"/>
        <w:tabs>
          <w:tab w:val="center" w:pos="3348"/>
        </w:tabs>
        <w:spacing w:before="240"/>
        <w:jc w:val="center"/>
        <w:rPr>
          <w:rFonts w:ascii="Arial" w:hAnsi="Arial" w:cs="Arial"/>
          <w:lang w:val="es-MX"/>
        </w:rPr>
      </w:pPr>
      <w:r w:rsidRPr="009E1EE6">
        <w:rPr>
          <w:highlight w:val="lightGray"/>
        </w:rPr>
        <w:br w:type="page"/>
      </w:r>
      <w:r w:rsidRPr="00AD37A9">
        <w:rPr>
          <w:rFonts w:ascii="Arial" w:hAnsi="Arial" w:cs="Arial"/>
          <w:lang w:val="es-MX"/>
        </w:rPr>
        <w:lastRenderedPageBreak/>
        <w:t>Cuadro 2</w:t>
      </w:r>
    </w:p>
    <w:p w14:paraId="3AB41982" w14:textId="75517679" w:rsidR="009D0C99" w:rsidRPr="00AD37A9" w:rsidRDefault="009D0C99" w:rsidP="009D0C99">
      <w:pPr>
        <w:pStyle w:val="Textoindependiente"/>
        <w:tabs>
          <w:tab w:val="center" w:pos="3348"/>
        </w:tabs>
        <w:jc w:val="center"/>
        <w:rPr>
          <w:rFonts w:ascii="Arial" w:hAnsi="Arial" w:cs="Arial"/>
          <w:b/>
          <w:smallCaps/>
          <w:sz w:val="22"/>
          <w:szCs w:val="22"/>
          <w:lang w:val="es-ES_tradnl"/>
        </w:rPr>
      </w:pPr>
      <w:r w:rsidRPr="00AD37A9">
        <w:rPr>
          <w:rFonts w:ascii="Arial" w:hAnsi="Arial" w:cs="Arial"/>
          <w:b/>
          <w:smallCaps/>
          <w:sz w:val="22"/>
          <w:szCs w:val="22"/>
          <w:lang w:val="es-ES_tradnl"/>
        </w:rPr>
        <w:t xml:space="preserve">Producto Interno Bruto nominal durante </w:t>
      </w:r>
      <w:r w:rsidR="00AB5F83">
        <w:rPr>
          <w:rFonts w:ascii="Arial" w:hAnsi="Arial" w:cs="Arial"/>
          <w:b/>
          <w:smallCaps/>
          <w:sz w:val="22"/>
          <w:szCs w:val="22"/>
          <w:lang w:val="es-ES_tradnl"/>
        </w:rPr>
        <w:t>20</w:t>
      </w:r>
      <w:r w:rsidR="0067746C">
        <w:rPr>
          <w:rFonts w:ascii="Arial" w:hAnsi="Arial" w:cs="Arial"/>
          <w:b/>
          <w:smallCaps/>
          <w:sz w:val="22"/>
          <w:szCs w:val="22"/>
          <w:lang w:val="es-ES_tradnl"/>
        </w:rPr>
        <w:t>20</w:t>
      </w:r>
    </w:p>
    <w:tbl>
      <w:tblPr>
        <w:tblpPr w:leftFromText="141" w:rightFromText="141" w:vertAnchor="text" w:tblpY="1"/>
        <w:tblOverlap w:val="never"/>
        <w:tblW w:w="8868" w:type="dxa"/>
        <w:tblCellMar>
          <w:left w:w="70" w:type="dxa"/>
          <w:right w:w="70" w:type="dxa"/>
        </w:tblCellMar>
        <w:tblLook w:val="04A0" w:firstRow="1" w:lastRow="0" w:firstColumn="1" w:lastColumn="0" w:noHBand="0" w:noVBand="1"/>
      </w:tblPr>
      <w:tblGrid>
        <w:gridCol w:w="6459"/>
        <w:gridCol w:w="1268"/>
        <w:gridCol w:w="1141"/>
      </w:tblGrid>
      <w:tr w:rsidR="0067746C" w:rsidRPr="00752620" w14:paraId="0538C468" w14:textId="77777777" w:rsidTr="00E432AF">
        <w:trPr>
          <w:trHeight w:val="458"/>
        </w:trPr>
        <w:tc>
          <w:tcPr>
            <w:tcW w:w="6459"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250CC684" w14:textId="77777777" w:rsidR="0067746C" w:rsidRPr="00752620" w:rsidRDefault="0067746C" w:rsidP="00E432AF">
            <w:pPr>
              <w:jc w:val="center"/>
              <w:rPr>
                <w:rFonts w:ascii="Arial" w:eastAsia="Times New Roman" w:hAnsi="Arial" w:cs="Arial"/>
                <w:b/>
                <w:bCs/>
                <w:color w:val="FFFFFF"/>
                <w:sz w:val="20"/>
                <w:szCs w:val="20"/>
              </w:rPr>
            </w:pPr>
            <w:r w:rsidRPr="00752620">
              <w:rPr>
                <w:rFonts w:ascii="Arial" w:eastAsia="Times New Roman" w:hAnsi="Arial" w:cs="Arial"/>
                <w:b/>
                <w:bCs/>
                <w:color w:val="FFFFFF"/>
                <w:sz w:val="20"/>
                <w:szCs w:val="20"/>
              </w:rPr>
              <w:t>Denominación</w:t>
            </w:r>
          </w:p>
        </w:tc>
        <w:tc>
          <w:tcPr>
            <w:tcW w:w="1268" w:type="dxa"/>
            <w:vMerge w:val="restart"/>
            <w:tcBorders>
              <w:top w:val="single" w:sz="8" w:space="0" w:color="auto"/>
              <w:left w:val="single" w:sz="8" w:space="0" w:color="auto"/>
              <w:bottom w:val="single" w:sz="8" w:space="0" w:color="000000"/>
              <w:right w:val="nil"/>
            </w:tcBorders>
            <w:shd w:val="clear" w:color="000000" w:fill="002060"/>
            <w:vAlign w:val="center"/>
            <w:hideMark/>
          </w:tcPr>
          <w:p w14:paraId="7628702B" w14:textId="77777777" w:rsidR="0067746C" w:rsidRPr="00752620" w:rsidRDefault="0067746C" w:rsidP="00E432AF">
            <w:pPr>
              <w:jc w:val="center"/>
              <w:rPr>
                <w:rFonts w:ascii="Arial" w:eastAsia="Times New Roman" w:hAnsi="Arial" w:cs="Arial"/>
                <w:b/>
                <w:bCs/>
                <w:color w:val="FFFFFF"/>
                <w:sz w:val="20"/>
                <w:szCs w:val="20"/>
              </w:rPr>
            </w:pPr>
            <w:r w:rsidRPr="00752620">
              <w:rPr>
                <w:rFonts w:ascii="Arial" w:eastAsia="Times New Roman" w:hAnsi="Arial" w:cs="Arial"/>
                <w:b/>
                <w:bCs/>
                <w:color w:val="FFFFFF"/>
                <w:sz w:val="20"/>
                <w:szCs w:val="20"/>
              </w:rPr>
              <w:t>Absolutos</w:t>
            </w:r>
          </w:p>
        </w:tc>
        <w:tc>
          <w:tcPr>
            <w:tcW w:w="1141" w:type="dxa"/>
            <w:vMerge w:val="restart"/>
            <w:tcBorders>
              <w:top w:val="single" w:sz="8" w:space="0" w:color="auto"/>
              <w:left w:val="nil"/>
              <w:bottom w:val="single" w:sz="8" w:space="0" w:color="000000"/>
              <w:right w:val="single" w:sz="8" w:space="0" w:color="auto"/>
            </w:tcBorders>
            <w:shd w:val="clear" w:color="000000" w:fill="002060"/>
            <w:vAlign w:val="center"/>
            <w:hideMark/>
          </w:tcPr>
          <w:p w14:paraId="086426FF" w14:textId="77777777" w:rsidR="0067746C" w:rsidRPr="00752620" w:rsidRDefault="0067746C" w:rsidP="00E432AF">
            <w:pPr>
              <w:jc w:val="center"/>
              <w:rPr>
                <w:rFonts w:ascii="Arial" w:eastAsia="Times New Roman" w:hAnsi="Arial" w:cs="Arial"/>
                <w:b/>
                <w:bCs/>
                <w:color w:val="FFFFFF"/>
                <w:sz w:val="20"/>
                <w:szCs w:val="20"/>
              </w:rPr>
            </w:pPr>
            <w:r w:rsidRPr="00752620">
              <w:rPr>
                <w:rFonts w:ascii="Arial" w:eastAsia="Times New Roman" w:hAnsi="Arial" w:cs="Arial"/>
                <w:b/>
                <w:bCs/>
                <w:color w:val="FFFFFF"/>
                <w:sz w:val="20"/>
                <w:szCs w:val="20"/>
              </w:rPr>
              <w:t>Estructura (%)</w:t>
            </w:r>
          </w:p>
        </w:tc>
      </w:tr>
      <w:tr w:rsidR="0067746C" w:rsidRPr="00752620" w14:paraId="3EE321C3" w14:textId="77777777" w:rsidTr="00E432AF">
        <w:trPr>
          <w:trHeight w:val="458"/>
        </w:trPr>
        <w:tc>
          <w:tcPr>
            <w:tcW w:w="6459" w:type="dxa"/>
            <w:vMerge/>
            <w:tcBorders>
              <w:top w:val="single" w:sz="8" w:space="0" w:color="auto"/>
              <w:left w:val="single" w:sz="8" w:space="0" w:color="auto"/>
              <w:bottom w:val="single" w:sz="8" w:space="0" w:color="000000"/>
              <w:right w:val="single" w:sz="8" w:space="0" w:color="auto"/>
            </w:tcBorders>
            <w:vAlign w:val="center"/>
            <w:hideMark/>
          </w:tcPr>
          <w:p w14:paraId="6DD36CFF" w14:textId="77777777" w:rsidR="0067746C" w:rsidRPr="00752620" w:rsidRDefault="0067746C" w:rsidP="00E432AF">
            <w:pPr>
              <w:rPr>
                <w:rFonts w:ascii="Arial" w:eastAsia="Times New Roman" w:hAnsi="Arial" w:cs="Arial"/>
                <w:b/>
                <w:bCs/>
                <w:color w:val="FFFFFF"/>
                <w:sz w:val="20"/>
                <w:szCs w:val="20"/>
              </w:rPr>
            </w:pPr>
          </w:p>
        </w:tc>
        <w:tc>
          <w:tcPr>
            <w:tcW w:w="1268" w:type="dxa"/>
            <w:vMerge/>
            <w:tcBorders>
              <w:top w:val="single" w:sz="8" w:space="0" w:color="auto"/>
              <w:left w:val="single" w:sz="8" w:space="0" w:color="auto"/>
              <w:bottom w:val="single" w:sz="8" w:space="0" w:color="000000"/>
              <w:right w:val="nil"/>
            </w:tcBorders>
            <w:vAlign w:val="center"/>
            <w:hideMark/>
          </w:tcPr>
          <w:p w14:paraId="63095AB6" w14:textId="77777777" w:rsidR="0067746C" w:rsidRPr="00752620" w:rsidRDefault="0067746C" w:rsidP="00E432AF">
            <w:pPr>
              <w:rPr>
                <w:rFonts w:ascii="Arial" w:eastAsia="Times New Roman" w:hAnsi="Arial" w:cs="Arial"/>
                <w:b/>
                <w:bCs/>
                <w:color w:val="FFFFFF"/>
                <w:sz w:val="20"/>
                <w:szCs w:val="20"/>
              </w:rPr>
            </w:pPr>
          </w:p>
        </w:tc>
        <w:tc>
          <w:tcPr>
            <w:tcW w:w="1141" w:type="dxa"/>
            <w:vMerge/>
            <w:tcBorders>
              <w:top w:val="single" w:sz="8" w:space="0" w:color="auto"/>
              <w:left w:val="nil"/>
              <w:bottom w:val="single" w:sz="8" w:space="0" w:color="000000"/>
              <w:right w:val="single" w:sz="8" w:space="0" w:color="auto"/>
            </w:tcBorders>
            <w:vAlign w:val="center"/>
            <w:hideMark/>
          </w:tcPr>
          <w:p w14:paraId="78E9DD7E" w14:textId="77777777" w:rsidR="0067746C" w:rsidRPr="00752620" w:rsidRDefault="0067746C" w:rsidP="00E432AF">
            <w:pPr>
              <w:rPr>
                <w:rFonts w:ascii="Arial" w:eastAsia="Times New Roman" w:hAnsi="Arial" w:cs="Arial"/>
                <w:b/>
                <w:bCs/>
                <w:color w:val="FFFFFF"/>
                <w:sz w:val="20"/>
                <w:szCs w:val="20"/>
              </w:rPr>
            </w:pPr>
          </w:p>
        </w:tc>
      </w:tr>
      <w:tr w:rsidR="0067746C" w:rsidRPr="00752620" w14:paraId="7B0D8069" w14:textId="77777777" w:rsidTr="00E432AF">
        <w:trPr>
          <w:trHeight w:val="245"/>
        </w:trPr>
        <w:tc>
          <w:tcPr>
            <w:tcW w:w="6459" w:type="dxa"/>
            <w:tcBorders>
              <w:top w:val="nil"/>
              <w:left w:val="single" w:sz="8" w:space="0" w:color="auto"/>
              <w:bottom w:val="nil"/>
              <w:right w:val="single" w:sz="8" w:space="0" w:color="auto"/>
            </w:tcBorders>
            <w:shd w:val="clear" w:color="auto" w:fill="auto"/>
            <w:vAlign w:val="center"/>
            <w:hideMark/>
          </w:tcPr>
          <w:p w14:paraId="2A92FA67" w14:textId="77777777" w:rsidR="0067746C" w:rsidRPr="00752620" w:rsidRDefault="0067746C" w:rsidP="00E432AF">
            <w:pPr>
              <w:rPr>
                <w:rFonts w:ascii="Arial" w:eastAsia="Times New Roman" w:hAnsi="Arial" w:cs="Arial"/>
                <w:b/>
                <w:bCs/>
                <w:color w:val="000000"/>
                <w:sz w:val="18"/>
                <w:szCs w:val="18"/>
              </w:rPr>
            </w:pPr>
            <w:r w:rsidRPr="00752620">
              <w:rPr>
                <w:rFonts w:ascii="Arial" w:eastAsia="Times New Roman" w:hAnsi="Arial" w:cs="Arial"/>
                <w:b/>
                <w:bCs/>
                <w:color w:val="000000"/>
                <w:sz w:val="18"/>
                <w:szCs w:val="18"/>
              </w:rPr>
              <w:t>PRODUCTO INTERNO BRUTO (a precios de mercado)</w:t>
            </w:r>
          </w:p>
        </w:tc>
        <w:tc>
          <w:tcPr>
            <w:tcW w:w="1268" w:type="dxa"/>
            <w:tcBorders>
              <w:top w:val="nil"/>
              <w:left w:val="nil"/>
              <w:bottom w:val="nil"/>
              <w:right w:val="single" w:sz="8" w:space="0" w:color="auto"/>
            </w:tcBorders>
            <w:shd w:val="clear" w:color="auto" w:fill="auto"/>
            <w:noWrap/>
            <w:vAlign w:val="bottom"/>
            <w:hideMark/>
          </w:tcPr>
          <w:p w14:paraId="639CFC9C" w14:textId="77777777" w:rsidR="0067746C" w:rsidRDefault="0067746C" w:rsidP="00E432AF">
            <w:pPr>
              <w:jc w:val="right"/>
              <w:rPr>
                <w:rFonts w:ascii="Arial" w:hAnsi="Arial" w:cs="Arial"/>
                <w:b/>
                <w:bCs/>
                <w:sz w:val="18"/>
                <w:szCs w:val="18"/>
              </w:rPr>
            </w:pPr>
            <w:r>
              <w:rPr>
                <w:rFonts w:ascii="Arial" w:hAnsi="Arial" w:cs="Arial"/>
                <w:b/>
                <w:bCs/>
                <w:sz w:val="18"/>
                <w:szCs w:val="18"/>
              </w:rPr>
              <w:t xml:space="preserve"> 23 357 378</w:t>
            </w:r>
          </w:p>
        </w:tc>
        <w:tc>
          <w:tcPr>
            <w:tcW w:w="1141" w:type="dxa"/>
            <w:tcBorders>
              <w:top w:val="nil"/>
              <w:left w:val="nil"/>
              <w:bottom w:val="nil"/>
              <w:right w:val="single" w:sz="8" w:space="0" w:color="auto"/>
            </w:tcBorders>
            <w:shd w:val="clear" w:color="auto" w:fill="auto"/>
            <w:noWrap/>
            <w:vAlign w:val="center"/>
            <w:hideMark/>
          </w:tcPr>
          <w:p w14:paraId="1893D98C" w14:textId="77777777" w:rsidR="0067746C" w:rsidRDefault="0067746C" w:rsidP="00E432AF">
            <w:pPr>
              <w:jc w:val="right"/>
              <w:rPr>
                <w:rFonts w:ascii="Arial" w:hAnsi="Arial" w:cs="Arial"/>
                <w:b/>
                <w:bCs/>
                <w:color w:val="000000"/>
                <w:sz w:val="18"/>
                <w:szCs w:val="18"/>
              </w:rPr>
            </w:pPr>
          </w:p>
        </w:tc>
      </w:tr>
      <w:tr w:rsidR="0067746C" w:rsidRPr="00752620" w14:paraId="17B9BC69"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500430F5" w14:textId="77777777" w:rsidR="0067746C" w:rsidRPr="00752620" w:rsidRDefault="0067746C" w:rsidP="00E432AF">
            <w:pPr>
              <w:rPr>
                <w:rFonts w:ascii="Arial" w:eastAsia="Times New Roman" w:hAnsi="Arial" w:cs="Arial"/>
                <w:color w:val="000000"/>
                <w:sz w:val="18"/>
                <w:szCs w:val="18"/>
              </w:rPr>
            </w:pPr>
            <w:r w:rsidRPr="00752620">
              <w:rPr>
                <w:rFonts w:ascii="Arial" w:eastAsia="Times New Roman" w:hAnsi="Arial" w:cs="Arial"/>
                <w:color w:val="000000"/>
                <w:sz w:val="18"/>
                <w:szCs w:val="18"/>
              </w:rPr>
              <w:t>Impuestos a los productos, netos</w:t>
            </w:r>
          </w:p>
        </w:tc>
        <w:tc>
          <w:tcPr>
            <w:tcW w:w="1268" w:type="dxa"/>
            <w:tcBorders>
              <w:top w:val="nil"/>
              <w:left w:val="nil"/>
              <w:bottom w:val="nil"/>
              <w:right w:val="single" w:sz="8" w:space="0" w:color="auto"/>
            </w:tcBorders>
            <w:shd w:val="clear" w:color="auto" w:fill="auto"/>
            <w:noWrap/>
            <w:vAlign w:val="bottom"/>
            <w:hideMark/>
          </w:tcPr>
          <w:p w14:paraId="4BD707BC" w14:textId="77777777" w:rsidR="0067746C" w:rsidRPr="009D0504" w:rsidRDefault="0067746C" w:rsidP="00E432AF">
            <w:pPr>
              <w:jc w:val="right"/>
              <w:rPr>
                <w:rFonts w:ascii="Arial" w:hAnsi="Arial" w:cs="Arial"/>
                <w:bCs/>
                <w:sz w:val="18"/>
                <w:szCs w:val="18"/>
              </w:rPr>
            </w:pPr>
            <w:r w:rsidRPr="009D0504">
              <w:rPr>
                <w:rFonts w:ascii="Arial" w:hAnsi="Arial" w:cs="Arial"/>
                <w:bCs/>
                <w:sz w:val="18"/>
                <w:szCs w:val="18"/>
              </w:rPr>
              <w:t xml:space="preserve"> 1 473 349</w:t>
            </w:r>
          </w:p>
        </w:tc>
        <w:tc>
          <w:tcPr>
            <w:tcW w:w="1141" w:type="dxa"/>
            <w:tcBorders>
              <w:top w:val="nil"/>
              <w:left w:val="nil"/>
              <w:bottom w:val="nil"/>
              <w:right w:val="single" w:sz="8" w:space="0" w:color="auto"/>
            </w:tcBorders>
            <w:shd w:val="clear" w:color="auto" w:fill="auto"/>
            <w:noWrap/>
            <w:vAlign w:val="center"/>
            <w:hideMark/>
          </w:tcPr>
          <w:p w14:paraId="1350A43F" w14:textId="77777777" w:rsidR="0067746C" w:rsidRDefault="0067746C" w:rsidP="00E432AF">
            <w:pPr>
              <w:jc w:val="right"/>
              <w:rPr>
                <w:rFonts w:ascii="Arial" w:hAnsi="Arial" w:cs="Arial"/>
                <w:color w:val="000000"/>
                <w:sz w:val="18"/>
                <w:szCs w:val="18"/>
              </w:rPr>
            </w:pPr>
          </w:p>
        </w:tc>
      </w:tr>
      <w:tr w:rsidR="0067746C" w:rsidRPr="00752620" w14:paraId="102EAB8D" w14:textId="77777777" w:rsidTr="00E432AF">
        <w:trPr>
          <w:trHeight w:val="259"/>
        </w:trPr>
        <w:tc>
          <w:tcPr>
            <w:tcW w:w="6459" w:type="dxa"/>
            <w:tcBorders>
              <w:top w:val="nil"/>
              <w:left w:val="single" w:sz="8" w:space="0" w:color="auto"/>
              <w:bottom w:val="nil"/>
              <w:right w:val="single" w:sz="8" w:space="0" w:color="auto"/>
            </w:tcBorders>
            <w:shd w:val="clear" w:color="auto" w:fill="auto"/>
            <w:vAlign w:val="center"/>
            <w:hideMark/>
          </w:tcPr>
          <w:p w14:paraId="4B7DD279" w14:textId="77777777" w:rsidR="0067746C" w:rsidRPr="00752620" w:rsidRDefault="0067746C" w:rsidP="00E432AF">
            <w:pPr>
              <w:rPr>
                <w:rFonts w:ascii="Arial" w:eastAsia="Times New Roman" w:hAnsi="Arial" w:cs="Arial"/>
                <w:b/>
                <w:bCs/>
                <w:color w:val="000000"/>
                <w:sz w:val="18"/>
                <w:szCs w:val="18"/>
              </w:rPr>
            </w:pPr>
            <w:r w:rsidRPr="00752620">
              <w:rPr>
                <w:rFonts w:ascii="Arial" w:eastAsia="Times New Roman" w:hAnsi="Arial" w:cs="Arial"/>
                <w:b/>
                <w:bCs/>
                <w:color w:val="000000"/>
                <w:sz w:val="18"/>
                <w:szCs w:val="18"/>
              </w:rPr>
              <w:t>VALOR AGREGADO BRUTO (en valores básicos)</w:t>
            </w:r>
          </w:p>
        </w:tc>
        <w:tc>
          <w:tcPr>
            <w:tcW w:w="1268" w:type="dxa"/>
            <w:tcBorders>
              <w:top w:val="nil"/>
              <w:left w:val="nil"/>
              <w:bottom w:val="nil"/>
              <w:right w:val="single" w:sz="8" w:space="0" w:color="auto"/>
            </w:tcBorders>
            <w:shd w:val="clear" w:color="auto" w:fill="auto"/>
            <w:noWrap/>
            <w:vAlign w:val="bottom"/>
            <w:hideMark/>
          </w:tcPr>
          <w:p w14:paraId="35004CFD" w14:textId="77777777" w:rsidR="0067746C" w:rsidRDefault="0067746C" w:rsidP="00E432AF">
            <w:pPr>
              <w:jc w:val="right"/>
              <w:rPr>
                <w:rFonts w:ascii="Arial" w:hAnsi="Arial" w:cs="Arial"/>
                <w:b/>
                <w:bCs/>
                <w:sz w:val="18"/>
                <w:szCs w:val="18"/>
              </w:rPr>
            </w:pPr>
            <w:r>
              <w:rPr>
                <w:rFonts w:ascii="Arial" w:hAnsi="Arial" w:cs="Arial"/>
                <w:b/>
                <w:bCs/>
                <w:sz w:val="18"/>
                <w:szCs w:val="18"/>
              </w:rPr>
              <w:t xml:space="preserve"> 21 884 029</w:t>
            </w:r>
          </w:p>
        </w:tc>
        <w:tc>
          <w:tcPr>
            <w:tcW w:w="1141" w:type="dxa"/>
            <w:tcBorders>
              <w:top w:val="nil"/>
              <w:left w:val="single" w:sz="8" w:space="0" w:color="auto"/>
              <w:bottom w:val="nil"/>
              <w:right w:val="single" w:sz="8" w:space="0" w:color="auto"/>
            </w:tcBorders>
            <w:shd w:val="clear" w:color="auto" w:fill="auto"/>
            <w:noWrap/>
            <w:vAlign w:val="center"/>
            <w:hideMark/>
          </w:tcPr>
          <w:p w14:paraId="6796685D" w14:textId="77777777" w:rsidR="0067746C" w:rsidRDefault="0067746C" w:rsidP="00E432AF">
            <w:pPr>
              <w:jc w:val="right"/>
              <w:rPr>
                <w:rFonts w:ascii="Arial" w:hAnsi="Arial" w:cs="Arial"/>
                <w:b/>
                <w:bCs/>
                <w:color w:val="000000"/>
                <w:sz w:val="18"/>
                <w:szCs w:val="18"/>
              </w:rPr>
            </w:pPr>
            <w:r>
              <w:rPr>
                <w:rFonts w:ascii="Arial" w:hAnsi="Arial" w:cs="Arial"/>
                <w:b/>
                <w:bCs/>
                <w:color w:val="000000"/>
                <w:sz w:val="18"/>
                <w:szCs w:val="18"/>
              </w:rPr>
              <w:t>100.0</w:t>
            </w:r>
          </w:p>
        </w:tc>
      </w:tr>
      <w:tr w:rsidR="0067746C" w:rsidRPr="00752620" w14:paraId="0C53A800"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69780C0C" w14:textId="77777777" w:rsidR="0067746C" w:rsidRPr="00752620" w:rsidRDefault="0067746C" w:rsidP="00E432AF">
            <w:pPr>
              <w:ind w:firstLineChars="197" w:firstLine="356"/>
              <w:rPr>
                <w:rFonts w:ascii="Arial" w:eastAsia="Times New Roman" w:hAnsi="Arial" w:cs="Arial"/>
                <w:b/>
                <w:bCs/>
                <w:color w:val="000000"/>
                <w:sz w:val="18"/>
                <w:szCs w:val="18"/>
              </w:rPr>
            </w:pPr>
            <w:r w:rsidRPr="00752620">
              <w:rPr>
                <w:rFonts w:ascii="Arial" w:eastAsia="Times New Roman" w:hAnsi="Arial" w:cs="Arial"/>
                <w:b/>
                <w:bCs/>
                <w:color w:val="000000"/>
                <w:sz w:val="18"/>
                <w:szCs w:val="18"/>
              </w:rPr>
              <w:t>Actividades Primarias</w:t>
            </w:r>
          </w:p>
        </w:tc>
        <w:tc>
          <w:tcPr>
            <w:tcW w:w="1268" w:type="dxa"/>
            <w:tcBorders>
              <w:top w:val="nil"/>
              <w:left w:val="nil"/>
              <w:bottom w:val="nil"/>
              <w:right w:val="single" w:sz="8" w:space="0" w:color="auto"/>
            </w:tcBorders>
            <w:shd w:val="clear" w:color="auto" w:fill="auto"/>
            <w:noWrap/>
            <w:vAlign w:val="bottom"/>
            <w:hideMark/>
          </w:tcPr>
          <w:p w14:paraId="3D7321AB" w14:textId="56F645A7" w:rsidR="0067746C" w:rsidRPr="00C40537" w:rsidRDefault="0067746C" w:rsidP="00E432AF">
            <w:pPr>
              <w:jc w:val="right"/>
              <w:rPr>
                <w:rFonts w:ascii="Arial" w:hAnsi="Arial" w:cs="Arial"/>
                <w:b/>
                <w:color w:val="000000"/>
                <w:sz w:val="18"/>
                <w:szCs w:val="18"/>
              </w:rPr>
            </w:pPr>
            <w:r w:rsidRPr="00C40537">
              <w:rPr>
                <w:rFonts w:ascii="Arial" w:hAnsi="Arial" w:cs="Arial"/>
                <w:b/>
                <w:color w:val="000000"/>
                <w:sz w:val="18"/>
                <w:szCs w:val="18"/>
              </w:rPr>
              <w:t>887</w:t>
            </w:r>
            <w:r w:rsidR="0002598E">
              <w:rPr>
                <w:rFonts w:ascii="Arial" w:hAnsi="Arial" w:cs="Arial"/>
                <w:b/>
                <w:color w:val="000000"/>
                <w:sz w:val="18"/>
                <w:szCs w:val="18"/>
              </w:rPr>
              <w:t xml:space="preserve"> </w:t>
            </w:r>
            <w:r w:rsidRPr="00C40537">
              <w:rPr>
                <w:rFonts w:ascii="Arial" w:hAnsi="Arial" w:cs="Arial"/>
                <w:b/>
                <w:color w:val="000000"/>
                <w:sz w:val="18"/>
                <w:szCs w:val="18"/>
              </w:rPr>
              <w:t>229</w:t>
            </w:r>
          </w:p>
        </w:tc>
        <w:tc>
          <w:tcPr>
            <w:tcW w:w="1141" w:type="dxa"/>
            <w:tcBorders>
              <w:top w:val="nil"/>
              <w:left w:val="single" w:sz="8" w:space="0" w:color="auto"/>
              <w:bottom w:val="nil"/>
              <w:right w:val="single" w:sz="8" w:space="0" w:color="auto"/>
            </w:tcBorders>
            <w:shd w:val="clear" w:color="auto" w:fill="auto"/>
            <w:noWrap/>
            <w:vAlign w:val="center"/>
            <w:hideMark/>
          </w:tcPr>
          <w:p w14:paraId="04DF79E3" w14:textId="77777777" w:rsidR="0067746C" w:rsidRDefault="0067746C" w:rsidP="00E432AF">
            <w:pPr>
              <w:jc w:val="right"/>
              <w:rPr>
                <w:rFonts w:ascii="Arial" w:hAnsi="Arial" w:cs="Arial"/>
                <w:b/>
                <w:bCs/>
                <w:color w:val="000000"/>
                <w:sz w:val="18"/>
                <w:szCs w:val="18"/>
              </w:rPr>
            </w:pPr>
            <w:r>
              <w:rPr>
                <w:rFonts w:ascii="Arial" w:hAnsi="Arial" w:cs="Arial"/>
                <w:b/>
                <w:bCs/>
                <w:color w:val="000000"/>
                <w:sz w:val="18"/>
                <w:szCs w:val="18"/>
              </w:rPr>
              <w:t>4.1</w:t>
            </w:r>
          </w:p>
        </w:tc>
      </w:tr>
      <w:tr w:rsidR="0067746C" w:rsidRPr="00752620" w14:paraId="5461FE77"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0060B3C3" w14:textId="77777777" w:rsidR="0067746C" w:rsidRPr="00752620" w:rsidRDefault="0067746C" w:rsidP="00E432AF">
            <w:pPr>
              <w:ind w:left="641"/>
              <w:rPr>
                <w:rFonts w:ascii="Arial" w:eastAsia="Times New Roman" w:hAnsi="Arial" w:cs="Arial"/>
                <w:color w:val="000000"/>
                <w:sz w:val="18"/>
                <w:szCs w:val="18"/>
              </w:rPr>
            </w:pPr>
            <w:r w:rsidRPr="00752620">
              <w:rPr>
                <w:rFonts w:ascii="Arial" w:eastAsia="Times New Roman" w:hAnsi="Arial" w:cs="Arial"/>
                <w:color w:val="000000"/>
                <w:sz w:val="18"/>
                <w:szCs w:val="18"/>
              </w:rPr>
              <w:t>11 Agricultura, ganadería, aprovechamiento forestal, pesca y caza</w:t>
            </w:r>
          </w:p>
        </w:tc>
        <w:tc>
          <w:tcPr>
            <w:tcW w:w="1268" w:type="dxa"/>
            <w:tcBorders>
              <w:top w:val="nil"/>
              <w:left w:val="nil"/>
              <w:bottom w:val="nil"/>
              <w:right w:val="single" w:sz="8" w:space="0" w:color="auto"/>
            </w:tcBorders>
            <w:shd w:val="clear" w:color="auto" w:fill="auto"/>
            <w:noWrap/>
            <w:vAlign w:val="bottom"/>
            <w:hideMark/>
          </w:tcPr>
          <w:p w14:paraId="18DCF651" w14:textId="2BDFC959"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887</w:t>
            </w:r>
            <w:r w:rsidR="0002598E">
              <w:rPr>
                <w:rFonts w:ascii="Arial" w:hAnsi="Arial" w:cs="Arial"/>
                <w:color w:val="000000"/>
                <w:sz w:val="18"/>
                <w:szCs w:val="18"/>
              </w:rPr>
              <w:t xml:space="preserve"> </w:t>
            </w:r>
            <w:r w:rsidRPr="00C40537">
              <w:rPr>
                <w:rFonts w:ascii="Arial" w:hAnsi="Arial" w:cs="Arial"/>
                <w:color w:val="000000"/>
                <w:sz w:val="18"/>
                <w:szCs w:val="18"/>
              </w:rPr>
              <w:t>229</w:t>
            </w:r>
          </w:p>
        </w:tc>
        <w:tc>
          <w:tcPr>
            <w:tcW w:w="1141" w:type="dxa"/>
            <w:tcBorders>
              <w:top w:val="nil"/>
              <w:left w:val="single" w:sz="8" w:space="0" w:color="auto"/>
              <w:bottom w:val="nil"/>
              <w:right w:val="single" w:sz="8" w:space="0" w:color="auto"/>
            </w:tcBorders>
            <w:shd w:val="clear" w:color="auto" w:fill="auto"/>
            <w:noWrap/>
            <w:vAlign w:val="center"/>
            <w:hideMark/>
          </w:tcPr>
          <w:p w14:paraId="6FE236EC"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4.1</w:t>
            </w:r>
          </w:p>
        </w:tc>
      </w:tr>
      <w:tr w:rsidR="0067746C" w:rsidRPr="00752620" w14:paraId="27380664"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4E6BFB83" w14:textId="77777777" w:rsidR="0067746C" w:rsidRPr="00752620" w:rsidRDefault="0067746C" w:rsidP="00E432AF">
            <w:pPr>
              <w:ind w:firstLineChars="197" w:firstLine="356"/>
              <w:rPr>
                <w:rFonts w:ascii="Arial" w:eastAsia="Times New Roman" w:hAnsi="Arial" w:cs="Arial"/>
                <w:b/>
                <w:bCs/>
                <w:color w:val="000000"/>
                <w:sz w:val="18"/>
                <w:szCs w:val="18"/>
              </w:rPr>
            </w:pPr>
            <w:r w:rsidRPr="00752620">
              <w:rPr>
                <w:rFonts w:ascii="Arial" w:eastAsia="Times New Roman" w:hAnsi="Arial" w:cs="Arial"/>
                <w:b/>
                <w:bCs/>
                <w:color w:val="000000"/>
                <w:sz w:val="18"/>
                <w:szCs w:val="18"/>
              </w:rPr>
              <w:t>Actividades Secundarias</w:t>
            </w:r>
          </w:p>
        </w:tc>
        <w:tc>
          <w:tcPr>
            <w:tcW w:w="1268" w:type="dxa"/>
            <w:tcBorders>
              <w:top w:val="nil"/>
              <w:left w:val="nil"/>
              <w:bottom w:val="nil"/>
              <w:right w:val="single" w:sz="8" w:space="0" w:color="auto"/>
            </w:tcBorders>
            <w:shd w:val="clear" w:color="auto" w:fill="auto"/>
            <w:vAlign w:val="bottom"/>
            <w:hideMark/>
          </w:tcPr>
          <w:p w14:paraId="1F9CBA17" w14:textId="0CE67675" w:rsidR="0067746C" w:rsidRPr="00C40537" w:rsidRDefault="0067746C" w:rsidP="00E432AF">
            <w:pPr>
              <w:jc w:val="right"/>
              <w:rPr>
                <w:rFonts w:ascii="Arial" w:hAnsi="Arial" w:cs="Arial"/>
                <w:b/>
                <w:color w:val="000000"/>
                <w:sz w:val="18"/>
                <w:szCs w:val="18"/>
              </w:rPr>
            </w:pPr>
            <w:r w:rsidRPr="00C40537">
              <w:rPr>
                <w:rFonts w:ascii="Arial" w:hAnsi="Arial" w:cs="Arial"/>
                <w:b/>
                <w:color w:val="000000"/>
                <w:sz w:val="18"/>
                <w:szCs w:val="18"/>
              </w:rPr>
              <w:t>6</w:t>
            </w:r>
            <w:r w:rsidR="0002598E">
              <w:rPr>
                <w:rFonts w:ascii="Arial" w:hAnsi="Arial" w:cs="Arial"/>
                <w:b/>
                <w:color w:val="000000"/>
                <w:sz w:val="18"/>
                <w:szCs w:val="18"/>
              </w:rPr>
              <w:t xml:space="preserve"> </w:t>
            </w:r>
            <w:r w:rsidRPr="00C40537">
              <w:rPr>
                <w:rFonts w:ascii="Arial" w:hAnsi="Arial" w:cs="Arial"/>
                <w:b/>
                <w:color w:val="000000"/>
                <w:sz w:val="18"/>
                <w:szCs w:val="18"/>
              </w:rPr>
              <w:t>918</w:t>
            </w:r>
            <w:r w:rsidR="0002598E">
              <w:rPr>
                <w:rFonts w:ascii="Arial" w:hAnsi="Arial" w:cs="Arial"/>
                <w:b/>
                <w:color w:val="000000"/>
                <w:sz w:val="18"/>
                <w:szCs w:val="18"/>
              </w:rPr>
              <w:t xml:space="preserve"> </w:t>
            </w:r>
            <w:r w:rsidRPr="00C40537">
              <w:rPr>
                <w:rFonts w:ascii="Arial" w:hAnsi="Arial" w:cs="Arial"/>
                <w:b/>
                <w:color w:val="000000"/>
                <w:sz w:val="18"/>
                <w:szCs w:val="18"/>
              </w:rPr>
              <w:t>601</w:t>
            </w:r>
          </w:p>
        </w:tc>
        <w:tc>
          <w:tcPr>
            <w:tcW w:w="1141" w:type="dxa"/>
            <w:tcBorders>
              <w:top w:val="nil"/>
              <w:left w:val="single" w:sz="8" w:space="0" w:color="auto"/>
              <w:bottom w:val="nil"/>
              <w:right w:val="single" w:sz="8" w:space="0" w:color="auto"/>
            </w:tcBorders>
            <w:shd w:val="clear" w:color="auto" w:fill="auto"/>
            <w:noWrap/>
            <w:vAlign w:val="center"/>
            <w:hideMark/>
          </w:tcPr>
          <w:p w14:paraId="5A9BD49A" w14:textId="77777777" w:rsidR="0067746C" w:rsidRDefault="0067746C" w:rsidP="00E432AF">
            <w:pPr>
              <w:jc w:val="right"/>
              <w:rPr>
                <w:rFonts w:ascii="Arial" w:hAnsi="Arial" w:cs="Arial"/>
                <w:b/>
                <w:bCs/>
                <w:color w:val="000000"/>
                <w:sz w:val="18"/>
                <w:szCs w:val="18"/>
              </w:rPr>
            </w:pPr>
            <w:r>
              <w:rPr>
                <w:rFonts w:ascii="Arial" w:hAnsi="Arial" w:cs="Arial"/>
                <w:b/>
                <w:bCs/>
                <w:color w:val="000000"/>
                <w:sz w:val="18"/>
                <w:szCs w:val="18"/>
              </w:rPr>
              <w:t>31.6</w:t>
            </w:r>
          </w:p>
        </w:tc>
      </w:tr>
      <w:tr w:rsidR="0067746C" w:rsidRPr="00752620" w14:paraId="3BAFED45"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2B59FA21" w14:textId="77777777" w:rsidR="0067746C" w:rsidRPr="00752620" w:rsidRDefault="0067746C" w:rsidP="00E432AF">
            <w:pPr>
              <w:ind w:leftChars="267" w:left="862" w:hangingChars="123" w:hanging="22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21 Minería </w:t>
            </w:r>
          </w:p>
        </w:tc>
        <w:tc>
          <w:tcPr>
            <w:tcW w:w="1268" w:type="dxa"/>
            <w:tcBorders>
              <w:top w:val="nil"/>
              <w:left w:val="nil"/>
              <w:bottom w:val="nil"/>
              <w:right w:val="single" w:sz="8" w:space="0" w:color="auto"/>
            </w:tcBorders>
            <w:shd w:val="clear" w:color="auto" w:fill="auto"/>
            <w:noWrap/>
            <w:vAlign w:val="bottom"/>
            <w:hideMark/>
          </w:tcPr>
          <w:p w14:paraId="35DD88A0" w14:textId="4589FB1E"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917</w:t>
            </w:r>
            <w:r w:rsidR="0002598E">
              <w:rPr>
                <w:rFonts w:ascii="Arial" w:hAnsi="Arial" w:cs="Arial"/>
                <w:color w:val="000000"/>
                <w:sz w:val="18"/>
                <w:szCs w:val="18"/>
              </w:rPr>
              <w:t xml:space="preserve"> </w:t>
            </w:r>
            <w:r w:rsidRPr="00C40537">
              <w:rPr>
                <w:rFonts w:ascii="Arial" w:hAnsi="Arial" w:cs="Arial"/>
                <w:color w:val="000000"/>
                <w:sz w:val="18"/>
                <w:szCs w:val="18"/>
              </w:rPr>
              <w:t>665</w:t>
            </w:r>
          </w:p>
        </w:tc>
        <w:tc>
          <w:tcPr>
            <w:tcW w:w="1141" w:type="dxa"/>
            <w:tcBorders>
              <w:top w:val="nil"/>
              <w:left w:val="single" w:sz="8" w:space="0" w:color="auto"/>
              <w:bottom w:val="nil"/>
              <w:right w:val="single" w:sz="8" w:space="0" w:color="auto"/>
            </w:tcBorders>
            <w:shd w:val="clear" w:color="auto" w:fill="auto"/>
            <w:noWrap/>
            <w:vAlign w:val="center"/>
            <w:hideMark/>
          </w:tcPr>
          <w:p w14:paraId="0ECF244A"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4.2</w:t>
            </w:r>
          </w:p>
        </w:tc>
      </w:tr>
      <w:tr w:rsidR="0067746C" w:rsidRPr="00752620" w14:paraId="5DE74650"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672E475B" w14:textId="77777777" w:rsidR="0067746C" w:rsidRPr="00752620" w:rsidRDefault="0067746C" w:rsidP="00E432AF">
            <w:pPr>
              <w:ind w:leftChars="267" w:left="862" w:hangingChars="123" w:hanging="221"/>
              <w:rPr>
                <w:rFonts w:ascii="Arial" w:eastAsia="Times New Roman" w:hAnsi="Arial" w:cs="Arial"/>
                <w:color w:val="000000"/>
                <w:sz w:val="18"/>
                <w:szCs w:val="18"/>
              </w:rPr>
            </w:pPr>
            <w:r w:rsidRPr="00752620">
              <w:rPr>
                <w:rFonts w:ascii="Arial" w:eastAsia="Times New Roman" w:hAnsi="Arial" w:cs="Arial"/>
                <w:color w:val="000000"/>
                <w:sz w:val="18"/>
                <w:szCs w:val="18"/>
              </w:rPr>
              <w:t>22 Generación, transmisión y distribución de energía eléctrica, suministro de agua y de gas por ductos al consumidor final</w:t>
            </w:r>
          </w:p>
        </w:tc>
        <w:tc>
          <w:tcPr>
            <w:tcW w:w="1268" w:type="dxa"/>
            <w:tcBorders>
              <w:top w:val="nil"/>
              <w:left w:val="single" w:sz="8" w:space="0" w:color="auto"/>
              <w:bottom w:val="nil"/>
              <w:right w:val="single" w:sz="8" w:space="0" w:color="auto"/>
            </w:tcBorders>
            <w:shd w:val="clear" w:color="auto" w:fill="auto"/>
            <w:noWrap/>
            <w:vAlign w:val="bottom"/>
          </w:tcPr>
          <w:p w14:paraId="75745F59" w14:textId="410893C3"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483</w:t>
            </w:r>
            <w:r w:rsidR="0002598E">
              <w:rPr>
                <w:rFonts w:ascii="Arial" w:hAnsi="Arial" w:cs="Arial"/>
                <w:color w:val="000000"/>
                <w:sz w:val="18"/>
                <w:szCs w:val="18"/>
              </w:rPr>
              <w:t xml:space="preserve"> </w:t>
            </w:r>
            <w:r w:rsidRPr="00C40537">
              <w:rPr>
                <w:rFonts w:ascii="Arial" w:hAnsi="Arial" w:cs="Arial"/>
                <w:color w:val="000000"/>
                <w:sz w:val="18"/>
                <w:szCs w:val="18"/>
              </w:rPr>
              <w:t>052</w:t>
            </w:r>
          </w:p>
        </w:tc>
        <w:tc>
          <w:tcPr>
            <w:tcW w:w="1141" w:type="dxa"/>
            <w:tcBorders>
              <w:top w:val="nil"/>
              <w:left w:val="single" w:sz="8" w:space="0" w:color="auto"/>
              <w:bottom w:val="nil"/>
              <w:right w:val="single" w:sz="8" w:space="0" w:color="auto"/>
            </w:tcBorders>
            <w:shd w:val="clear" w:color="auto" w:fill="auto"/>
            <w:noWrap/>
            <w:vAlign w:val="center"/>
            <w:hideMark/>
          </w:tcPr>
          <w:p w14:paraId="0C7ACBC0"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2.2</w:t>
            </w:r>
          </w:p>
        </w:tc>
      </w:tr>
      <w:tr w:rsidR="0067746C" w:rsidRPr="00752620" w14:paraId="4416B56C"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0C81426F" w14:textId="77777777" w:rsidR="0067746C" w:rsidRPr="00752620" w:rsidRDefault="0067746C" w:rsidP="00E432AF">
            <w:pPr>
              <w:ind w:leftChars="267" w:left="862" w:hangingChars="123" w:hanging="22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23 Construcción </w:t>
            </w:r>
          </w:p>
        </w:tc>
        <w:tc>
          <w:tcPr>
            <w:tcW w:w="1268" w:type="dxa"/>
            <w:tcBorders>
              <w:top w:val="nil"/>
              <w:left w:val="nil"/>
              <w:bottom w:val="nil"/>
              <w:right w:val="single" w:sz="8" w:space="0" w:color="auto"/>
            </w:tcBorders>
            <w:shd w:val="clear" w:color="auto" w:fill="auto"/>
            <w:noWrap/>
            <w:vAlign w:val="bottom"/>
            <w:hideMark/>
          </w:tcPr>
          <w:p w14:paraId="55DE47DB" w14:textId="03D91D17"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1</w:t>
            </w:r>
            <w:r w:rsidR="0002598E">
              <w:rPr>
                <w:rFonts w:ascii="Arial" w:hAnsi="Arial" w:cs="Arial"/>
                <w:color w:val="000000"/>
                <w:sz w:val="18"/>
                <w:szCs w:val="18"/>
              </w:rPr>
              <w:t xml:space="preserve"> </w:t>
            </w:r>
            <w:r w:rsidRPr="00C40537">
              <w:rPr>
                <w:rFonts w:ascii="Arial" w:hAnsi="Arial" w:cs="Arial"/>
                <w:color w:val="000000"/>
                <w:sz w:val="18"/>
                <w:szCs w:val="18"/>
              </w:rPr>
              <w:t>490</w:t>
            </w:r>
            <w:r w:rsidR="0002598E">
              <w:rPr>
                <w:rFonts w:ascii="Arial" w:hAnsi="Arial" w:cs="Arial"/>
                <w:color w:val="000000"/>
                <w:sz w:val="18"/>
                <w:szCs w:val="18"/>
              </w:rPr>
              <w:t xml:space="preserve"> </w:t>
            </w:r>
            <w:r w:rsidRPr="00C40537">
              <w:rPr>
                <w:rFonts w:ascii="Arial" w:hAnsi="Arial" w:cs="Arial"/>
                <w:color w:val="000000"/>
                <w:sz w:val="18"/>
                <w:szCs w:val="18"/>
              </w:rPr>
              <w:t>548</w:t>
            </w:r>
          </w:p>
        </w:tc>
        <w:tc>
          <w:tcPr>
            <w:tcW w:w="1141" w:type="dxa"/>
            <w:tcBorders>
              <w:top w:val="nil"/>
              <w:left w:val="single" w:sz="8" w:space="0" w:color="auto"/>
              <w:bottom w:val="nil"/>
              <w:right w:val="single" w:sz="8" w:space="0" w:color="auto"/>
            </w:tcBorders>
            <w:shd w:val="clear" w:color="auto" w:fill="auto"/>
            <w:noWrap/>
            <w:vAlign w:val="center"/>
            <w:hideMark/>
          </w:tcPr>
          <w:p w14:paraId="4B778ADA"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6.8</w:t>
            </w:r>
          </w:p>
        </w:tc>
      </w:tr>
      <w:tr w:rsidR="0067746C" w:rsidRPr="00752620" w14:paraId="0A48D2E5"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363ABD1D" w14:textId="77777777" w:rsidR="0067746C" w:rsidRPr="00752620" w:rsidRDefault="0067746C" w:rsidP="00E432AF">
            <w:pPr>
              <w:ind w:leftChars="267" w:left="862" w:hangingChars="123" w:hanging="22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31-33 Industrias manufactureras </w:t>
            </w:r>
          </w:p>
        </w:tc>
        <w:tc>
          <w:tcPr>
            <w:tcW w:w="1268" w:type="dxa"/>
            <w:tcBorders>
              <w:top w:val="nil"/>
              <w:left w:val="nil"/>
              <w:bottom w:val="nil"/>
              <w:right w:val="single" w:sz="8" w:space="0" w:color="auto"/>
            </w:tcBorders>
            <w:shd w:val="clear" w:color="auto" w:fill="auto"/>
            <w:noWrap/>
            <w:vAlign w:val="bottom"/>
            <w:hideMark/>
          </w:tcPr>
          <w:p w14:paraId="0675C2F4" w14:textId="30E86535"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4</w:t>
            </w:r>
            <w:r w:rsidR="0002598E">
              <w:rPr>
                <w:rFonts w:ascii="Arial" w:hAnsi="Arial" w:cs="Arial"/>
                <w:color w:val="000000"/>
                <w:sz w:val="18"/>
                <w:szCs w:val="18"/>
              </w:rPr>
              <w:t xml:space="preserve"> </w:t>
            </w:r>
            <w:r w:rsidRPr="00C40537">
              <w:rPr>
                <w:rFonts w:ascii="Arial" w:hAnsi="Arial" w:cs="Arial"/>
                <w:color w:val="000000"/>
                <w:sz w:val="18"/>
                <w:szCs w:val="18"/>
              </w:rPr>
              <w:t>027</w:t>
            </w:r>
            <w:r w:rsidR="0002598E">
              <w:rPr>
                <w:rFonts w:ascii="Arial" w:hAnsi="Arial" w:cs="Arial"/>
                <w:color w:val="000000"/>
                <w:sz w:val="18"/>
                <w:szCs w:val="18"/>
              </w:rPr>
              <w:t xml:space="preserve"> </w:t>
            </w:r>
            <w:r w:rsidRPr="00C40537">
              <w:rPr>
                <w:rFonts w:ascii="Arial" w:hAnsi="Arial" w:cs="Arial"/>
                <w:color w:val="000000"/>
                <w:sz w:val="18"/>
                <w:szCs w:val="18"/>
              </w:rPr>
              <w:t>336</w:t>
            </w:r>
          </w:p>
        </w:tc>
        <w:tc>
          <w:tcPr>
            <w:tcW w:w="1141" w:type="dxa"/>
            <w:tcBorders>
              <w:top w:val="nil"/>
              <w:left w:val="single" w:sz="8" w:space="0" w:color="auto"/>
              <w:bottom w:val="nil"/>
              <w:right w:val="single" w:sz="8" w:space="0" w:color="auto"/>
            </w:tcBorders>
            <w:shd w:val="clear" w:color="auto" w:fill="auto"/>
            <w:noWrap/>
            <w:vAlign w:val="center"/>
            <w:hideMark/>
          </w:tcPr>
          <w:p w14:paraId="6EC4ADB4"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18.4</w:t>
            </w:r>
          </w:p>
        </w:tc>
      </w:tr>
      <w:tr w:rsidR="0067746C" w:rsidRPr="00752620" w14:paraId="4F53128B"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26CF6273" w14:textId="77777777" w:rsidR="0067746C" w:rsidRPr="00752620" w:rsidRDefault="0067746C" w:rsidP="00E432AF">
            <w:pPr>
              <w:ind w:firstLineChars="197" w:firstLine="356"/>
              <w:rPr>
                <w:rFonts w:ascii="Arial" w:eastAsia="Times New Roman" w:hAnsi="Arial" w:cs="Arial"/>
                <w:b/>
                <w:bCs/>
                <w:color w:val="000000"/>
                <w:sz w:val="18"/>
                <w:szCs w:val="18"/>
              </w:rPr>
            </w:pPr>
            <w:r w:rsidRPr="00752620">
              <w:rPr>
                <w:rFonts w:ascii="Arial" w:eastAsia="Times New Roman" w:hAnsi="Arial" w:cs="Arial"/>
                <w:b/>
                <w:bCs/>
                <w:color w:val="000000"/>
                <w:sz w:val="18"/>
                <w:szCs w:val="18"/>
              </w:rPr>
              <w:t>Actividades Terciarias</w:t>
            </w:r>
          </w:p>
        </w:tc>
        <w:tc>
          <w:tcPr>
            <w:tcW w:w="1268" w:type="dxa"/>
            <w:tcBorders>
              <w:top w:val="nil"/>
              <w:left w:val="nil"/>
              <w:bottom w:val="nil"/>
              <w:right w:val="single" w:sz="8" w:space="0" w:color="auto"/>
            </w:tcBorders>
            <w:shd w:val="clear" w:color="auto" w:fill="auto"/>
            <w:vAlign w:val="bottom"/>
            <w:hideMark/>
          </w:tcPr>
          <w:p w14:paraId="7D00A5A6" w14:textId="22342743" w:rsidR="0067746C" w:rsidRPr="00C40537" w:rsidRDefault="0067746C" w:rsidP="00E432AF">
            <w:pPr>
              <w:jc w:val="right"/>
              <w:rPr>
                <w:rFonts w:ascii="Arial" w:hAnsi="Arial" w:cs="Arial"/>
                <w:b/>
                <w:color w:val="000000"/>
                <w:sz w:val="18"/>
                <w:szCs w:val="18"/>
              </w:rPr>
            </w:pPr>
            <w:r w:rsidRPr="00C40537">
              <w:rPr>
                <w:rFonts w:ascii="Arial" w:hAnsi="Arial" w:cs="Arial"/>
                <w:b/>
                <w:color w:val="000000"/>
                <w:sz w:val="18"/>
                <w:szCs w:val="18"/>
              </w:rPr>
              <w:t>14</w:t>
            </w:r>
            <w:r w:rsidR="0002598E">
              <w:rPr>
                <w:rFonts w:ascii="Arial" w:hAnsi="Arial" w:cs="Arial"/>
                <w:b/>
                <w:color w:val="000000"/>
                <w:sz w:val="18"/>
                <w:szCs w:val="18"/>
              </w:rPr>
              <w:t xml:space="preserve"> </w:t>
            </w:r>
            <w:r w:rsidRPr="00C40537">
              <w:rPr>
                <w:rFonts w:ascii="Arial" w:hAnsi="Arial" w:cs="Arial"/>
                <w:b/>
                <w:color w:val="000000"/>
                <w:sz w:val="18"/>
                <w:szCs w:val="18"/>
              </w:rPr>
              <w:t>078</w:t>
            </w:r>
            <w:r w:rsidR="0002598E">
              <w:rPr>
                <w:rFonts w:ascii="Arial" w:hAnsi="Arial" w:cs="Arial"/>
                <w:b/>
                <w:color w:val="000000"/>
                <w:sz w:val="18"/>
                <w:szCs w:val="18"/>
              </w:rPr>
              <w:t xml:space="preserve"> </w:t>
            </w:r>
            <w:r w:rsidRPr="00C40537">
              <w:rPr>
                <w:rFonts w:ascii="Arial" w:hAnsi="Arial" w:cs="Arial"/>
                <w:b/>
                <w:color w:val="000000"/>
                <w:sz w:val="18"/>
                <w:szCs w:val="18"/>
              </w:rPr>
              <w:t>199</w:t>
            </w:r>
          </w:p>
        </w:tc>
        <w:tc>
          <w:tcPr>
            <w:tcW w:w="1141" w:type="dxa"/>
            <w:tcBorders>
              <w:top w:val="nil"/>
              <w:left w:val="single" w:sz="8" w:space="0" w:color="auto"/>
              <w:bottom w:val="nil"/>
              <w:right w:val="single" w:sz="8" w:space="0" w:color="auto"/>
            </w:tcBorders>
            <w:shd w:val="clear" w:color="auto" w:fill="auto"/>
            <w:noWrap/>
            <w:vAlign w:val="center"/>
            <w:hideMark/>
          </w:tcPr>
          <w:p w14:paraId="1CDFC346" w14:textId="77777777" w:rsidR="0067746C" w:rsidRDefault="0067746C" w:rsidP="00E432AF">
            <w:pPr>
              <w:jc w:val="right"/>
              <w:rPr>
                <w:rFonts w:ascii="Arial" w:hAnsi="Arial" w:cs="Arial"/>
                <w:b/>
                <w:bCs/>
                <w:color w:val="000000"/>
                <w:sz w:val="18"/>
                <w:szCs w:val="18"/>
              </w:rPr>
            </w:pPr>
            <w:r>
              <w:rPr>
                <w:rFonts w:ascii="Arial" w:hAnsi="Arial" w:cs="Arial"/>
                <w:b/>
                <w:bCs/>
                <w:color w:val="000000"/>
                <w:sz w:val="18"/>
                <w:szCs w:val="18"/>
              </w:rPr>
              <w:t>64.3</w:t>
            </w:r>
          </w:p>
        </w:tc>
      </w:tr>
      <w:tr w:rsidR="0067746C" w:rsidRPr="00752620" w14:paraId="29839181"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tcPr>
          <w:p w14:paraId="40FB4E97" w14:textId="77777777" w:rsidR="0067746C" w:rsidRPr="00752620" w:rsidRDefault="0067746C" w:rsidP="00E432AF">
            <w:pPr>
              <w:ind w:leftChars="241" w:left="859" w:hangingChars="156" w:hanging="281"/>
              <w:rPr>
                <w:rFonts w:ascii="Arial" w:eastAsia="Times New Roman" w:hAnsi="Arial" w:cs="Arial"/>
                <w:color w:val="000000"/>
                <w:sz w:val="18"/>
                <w:szCs w:val="18"/>
              </w:rPr>
            </w:pPr>
            <w:r>
              <w:rPr>
                <w:rFonts w:ascii="Arial" w:eastAsia="Times New Roman" w:hAnsi="Arial" w:cs="Arial"/>
                <w:color w:val="000000"/>
                <w:sz w:val="18"/>
                <w:szCs w:val="18"/>
              </w:rPr>
              <w:t>43-46 Comercio</w:t>
            </w:r>
          </w:p>
        </w:tc>
        <w:tc>
          <w:tcPr>
            <w:tcW w:w="1268" w:type="dxa"/>
            <w:tcBorders>
              <w:top w:val="nil"/>
              <w:left w:val="nil"/>
              <w:bottom w:val="nil"/>
              <w:right w:val="single" w:sz="8" w:space="0" w:color="auto"/>
            </w:tcBorders>
            <w:shd w:val="clear" w:color="auto" w:fill="auto"/>
            <w:noWrap/>
            <w:vAlign w:val="bottom"/>
          </w:tcPr>
          <w:p w14:paraId="0402C682" w14:textId="29720FAF"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4</w:t>
            </w:r>
            <w:r w:rsidR="0002598E">
              <w:rPr>
                <w:rFonts w:ascii="Arial" w:hAnsi="Arial" w:cs="Arial"/>
                <w:color w:val="000000"/>
                <w:sz w:val="18"/>
                <w:szCs w:val="18"/>
              </w:rPr>
              <w:t xml:space="preserve"> </w:t>
            </w:r>
            <w:r w:rsidRPr="00C40537">
              <w:rPr>
                <w:rFonts w:ascii="Arial" w:hAnsi="Arial" w:cs="Arial"/>
                <w:color w:val="000000"/>
                <w:sz w:val="18"/>
                <w:szCs w:val="18"/>
              </w:rPr>
              <w:t>355</w:t>
            </w:r>
            <w:r w:rsidR="0002598E">
              <w:rPr>
                <w:rFonts w:ascii="Arial" w:hAnsi="Arial" w:cs="Arial"/>
                <w:color w:val="000000"/>
                <w:sz w:val="18"/>
                <w:szCs w:val="18"/>
              </w:rPr>
              <w:t xml:space="preserve"> </w:t>
            </w:r>
            <w:r w:rsidRPr="00C40537">
              <w:rPr>
                <w:rFonts w:ascii="Arial" w:hAnsi="Arial" w:cs="Arial"/>
                <w:color w:val="000000"/>
                <w:sz w:val="18"/>
                <w:szCs w:val="18"/>
              </w:rPr>
              <w:t>410</w:t>
            </w:r>
          </w:p>
        </w:tc>
        <w:tc>
          <w:tcPr>
            <w:tcW w:w="1141" w:type="dxa"/>
            <w:tcBorders>
              <w:top w:val="nil"/>
              <w:left w:val="single" w:sz="8" w:space="0" w:color="auto"/>
              <w:bottom w:val="nil"/>
              <w:right w:val="single" w:sz="8" w:space="0" w:color="auto"/>
            </w:tcBorders>
            <w:shd w:val="clear" w:color="auto" w:fill="auto"/>
            <w:noWrap/>
            <w:vAlign w:val="center"/>
          </w:tcPr>
          <w:p w14:paraId="79861FEC"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19.9</w:t>
            </w:r>
          </w:p>
        </w:tc>
      </w:tr>
      <w:tr w:rsidR="0067746C" w:rsidRPr="00752620" w14:paraId="3E6A44D3"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3771C394"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43 Comercio al por mayor</w:t>
            </w:r>
          </w:p>
        </w:tc>
        <w:tc>
          <w:tcPr>
            <w:tcW w:w="1268" w:type="dxa"/>
            <w:tcBorders>
              <w:top w:val="nil"/>
              <w:left w:val="nil"/>
              <w:bottom w:val="nil"/>
              <w:right w:val="single" w:sz="8" w:space="0" w:color="auto"/>
            </w:tcBorders>
            <w:shd w:val="clear" w:color="auto" w:fill="auto"/>
            <w:noWrap/>
            <w:vAlign w:val="bottom"/>
            <w:hideMark/>
          </w:tcPr>
          <w:p w14:paraId="2268C3B5" w14:textId="0B95C58E"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2</w:t>
            </w:r>
            <w:r w:rsidR="0002598E">
              <w:rPr>
                <w:rFonts w:ascii="Arial" w:hAnsi="Arial" w:cs="Arial"/>
                <w:color w:val="000000"/>
                <w:sz w:val="18"/>
                <w:szCs w:val="18"/>
              </w:rPr>
              <w:t xml:space="preserve"> </w:t>
            </w:r>
            <w:r w:rsidRPr="00C40537">
              <w:rPr>
                <w:rFonts w:ascii="Arial" w:hAnsi="Arial" w:cs="Arial"/>
                <w:color w:val="000000"/>
                <w:sz w:val="18"/>
                <w:szCs w:val="18"/>
              </w:rPr>
              <w:t>176</w:t>
            </w:r>
            <w:r w:rsidR="0002598E">
              <w:rPr>
                <w:rFonts w:ascii="Arial" w:hAnsi="Arial" w:cs="Arial"/>
                <w:color w:val="000000"/>
                <w:sz w:val="18"/>
                <w:szCs w:val="18"/>
              </w:rPr>
              <w:t xml:space="preserve"> </w:t>
            </w:r>
            <w:r w:rsidRPr="00C40537">
              <w:rPr>
                <w:rFonts w:ascii="Arial" w:hAnsi="Arial" w:cs="Arial"/>
                <w:color w:val="000000"/>
                <w:sz w:val="18"/>
                <w:szCs w:val="18"/>
              </w:rPr>
              <w:t>248</w:t>
            </w:r>
          </w:p>
        </w:tc>
        <w:tc>
          <w:tcPr>
            <w:tcW w:w="1141" w:type="dxa"/>
            <w:tcBorders>
              <w:top w:val="nil"/>
              <w:left w:val="single" w:sz="8" w:space="0" w:color="auto"/>
              <w:bottom w:val="nil"/>
              <w:right w:val="single" w:sz="8" w:space="0" w:color="auto"/>
            </w:tcBorders>
            <w:shd w:val="clear" w:color="auto" w:fill="auto"/>
            <w:noWrap/>
            <w:vAlign w:val="center"/>
            <w:hideMark/>
          </w:tcPr>
          <w:p w14:paraId="2828C069"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9.9</w:t>
            </w:r>
          </w:p>
        </w:tc>
      </w:tr>
      <w:tr w:rsidR="0067746C" w:rsidRPr="00752620" w14:paraId="4D5C3DEF"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0DDF33D6"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46 Comercio al por menor</w:t>
            </w:r>
          </w:p>
        </w:tc>
        <w:tc>
          <w:tcPr>
            <w:tcW w:w="1268" w:type="dxa"/>
            <w:tcBorders>
              <w:top w:val="nil"/>
              <w:left w:val="nil"/>
              <w:bottom w:val="nil"/>
              <w:right w:val="single" w:sz="8" w:space="0" w:color="auto"/>
            </w:tcBorders>
            <w:shd w:val="clear" w:color="auto" w:fill="auto"/>
            <w:noWrap/>
            <w:vAlign w:val="bottom"/>
            <w:hideMark/>
          </w:tcPr>
          <w:p w14:paraId="46D462C5" w14:textId="3702EC8F"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2</w:t>
            </w:r>
            <w:r w:rsidR="0002598E">
              <w:rPr>
                <w:rFonts w:ascii="Arial" w:hAnsi="Arial" w:cs="Arial"/>
                <w:color w:val="000000"/>
                <w:sz w:val="18"/>
                <w:szCs w:val="18"/>
              </w:rPr>
              <w:t xml:space="preserve"> </w:t>
            </w:r>
            <w:r w:rsidRPr="00C40537">
              <w:rPr>
                <w:rFonts w:ascii="Arial" w:hAnsi="Arial" w:cs="Arial"/>
                <w:color w:val="000000"/>
                <w:sz w:val="18"/>
                <w:szCs w:val="18"/>
              </w:rPr>
              <w:t>179</w:t>
            </w:r>
            <w:r w:rsidR="0002598E">
              <w:rPr>
                <w:rFonts w:ascii="Arial" w:hAnsi="Arial" w:cs="Arial"/>
                <w:color w:val="000000"/>
                <w:sz w:val="18"/>
                <w:szCs w:val="18"/>
              </w:rPr>
              <w:t xml:space="preserve"> </w:t>
            </w:r>
            <w:r w:rsidRPr="00C40537">
              <w:rPr>
                <w:rFonts w:ascii="Arial" w:hAnsi="Arial" w:cs="Arial"/>
                <w:color w:val="000000"/>
                <w:sz w:val="18"/>
                <w:szCs w:val="18"/>
              </w:rPr>
              <w:t>162</w:t>
            </w:r>
          </w:p>
        </w:tc>
        <w:tc>
          <w:tcPr>
            <w:tcW w:w="1141" w:type="dxa"/>
            <w:tcBorders>
              <w:top w:val="nil"/>
              <w:left w:val="single" w:sz="8" w:space="0" w:color="auto"/>
              <w:bottom w:val="nil"/>
              <w:right w:val="single" w:sz="8" w:space="0" w:color="auto"/>
            </w:tcBorders>
            <w:shd w:val="clear" w:color="auto" w:fill="auto"/>
            <w:noWrap/>
            <w:vAlign w:val="center"/>
            <w:hideMark/>
          </w:tcPr>
          <w:p w14:paraId="5CDE0B16"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10.0</w:t>
            </w:r>
          </w:p>
        </w:tc>
      </w:tr>
      <w:tr w:rsidR="0067746C" w:rsidRPr="00752620" w14:paraId="04F9E836" w14:textId="77777777" w:rsidTr="00E432AF">
        <w:trPr>
          <w:trHeight w:val="230"/>
        </w:trPr>
        <w:tc>
          <w:tcPr>
            <w:tcW w:w="6459" w:type="dxa"/>
            <w:tcBorders>
              <w:top w:val="nil"/>
              <w:left w:val="single" w:sz="8" w:space="0" w:color="auto"/>
              <w:bottom w:val="nil"/>
              <w:right w:val="single" w:sz="8" w:space="0" w:color="auto"/>
            </w:tcBorders>
            <w:shd w:val="clear" w:color="auto" w:fill="auto"/>
            <w:vAlign w:val="center"/>
            <w:hideMark/>
          </w:tcPr>
          <w:p w14:paraId="66C0C5B9"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48-49 Transportes, correos y almacenamiento </w:t>
            </w:r>
          </w:p>
        </w:tc>
        <w:tc>
          <w:tcPr>
            <w:tcW w:w="1268" w:type="dxa"/>
            <w:tcBorders>
              <w:top w:val="nil"/>
              <w:left w:val="nil"/>
              <w:bottom w:val="nil"/>
              <w:right w:val="single" w:sz="8" w:space="0" w:color="auto"/>
            </w:tcBorders>
            <w:shd w:val="clear" w:color="auto" w:fill="auto"/>
            <w:noWrap/>
            <w:vAlign w:val="bottom"/>
            <w:hideMark/>
          </w:tcPr>
          <w:p w14:paraId="0C6E4A7D" w14:textId="612EC719"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1</w:t>
            </w:r>
            <w:r w:rsidR="0002598E">
              <w:rPr>
                <w:rFonts w:ascii="Arial" w:hAnsi="Arial" w:cs="Arial"/>
                <w:color w:val="000000"/>
                <w:sz w:val="18"/>
                <w:szCs w:val="18"/>
              </w:rPr>
              <w:t xml:space="preserve"> </w:t>
            </w:r>
            <w:r w:rsidRPr="00C40537">
              <w:rPr>
                <w:rFonts w:ascii="Arial" w:hAnsi="Arial" w:cs="Arial"/>
                <w:color w:val="000000"/>
                <w:sz w:val="18"/>
                <w:szCs w:val="18"/>
              </w:rPr>
              <w:t>279</w:t>
            </w:r>
            <w:r w:rsidR="0002598E">
              <w:rPr>
                <w:rFonts w:ascii="Arial" w:hAnsi="Arial" w:cs="Arial"/>
                <w:color w:val="000000"/>
                <w:sz w:val="18"/>
                <w:szCs w:val="18"/>
              </w:rPr>
              <w:t xml:space="preserve"> </w:t>
            </w:r>
            <w:r w:rsidRPr="00C40537">
              <w:rPr>
                <w:rFonts w:ascii="Arial" w:hAnsi="Arial" w:cs="Arial"/>
                <w:color w:val="000000"/>
                <w:sz w:val="18"/>
                <w:szCs w:val="18"/>
              </w:rPr>
              <w:t>109</w:t>
            </w:r>
          </w:p>
        </w:tc>
        <w:tc>
          <w:tcPr>
            <w:tcW w:w="1141" w:type="dxa"/>
            <w:tcBorders>
              <w:top w:val="nil"/>
              <w:left w:val="single" w:sz="8" w:space="0" w:color="auto"/>
              <w:bottom w:val="nil"/>
              <w:right w:val="single" w:sz="8" w:space="0" w:color="auto"/>
            </w:tcBorders>
            <w:shd w:val="clear" w:color="auto" w:fill="auto"/>
            <w:noWrap/>
            <w:vAlign w:val="center"/>
            <w:hideMark/>
          </w:tcPr>
          <w:p w14:paraId="7E2C4FAF"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5.8</w:t>
            </w:r>
          </w:p>
        </w:tc>
      </w:tr>
      <w:tr w:rsidR="0067746C" w:rsidRPr="00752620" w14:paraId="5548140D"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024E0802"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51 Información en medios masivos </w:t>
            </w:r>
          </w:p>
        </w:tc>
        <w:tc>
          <w:tcPr>
            <w:tcW w:w="1268" w:type="dxa"/>
            <w:tcBorders>
              <w:top w:val="nil"/>
              <w:left w:val="nil"/>
              <w:bottom w:val="nil"/>
              <w:right w:val="single" w:sz="8" w:space="0" w:color="auto"/>
            </w:tcBorders>
            <w:shd w:val="clear" w:color="auto" w:fill="auto"/>
            <w:noWrap/>
            <w:vAlign w:val="bottom"/>
          </w:tcPr>
          <w:p w14:paraId="0695E489" w14:textId="3915E7C2"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355</w:t>
            </w:r>
            <w:r w:rsidR="0002598E">
              <w:rPr>
                <w:rFonts w:ascii="Arial" w:hAnsi="Arial" w:cs="Arial"/>
                <w:color w:val="000000"/>
                <w:sz w:val="18"/>
                <w:szCs w:val="18"/>
              </w:rPr>
              <w:t xml:space="preserve"> </w:t>
            </w:r>
            <w:r w:rsidRPr="00C40537">
              <w:rPr>
                <w:rFonts w:ascii="Arial" w:hAnsi="Arial" w:cs="Arial"/>
                <w:color w:val="000000"/>
                <w:sz w:val="18"/>
                <w:szCs w:val="18"/>
              </w:rPr>
              <w:t>710</w:t>
            </w:r>
          </w:p>
        </w:tc>
        <w:tc>
          <w:tcPr>
            <w:tcW w:w="1141" w:type="dxa"/>
            <w:tcBorders>
              <w:top w:val="nil"/>
              <w:left w:val="single" w:sz="8" w:space="0" w:color="auto"/>
              <w:bottom w:val="nil"/>
              <w:right w:val="single" w:sz="8" w:space="0" w:color="auto"/>
            </w:tcBorders>
            <w:shd w:val="clear" w:color="auto" w:fill="auto"/>
            <w:noWrap/>
            <w:vAlign w:val="center"/>
            <w:hideMark/>
          </w:tcPr>
          <w:p w14:paraId="3F6D0AE7"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1.6</w:t>
            </w:r>
          </w:p>
        </w:tc>
      </w:tr>
      <w:tr w:rsidR="0067746C" w:rsidRPr="00752620" w14:paraId="41FDBB0A"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493626F7"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52 Servicios financieros y de seguros </w:t>
            </w:r>
          </w:p>
        </w:tc>
        <w:tc>
          <w:tcPr>
            <w:tcW w:w="1268" w:type="dxa"/>
            <w:tcBorders>
              <w:top w:val="nil"/>
              <w:left w:val="nil"/>
              <w:bottom w:val="nil"/>
              <w:right w:val="single" w:sz="8" w:space="0" w:color="auto"/>
            </w:tcBorders>
            <w:shd w:val="clear" w:color="auto" w:fill="auto"/>
            <w:noWrap/>
            <w:vAlign w:val="bottom"/>
          </w:tcPr>
          <w:p w14:paraId="3D81AF51" w14:textId="06644F45"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983</w:t>
            </w:r>
            <w:r w:rsidR="0002598E">
              <w:rPr>
                <w:rFonts w:ascii="Arial" w:hAnsi="Arial" w:cs="Arial"/>
                <w:color w:val="000000"/>
                <w:sz w:val="18"/>
                <w:szCs w:val="18"/>
              </w:rPr>
              <w:t xml:space="preserve"> </w:t>
            </w:r>
            <w:r w:rsidRPr="00C40537">
              <w:rPr>
                <w:rFonts w:ascii="Arial" w:hAnsi="Arial" w:cs="Arial"/>
                <w:color w:val="000000"/>
                <w:sz w:val="18"/>
                <w:szCs w:val="18"/>
              </w:rPr>
              <w:t>644</w:t>
            </w:r>
          </w:p>
        </w:tc>
        <w:tc>
          <w:tcPr>
            <w:tcW w:w="1141" w:type="dxa"/>
            <w:tcBorders>
              <w:top w:val="nil"/>
              <w:left w:val="single" w:sz="8" w:space="0" w:color="auto"/>
              <w:bottom w:val="nil"/>
              <w:right w:val="single" w:sz="8" w:space="0" w:color="auto"/>
            </w:tcBorders>
            <w:shd w:val="clear" w:color="auto" w:fill="auto"/>
            <w:noWrap/>
            <w:vAlign w:val="center"/>
            <w:hideMark/>
          </w:tcPr>
          <w:p w14:paraId="332F8B3F"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4.5</w:t>
            </w:r>
          </w:p>
        </w:tc>
      </w:tr>
      <w:tr w:rsidR="0067746C" w:rsidRPr="00752620" w14:paraId="0DCAF13B"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3DFD4F97" w14:textId="7F4E5D1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53 Servicios inmobiliarios y de alquiler de bienes muebles e intangibles</w:t>
            </w:r>
          </w:p>
        </w:tc>
        <w:tc>
          <w:tcPr>
            <w:tcW w:w="1268" w:type="dxa"/>
            <w:tcBorders>
              <w:top w:val="nil"/>
              <w:left w:val="single" w:sz="8" w:space="0" w:color="auto"/>
              <w:bottom w:val="nil"/>
              <w:right w:val="single" w:sz="8" w:space="0" w:color="auto"/>
            </w:tcBorders>
            <w:shd w:val="clear" w:color="auto" w:fill="auto"/>
            <w:noWrap/>
            <w:vAlign w:val="bottom"/>
          </w:tcPr>
          <w:p w14:paraId="39E32F58" w14:textId="3653CA8B"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2</w:t>
            </w:r>
            <w:r w:rsidR="0002598E">
              <w:rPr>
                <w:rFonts w:ascii="Arial" w:hAnsi="Arial" w:cs="Arial"/>
                <w:color w:val="000000"/>
                <w:sz w:val="18"/>
                <w:szCs w:val="18"/>
              </w:rPr>
              <w:t xml:space="preserve"> </w:t>
            </w:r>
            <w:r w:rsidRPr="00C40537">
              <w:rPr>
                <w:rFonts w:ascii="Arial" w:hAnsi="Arial" w:cs="Arial"/>
                <w:color w:val="000000"/>
                <w:sz w:val="18"/>
                <w:szCs w:val="18"/>
              </w:rPr>
              <w:t>422</w:t>
            </w:r>
            <w:r w:rsidR="0002598E">
              <w:rPr>
                <w:rFonts w:ascii="Arial" w:hAnsi="Arial" w:cs="Arial"/>
                <w:color w:val="000000"/>
                <w:sz w:val="18"/>
                <w:szCs w:val="18"/>
              </w:rPr>
              <w:t xml:space="preserve"> </w:t>
            </w:r>
            <w:r w:rsidRPr="00C40537">
              <w:rPr>
                <w:rFonts w:ascii="Arial" w:hAnsi="Arial" w:cs="Arial"/>
                <w:color w:val="000000"/>
                <w:sz w:val="18"/>
                <w:szCs w:val="18"/>
              </w:rPr>
              <w:t>437</w:t>
            </w:r>
          </w:p>
        </w:tc>
        <w:tc>
          <w:tcPr>
            <w:tcW w:w="1141" w:type="dxa"/>
            <w:tcBorders>
              <w:top w:val="nil"/>
              <w:left w:val="single" w:sz="8" w:space="0" w:color="auto"/>
              <w:bottom w:val="nil"/>
              <w:right w:val="single" w:sz="8" w:space="0" w:color="auto"/>
            </w:tcBorders>
            <w:shd w:val="clear" w:color="auto" w:fill="auto"/>
            <w:noWrap/>
            <w:vAlign w:val="center"/>
            <w:hideMark/>
          </w:tcPr>
          <w:p w14:paraId="5B9C147D"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11.1</w:t>
            </w:r>
          </w:p>
        </w:tc>
      </w:tr>
      <w:tr w:rsidR="0067746C" w:rsidRPr="00752620" w14:paraId="1165A208"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3D95148A"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54 Servicios profesionales, científicos y técnicos </w:t>
            </w:r>
          </w:p>
        </w:tc>
        <w:tc>
          <w:tcPr>
            <w:tcW w:w="1268" w:type="dxa"/>
            <w:tcBorders>
              <w:top w:val="nil"/>
              <w:left w:val="nil"/>
              <w:bottom w:val="nil"/>
              <w:right w:val="single" w:sz="8" w:space="0" w:color="auto"/>
            </w:tcBorders>
            <w:shd w:val="clear" w:color="auto" w:fill="auto"/>
            <w:noWrap/>
            <w:vAlign w:val="bottom"/>
          </w:tcPr>
          <w:p w14:paraId="1B41BD23" w14:textId="2CBA0B95"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444</w:t>
            </w:r>
            <w:r w:rsidR="0002598E">
              <w:rPr>
                <w:rFonts w:ascii="Arial" w:hAnsi="Arial" w:cs="Arial"/>
                <w:color w:val="000000"/>
                <w:sz w:val="18"/>
                <w:szCs w:val="18"/>
              </w:rPr>
              <w:t xml:space="preserve"> </w:t>
            </w:r>
            <w:r w:rsidRPr="00C40537">
              <w:rPr>
                <w:rFonts w:ascii="Arial" w:hAnsi="Arial" w:cs="Arial"/>
                <w:color w:val="000000"/>
                <w:sz w:val="18"/>
                <w:szCs w:val="18"/>
              </w:rPr>
              <w:t>591</w:t>
            </w:r>
          </w:p>
        </w:tc>
        <w:tc>
          <w:tcPr>
            <w:tcW w:w="1141" w:type="dxa"/>
            <w:tcBorders>
              <w:top w:val="nil"/>
              <w:left w:val="single" w:sz="8" w:space="0" w:color="auto"/>
              <w:bottom w:val="nil"/>
              <w:right w:val="single" w:sz="8" w:space="0" w:color="auto"/>
            </w:tcBorders>
            <w:shd w:val="clear" w:color="auto" w:fill="auto"/>
            <w:noWrap/>
            <w:vAlign w:val="center"/>
            <w:hideMark/>
          </w:tcPr>
          <w:p w14:paraId="4401BABC"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2.0</w:t>
            </w:r>
          </w:p>
        </w:tc>
      </w:tr>
      <w:tr w:rsidR="0067746C" w:rsidRPr="00752620" w14:paraId="7D4ABBF8"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0305B752"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55 Corporativos</w:t>
            </w:r>
          </w:p>
        </w:tc>
        <w:tc>
          <w:tcPr>
            <w:tcW w:w="1268" w:type="dxa"/>
            <w:tcBorders>
              <w:top w:val="nil"/>
              <w:left w:val="nil"/>
              <w:bottom w:val="nil"/>
              <w:right w:val="single" w:sz="8" w:space="0" w:color="auto"/>
            </w:tcBorders>
            <w:shd w:val="clear" w:color="auto" w:fill="auto"/>
            <w:noWrap/>
            <w:vAlign w:val="bottom"/>
          </w:tcPr>
          <w:p w14:paraId="0D5670ED" w14:textId="589F66A7"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156</w:t>
            </w:r>
            <w:r w:rsidR="0002598E">
              <w:rPr>
                <w:rFonts w:ascii="Arial" w:hAnsi="Arial" w:cs="Arial"/>
                <w:color w:val="000000"/>
                <w:sz w:val="18"/>
                <w:szCs w:val="18"/>
              </w:rPr>
              <w:t xml:space="preserve"> </w:t>
            </w:r>
            <w:r w:rsidRPr="00C40537">
              <w:rPr>
                <w:rFonts w:ascii="Arial" w:hAnsi="Arial" w:cs="Arial"/>
                <w:color w:val="000000"/>
                <w:sz w:val="18"/>
                <w:szCs w:val="18"/>
              </w:rPr>
              <w:t>415</w:t>
            </w:r>
          </w:p>
        </w:tc>
        <w:tc>
          <w:tcPr>
            <w:tcW w:w="1141" w:type="dxa"/>
            <w:tcBorders>
              <w:top w:val="nil"/>
              <w:left w:val="single" w:sz="8" w:space="0" w:color="auto"/>
              <w:bottom w:val="nil"/>
              <w:right w:val="single" w:sz="8" w:space="0" w:color="auto"/>
            </w:tcBorders>
            <w:shd w:val="clear" w:color="auto" w:fill="auto"/>
            <w:noWrap/>
            <w:vAlign w:val="center"/>
            <w:hideMark/>
          </w:tcPr>
          <w:p w14:paraId="4836E70D"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0.7</w:t>
            </w:r>
          </w:p>
        </w:tc>
      </w:tr>
      <w:tr w:rsidR="0067746C" w:rsidRPr="00752620" w14:paraId="57766EEC"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371A1D58"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56 Servicios de apoyo a los negocios y manejo de </w:t>
            </w:r>
            <w:proofErr w:type="gramStart"/>
            <w:r w:rsidRPr="00752620">
              <w:rPr>
                <w:rFonts w:ascii="Arial" w:eastAsia="Times New Roman" w:hAnsi="Arial" w:cs="Arial"/>
                <w:color w:val="000000"/>
                <w:sz w:val="18"/>
                <w:szCs w:val="18"/>
              </w:rPr>
              <w:t>desechos</w:t>
            </w:r>
            <w:r>
              <w:rPr>
                <w:rFonts w:ascii="Arial" w:eastAsia="Times New Roman" w:hAnsi="Arial" w:cs="Arial"/>
                <w:color w:val="000000"/>
                <w:sz w:val="18"/>
                <w:szCs w:val="18"/>
              </w:rPr>
              <w:t xml:space="preserve"> </w:t>
            </w:r>
            <w:r w:rsidRPr="00752620">
              <w:rPr>
                <w:rFonts w:ascii="Arial" w:eastAsia="Times New Roman" w:hAnsi="Arial" w:cs="Arial"/>
                <w:color w:val="000000"/>
                <w:sz w:val="18"/>
                <w:szCs w:val="18"/>
              </w:rPr>
              <w:t xml:space="preserve"> y</w:t>
            </w:r>
            <w:proofErr w:type="gramEnd"/>
            <w:r w:rsidRPr="00752620">
              <w:rPr>
                <w:rFonts w:ascii="Arial" w:eastAsia="Times New Roman" w:hAnsi="Arial" w:cs="Arial"/>
                <w:color w:val="000000"/>
                <w:sz w:val="18"/>
                <w:szCs w:val="18"/>
              </w:rPr>
              <w:t xml:space="preserve"> servicios de remediación</w:t>
            </w:r>
          </w:p>
        </w:tc>
        <w:tc>
          <w:tcPr>
            <w:tcW w:w="1268" w:type="dxa"/>
            <w:tcBorders>
              <w:top w:val="nil"/>
              <w:left w:val="single" w:sz="8" w:space="0" w:color="auto"/>
              <w:bottom w:val="nil"/>
              <w:right w:val="single" w:sz="8" w:space="0" w:color="auto"/>
            </w:tcBorders>
            <w:shd w:val="clear" w:color="auto" w:fill="auto"/>
            <w:noWrap/>
            <w:vAlign w:val="bottom"/>
          </w:tcPr>
          <w:p w14:paraId="7FE4835E" w14:textId="790FCF6C"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849</w:t>
            </w:r>
            <w:r w:rsidR="0002598E">
              <w:rPr>
                <w:rFonts w:ascii="Arial" w:hAnsi="Arial" w:cs="Arial"/>
                <w:color w:val="000000"/>
                <w:sz w:val="18"/>
                <w:szCs w:val="18"/>
              </w:rPr>
              <w:t xml:space="preserve"> </w:t>
            </w:r>
            <w:r w:rsidRPr="00C40537">
              <w:rPr>
                <w:rFonts w:ascii="Arial" w:hAnsi="Arial" w:cs="Arial"/>
                <w:color w:val="000000"/>
                <w:sz w:val="18"/>
                <w:szCs w:val="18"/>
              </w:rPr>
              <w:t>617</w:t>
            </w:r>
          </w:p>
        </w:tc>
        <w:tc>
          <w:tcPr>
            <w:tcW w:w="1141" w:type="dxa"/>
            <w:tcBorders>
              <w:top w:val="nil"/>
              <w:left w:val="single" w:sz="8" w:space="0" w:color="auto"/>
              <w:bottom w:val="nil"/>
              <w:right w:val="single" w:sz="8" w:space="0" w:color="auto"/>
            </w:tcBorders>
            <w:shd w:val="clear" w:color="auto" w:fill="auto"/>
            <w:noWrap/>
            <w:vAlign w:val="center"/>
            <w:hideMark/>
          </w:tcPr>
          <w:p w14:paraId="7C90BB82"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3.9</w:t>
            </w:r>
          </w:p>
        </w:tc>
      </w:tr>
      <w:tr w:rsidR="0067746C" w:rsidRPr="00752620" w14:paraId="1297FE97"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758A47F2"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61 Servicios educativos </w:t>
            </w:r>
          </w:p>
        </w:tc>
        <w:tc>
          <w:tcPr>
            <w:tcW w:w="1268" w:type="dxa"/>
            <w:tcBorders>
              <w:top w:val="nil"/>
              <w:left w:val="nil"/>
              <w:bottom w:val="nil"/>
              <w:right w:val="single" w:sz="8" w:space="0" w:color="auto"/>
            </w:tcBorders>
            <w:shd w:val="clear" w:color="auto" w:fill="auto"/>
            <w:noWrap/>
            <w:vAlign w:val="bottom"/>
          </w:tcPr>
          <w:p w14:paraId="54F7048D" w14:textId="754724EA"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909</w:t>
            </w:r>
            <w:r w:rsidR="0002598E">
              <w:rPr>
                <w:rFonts w:ascii="Arial" w:hAnsi="Arial" w:cs="Arial"/>
                <w:color w:val="000000"/>
                <w:sz w:val="18"/>
                <w:szCs w:val="18"/>
              </w:rPr>
              <w:t xml:space="preserve"> </w:t>
            </w:r>
            <w:r w:rsidRPr="00C40537">
              <w:rPr>
                <w:rFonts w:ascii="Arial" w:hAnsi="Arial" w:cs="Arial"/>
                <w:color w:val="000000"/>
                <w:sz w:val="18"/>
                <w:szCs w:val="18"/>
              </w:rPr>
              <w:t>249</w:t>
            </w:r>
          </w:p>
        </w:tc>
        <w:tc>
          <w:tcPr>
            <w:tcW w:w="1141" w:type="dxa"/>
            <w:tcBorders>
              <w:top w:val="nil"/>
              <w:left w:val="single" w:sz="8" w:space="0" w:color="auto"/>
              <w:bottom w:val="nil"/>
              <w:right w:val="single" w:sz="8" w:space="0" w:color="auto"/>
            </w:tcBorders>
            <w:shd w:val="clear" w:color="auto" w:fill="auto"/>
            <w:noWrap/>
            <w:vAlign w:val="center"/>
            <w:hideMark/>
          </w:tcPr>
          <w:p w14:paraId="237675F5"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4.2</w:t>
            </w:r>
          </w:p>
        </w:tc>
      </w:tr>
      <w:tr w:rsidR="0067746C" w:rsidRPr="00752620" w14:paraId="3D309236"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6C0E9E60"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62 Servicios de salud y de asistencia social </w:t>
            </w:r>
          </w:p>
        </w:tc>
        <w:tc>
          <w:tcPr>
            <w:tcW w:w="1268" w:type="dxa"/>
            <w:tcBorders>
              <w:top w:val="nil"/>
              <w:left w:val="nil"/>
              <w:bottom w:val="nil"/>
              <w:right w:val="single" w:sz="8" w:space="0" w:color="auto"/>
            </w:tcBorders>
            <w:shd w:val="clear" w:color="auto" w:fill="auto"/>
            <w:noWrap/>
            <w:vAlign w:val="bottom"/>
          </w:tcPr>
          <w:p w14:paraId="07DEB992" w14:textId="105E89F6"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583</w:t>
            </w:r>
            <w:r w:rsidR="0002598E">
              <w:rPr>
                <w:rFonts w:ascii="Arial" w:hAnsi="Arial" w:cs="Arial"/>
                <w:color w:val="000000"/>
                <w:sz w:val="18"/>
                <w:szCs w:val="18"/>
              </w:rPr>
              <w:t xml:space="preserve"> </w:t>
            </w:r>
            <w:r w:rsidRPr="00C40537">
              <w:rPr>
                <w:rFonts w:ascii="Arial" w:hAnsi="Arial" w:cs="Arial"/>
                <w:color w:val="000000"/>
                <w:sz w:val="18"/>
                <w:szCs w:val="18"/>
              </w:rPr>
              <w:t>458</w:t>
            </w:r>
          </w:p>
        </w:tc>
        <w:tc>
          <w:tcPr>
            <w:tcW w:w="1141" w:type="dxa"/>
            <w:tcBorders>
              <w:top w:val="nil"/>
              <w:left w:val="single" w:sz="8" w:space="0" w:color="auto"/>
              <w:bottom w:val="nil"/>
              <w:right w:val="single" w:sz="8" w:space="0" w:color="auto"/>
            </w:tcBorders>
            <w:shd w:val="clear" w:color="auto" w:fill="auto"/>
            <w:noWrap/>
            <w:vAlign w:val="center"/>
            <w:hideMark/>
          </w:tcPr>
          <w:p w14:paraId="0681D0B6"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2.7</w:t>
            </w:r>
          </w:p>
        </w:tc>
      </w:tr>
      <w:tr w:rsidR="0067746C" w:rsidRPr="00752620" w14:paraId="55918B3A"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0B65EF06"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71 Servicios de esparcimiento, culturales, deportivos y </w:t>
            </w:r>
            <w:proofErr w:type="gramStart"/>
            <w:r w:rsidRPr="00752620">
              <w:rPr>
                <w:rFonts w:ascii="Arial" w:eastAsia="Times New Roman" w:hAnsi="Arial" w:cs="Arial"/>
                <w:color w:val="000000"/>
                <w:sz w:val="18"/>
                <w:szCs w:val="18"/>
              </w:rPr>
              <w:t>otros  servicios</w:t>
            </w:r>
            <w:proofErr w:type="gramEnd"/>
            <w:r w:rsidRPr="00752620">
              <w:rPr>
                <w:rFonts w:ascii="Arial" w:eastAsia="Times New Roman" w:hAnsi="Arial" w:cs="Arial"/>
                <w:color w:val="000000"/>
                <w:sz w:val="18"/>
                <w:szCs w:val="18"/>
              </w:rPr>
              <w:t xml:space="preserve"> recreativos</w:t>
            </w:r>
          </w:p>
        </w:tc>
        <w:tc>
          <w:tcPr>
            <w:tcW w:w="1268" w:type="dxa"/>
            <w:tcBorders>
              <w:top w:val="nil"/>
              <w:left w:val="single" w:sz="8" w:space="0" w:color="auto"/>
              <w:bottom w:val="nil"/>
              <w:right w:val="single" w:sz="8" w:space="0" w:color="auto"/>
            </w:tcBorders>
            <w:shd w:val="clear" w:color="auto" w:fill="auto"/>
            <w:noWrap/>
            <w:vAlign w:val="bottom"/>
          </w:tcPr>
          <w:p w14:paraId="608F5EA4" w14:textId="323544EE"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58</w:t>
            </w:r>
            <w:r w:rsidR="0002598E">
              <w:rPr>
                <w:rFonts w:ascii="Arial" w:hAnsi="Arial" w:cs="Arial"/>
                <w:color w:val="000000"/>
                <w:sz w:val="18"/>
                <w:szCs w:val="18"/>
              </w:rPr>
              <w:t xml:space="preserve"> </w:t>
            </w:r>
            <w:r w:rsidRPr="00C40537">
              <w:rPr>
                <w:rFonts w:ascii="Arial" w:hAnsi="Arial" w:cs="Arial"/>
                <w:color w:val="000000"/>
                <w:sz w:val="18"/>
                <w:szCs w:val="18"/>
              </w:rPr>
              <w:t>558</w:t>
            </w:r>
          </w:p>
        </w:tc>
        <w:tc>
          <w:tcPr>
            <w:tcW w:w="1141" w:type="dxa"/>
            <w:tcBorders>
              <w:top w:val="nil"/>
              <w:left w:val="single" w:sz="8" w:space="0" w:color="auto"/>
              <w:bottom w:val="nil"/>
              <w:right w:val="single" w:sz="8" w:space="0" w:color="auto"/>
            </w:tcBorders>
            <w:shd w:val="clear" w:color="auto" w:fill="auto"/>
            <w:noWrap/>
            <w:vAlign w:val="center"/>
            <w:hideMark/>
          </w:tcPr>
          <w:p w14:paraId="772EB2E2"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0.3</w:t>
            </w:r>
          </w:p>
        </w:tc>
      </w:tr>
      <w:tr w:rsidR="0067746C" w:rsidRPr="00752620" w14:paraId="13D56840" w14:textId="77777777" w:rsidTr="00E432AF">
        <w:trPr>
          <w:trHeight w:val="300"/>
        </w:trPr>
        <w:tc>
          <w:tcPr>
            <w:tcW w:w="6459" w:type="dxa"/>
            <w:tcBorders>
              <w:top w:val="nil"/>
              <w:left w:val="single" w:sz="8" w:space="0" w:color="auto"/>
              <w:bottom w:val="nil"/>
              <w:right w:val="single" w:sz="8" w:space="0" w:color="auto"/>
            </w:tcBorders>
            <w:shd w:val="clear" w:color="auto" w:fill="auto"/>
            <w:vAlign w:val="center"/>
            <w:hideMark/>
          </w:tcPr>
          <w:p w14:paraId="4B97051D"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72 Servicios de alojamiento temporal y de preparación </w:t>
            </w:r>
            <w:proofErr w:type="gramStart"/>
            <w:r w:rsidRPr="00752620">
              <w:rPr>
                <w:rFonts w:ascii="Arial" w:eastAsia="Times New Roman" w:hAnsi="Arial" w:cs="Arial"/>
                <w:color w:val="000000"/>
                <w:sz w:val="18"/>
                <w:szCs w:val="18"/>
              </w:rPr>
              <w:t>de  alimentos</w:t>
            </w:r>
            <w:proofErr w:type="gramEnd"/>
            <w:r w:rsidRPr="00752620">
              <w:rPr>
                <w:rFonts w:ascii="Arial" w:eastAsia="Times New Roman" w:hAnsi="Arial" w:cs="Arial"/>
                <w:color w:val="000000"/>
                <w:sz w:val="18"/>
                <w:szCs w:val="18"/>
              </w:rPr>
              <w:t xml:space="preserve"> y bebidas</w:t>
            </w:r>
          </w:p>
        </w:tc>
        <w:tc>
          <w:tcPr>
            <w:tcW w:w="1268" w:type="dxa"/>
            <w:tcBorders>
              <w:top w:val="nil"/>
              <w:left w:val="single" w:sz="8" w:space="0" w:color="auto"/>
              <w:bottom w:val="nil"/>
              <w:right w:val="single" w:sz="8" w:space="0" w:color="auto"/>
            </w:tcBorders>
            <w:shd w:val="clear" w:color="auto" w:fill="auto"/>
            <w:noWrap/>
            <w:vAlign w:val="bottom"/>
          </w:tcPr>
          <w:p w14:paraId="7BAC0997" w14:textId="2706B9CC"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322</w:t>
            </w:r>
            <w:r w:rsidR="0002598E">
              <w:rPr>
                <w:rFonts w:ascii="Arial" w:hAnsi="Arial" w:cs="Arial"/>
                <w:color w:val="000000"/>
                <w:sz w:val="18"/>
                <w:szCs w:val="18"/>
              </w:rPr>
              <w:t xml:space="preserve"> </w:t>
            </w:r>
            <w:r w:rsidRPr="00C40537">
              <w:rPr>
                <w:rFonts w:ascii="Arial" w:hAnsi="Arial" w:cs="Arial"/>
                <w:color w:val="000000"/>
                <w:sz w:val="18"/>
                <w:szCs w:val="18"/>
              </w:rPr>
              <w:t>003</w:t>
            </w:r>
          </w:p>
        </w:tc>
        <w:tc>
          <w:tcPr>
            <w:tcW w:w="1141" w:type="dxa"/>
            <w:tcBorders>
              <w:top w:val="nil"/>
              <w:left w:val="single" w:sz="8" w:space="0" w:color="auto"/>
              <w:bottom w:val="nil"/>
              <w:right w:val="single" w:sz="8" w:space="0" w:color="auto"/>
            </w:tcBorders>
            <w:shd w:val="clear" w:color="auto" w:fill="auto"/>
            <w:noWrap/>
            <w:vAlign w:val="center"/>
            <w:hideMark/>
          </w:tcPr>
          <w:p w14:paraId="11F8E0D1"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1.5</w:t>
            </w:r>
          </w:p>
        </w:tc>
      </w:tr>
      <w:tr w:rsidR="0067746C" w:rsidRPr="00752620" w14:paraId="319B60C2" w14:textId="77777777" w:rsidTr="00E432AF">
        <w:trPr>
          <w:trHeight w:val="300"/>
        </w:trPr>
        <w:tc>
          <w:tcPr>
            <w:tcW w:w="6459" w:type="dxa"/>
            <w:tcBorders>
              <w:top w:val="nil"/>
              <w:left w:val="single" w:sz="8" w:space="0" w:color="auto"/>
              <w:right w:val="single" w:sz="8" w:space="0" w:color="auto"/>
            </w:tcBorders>
            <w:shd w:val="clear" w:color="auto" w:fill="auto"/>
            <w:vAlign w:val="center"/>
            <w:hideMark/>
          </w:tcPr>
          <w:p w14:paraId="7D0D2D2C"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81 Otros servicios excepto actividades del Gobierno </w:t>
            </w:r>
          </w:p>
        </w:tc>
        <w:tc>
          <w:tcPr>
            <w:tcW w:w="1268" w:type="dxa"/>
            <w:tcBorders>
              <w:top w:val="nil"/>
              <w:left w:val="nil"/>
              <w:right w:val="single" w:sz="8" w:space="0" w:color="auto"/>
            </w:tcBorders>
            <w:shd w:val="clear" w:color="auto" w:fill="auto"/>
            <w:noWrap/>
            <w:vAlign w:val="bottom"/>
          </w:tcPr>
          <w:p w14:paraId="7D8AED96" w14:textId="0BDB114B"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418</w:t>
            </w:r>
            <w:r w:rsidR="0002598E">
              <w:rPr>
                <w:rFonts w:ascii="Arial" w:hAnsi="Arial" w:cs="Arial"/>
                <w:color w:val="000000"/>
                <w:sz w:val="18"/>
                <w:szCs w:val="18"/>
              </w:rPr>
              <w:t xml:space="preserve"> </w:t>
            </w:r>
            <w:r w:rsidRPr="00C40537">
              <w:rPr>
                <w:rFonts w:ascii="Arial" w:hAnsi="Arial" w:cs="Arial"/>
                <w:color w:val="000000"/>
                <w:sz w:val="18"/>
                <w:szCs w:val="18"/>
              </w:rPr>
              <w:t>949</w:t>
            </w:r>
          </w:p>
        </w:tc>
        <w:tc>
          <w:tcPr>
            <w:tcW w:w="1141" w:type="dxa"/>
            <w:tcBorders>
              <w:top w:val="nil"/>
              <w:left w:val="single" w:sz="8" w:space="0" w:color="auto"/>
              <w:bottom w:val="nil"/>
              <w:right w:val="single" w:sz="8" w:space="0" w:color="auto"/>
            </w:tcBorders>
            <w:shd w:val="clear" w:color="auto" w:fill="auto"/>
            <w:noWrap/>
            <w:vAlign w:val="center"/>
            <w:hideMark/>
          </w:tcPr>
          <w:p w14:paraId="55C99664"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1.9</w:t>
            </w:r>
          </w:p>
        </w:tc>
      </w:tr>
      <w:tr w:rsidR="0067746C" w:rsidRPr="00752620" w14:paraId="1B6EA8CC" w14:textId="77777777" w:rsidTr="00E432AF">
        <w:trPr>
          <w:trHeight w:val="300"/>
        </w:trPr>
        <w:tc>
          <w:tcPr>
            <w:tcW w:w="6459" w:type="dxa"/>
            <w:tcBorders>
              <w:top w:val="nil"/>
              <w:left w:val="single" w:sz="8" w:space="0" w:color="auto"/>
              <w:bottom w:val="single" w:sz="4" w:space="0" w:color="auto"/>
              <w:right w:val="single" w:sz="8" w:space="0" w:color="auto"/>
            </w:tcBorders>
            <w:shd w:val="clear" w:color="auto" w:fill="auto"/>
            <w:vAlign w:val="center"/>
            <w:hideMark/>
          </w:tcPr>
          <w:p w14:paraId="30DBB191" w14:textId="77777777" w:rsidR="0067746C" w:rsidRPr="00752620" w:rsidRDefault="0067746C" w:rsidP="00E432AF">
            <w:pPr>
              <w:ind w:leftChars="241" w:left="859" w:hangingChars="156" w:hanging="281"/>
              <w:rPr>
                <w:rFonts w:ascii="Arial" w:eastAsia="Times New Roman" w:hAnsi="Arial" w:cs="Arial"/>
                <w:color w:val="000000"/>
                <w:sz w:val="18"/>
                <w:szCs w:val="18"/>
              </w:rPr>
            </w:pPr>
            <w:r w:rsidRPr="00752620">
              <w:rPr>
                <w:rFonts w:ascii="Arial" w:eastAsia="Times New Roman" w:hAnsi="Arial" w:cs="Arial"/>
                <w:color w:val="000000"/>
                <w:sz w:val="18"/>
                <w:szCs w:val="18"/>
              </w:rPr>
              <w:t xml:space="preserve">93 Actividades legislativas, gubernamentales, de </w:t>
            </w:r>
            <w:proofErr w:type="gramStart"/>
            <w:r w:rsidRPr="00752620">
              <w:rPr>
                <w:rFonts w:ascii="Arial" w:eastAsia="Times New Roman" w:hAnsi="Arial" w:cs="Arial"/>
                <w:color w:val="000000"/>
                <w:sz w:val="18"/>
                <w:szCs w:val="18"/>
              </w:rPr>
              <w:t>impartición  de</w:t>
            </w:r>
            <w:proofErr w:type="gramEnd"/>
            <w:r w:rsidRPr="00752620">
              <w:rPr>
                <w:rFonts w:ascii="Arial" w:eastAsia="Times New Roman" w:hAnsi="Arial" w:cs="Arial"/>
                <w:color w:val="000000"/>
                <w:sz w:val="18"/>
                <w:szCs w:val="18"/>
              </w:rPr>
              <w:t xml:space="preserve"> justicia y de organismos internacionales y extraterritoriales</w:t>
            </w:r>
          </w:p>
        </w:tc>
        <w:tc>
          <w:tcPr>
            <w:tcW w:w="1268" w:type="dxa"/>
            <w:tcBorders>
              <w:top w:val="nil"/>
              <w:left w:val="single" w:sz="8" w:space="0" w:color="auto"/>
              <w:bottom w:val="single" w:sz="4" w:space="0" w:color="auto"/>
              <w:right w:val="single" w:sz="8" w:space="0" w:color="auto"/>
            </w:tcBorders>
            <w:shd w:val="clear" w:color="auto" w:fill="auto"/>
            <w:noWrap/>
            <w:vAlign w:val="bottom"/>
          </w:tcPr>
          <w:p w14:paraId="7737DF44" w14:textId="386186E4" w:rsidR="0067746C" w:rsidRPr="00C40537" w:rsidRDefault="0067746C" w:rsidP="00E432AF">
            <w:pPr>
              <w:jc w:val="right"/>
              <w:rPr>
                <w:rFonts w:ascii="Arial" w:hAnsi="Arial" w:cs="Arial"/>
                <w:color w:val="000000"/>
                <w:sz w:val="18"/>
                <w:szCs w:val="18"/>
              </w:rPr>
            </w:pPr>
            <w:r w:rsidRPr="00C40537">
              <w:rPr>
                <w:rFonts w:ascii="Arial" w:hAnsi="Arial" w:cs="Arial"/>
                <w:color w:val="000000"/>
                <w:sz w:val="18"/>
                <w:szCs w:val="18"/>
              </w:rPr>
              <w:t>939</w:t>
            </w:r>
            <w:r w:rsidR="0002598E">
              <w:rPr>
                <w:rFonts w:ascii="Arial" w:hAnsi="Arial" w:cs="Arial"/>
                <w:color w:val="000000"/>
                <w:sz w:val="18"/>
                <w:szCs w:val="18"/>
              </w:rPr>
              <w:t xml:space="preserve"> </w:t>
            </w:r>
            <w:r w:rsidRPr="00C40537">
              <w:rPr>
                <w:rFonts w:ascii="Arial" w:hAnsi="Arial" w:cs="Arial"/>
                <w:color w:val="000000"/>
                <w:sz w:val="18"/>
                <w:szCs w:val="18"/>
              </w:rPr>
              <w:t>048</w:t>
            </w:r>
          </w:p>
        </w:tc>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357D1A81" w14:textId="77777777" w:rsidR="0067746C" w:rsidRDefault="0067746C" w:rsidP="00E432AF">
            <w:pPr>
              <w:jc w:val="right"/>
              <w:rPr>
                <w:rFonts w:ascii="Arial" w:hAnsi="Arial" w:cs="Arial"/>
                <w:color w:val="000000"/>
                <w:sz w:val="18"/>
                <w:szCs w:val="18"/>
              </w:rPr>
            </w:pPr>
            <w:r>
              <w:rPr>
                <w:rFonts w:ascii="Arial" w:hAnsi="Arial" w:cs="Arial"/>
                <w:color w:val="000000"/>
                <w:sz w:val="18"/>
                <w:szCs w:val="18"/>
              </w:rPr>
              <w:t>4.3</w:t>
            </w:r>
          </w:p>
        </w:tc>
      </w:tr>
    </w:tbl>
    <w:p w14:paraId="6B305CA9" w14:textId="77777777" w:rsidR="009D0C99" w:rsidRPr="00AD37A9" w:rsidRDefault="009D0C99" w:rsidP="009D0C99">
      <w:pPr>
        <w:spacing w:before="20"/>
        <w:rPr>
          <w:rFonts w:ascii="Arial" w:hAnsi="Arial" w:cs="Arial"/>
          <w:sz w:val="16"/>
          <w:szCs w:val="16"/>
        </w:rPr>
      </w:pPr>
      <w:r w:rsidRPr="00AD37A9">
        <w:rPr>
          <w:rFonts w:ascii="Arial" w:hAnsi="Arial" w:cs="Arial"/>
          <w:sz w:val="16"/>
          <w:szCs w:val="16"/>
        </w:rPr>
        <w:t xml:space="preserve"> NOTA: La suma de los parciales puede no coincidir con el total debido al redondeo. Cada actividad incluye los Servicios de     </w:t>
      </w:r>
    </w:p>
    <w:p w14:paraId="395FB016" w14:textId="77777777" w:rsidR="009D0C99" w:rsidRPr="00AD37A9" w:rsidRDefault="009D0C99" w:rsidP="009D0C99">
      <w:pPr>
        <w:spacing w:before="20"/>
        <w:rPr>
          <w:rFonts w:ascii="Arial" w:hAnsi="Arial" w:cs="Arial"/>
          <w:sz w:val="16"/>
          <w:szCs w:val="16"/>
        </w:rPr>
      </w:pPr>
      <w:r w:rsidRPr="00AD37A9">
        <w:rPr>
          <w:rFonts w:ascii="Arial" w:hAnsi="Arial" w:cs="Arial"/>
          <w:sz w:val="16"/>
          <w:szCs w:val="16"/>
        </w:rPr>
        <w:t xml:space="preserve"> Intermediación Financiera Medidos Indirectamente.</w:t>
      </w:r>
    </w:p>
    <w:p w14:paraId="26F31D07" w14:textId="77777777" w:rsidR="009D0C99" w:rsidRPr="00AD37A9" w:rsidRDefault="009D0C99" w:rsidP="009D0C99">
      <w:pPr>
        <w:spacing w:before="20"/>
        <w:rPr>
          <w:rFonts w:ascii="Arial" w:hAnsi="Arial" w:cs="Arial"/>
          <w:sz w:val="16"/>
          <w:szCs w:val="16"/>
        </w:rPr>
      </w:pPr>
      <w:r w:rsidRPr="00AD37A9">
        <w:rPr>
          <w:rFonts w:ascii="Arial" w:hAnsi="Arial" w:cs="Arial"/>
          <w:sz w:val="16"/>
          <w:szCs w:val="16"/>
        </w:rPr>
        <w:t xml:space="preserve"> Fuente: INEGI.</w:t>
      </w:r>
    </w:p>
    <w:p w14:paraId="57AD51A2" w14:textId="77777777" w:rsidR="009D0C99" w:rsidRPr="00FC6715" w:rsidRDefault="009D0C99" w:rsidP="009D0C99">
      <w:pPr>
        <w:pStyle w:val="n01"/>
        <w:keepLines w:val="0"/>
        <w:ind w:left="0" w:firstLine="0"/>
        <w:outlineLvl w:val="0"/>
        <w:rPr>
          <w:rFonts w:ascii="Arial" w:hAnsi="Arial" w:cs="Arial"/>
          <w:b/>
          <w:smallCaps/>
          <w:color w:val="auto"/>
          <w:lang w:val="es-MX"/>
        </w:rPr>
      </w:pPr>
      <w:r w:rsidRPr="009E1EE6">
        <w:rPr>
          <w:rFonts w:ascii="MS Sans Serif" w:hAnsi="MS Sans Serif"/>
          <w:b/>
          <w:smallCaps/>
          <w:color w:val="auto"/>
          <w:highlight w:val="lightGray"/>
          <w:lang w:val="es-MX"/>
        </w:rPr>
        <w:br w:type="page"/>
      </w:r>
      <w:r w:rsidRPr="007A0065">
        <w:rPr>
          <w:rFonts w:ascii="Arial" w:hAnsi="Arial" w:cs="Arial"/>
          <w:b/>
          <w:smallCaps/>
          <w:color w:val="auto"/>
          <w:lang w:val="es-MX"/>
        </w:rPr>
        <w:lastRenderedPageBreak/>
        <w:t>Ingreso nacional disponible</w:t>
      </w:r>
    </w:p>
    <w:p w14:paraId="2F21A79E" w14:textId="6B7D75A8" w:rsidR="009D0C99" w:rsidRPr="007A0065" w:rsidRDefault="009D0C99" w:rsidP="009D0C99">
      <w:pPr>
        <w:spacing w:before="720"/>
        <w:jc w:val="both"/>
        <w:rPr>
          <w:rFonts w:ascii="Arial" w:hAnsi="Arial" w:cs="Arial"/>
        </w:rPr>
      </w:pPr>
      <w:r w:rsidRPr="007A0065">
        <w:rPr>
          <w:rFonts w:ascii="Arial" w:hAnsi="Arial" w:cs="Arial"/>
        </w:rPr>
        <w:t xml:space="preserve">El ingreso nacional disponible, que es el ingreso que se genera en la economía para fines de consumo final y ahorro, se ubicó en </w:t>
      </w:r>
      <w:r w:rsidR="003B20B5">
        <w:rPr>
          <w:rFonts w:ascii="Arial" w:hAnsi="Arial" w:cs="Arial"/>
        </w:rPr>
        <w:t>18</w:t>
      </w:r>
      <w:r w:rsidR="00E432AF">
        <w:rPr>
          <w:rFonts w:ascii="Arial" w:hAnsi="Arial" w:cs="Arial"/>
        </w:rPr>
        <w:t xml:space="preserve"> </w:t>
      </w:r>
      <w:r w:rsidR="006F69D3">
        <w:rPr>
          <w:rFonts w:ascii="Arial" w:hAnsi="Arial" w:cs="Arial"/>
        </w:rPr>
        <w:t>8</w:t>
      </w:r>
      <w:r w:rsidR="003B20B5">
        <w:rPr>
          <w:rFonts w:ascii="Arial" w:hAnsi="Arial" w:cs="Arial"/>
        </w:rPr>
        <w:t>39</w:t>
      </w:r>
      <w:r w:rsidR="00E432AF">
        <w:rPr>
          <w:rFonts w:ascii="Arial" w:hAnsi="Arial" w:cs="Arial"/>
        </w:rPr>
        <w:t xml:space="preserve"> </w:t>
      </w:r>
      <w:r w:rsidR="003B20B5">
        <w:rPr>
          <w:rFonts w:ascii="Arial" w:hAnsi="Arial" w:cs="Arial"/>
        </w:rPr>
        <w:t>082</w:t>
      </w:r>
      <w:r w:rsidRPr="007A0065">
        <w:rPr>
          <w:rFonts w:ascii="Arial" w:hAnsi="Arial" w:cs="Arial"/>
        </w:rPr>
        <w:t xml:space="preserve"> millones de pesos corrientes en </w:t>
      </w:r>
      <w:r w:rsidR="00AB5F83" w:rsidRPr="007A0065">
        <w:rPr>
          <w:rFonts w:ascii="Arial" w:hAnsi="Arial" w:cs="Arial"/>
        </w:rPr>
        <w:t>20</w:t>
      </w:r>
      <w:r w:rsidR="003B20B5">
        <w:rPr>
          <w:rFonts w:ascii="Arial" w:hAnsi="Arial" w:cs="Arial"/>
        </w:rPr>
        <w:t>20</w:t>
      </w:r>
      <w:r w:rsidRPr="007A0065">
        <w:rPr>
          <w:rFonts w:ascii="Arial" w:hAnsi="Arial" w:cs="Arial"/>
        </w:rPr>
        <w:t>. De dicho monto 9</w:t>
      </w:r>
      <w:r w:rsidR="003B20B5">
        <w:rPr>
          <w:rFonts w:ascii="Arial" w:hAnsi="Arial" w:cs="Arial"/>
        </w:rPr>
        <w:t>3</w:t>
      </w:r>
      <w:r w:rsidRPr="007A0065">
        <w:rPr>
          <w:rFonts w:ascii="Arial" w:hAnsi="Arial" w:cs="Arial"/>
        </w:rPr>
        <w:t>.</w:t>
      </w:r>
      <w:r w:rsidR="003B20B5">
        <w:rPr>
          <w:rFonts w:ascii="Arial" w:hAnsi="Arial" w:cs="Arial"/>
        </w:rPr>
        <w:t>8</w:t>
      </w:r>
      <w:r w:rsidRPr="007A0065">
        <w:rPr>
          <w:rFonts w:ascii="Arial" w:hAnsi="Arial" w:cs="Arial"/>
        </w:rPr>
        <w:t xml:space="preserve">% se destinó al consumo final y </w:t>
      </w:r>
      <w:r w:rsidR="003B20B5">
        <w:rPr>
          <w:rFonts w:ascii="Arial" w:hAnsi="Arial" w:cs="Arial"/>
        </w:rPr>
        <w:t>6.2</w:t>
      </w:r>
      <w:r w:rsidRPr="007A0065">
        <w:rPr>
          <w:rFonts w:ascii="Arial" w:hAnsi="Arial" w:cs="Arial"/>
        </w:rPr>
        <w:t>% al ahorro neto.</w:t>
      </w:r>
    </w:p>
    <w:p w14:paraId="3928243A" w14:textId="77777777" w:rsidR="009D0C99" w:rsidRPr="006D526D" w:rsidRDefault="009D0C99" w:rsidP="009D0C99">
      <w:pPr>
        <w:pStyle w:val="Textoindependiente"/>
        <w:tabs>
          <w:tab w:val="center" w:pos="3348"/>
        </w:tabs>
        <w:spacing w:before="600"/>
        <w:jc w:val="center"/>
        <w:rPr>
          <w:rFonts w:ascii="Arial" w:hAnsi="Arial" w:cs="Arial"/>
        </w:rPr>
      </w:pPr>
      <w:r w:rsidRPr="006D526D">
        <w:rPr>
          <w:rFonts w:ascii="Arial" w:hAnsi="Arial" w:cs="Arial"/>
        </w:rPr>
        <w:t>Cuadro 3</w:t>
      </w:r>
    </w:p>
    <w:p w14:paraId="54029804" w14:textId="0F2FBEF4" w:rsidR="009D0C99" w:rsidRPr="00DC668B" w:rsidRDefault="009D0C99" w:rsidP="009D0C99">
      <w:pPr>
        <w:pStyle w:val="Textoindependiente"/>
        <w:tabs>
          <w:tab w:val="center" w:pos="3348"/>
        </w:tabs>
        <w:jc w:val="center"/>
        <w:rPr>
          <w:rFonts w:ascii="Arial" w:hAnsi="Arial" w:cs="Arial"/>
          <w:b/>
          <w:smallCaps/>
          <w:sz w:val="22"/>
          <w:szCs w:val="22"/>
          <w:lang w:val="es-MX"/>
        </w:rPr>
      </w:pPr>
      <w:r w:rsidRPr="006D526D">
        <w:rPr>
          <w:rFonts w:ascii="Arial" w:hAnsi="Arial" w:cs="Arial"/>
          <w:b/>
          <w:smallCaps/>
          <w:sz w:val="22"/>
          <w:szCs w:val="22"/>
        </w:rPr>
        <w:t xml:space="preserve">Distribución </w:t>
      </w:r>
      <w:r w:rsidRPr="006D526D">
        <w:rPr>
          <w:rFonts w:ascii="Arial" w:hAnsi="Arial" w:cs="Arial"/>
          <w:b/>
          <w:smallCaps/>
          <w:sz w:val="22"/>
          <w:szCs w:val="22"/>
          <w:lang w:val="es-MX"/>
        </w:rPr>
        <w:t>del Ingreso Nacional Disponible</w:t>
      </w:r>
      <w:r w:rsidRPr="006D526D">
        <w:rPr>
          <w:rFonts w:ascii="Arial" w:hAnsi="Arial" w:cs="Arial"/>
          <w:b/>
          <w:smallCaps/>
          <w:sz w:val="22"/>
          <w:szCs w:val="22"/>
        </w:rPr>
        <w:t xml:space="preserve"> </w:t>
      </w:r>
      <w:r w:rsidR="00005C5E">
        <w:rPr>
          <w:rFonts w:ascii="Arial" w:hAnsi="Arial" w:cs="Arial"/>
          <w:b/>
          <w:smallCaps/>
          <w:sz w:val="22"/>
          <w:szCs w:val="22"/>
          <w:lang w:val="es-MX"/>
        </w:rPr>
        <w:t xml:space="preserve">durante </w:t>
      </w:r>
      <w:r w:rsidR="00AB5F83">
        <w:rPr>
          <w:rFonts w:ascii="Arial" w:hAnsi="Arial" w:cs="Arial"/>
          <w:b/>
          <w:smallCaps/>
          <w:sz w:val="22"/>
          <w:szCs w:val="22"/>
        </w:rPr>
        <w:t>20</w:t>
      </w:r>
      <w:r w:rsidR="00DC668B">
        <w:rPr>
          <w:rFonts w:ascii="Arial" w:hAnsi="Arial" w:cs="Arial"/>
          <w:b/>
          <w:smallCaps/>
          <w:sz w:val="22"/>
          <w:szCs w:val="22"/>
          <w:lang w:val="es-MX"/>
        </w:rPr>
        <w:t>20</w:t>
      </w:r>
    </w:p>
    <w:tbl>
      <w:tblPr>
        <w:tblW w:w="7194" w:type="dxa"/>
        <w:jc w:val="center"/>
        <w:tblCellMar>
          <w:left w:w="70" w:type="dxa"/>
          <w:right w:w="70" w:type="dxa"/>
        </w:tblCellMar>
        <w:tblLook w:val="04A0" w:firstRow="1" w:lastRow="0" w:firstColumn="1" w:lastColumn="0" w:noHBand="0" w:noVBand="1"/>
      </w:tblPr>
      <w:tblGrid>
        <w:gridCol w:w="4171"/>
        <w:gridCol w:w="1743"/>
        <w:gridCol w:w="1280"/>
      </w:tblGrid>
      <w:tr w:rsidR="007A0065" w:rsidRPr="007A0065" w14:paraId="7540AEBB" w14:textId="77777777" w:rsidTr="007A0065">
        <w:trPr>
          <w:trHeight w:val="581"/>
          <w:jc w:val="center"/>
        </w:trPr>
        <w:tc>
          <w:tcPr>
            <w:tcW w:w="4171" w:type="dxa"/>
            <w:tcBorders>
              <w:top w:val="single" w:sz="4" w:space="0" w:color="auto"/>
              <w:left w:val="single" w:sz="4" w:space="0" w:color="auto"/>
              <w:bottom w:val="single" w:sz="4" w:space="0" w:color="auto"/>
              <w:right w:val="single" w:sz="4" w:space="0" w:color="auto"/>
            </w:tcBorders>
            <w:shd w:val="clear" w:color="000000" w:fill="081F46"/>
            <w:vAlign w:val="center"/>
            <w:hideMark/>
          </w:tcPr>
          <w:p w14:paraId="087E5BB2" w14:textId="77777777" w:rsidR="007A0065" w:rsidRPr="007A0065" w:rsidRDefault="007A0065" w:rsidP="007A0065">
            <w:pPr>
              <w:jc w:val="center"/>
              <w:rPr>
                <w:rFonts w:ascii="Arial" w:eastAsia="Times New Roman" w:hAnsi="Arial" w:cs="Arial"/>
                <w:b/>
                <w:bCs/>
                <w:color w:val="FFFFFF"/>
                <w:sz w:val="20"/>
                <w:szCs w:val="20"/>
              </w:rPr>
            </w:pPr>
            <w:r w:rsidRPr="007A0065">
              <w:rPr>
                <w:rFonts w:ascii="Arial" w:eastAsia="Times New Roman" w:hAnsi="Arial" w:cs="Arial"/>
                <w:b/>
                <w:bCs/>
                <w:color w:val="FFFFFF"/>
                <w:sz w:val="20"/>
                <w:szCs w:val="20"/>
              </w:rPr>
              <w:t>Factor de producción</w:t>
            </w:r>
          </w:p>
        </w:tc>
        <w:tc>
          <w:tcPr>
            <w:tcW w:w="1743" w:type="dxa"/>
            <w:tcBorders>
              <w:top w:val="single" w:sz="4" w:space="0" w:color="auto"/>
              <w:left w:val="nil"/>
              <w:bottom w:val="single" w:sz="4" w:space="0" w:color="auto"/>
              <w:right w:val="single" w:sz="4" w:space="0" w:color="auto"/>
            </w:tcBorders>
            <w:shd w:val="clear" w:color="000000" w:fill="081F46"/>
            <w:vAlign w:val="center"/>
            <w:hideMark/>
          </w:tcPr>
          <w:p w14:paraId="7290786E" w14:textId="77777777" w:rsidR="007A0065" w:rsidRPr="007A0065" w:rsidRDefault="007A0065" w:rsidP="007A0065">
            <w:pPr>
              <w:jc w:val="center"/>
              <w:rPr>
                <w:rFonts w:ascii="Arial" w:eastAsia="Times New Roman" w:hAnsi="Arial" w:cs="Arial"/>
                <w:b/>
                <w:bCs/>
                <w:color w:val="FFFFFF"/>
                <w:sz w:val="20"/>
                <w:szCs w:val="20"/>
              </w:rPr>
            </w:pPr>
            <w:r w:rsidRPr="007A0065">
              <w:rPr>
                <w:rFonts w:ascii="Arial" w:eastAsia="Times New Roman" w:hAnsi="Arial" w:cs="Arial"/>
                <w:b/>
                <w:bCs/>
                <w:color w:val="FFFFFF"/>
                <w:sz w:val="20"/>
                <w:szCs w:val="20"/>
              </w:rPr>
              <w:t>Millones de pesos corrientes</w:t>
            </w:r>
          </w:p>
        </w:tc>
        <w:tc>
          <w:tcPr>
            <w:tcW w:w="1280" w:type="dxa"/>
            <w:tcBorders>
              <w:top w:val="single" w:sz="4" w:space="0" w:color="auto"/>
              <w:left w:val="nil"/>
              <w:bottom w:val="single" w:sz="4" w:space="0" w:color="auto"/>
              <w:right w:val="single" w:sz="4" w:space="0" w:color="auto"/>
            </w:tcBorders>
            <w:shd w:val="clear" w:color="000000" w:fill="081F46"/>
            <w:vAlign w:val="center"/>
            <w:hideMark/>
          </w:tcPr>
          <w:p w14:paraId="2B68F9B7" w14:textId="77777777" w:rsidR="007A0065" w:rsidRPr="007A0065" w:rsidRDefault="007A0065" w:rsidP="007A0065">
            <w:pPr>
              <w:jc w:val="center"/>
              <w:rPr>
                <w:rFonts w:ascii="Arial" w:eastAsia="Times New Roman" w:hAnsi="Arial" w:cs="Arial"/>
                <w:b/>
                <w:bCs/>
                <w:color w:val="FFFFFF"/>
                <w:sz w:val="20"/>
                <w:szCs w:val="20"/>
              </w:rPr>
            </w:pPr>
            <w:r w:rsidRPr="007A0065">
              <w:rPr>
                <w:rFonts w:ascii="Arial" w:eastAsia="Times New Roman" w:hAnsi="Arial" w:cs="Arial"/>
                <w:b/>
                <w:bCs/>
                <w:color w:val="FFFFFF"/>
                <w:sz w:val="20"/>
                <w:szCs w:val="20"/>
              </w:rPr>
              <w:t>Estructura %</w:t>
            </w:r>
          </w:p>
        </w:tc>
      </w:tr>
      <w:tr w:rsidR="007A0065" w:rsidRPr="007A0065" w14:paraId="2BCAB86F" w14:textId="77777777" w:rsidTr="007A0065">
        <w:trPr>
          <w:trHeight w:val="435"/>
          <w:jc w:val="center"/>
        </w:trPr>
        <w:tc>
          <w:tcPr>
            <w:tcW w:w="4171" w:type="dxa"/>
            <w:tcBorders>
              <w:top w:val="nil"/>
              <w:left w:val="single" w:sz="4" w:space="0" w:color="auto"/>
              <w:bottom w:val="nil"/>
              <w:right w:val="single" w:sz="4" w:space="0" w:color="auto"/>
            </w:tcBorders>
            <w:shd w:val="clear" w:color="auto" w:fill="auto"/>
            <w:noWrap/>
            <w:vAlign w:val="bottom"/>
            <w:hideMark/>
          </w:tcPr>
          <w:p w14:paraId="4D7C2030" w14:textId="77777777" w:rsidR="007A0065" w:rsidRPr="007A0065" w:rsidRDefault="007A0065" w:rsidP="007A0065">
            <w:pPr>
              <w:rPr>
                <w:rFonts w:ascii="Arial" w:eastAsia="Times New Roman" w:hAnsi="Arial" w:cs="Arial"/>
                <w:b/>
                <w:bCs/>
                <w:color w:val="000000"/>
                <w:sz w:val="20"/>
                <w:szCs w:val="20"/>
              </w:rPr>
            </w:pPr>
            <w:r w:rsidRPr="007A0065">
              <w:rPr>
                <w:rFonts w:ascii="Arial" w:eastAsia="Times New Roman" w:hAnsi="Arial" w:cs="Arial"/>
                <w:b/>
                <w:bCs/>
                <w:color w:val="000000"/>
                <w:sz w:val="20"/>
                <w:szCs w:val="20"/>
              </w:rPr>
              <w:t>Ingreso Nacional Disponible</w:t>
            </w:r>
          </w:p>
        </w:tc>
        <w:tc>
          <w:tcPr>
            <w:tcW w:w="1743" w:type="dxa"/>
            <w:tcBorders>
              <w:top w:val="nil"/>
              <w:left w:val="nil"/>
              <w:bottom w:val="nil"/>
              <w:right w:val="single" w:sz="4" w:space="0" w:color="auto"/>
            </w:tcBorders>
            <w:shd w:val="clear" w:color="auto" w:fill="auto"/>
            <w:noWrap/>
            <w:vAlign w:val="bottom"/>
            <w:hideMark/>
          </w:tcPr>
          <w:p w14:paraId="2DEBACC7" w14:textId="1CC6103C" w:rsidR="007A0065" w:rsidRPr="007A0065" w:rsidRDefault="003B20B5" w:rsidP="007A0065">
            <w:pPr>
              <w:ind w:firstLineChars="300" w:firstLine="602"/>
              <w:jc w:val="right"/>
              <w:rPr>
                <w:rFonts w:ascii="Arial" w:eastAsia="Times New Roman" w:hAnsi="Arial" w:cs="Arial"/>
                <w:b/>
                <w:bCs/>
                <w:color w:val="000000"/>
                <w:sz w:val="20"/>
                <w:szCs w:val="20"/>
              </w:rPr>
            </w:pPr>
            <w:r w:rsidRPr="003B20B5">
              <w:rPr>
                <w:rFonts w:ascii="Arial" w:eastAsia="Times New Roman" w:hAnsi="Arial" w:cs="Arial"/>
                <w:b/>
                <w:bCs/>
                <w:color w:val="000000"/>
                <w:sz w:val="20"/>
                <w:szCs w:val="20"/>
              </w:rPr>
              <w:t>18</w:t>
            </w:r>
            <w:r w:rsidR="00E432AF">
              <w:rPr>
                <w:rFonts w:ascii="Arial" w:eastAsia="Times New Roman" w:hAnsi="Arial" w:cs="Arial"/>
                <w:b/>
                <w:bCs/>
                <w:color w:val="000000"/>
                <w:sz w:val="20"/>
                <w:szCs w:val="20"/>
              </w:rPr>
              <w:t xml:space="preserve"> </w:t>
            </w:r>
            <w:r w:rsidRPr="003B20B5">
              <w:rPr>
                <w:rFonts w:ascii="Arial" w:eastAsia="Times New Roman" w:hAnsi="Arial" w:cs="Arial"/>
                <w:b/>
                <w:bCs/>
                <w:color w:val="000000"/>
                <w:sz w:val="20"/>
                <w:szCs w:val="20"/>
              </w:rPr>
              <w:t>339</w:t>
            </w:r>
            <w:r w:rsidR="00E432AF">
              <w:rPr>
                <w:rFonts w:ascii="Arial" w:eastAsia="Times New Roman" w:hAnsi="Arial" w:cs="Arial"/>
                <w:b/>
                <w:bCs/>
                <w:color w:val="000000"/>
                <w:sz w:val="20"/>
                <w:szCs w:val="20"/>
              </w:rPr>
              <w:t xml:space="preserve"> </w:t>
            </w:r>
            <w:r w:rsidRPr="003B20B5">
              <w:rPr>
                <w:rFonts w:ascii="Arial" w:eastAsia="Times New Roman" w:hAnsi="Arial" w:cs="Arial"/>
                <w:b/>
                <w:bCs/>
                <w:color w:val="000000"/>
                <w:sz w:val="20"/>
                <w:szCs w:val="20"/>
              </w:rPr>
              <w:t>082</w:t>
            </w:r>
          </w:p>
        </w:tc>
        <w:tc>
          <w:tcPr>
            <w:tcW w:w="1280" w:type="dxa"/>
            <w:tcBorders>
              <w:top w:val="nil"/>
              <w:left w:val="nil"/>
              <w:bottom w:val="nil"/>
              <w:right w:val="single" w:sz="4" w:space="0" w:color="auto"/>
            </w:tcBorders>
            <w:shd w:val="clear" w:color="auto" w:fill="auto"/>
            <w:noWrap/>
            <w:vAlign w:val="bottom"/>
            <w:hideMark/>
          </w:tcPr>
          <w:p w14:paraId="455011E1" w14:textId="77777777" w:rsidR="007A0065" w:rsidRPr="007A0065" w:rsidRDefault="007A0065" w:rsidP="007A0065">
            <w:pPr>
              <w:ind w:firstLineChars="300" w:firstLine="602"/>
              <w:jc w:val="right"/>
              <w:rPr>
                <w:rFonts w:ascii="Arial" w:eastAsia="Times New Roman" w:hAnsi="Arial" w:cs="Arial"/>
                <w:b/>
                <w:bCs/>
                <w:color w:val="000000"/>
                <w:sz w:val="20"/>
                <w:szCs w:val="20"/>
              </w:rPr>
            </w:pPr>
            <w:r w:rsidRPr="007A0065">
              <w:rPr>
                <w:rFonts w:ascii="Arial" w:eastAsia="Times New Roman" w:hAnsi="Arial" w:cs="Arial"/>
                <w:b/>
                <w:bCs/>
                <w:color w:val="000000"/>
                <w:sz w:val="20"/>
                <w:szCs w:val="20"/>
              </w:rPr>
              <w:t>100.0</w:t>
            </w:r>
          </w:p>
        </w:tc>
      </w:tr>
      <w:tr w:rsidR="007A0065" w:rsidRPr="007A0065" w14:paraId="50827545" w14:textId="77777777" w:rsidTr="007A0065">
        <w:trPr>
          <w:trHeight w:val="360"/>
          <w:jc w:val="center"/>
        </w:trPr>
        <w:tc>
          <w:tcPr>
            <w:tcW w:w="4171" w:type="dxa"/>
            <w:tcBorders>
              <w:top w:val="nil"/>
              <w:left w:val="single" w:sz="4" w:space="0" w:color="auto"/>
              <w:bottom w:val="nil"/>
              <w:right w:val="single" w:sz="4" w:space="0" w:color="auto"/>
            </w:tcBorders>
            <w:shd w:val="clear" w:color="auto" w:fill="auto"/>
            <w:noWrap/>
            <w:vAlign w:val="bottom"/>
            <w:hideMark/>
          </w:tcPr>
          <w:p w14:paraId="1B12500B" w14:textId="77777777" w:rsidR="007A0065" w:rsidRPr="007A0065" w:rsidRDefault="007A0065" w:rsidP="007A0065">
            <w:pPr>
              <w:ind w:firstLineChars="200" w:firstLine="400"/>
              <w:rPr>
                <w:rFonts w:ascii="Arial" w:eastAsia="Times New Roman" w:hAnsi="Arial" w:cs="Arial"/>
                <w:color w:val="000000"/>
                <w:sz w:val="20"/>
                <w:szCs w:val="20"/>
              </w:rPr>
            </w:pPr>
            <w:r w:rsidRPr="007A0065">
              <w:rPr>
                <w:rFonts w:ascii="Arial" w:eastAsia="Times New Roman" w:hAnsi="Arial" w:cs="Arial"/>
                <w:color w:val="000000"/>
                <w:sz w:val="20"/>
                <w:szCs w:val="20"/>
              </w:rPr>
              <w:t>Gastos de Consumo Final</w:t>
            </w:r>
          </w:p>
        </w:tc>
        <w:tc>
          <w:tcPr>
            <w:tcW w:w="1743" w:type="dxa"/>
            <w:tcBorders>
              <w:top w:val="nil"/>
              <w:left w:val="nil"/>
              <w:bottom w:val="nil"/>
              <w:right w:val="single" w:sz="4" w:space="0" w:color="auto"/>
            </w:tcBorders>
            <w:shd w:val="clear" w:color="auto" w:fill="auto"/>
            <w:noWrap/>
            <w:vAlign w:val="bottom"/>
            <w:hideMark/>
          </w:tcPr>
          <w:p w14:paraId="2895880B" w14:textId="02F4CAB6" w:rsidR="007A0065" w:rsidRPr="007A0065" w:rsidRDefault="007A0065" w:rsidP="007A0065">
            <w:pPr>
              <w:ind w:firstLineChars="300" w:firstLine="600"/>
              <w:jc w:val="right"/>
              <w:rPr>
                <w:rFonts w:ascii="Arial" w:eastAsia="Times New Roman" w:hAnsi="Arial" w:cs="Arial"/>
                <w:color w:val="000000"/>
                <w:sz w:val="20"/>
                <w:szCs w:val="20"/>
              </w:rPr>
            </w:pPr>
            <w:r w:rsidRPr="007A0065">
              <w:rPr>
                <w:rFonts w:ascii="Arial" w:eastAsia="Times New Roman" w:hAnsi="Arial" w:cs="Arial"/>
                <w:color w:val="000000"/>
                <w:sz w:val="20"/>
                <w:szCs w:val="20"/>
              </w:rPr>
              <w:t>1</w:t>
            </w:r>
            <w:r w:rsidR="003B20B5">
              <w:rPr>
                <w:rFonts w:ascii="Arial" w:eastAsia="Times New Roman" w:hAnsi="Arial" w:cs="Arial"/>
                <w:color w:val="000000"/>
                <w:sz w:val="20"/>
                <w:szCs w:val="20"/>
              </w:rPr>
              <w:t>7</w:t>
            </w:r>
            <w:r w:rsidR="00E432AF">
              <w:rPr>
                <w:rFonts w:ascii="Arial" w:eastAsia="Times New Roman" w:hAnsi="Arial" w:cs="Arial"/>
                <w:color w:val="000000"/>
                <w:sz w:val="20"/>
                <w:szCs w:val="20"/>
              </w:rPr>
              <w:t xml:space="preserve"> </w:t>
            </w:r>
            <w:r w:rsidR="003B20B5">
              <w:rPr>
                <w:rFonts w:ascii="Arial" w:eastAsia="Times New Roman" w:hAnsi="Arial" w:cs="Arial"/>
                <w:color w:val="000000"/>
                <w:sz w:val="20"/>
                <w:szCs w:val="20"/>
              </w:rPr>
              <w:t>674</w:t>
            </w:r>
            <w:r w:rsidR="00E432AF">
              <w:rPr>
                <w:rFonts w:ascii="Arial" w:eastAsia="Times New Roman" w:hAnsi="Arial" w:cs="Arial"/>
                <w:color w:val="000000"/>
                <w:sz w:val="20"/>
                <w:szCs w:val="20"/>
              </w:rPr>
              <w:t xml:space="preserve"> </w:t>
            </w:r>
            <w:r w:rsidR="003B20B5">
              <w:rPr>
                <w:rFonts w:ascii="Arial" w:eastAsia="Times New Roman" w:hAnsi="Arial" w:cs="Arial"/>
                <w:color w:val="000000"/>
                <w:sz w:val="20"/>
                <w:szCs w:val="20"/>
              </w:rPr>
              <w:t>948</w:t>
            </w:r>
          </w:p>
        </w:tc>
        <w:tc>
          <w:tcPr>
            <w:tcW w:w="1280" w:type="dxa"/>
            <w:tcBorders>
              <w:top w:val="nil"/>
              <w:left w:val="nil"/>
              <w:bottom w:val="nil"/>
              <w:right w:val="single" w:sz="4" w:space="0" w:color="auto"/>
            </w:tcBorders>
            <w:shd w:val="clear" w:color="auto" w:fill="auto"/>
            <w:noWrap/>
            <w:vAlign w:val="bottom"/>
            <w:hideMark/>
          </w:tcPr>
          <w:p w14:paraId="0B90E3DE" w14:textId="55FD41DE" w:rsidR="007A0065" w:rsidRPr="007A0065" w:rsidRDefault="007A0065" w:rsidP="007A0065">
            <w:pPr>
              <w:ind w:firstLineChars="300" w:firstLine="600"/>
              <w:jc w:val="right"/>
              <w:rPr>
                <w:rFonts w:ascii="Arial" w:eastAsia="Times New Roman" w:hAnsi="Arial" w:cs="Arial"/>
                <w:color w:val="000000"/>
                <w:sz w:val="20"/>
                <w:szCs w:val="20"/>
              </w:rPr>
            </w:pPr>
            <w:r w:rsidRPr="007A0065">
              <w:rPr>
                <w:rFonts w:ascii="Arial" w:eastAsia="Times New Roman" w:hAnsi="Arial" w:cs="Arial"/>
                <w:color w:val="000000"/>
                <w:sz w:val="20"/>
                <w:szCs w:val="20"/>
              </w:rPr>
              <w:t>9</w:t>
            </w:r>
            <w:r w:rsidR="003B20B5">
              <w:rPr>
                <w:rFonts w:ascii="Arial" w:eastAsia="Times New Roman" w:hAnsi="Arial" w:cs="Arial"/>
                <w:color w:val="000000"/>
                <w:sz w:val="20"/>
                <w:szCs w:val="20"/>
              </w:rPr>
              <w:t>3</w:t>
            </w:r>
            <w:r w:rsidRPr="007A0065">
              <w:rPr>
                <w:rFonts w:ascii="Arial" w:eastAsia="Times New Roman" w:hAnsi="Arial" w:cs="Arial"/>
                <w:color w:val="000000"/>
                <w:sz w:val="20"/>
                <w:szCs w:val="20"/>
              </w:rPr>
              <w:t>.</w:t>
            </w:r>
            <w:r w:rsidR="003B20B5">
              <w:rPr>
                <w:rFonts w:ascii="Arial" w:eastAsia="Times New Roman" w:hAnsi="Arial" w:cs="Arial"/>
                <w:color w:val="000000"/>
                <w:sz w:val="20"/>
                <w:szCs w:val="20"/>
              </w:rPr>
              <w:t>8</w:t>
            </w:r>
          </w:p>
        </w:tc>
      </w:tr>
      <w:tr w:rsidR="007A0065" w:rsidRPr="007A0065" w14:paraId="690BE414" w14:textId="77777777" w:rsidTr="007A0065">
        <w:trPr>
          <w:trHeight w:val="345"/>
          <w:jc w:val="center"/>
        </w:trPr>
        <w:tc>
          <w:tcPr>
            <w:tcW w:w="4171" w:type="dxa"/>
            <w:tcBorders>
              <w:top w:val="nil"/>
              <w:left w:val="single" w:sz="4" w:space="0" w:color="auto"/>
              <w:bottom w:val="nil"/>
              <w:right w:val="single" w:sz="4" w:space="0" w:color="auto"/>
            </w:tcBorders>
            <w:shd w:val="clear" w:color="auto" w:fill="auto"/>
            <w:noWrap/>
            <w:vAlign w:val="bottom"/>
            <w:hideMark/>
          </w:tcPr>
          <w:p w14:paraId="37D9A5B1" w14:textId="77777777" w:rsidR="007A0065" w:rsidRPr="007A0065" w:rsidRDefault="007A0065" w:rsidP="007A0065">
            <w:pPr>
              <w:ind w:firstLineChars="400" w:firstLine="800"/>
              <w:rPr>
                <w:rFonts w:ascii="Arial" w:eastAsia="Times New Roman" w:hAnsi="Arial" w:cs="Arial"/>
                <w:color w:val="000000"/>
                <w:sz w:val="20"/>
                <w:szCs w:val="20"/>
              </w:rPr>
            </w:pPr>
            <w:r w:rsidRPr="007A0065">
              <w:rPr>
                <w:rFonts w:ascii="Arial" w:eastAsia="Times New Roman" w:hAnsi="Arial" w:cs="Arial"/>
                <w:color w:val="000000"/>
                <w:sz w:val="20"/>
                <w:szCs w:val="20"/>
              </w:rPr>
              <w:t xml:space="preserve">Gasto de consumo individual </w:t>
            </w:r>
            <w:r w:rsidRPr="007A0065">
              <w:rPr>
                <w:rFonts w:ascii="Arial" w:eastAsia="Times New Roman" w:hAnsi="Arial" w:cs="Arial"/>
                <w:color w:val="000000"/>
                <w:sz w:val="20"/>
                <w:szCs w:val="20"/>
                <w:vertAlign w:val="superscript"/>
              </w:rPr>
              <w:t>1/</w:t>
            </w:r>
          </w:p>
        </w:tc>
        <w:tc>
          <w:tcPr>
            <w:tcW w:w="1743" w:type="dxa"/>
            <w:tcBorders>
              <w:top w:val="nil"/>
              <w:left w:val="nil"/>
              <w:bottom w:val="nil"/>
              <w:right w:val="single" w:sz="4" w:space="0" w:color="auto"/>
            </w:tcBorders>
            <w:shd w:val="clear" w:color="auto" w:fill="auto"/>
            <w:noWrap/>
            <w:vAlign w:val="bottom"/>
            <w:hideMark/>
          </w:tcPr>
          <w:p w14:paraId="33B65809" w14:textId="78F11823" w:rsidR="007A0065" w:rsidRPr="007A0065" w:rsidRDefault="007A0065" w:rsidP="007A0065">
            <w:pPr>
              <w:ind w:firstLineChars="300" w:firstLine="600"/>
              <w:jc w:val="right"/>
              <w:rPr>
                <w:rFonts w:ascii="Arial" w:eastAsia="Times New Roman" w:hAnsi="Arial" w:cs="Arial"/>
                <w:color w:val="000000"/>
                <w:sz w:val="20"/>
                <w:szCs w:val="20"/>
              </w:rPr>
            </w:pPr>
            <w:r w:rsidRPr="007A0065">
              <w:rPr>
                <w:rFonts w:ascii="Arial" w:eastAsia="Times New Roman" w:hAnsi="Arial" w:cs="Arial"/>
                <w:color w:val="000000"/>
                <w:sz w:val="20"/>
                <w:szCs w:val="20"/>
              </w:rPr>
              <w:t>1</w:t>
            </w:r>
            <w:r w:rsidR="003B20B5">
              <w:rPr>
                <w:rFonts w:ascii="Arial" w:eastAsia="Times New Roman" w:hAnsi="Arial" w:cs="Arial"/>
                <w:color w:val="000000"/>
                <w:sz w:val="20"/>
                <w:szCs w:val="20"/>
              </w:rPr>
              <w:t>6</w:t>
            </w:r>
            <w:r w:rsidR="00E432AF">
              <w:rPr>
                <w:rFonts w:ascii="Arial" w:eastAsia="Times New Roman" w:hAnsi="Arial" w:cs="Arial"/>
                <w:color w:val="000000"/>
                <w:sz w:val="20"/>
                <w:szCs w:val="20"/>
              </w:rPr>
              <w:t xml:space="preserve"> </w:t>
            </w:r>
            <w:r w:rsidR="003B20B5">
              <w:rPr>
                <w:rFonts w:ascii="Arial" w:eastAsia="Times New Roman" w:hAnsi="Arial" w:cs="Arial"/>
                <w:color w:val="000000"/>
                <w:sz w:val="20"/>
                <w:szCs w:val="20"/>
              </w:rPr>
              <w:t>225</w:t>
            </w:r>
            <w:r w:rsidR="00E432AF">
              <w:rPr>
                <w:rFonts w:ascii="Arial" w:eastAsia="Times New Roman" w:hAnsi="Arial" w:cs="Arial"/>
                <w:color w:val="000000"/>
                <w:sz w:val="20"/>
                <w:szCs w:val="20"/>
              </w:rPr>
              <w:t xml:space="preserve"> </w:t>
            </w:r>
            <w:r w:rsidR="003B20B5">
              <w:rPr>
                <w:rFonts w:ascii="Arial" w:eastAsia="Times New Roman" w:hAnsi="Arial" w:cs="Arial"/>
                <w:color w:val="000000"/>
                <w:sz w:val="20"/>
                <w:szCs w:val="20"/>
              </w:rPr>
              <w:t>913</w:t>
            </w:r>
          </w:p>
        </w:tc>
        <w:tc>
          <w:tcPr>
            <w:tcW w:w="1280" w:type="dxa"/>
            <w:tcBorders>
              <w:top w:val="nil"/>
              <w:left w:val="nil"/>
              <w:bottom w:val="nil"/>
              <w:right w:val="single" w:sz="4" w:space="0" w:color="auto"/>
            </w:tcBorders>
            <w:shd w:val="clear" w:color="auto" w:fill="auto"/>
            <w:noWrap/>
            <w:vAlign w:val="bottom"/>
            <w:hideMark/>
          </w:tcPr>
          <w:p w14:paraId="755C17D9" w14:textId="3F9E36E3" w:rsidR="007A0065" w:rsidRPr="007A0065" w:rsidRDefault="007A0065" w:rsidP="007A0065">
            <w:pPr>
              <w:ind w:firstLineChars="300" w:firstLine="600"/>
              <w:jc w:val="right"/>
              <w:rPr>
                <w:rFonts w:ascii="Arial" w:eastAsia="Times New Roman" w:hAnsi="Arial" w:cs="Arial"/>
                <w:color w:val="000000"/>
                <w:sz w:val="20"/>
                <w:szCs w:val="20"/>
              </w:rPr>
            </w:pPr>
            <w:r w:rsidRPr="007A0065">
              <w:rPr>
                <w:rFonts w:ascii="Arial" w:eastAsia="Times New Roman" w:hAnsi="Arial" w:cs="Arial"/>
                <w:color w:val="000000"/>
                <w:sz w:val="20"/>
                <w:szCs w:val="20"/>
              </w:rPr>
              <w:t>8</w:t>
            </w:r>
            <w:r w:rsidR="003B20B5">
              <w:rPr>
                <w:rFonts w:ascii="Arial" w:eastAsia="Times New Roman" w:hAnsi="Arial" w:cs="Arial"/>
                <w:color w:val="000000"/>
                <w:sz w:val="20"/>
                <w:szCs w:val="20"/>
              </w:rPr>
              <w:t>6</w:t>
            </w:r>
            <w:r w:rsidRPr="007A0065">
              <w:rPr>
                <w:rFonts w:ascii="Arial" w:eastAsia="Times New Roman" w:hAnsi="Arial" w:cs="Arial"/>
                <w:color w:val="000000"/>
                <w:sz w:val="20"/>
                <w:szCs w:val="20"/>
              </w:rPr>
              <w:t>.</w:t>
            </w:r>
            <w:r w:rsidR="003B20B5">
              <w:rPr>
                <w:rFonts w:ascii="Arial" w:eastAsia="Times New Roman" w:hAnsi="Arial" w:cs="Arial"/>
                <w:color w:val="000000"/>
                <w:sz w:val="20"/>
                <w:szCs w:val="20"/>
              </w:rPr>
              <w:t>1</w:t>
            </w:r>
          </w:p>
        </w:tc>
      </w:tr>
      <w:tr w:rsidR="007A0065" w:rsidRPr="007A0065" w14:paraId="7103932C" w14:textId="77777777" w:rsidTr="007A0065">
        <w:trPr>
          <w:trHeight w:val="345"/>
          <w:jc w:val="center"/>
        </w:trPr>
        <w:tc>
          <w:tcPr>
            <w:tcW w:w="4171" w:type="dxa"/>
            <w:tcBorders>
              <w:top w:val="nil"/>
              <w:left w:val="single" w:sz="4" w:space="0" w:color="auto"/>
              <w:bottom w:val="nil"/>
              <w:right w:val="single" w:sz="4" w:space="0" w:color="auto"/>
            </w:tcBorders>
            <w:shd w:val="clear" w:color="auto" w:fill="auto"/>
            <w:noWrap/>
            <w:vAlign w:val="bottom"/>
            <w:hideMark/>
          </w:tcPr>
          <w:p w14:paraId="0839C409" w14:textId="77777777" w:rsidR="007A0065" w:rsidRPr="007A0065" w:rsidRDefault="007A0065" w:rsidP="007A0065">
            <w:pPr>
              <w:ind w:firstLineChars="400" w:firstLine="800"/>
              <w:rPr>
                <w:rFonts w:ascii="Arial" w:eastAsia="Times New Roman" w:hAnsi="Arial" w:cs="Arial"/>
                <w:color w:val="000000"/>
                <w:sz w:val="20"/>
                <w:szCs w:val="20"/>
              </w:rPr>
            </w:pPr>
            <w:r w:rsidRPr="007A0065">
              <w:rPr>
                <w:rFonts w:ascii="Arial" w:eastAsia="Times New Roman" w:hAnsi="Arial" w:cs="Arial"/>
                <w:color w:val="000000"/>
                <w:sz w:val="20"/>
                <w:szCs w:val="20"/>
              </w:rPr>
              <w:t xml:space="preserve">Gasto de consumo colectivo </w:t>
            </w:r>
            <w:r w:rsidRPr="007A0065">
              <w:rPr>
                <w:rFonts w:ascii="Arial" w:eastAsia="Times New Roman" w:hAnsi="Arial" w:cs="Arial"/>
                <w:color w:val="000000"/>
                <w:sz w:val="20"/>
                <w:szCs w:val="20"/>
                <w:vertAlign w:val="superscript"/>
              </w:rPr>
              <w:t>2/</w:t>
            </w:r>
          </w:p>
        </w:tc>
        <w:tc>
          <w:tcPr>
            <w:tcW w:w="1743" w:type="dxa"/>
            <w:tcBorders>
              <w:top w:val="nil"/>
              <w:left w:val="nil"/>
              <w:bottom w:val="nil"/>
              <w:right w:val="single" w:sz="4" w:space="0" w:color="auto"/>
            </w:tcBorders>
            <w:shd w:val="clear" w:color="auto" w:fill="auto"/>
            <w:noWrap/>
            <w:vAlign w:val="bottom"/>
            <w:hideMark/>
          </w:tcPr>
          <w:p w14:paraId="2B224EE9" w14:textId="2F7C40AC" w:rsidR="007A0065" w:rsidRPr="007A0065" w:rsidRDefault="007A0065" w:rsidP="007A0065">
            <w:pPr>
              <w:ind w:firstLineChars="300" w:firstLine="600"/>
              <w:jc w:val="right"/>
              <w:rPr>
                <w:rFonts w:ascii="Arial" w:eastAsia="Times New Roman" w:hAnsi="Arial" w:cs="Arial"/>
                <w:color w:val="000000"/>
                <w:sz w:val="20"/>
                <w:szCs w:val="20"/>
              </w:rPr>
            </w:pPr>
            <w:r w:rsidRPr="007A0065">
              <w:rPr>
                <w:rFonts w:ascii="Arial" w:eastAsia="Times New Roman" w:hAnsi="Arial" w:cs="Arial"/>
                <w:color w:val="000000"/>
                <w:sz w:val="20"/>
                <w:szCs w:val="20"/>
              </w:rPr>
              <w:t>1</w:t>
            </w:r>
            <w:r w:rsidR="00E432AF">
              <w:rPr>
                <w:rFonts w:ascii="Arial" w:eastAsia="Times New Roman" w:hAnsi="Arial" w:cs="Arial"/>
                <w:color w:val="000000"/>
                <w:sz w:val="20"/>
                <w:szCs w:val="20"/>
              </w:rPr>
              <w:t xml:space="preserve"> </w:t>
            </w:r>
            <w:r w:rsidR="003B20B5">
              <w:rPr>
                <w:rFonts w:ascii="Arial" w:eastAsia="Times New Roman" w:hAnsi="Arial" w:cs="Arial"/>
                <w:color w:val="000000"/>
                <w:sz w:val="20"/>
                <w:szCs w:val="20"/>
              </w:rPr>
              <w:t>449</w:t>
            </w:r>
            <w:r w:rsidR="00E432AF">
              <w:rPr>
                <w:rFonts w:ascii="Arial" w:eastAsia="Times New Roman" w:hAnsi="Arial" w:cs="Arial"/>
                <w:color w:val="000000"/>
                <w:sz w:val="20"/>
                <w:szCs w:val="20"/>
              </w:rPr>
              <w:t xml:space="preserve"> </w:t>
            </w:r>
            <w:r w:rsidR="003B20B5">
              <w:rPr>
                <w:rFonts w:ascii="Arial" w:eastAsia="Times New Roman" w:hAnsi="Arial" w:cs="Arial"/>
                <w:color w:val="000000"/>
                <w:sz w:val="20"/>
                <w:szCs w:val="20"/>
              </w:rPr>
              <w:t>035</w:t>
            </w:r>
          </w:p>
        </w:tc>
        <w:tc>
          <w:tcPr>
            <w:tcW w:w="1280" w:type="dxa"/>
            <w:tcBorders>
              <w:top w:val="nil"/>
              <w:left w:val="nil"/>
              <w:bottom w:val="nil"/>
              <w:right w:val="single" w:sz="4" w:space="0" w:color="auto"/>
            </w:tcBorders>
            <w:shd w:val="clear" w:color="auto" w:fill="auto"/>
            <w:noWrap/>
            <w:vAlign w:val="bottom"/>
            <w:hideMark/>
          </w:tcPr>
          <w:p w14:paraId="5E39F89D" w14:textId="79340300" w:rsidR="007A0065" w:rsidRPr="007A0065" w:rsidRDefault="003B20B5" w:rsidP="007A0065">
            <w:pPr>
              <w:ind w:firstLineChars="300" w:firstLine="600"/>
              <w:jc w:val="right"/>
              <w:rPr>
                <w:rFonts w:ascii="Arial" w:eastAsia="Times New Roman" w:hAnsi="Arial" w:cs="Arial"/>
                <w:color w:val="000000"/>
                <w:sz w:val="20"/>
                <w:szCs w:val="20"/>
              </w:rPr>
            </w:pPr>
            <w:r>
              <w:rPr>
                <w:rFonts w:ascii="Arial" w:eastAsia="Times New Roman" w:hAnsi="Arial" w:cs="Arial"/>
                <w:color w:val="000000"/>
                <w:sz w:val="20"/>
                <w:szCs w:val="20"/>
              </w:rPr>
              <w:t>7.7</w:t>
            </w:r>
          </w:p>
        </w:tc>
      </w:tr>
      <w:tr w:rsidR="007A0065" w:rsidRPr="007A0065" w14:paraId="5A99D1FB" w14:textId="77777777" w:rsidTr="007A0065">
        <w:trPr>
          <w:trHeight w:val="345"/>
          <w:jc w:val="center"/>
        </w:trPr>
        <w:tc>
          <w:tcPr>
            <w:tcW w:w="4171" w:type="dxa"/>
            <w:tcBorders>
              <w:top w:val="nil"/>
              <w:left w:val="single" w:sz="4" w:space="0" w:color="auto"/>
              <w:bottom w:val="single" w:sz="4" w:space="0" w:color="auto"/>
              <w:right w:val="single" w:sz="4" w:space="0" w:color="auto"/>
            </w:tcBorders>
            <w:shd w:val="clear" w:color="auto" w:fill="auto"/>
            <w:noWrap/>
            <w:vAlign w:val="bottom"/>
            <w:hideMark/>
          </w:tcPr>
          <w:p w14:paraId="3131EDA8" w14:textId="77777777" w:rsidR="007A0065" w:rsidRPr="007A0065" w:rsidRDefault="007A0065" w:rsidP="007A0065">
            <w:pPr>
              <w:ind w:firstLineChars="200" w:firstLine="400"/>
              <w:rPr>
                <w:rFonts w:ascii="Arial" w:eastAsia="Times New Roman" w:hAnsi="Arial" w:cs="Arial"/>
                <w:color w:val="000000"/>
                <w:sz w:val="20"/>
                <w:szCs w:val="20"/>
              </w:rPr>
            </w:pPr>
            <w:r w:rsidRPr="007A0065">
              <w:rPr>
                <w:rFonts w:ascii="Arial" w:eastAsia="Times New Roman" w:hAnsi="Arial" w:cs="Arial"/>
                <w:color w:val="000000"/>
                <w:sz w:val="20"/>
                <w:szCs w:val="20"/>
              </w:rPr>
              <w:t>Ahorro neto</w:t>
            </w:r>
          </w:p>
        </w:tc>
        <w:tc>
          <w:tcPr>
            <w:tcW w:w="1743" w:type="dxa"/>
            <w:tcBorders>
              <w:top w:val="nil"/>
              <w:left w:val="nil"/>
              <w:bottom w:val="single" w:sz="4" w:space="0" w:color="auto"/>
              <w:right w:val="single" w:sz="4" w:space="0" w:color="auto"/>
            </w:tcBorders>
            <w:shd w:val="clear" w:color="auto" w:fill="auto"/>
            <w:noWrap/>
            <w:vAlign w:val="bottom"/>
            <w:hideMark/>
          </w:tcPr>
          <w:p w14:paraId="63770472" w14:textId="4B434CC8" w:rsidR="007A0065" w:rsidRPr="007A0065" w:rsidRDefault="007A0065" w:rsidP="007A0065">
            <w:pPr>
              <w:ind w:firstLineChars="300" w:firstLine="600"/>
              <w:jc w:val="right"/>
              <w:rPr>
                <w:rFonts w:ascii="Arial" w:eastAsia="Times New Roman" w:hAnsi="Arial" w:cs="Arial"/>
                <w:color w:val="000000"/>
                <w:sz w:val="20"/>
                <w:szCs w:val="20"/>
              </w:rPr>
            </w:pPr>
            <w:r w:rsidRPr="007A0065">
              <w:rPr>
                <w:rFonts w:ascii="Arial" w:eastAsia="Times New Roman" w:hAnsi="Arial" w:cs="Arial"/>
                <w:color w:val="000000"/>
                <w:sz w:val="20"/>
                <w:szCs w:val="20"/>
              </w:rPr>
              <w:t>1</w:t>
            </w:r>
            <w:r w:rsidR="00E432AF">
              <w:rPr>
                <w:rFonts w:ascii="Arial" w:eastAsia="Times New Roman" w:hAnsi="Arial" w:cs="Arial"/>
                <w:color w:val="000000"/>
                <w:sz w:val="20"/>
                <w:szCs w:val="20"/>
              </w:rPr>
              <w:t xml:space="preserve"> </w:t>
            </w:r>
            <w:r w:rsidR="003B20B5">
              <w:rPr>
                <w:rFonts w:ascii="Arial" w:eastAsia="Times New Roman" w:hAnsi="Arial" w:cs="Arial"/>
                <w:color w:val="000000"/>
                <w:sz w:val="20"/>
                <w:szCs w:val="20"/>
              </w:rPr>
              <w:t>164</w:t>
            </w:r>
            <w:r w:rsidR="00E432AF">
              <w:rPr>
                <w:rFonts w:ascii="Arial" w:eastAsia="Times New Roman" w:hAnsi="Arial" w:cs="Arial"/>
                <w:color w:val="000000"/>
                <w:sz w:val="20"/>
                <w:szCs w:val="20"/>
              </w:rPr>
              <w:t xml:space="preserve"> </w:t>
            </w:r>
            <w:r w:rsidR="003B20B5">
              <w:rPr>
                <w:rFonts w:ascii="Arial" w:eastAsia="Times New Roman" w:hAnsi="Arial" w:cs="Arial"/>
                <w:color w:val="000000"/>
                <w:sz w:val="20"/>
                <w:szCs w:val="20"/>
              </w:rPr>
              <w:t>133</w:t>
            </w:r>
          </w:p>
        </w:tc>
        <w:tc>
          <w:tcPr>
            <w:tcW w:w="1280" w:type="dxa"/>
            <w:tcBorders>
              <w:top w:val="nil"/>
              <w:left w:val="nil"/>
              <w:bottom w:val="single" w:sz="4" w:space="0" w:color="auto"/>
              <w:right w:val="single" w:sz="4" w:space="0" w:color="auto"/>
            </w:tcBorders>
            <w:shd w:val="clear" w:color="auto" w:fill="auto"/>
            <w:noWrap/>
            <w:vAlign w:val="bottom"/>
            <w:hideMark/>
          </w:tcPr>
          <w:p w14:paraId="67F26F04" w14:textId="46612E6F" w:rsidR="007A0065" w:rsidRPr="007A0065" w:rsidRDefault="003B20B5" w:rsidP="007A0065">
            <w:pPr>
              <w:ind w:firstLineChars="300" w:firstLine="600"/>
              <w:jc w:val="right"/>
              <w:rPr>
                <w:rFonts w:ascii="Arial" w:eastAsia="Times New Roman" w:hAnsi="Arial" w:cs="Arial"/>
                <w:color w:val="000000"/>
                <w:sz w:val="20"/>
                <w:szCs w:val="20"/>
              </w:rPr>
            </w:pPr>
            <w:r>
              <w:rPr>
                <w:rFonts w:ascii="Arial" w:eastAsia="Times New Roman" w:hAnsi="Arial" w:cs="Arial"/>
                <w:color w:val="000000"/>
                <w:sz w:val="20"/>
                <w:szCs w:val="20"/>
              </w:rPr>
              <w:t>6.2</w:t>
            </w:r>
          </w:p>
        </w:tc>
      </w:tr>
    </w:tbl>
    <w:p w14:paraId="138E0D72" w14:textId="19F35F31" w:rsidR="009D0C99" w:rsidRDefault="009D0C99" w:rsidP="007A0065">
      <w:pPr>
        <w:pStyle w:val="Textoindependiente"/>
        <w:tabs>
          <w:tab w:val="center" w:pos="3348"/>
        </w:tabs>
        <w:ind w:left="851" w:right="900"/>
        <w:rPr>
          <w:rFonts w:ascii="Arial" w:hAnsi="Arial" w:cs="Arial"/>
          <w:sz w:val="16"/>
          <w:szCs w:val="16"/>
          <w:lang w:val="es-MX"/>
        </w:rPr>
      </w:pPr>
      <w:r>
        <w:rPr>
          <w:rFonts w:ascii="Arial" w:hAnsi="Arial" w:cs="Arial"/>
          <w:sz w:val="16"/>
          <w:szCs w:val="16"/>
          <w:lang w:val="es-MX"/>
        </w:rPr>
        <w:t>1/ El</w:t>
      </w:r>
      <w:r w:rsidRPr="006D526D">
        <w:rPr>
          <w:rFonts w:ascii="Arial" w:hAnsi="Arial" w:cs="Arial"/>
          <w:sz w:val="16"/>
          <w:szCs w:val="16"/>
          <w:lang w:val="es-MX"/>
        </w:rPr>
        <w:t xml:space="preserve"> consumo individual se conforma del consumo final privado más las transferencias sociales recibida</w:t>
      </w:r>
      <w:r w:rsidR="005C270C">
        <w:rPr>
          <w:rFonts w:ascii="Arial" w:hAnsi="Arial" w:cs="Arial"/>
          <w:sz w:val="16"/>
          <w:szCs w:val="16"/>
          <w:lang w:val="es-MX"/>
        </w:rPr>
        <w:t>s</w:t>
      </w:r>
      <w:r w:rsidRPr="006D526D">
        <w:rPr>
          <w:rFonts w:ascii="Arial" w:hAnsi="Arial" w:cs="Arial"/>
          <w:sz w:val="16"/>
          <w:szCs w:val="16"/>
          <w:lang w:val="es-MX"/>
        </w:rPr>
        <w:t xml:space="preserve"> por los hogares en especie del gobierno y las </w:t>
      </w:r>
      <w:r w:rsidR="007A0065">
        <w:rPr>
          <w:rFonts w:ascii="Arial" w:hAnsi="Arial" w:cs="Arial"/>
          <w:sz w:val="16"/>
          <w:szCs w:val="16"/>
          <w:lang w:val="es-MX"/>
        </w:rPr>
        <w:t>I</w:t>
      </w:r>
      <w:r w:rsidRPr="006D526D">
        <w:rPr>
          <w:rFonts w:ascii="Arial" w:hAnsi="Arial" w:cs="Arial"/>
          <w:sz w:val="16"/>
          <w:szCs w:val="16"/>
          <w:lang w:val="es-MX"/>
        </w:rPr>
        <w:t xml:space="preserve">nstituciones </w:t>
      </w:r>
      <w:r w:rsidR="007A0065">
        <w:rPr>
          <w:rFonts w:ascii="Arial" w:hAnsi="Arial" w:cs="Arial"/>
          <w:sz w:val="16"/>
          <w:szCs w:val="16"/>
          <w:lang w:val="es-MX"/>
        </w:rPr>
        <w:t>S</w:t>
      </w:r>
      <w:r w:rsidRPr="006D526D">
        <w:rPr>
          <w:rFonts w:ascii="Arial" w:hAnsi="Arial" w:cs="Arial"/>
          <w:sz w:val="16"/>
          <w:szCs w:val="16"/>
          <w:lang w:val="es-MX"/>
        </w:rPr>
        <w:t xml:space="preserve">in </w:t>
      </w:r>
      <w:r w:rsidR="007A0065">
        <w:rPr>
          <w:rFonts w:ascii="Arial" w:hAnsi="Arial" w:cs="Arial"/>
          <w:sz w:val="16"/>
          <w:szCs w:val="16"/>
          <w:lang w:val="es-MX"/>
        </w:rPr>
        <w:t>F</w:t>
      </w:r>
      <w:r w:rsidRPr="006D526D">
        <w:rPr>
          <w:rFonts w:ascii="Arial" w:hAnsi="Arial" w:cs="Arial"/>
          <w:sz w:val="16"/>
          <w:szCs w:val="16"/>
          <w:lang w:val="es-MX"/>
        </w:rPr>
        <w:t xml:space="preserve">ines de </w:t>
      </w:r>
      <w:r w:rsidR="00291CE7">
        <w:rPr>
          <w:rFonts w:ascii="Arial" w:hAnsi="Arial" w:cs="Arial"/>
          <w:sz w:val="16"/>
          <w:szCs w:val="16"/>
          <w:lang w:val="es-MX"/>
        </w:rPr>
        <w:t>L</w:t>
      </w:r>
      <w:r w:rsidRPr="006D526D">
        <w:rPr>
          <w:rFonts w:ascii="Arial" w:hAnsi="Arial" w:cs="Arial"/>
          <w:sz w:val="16"/>
          <w:szCs w:val="16"/>
          <w:lang w:val="es-MX"/>
        </w:rPr>
        <w:t>ucro que sirven a los hogares.</w:t>
      </w:r>
    </w:p>
    <w:p w14:paraId="4BA69D77" w14:textId="21FE6584" w:rsidR="009D0C99" w:rsidRPr="006D526D" w:rsidRDefault="009D0C99" w:rsidP="009D0C99">
      <w:pPr>
        <w:pStyle w:val="Textoindependiente"/>
        <w:tabs>
          <w:tab w:val="center" w:pos="3348"/>
        </w:tabs>
        <w:ind w:left="851" w:right="900"/>
        <w:rPr>
          <w:rFonts w:ascii="Arial" w:hAnsi="Arial" w:cs="Arial"/>
          <w:sz w:val="16"/>
          <w:szCs w:val="16"/>
          <w:lang w:val="es-MX"/>
        </w:rPr>
      </w:pPr>
      <w:r>
        <w:rPr>
          <w:rFonts w:ascii="Arial" w:hAnsi="Arial" w:cs="Arial"/>
          <w:sz w:val="16"/>
          <w:szCs w:val="16"/>
          <w:lang w:val="es-MX"/>
        </w:rPr>
        <w:t xml:space="preserve">2/ El consumo colectivo es el valor de los gastos realizados por el gobierno general al prestar servicios que benefician a la comunidad en su conjunto, o a ciertas secciones de </w:t>
      </w:r>
      <w:r w:rsidR="00AB07AB">
        <w:rPr>
          <w:rFonts w:ascii="Arial" w:hAnsi="Arial" w:cs="Arial"/>
          <w:sz w:val="16"/>
          <w:szCs w:val="16"/>
          <w:lang w:val="es-MX"/>
        </w:rPr>
        <w:t>é</w:t>
      </w:r>
      <w:r w:rsidR="00C04AF5">
        <w:rPr>
          <w:rFonts w:ascii="Arial" w:hAnsi="Arial" w:cs="Arial"/>
          <w:sz w:val="16"/>
          <w:szCs w:val="16"/>
          <w:lang w:val="es-MX"/>
        </w:rPr>
        <w:t>ste</w:t>
      </w:r>
      <w:r>
        <w:rPr>
          <w:rFonts w:ascii="Arial" w:hAnsi="Arial" w:cs="Arial"/>
          <w:sz w:val="16"/>
          <w:szCs w:val="16"/>
          <w:lang w:val="es-MX"/>
        </w:rPr>
        <w:t>.</w:t>
      </w:r>
    </w:p>
    <w:p w14:paraId="51F3A9E8" w14:textId="77777777" w:rsidR="009D0C99" w:rsidRPr="006D526D" w:rsidRDefault="009D0C99" w:rsidP="009D0C99">
      <w:pPr>
        <w:pStyle w:val="Textoindependiente"/>
        <w:tabs>
          <w:tab w:val="center" w:pos="3348"/>
        </w:tabs>
        <w:ind w:left="851"/>
        <w:rPr>
          <w:rFonts w:ascii="Arial" w:hAnsi="Arial" w:cs="Arial"/>
          <w:sz w:val="16"/>
          <w:szCs w:val="16"/>
        </w:rPr>
      </w:pPr>
      <w:r w:rsidRPr="006D526D">
        <w:rPr>
          <w:rFonts w:ascii="Arial" w:hAnsi="Arial" w:cs="Arial"/>
          <w:sz w:val="16"/>
          <w:szCs w:val="16"/>
        </w:rPr>
        <w:t>NOTA: La suma de los parciales puede no coincidir con el total debido al redondeo.</w:t>
      </w:r>
    </w:p>
    <w:p w14:paraId="0BCA14A8" w14:textId="77777777" w:rsidR="009D0C99" w:rsidRPr="006D526D" w:rsidRDefault="009D0C99" w:rsidP="009D0C99">
      <w:pPr>
        <w:pStyle w:val="Textoindependiente"/>
        <w:tabs>
          <w:tab w:val="center" w:pos="3348"/>
        </w:tabs>
        <w:ind w:left="851"/>
        <w:rPr>
          <w:rFonts w:ascii="Arial" w:hAnsi="Arial" w:cs="Arial"/>
          <w:sz w:val="16"/>
          <w:szCs w:val="16"/>
        </w:rPr>
      </w:pPr>
      <w:r w:rsidRPr="006D526D">
        <w:rPr>
          <w:rFonts w:ascii="Arial" w:hAnsi="Arial" w:cs="Arial"/>
          <w:sz w:val="16"/>
          <w:szCs w:val="16"/>
        </w:rPr>
        <w:t>Fuente: INEGI.</w:t>
      </w:r>
    </w:p>
    <w:p w14:paraId="62872FAB" w14:textId="77777777" w:rsidR="009D0C99" w:rsidRPr="009E1EE6" w:rsidRDefault="009D0C99" w:rsidP="009D0C99">
      <w:pPr>
        <w:spacing w:before="240"/>
        <w:rPr>
          <w:rFonts w:ascii="MS Sans Serif" w:hAnsi="MS Sans Serif"/>
          <w:b/>
          <w:smallCaps/>
          <w:highlight w:val="lightGray"/>
        </w:rPr>
      </w:pPr>
    </w:p>
    <w:p w14:paraId="773CADA0" w14:textId="77777777" w:rsidR="009D0C99" w:rsidRPr="003B19F7" w:rsidRDefault="009D0C99" w:rsidP="009D0C99">
      <w:pPr>
        <w:pStyle w:val="n01"/>
        <w:keepLines w:val="0"/>
        <w:spacing w:before="600"/>
        <w:ind w:left="0" w:firstLine="0"/>
        <w:outlineLvl w:val="0"/>
        <w:rPr>
          <w:rFonts w:ascii="Arial" w:hAnsi="Arial" w:cs="Arial"/>
          <w:b/>
          <w:smallCaps/>
          <w:color w:val="auto"/>
          <w:lang w:val="es-MX"/>
        </w:rPr>
      </w:pPr>
      <w:r w:rsidRPr="003B19F7">
        <w:rPr>
          <w:rFonts w:ascii="Arial" w:hAnsi="Arial" w:cs="Arial"/>
          <w:b/>
          <w:smallCaps/>
          <w:color w:val="auto"/>
          <w:lang w:val="es-MX"/>
        </w:rPr>
        <w:t>Consumo final privado</w:t>
      </w:r>
    </w:p>
    <w:p w14:paraId="6DDDD2A7" w14:textId="1D4A89B0" w:rsidR="009D0C99" w:rsidRPr="00912349" w:rsidRDefault="009D0C99" w:rsidP="009D0C99">
      <w:pPr>
        <w:spacing w:before="600"/>
        <w:jc w:val="both"/>
        <w:rPr>
          <w:rFonts w:ascii="Arial" w:hAnsi="Arial" w:cs="Arial"/>
        </w:rPr>
      </w:pPr>
      <w:r w:rsidRPr="003B19F7">
        <w:rPr>
          <w:rFonts w:ascii="Arial" w:hAnsi="Arial" w:cs="Arial"/>
        </w:rPr>
        <w:t xml:space="preserve">El consumo de los hogares y de las Instituciones Privadas sin Fines de Lucro (IPSFL) totalizó </w:t>
      </w:r>
      <w:r w:rsidR="00C64E7A">
        <w:rPr>
          <w:rFonts w:ascii="Arial" w:hAnsi="Arial" w:cs="Arial"/>
        </w:rPr>
        <w:t>1</w:t>
      </w:r>
      <w:r w:rsidR="00DC668B">
        <w:rPr>
          <w:rFonts w:ascii="Arial" w:hAnsi="Arial" w:cs="Arial"/>
        </w:rPr>
        <w:t>4</w:t>
      </w:r>
      <w:r w:rsidR="00E432AF">
        <w:rPr>
          <w:rFonts w:ascii="Arial" w:hAnsi="Arial" w:cs="Arial"/>
        </w:rPr>
        <w:t xml:space="preserve"> </w:t>
      </w:r>
      <w:r w:rsidR="00DC668B">
        <w:rPr>
          <w:rFonts w:ascii="Arial" w:hAnsi="Arial" w:cs="Arial"/>
        </w:rPr>
        <w:t>893</w:t>
      </w:r>
      <w:r w:rsidR="00E432AF">
        <w:rPr>
          <w:rFonts w:ascii="Arial" w:hAnsi="Arial" w:cs="Arial"/>
        </w:rPr>
        <w:t xml:space="preserve"> </w:t>
      </w:r>
      <w:r w:rsidR="00DC668B">
        <w:rPr>
          <w:rFonts w:ascii="Arial" w:hAnsi="Arial" w:cs="Arial"/>
        </w:rPr>
        <w:t>299</w:t>
      </w:r>
      <w:r w:rsidRPr="003B19F7">
        <w:rPr>
          <w:rFonts w:ascii="Arial" w:hAnsi="Arial" w:cs="Arial"/>
        </w:rPr>
        <w:t xml:space="preserve"> millones de pesos corrientes en </w:t>
      </w:r>
      <w:r w:rsidR="00AB5F83">
        <w:rPr>
          <w:rFonts w:ascii="Arial" w:hAnsi="Arial" w:cs="Arial"/>
        </w:rPr>
        <w:t>20</w:t>
      </w:r>
      <w:r w:rsidR="00DC668B">
        <w:rPr>
          <w:rFonts w:ascii="Arial" w:hAnsi="Arial" w:cs="Arial"/>
        </w:rPr>
        <w:t>20</w:t>
      </w:r>
      <w:r w:rsidRPr="003B19F7">
        <w:rPr>
          <w:rFonts w:ascii="Arial" w:hAnsi="Arial" w:cs="Arial"/>
        </w:rPr>
        <w:t>, gasto que fue distribuido principalmente para la adquisición de alimentos y bebidas no alcohólicas con 2</w:t>
      </w:r>
      <w:r w:rsidR="00DC668B">
        <w:rPr>
          <w:rFonts w:ascii="Arial" w:hAnsi="Arial" w:cs="Arial"/>
        </w:rPr>
        <w:t>7.2</w:t>
      </w:r>
      <w:r w:rsidRPr="003B19F7">
        <w:rPr>
          <w:rFonts w:ascii="Arial" w:hAnsi="Arial" w:cs="Arial"/>
        </w:rPr>
        <w:t xml:space="preserve">% del total; </w:t>
      </w:r>
      <w:r w:rsidR="00D661D1" w:rsidRPr="003B19F7">
        <w:rPr>
          <w:rFonts w:ascii="Arial" w:hAnsi="Arial" w:cs="Arial"/>
        </w:rPr>
        <w:t>alojamiento, agua, electricidad, gas y otros combustibles 1</w:t>
      </w:r>
      <w:r w:rsidR="00D661D1">
        <w:rPr>
          <w:rFonts w:ascii="Arial" w:hAnsi="Arial" w:cs="Arial"/>
        </w:rPr>
        <w:t xml:space="preserve">8.4%; </w:t>
      </w:r>
      <w:r w:rsidRPr="003B19F7">
        <w:rPr>
          <w:rFonts w:ascii="Arial" w:hAnsi="Arial" w:cs="Arial"/>
        </w:rPr>
        <w:t>transporte 1</w:t>
      </w:r>
      <w:r w:rsidR="00DC668B">
        <w:rPr>
          <w:rFonts w:ascii="Arial" w:hAnsi="Arial" w:cs="Arial"/>
        </w:rPr>
        <w:t>4.5</w:t>
      </w:r>
      <w:r w:rsidRPr="003B19F7">
        <w:rPr>
          <w:rFonts w:ascii="Arial" w:hAnsi="Arial" w:cs="Arial"/>
        </w:rPr>
        <w:t xml:space="preserve"> por ciento. En menor proporción el gasto se efectuó en bienes y servicios diversos con 1</w:t>
      </w:r>
      <w:r w:rsidR="00981BDF">
        <w:rPr>
          <w:rFonts w:ascii="Arial" w:hAnsi="Arial" w:cs="Arial"/>
        </w:rPr>
        <w:t>2.2</w:t>
      </w:r>
      <w:r w:rsidRPr="003B19F7">
        <w:rPr>
          <w:rFonts w:ascii="Arial" w:hAnsi="Arial" w:cs="Arial"/>
        </w:rPr>
        <w:t xml:space="preserve">%; muebles, artículos para el hogar y para la conservación ordinaria del hogar </w:t>
      </w:r>
      <w:r w:rsidR="00981BDF">
        <w:rPr>
          <w:rFonts w:ascii="Arial" w:hAnsi="Arial" w:cs="Arial"/>
        </w:rPr>
        <w:t>6.1</w:t>
      </w:r>
      <w:r w:rsidRPr="003B19F7">
        <w:rPr>
          <w:rFonts w:ascii="Arial" w:hAnsi="Arial" w:cs="Arial"/>
        </w:rPr>
        <w:t xml:space="preserve">%; recreación y cultura </w:t>
      </w:r>
      <w:r w:rsidR="00981BDF">
        <w:rPr>
          <w:rFonts w:ascii="Arial" w:hAnsi="Arial" w:cs="Arial"/>
        </w:rPr>
        <w:t>4.9</w:t>
      </w:r>
      <w:r w:rsidRPr="003B19F7">
        <w:rPr>
          <w:rFonts w:ascii="Arial" w:hAnsi="Arial" w:cs="Arial"/>
        </w:rPr>
        <w:t xml:space="preserve">%; </w:t>
      </w:r>
      <w:r w:rsidR="00323E72">
        <w:rPr>
          <w:rFonts w:ascii="Arial" w:hAnsi="Arial" w:cs="Arial"/>
        </w:rPr>
        <w:t>en</w:t>
      </w:r>
      <w:r w:rsidR="00323E72" w:rsidRPr="003B19F7">
        <w:rPr>
          <w:rFonts w:ascii="Arial" w:hAnsi="Arial" w:cs="Arial"/>
        </w:rPr>
        <w:t xml:space="preserve"> </w:t>
      </w:r>
      <w:r w:rsidR="00323E72">
        <w:rPr>
          <w:rFonts w:ascii="Arial" w:hAnsi="Arial" w:cs="Arial"/>
        </w:rPr>
        <w:t xml:space="preserve">salud 3.9%; </w:t>
      </w:r>
      <w:r w:rsidR="00323E72" w:rsidRPr="003B19F7">
        <w:rPr>
          <w:rFonts w:ascii="Arial" w:hAnsi="Arial" w:cs="Arial"/>
        </w:rPr>
        <w:t>bebidas alcohólicas</w:t>
      </w:r>
      <w:r w:rsidR="00323E72">
        <w:rPr>
          <w:rFonts w:ascii="Arial" w:hAnsi="Arial" w:cs="Arial"/>
        </w:rPr>
        <w:t xml:space="preserve"> y</w:t>
      </w:r>
      <w:r w:rsidR="00323E72" w:rsidRPr="003B19F7">
        <w:rPr>
          <w:rFonts w:ascii="Arial" w:hAnsi="Arial" w:cs="Arial"/>
        </w:rPr>
        <w:t xml:space="preserve"> tabaco </w:t>
      </w:r>
      <w:r w:rsidR="00323E72">
        <w:rPr>
          <w:rFonts w:ascii="Arial" w:hAnsi="Arial" w:cs="Arial"/>
        </w:rPr>
        <w:t>con</w:t>
      </w:r>
      <w:r w:rsidR="00323E72" w:rsidRPr="003B19F7">
        <w:rPr>
          <w:rFonts w:ascii="Arial" w:hAnsi="Arial" w:cs="Arial"/>
        </w:rPr>
        <w:t xml:space="preserve"> 3.</w:t>
      </w:r>
      <w:r w:rsidR="00323E72">
        <w:rPr>
          <w:rFonts w:ascii="Arial" w:hAnsi="Arial" w:cs="Arial"/>
        </w:rPr>
        <w:t>6</w:t>
      </w:r>
      <w:r w:rsidR="00323E72" w:rsidRPr="003B19F7">
        <w:rPr>
          <w:rFonts w:ascii="Arial" w:hAnsi="Arial" w:cs="Arial"/>
        </w:rPr>
        <w:t>%</w:t>
      </w:r>
      <w:r w:rsidR="00323E72">
        <w:rPr>
          <w:rFonts w:ascii="Arial" w:hAnsi="Arial" w:cs="Arial"/>
        </w:rPr>
        <w:t xml:space="preserve">; </w:t>
      </w:r>
      <w:r w:rsidRPr="003B19F7">
        <w:rPr>
          <w:rFonts w:ascii="Arial" w:hAnsi="Arial" w:cs="Arial"/>
        </w:rPr>
        <w:t xml:space="preserve">restaurantes y hoteles </w:t>
      </w:r>
      <w:r w:rsidR="00981BDF">
        <w:rPr>
          <w:rFonts w:ascii="Arial" w:hAnsi="Arial" w:cs="Arial"/>
        </w:rPr>
        <w:t>3.2</w:t>
      </w:r>
      <w:r w:rsidRPr="003B19F7">
        <w:rPr>
          <w:rFonts w:ascii="Arial" w:hAnsi="Arial" w:cs="Arial"/>
        </w:rPr>
        <w:t>%;</w:t>
      </w:r>
      <w:r w:rsidR="00001B4D">
        <w:rPr>
          <w:rFonts w:ascii="Arial" w:hAnsi="Arial" w:cs="Arial"/>
        </w:rPr>
        <w:t xml:space="preserve"> </w:t>
      </w:r>
      <w:r w:rsidR="00CA0BAE" w:rsidRPr="003B19F7">
        <w:rPr>
          <w:rFonts w:ascii="Arial" w:hAnsi="Arial" w:cs="Arial"/>
        </w:rPr>
        <w:t>comunicaciones 2.</w:t>
      </w:r>
      <w:r w:rsidR="00CA0BAE">
        <w:rPr>
          <w:rFonts w:ascii="Arial" w:hAnsi="Arial" w:cs="Arial"/>
        </w:rPr>
        <w:t>4</w:t>
      </w:r>
      <w:r w:rsidR="00CA0BAE" w:rsidRPr="003B19F7">
        <w:rPr>
          <w:rFonts w:ascii="Arial" w:hAnsi="Arial" w:cs="Arial"/>
        </w:rPr>
        <w:t>%</w:t>
      </w:r>
      <w:r w:rsidR="00CA0BAE">
        <w:rPr>
          <w:rFonts w:ascii="Arial" w:hAnsi="Arial" w:cs="Arial"/>
        </w:rPr>
        <w:t xml:space="preserve">; </w:t>
      </w:r>
      <w:r w:rsidR="00981BDF" w:rsidRPr="003B19F7">
        <w:rPr>
          <w:rFonts w:ascii="Arial" w:hAnsi="Arial" w:cs="Arial"/>
        </w:rPr>
        <w:t>prendas de vestir y calzado 2.</w:t>
      </w:r>
      <w:r w:rsidR="00981BDF">
        <w:rPr>
          <w:rFonts w:ascii="Arial" w:hAnsi="Arial" w:cs="Arial"/>
        </w:rPr>
        <w:t>2</w:t>
      </w:r>
      <w:r w:rsidR="00981BDF" w:rsidRPr="003B19F7">
        <w:rPr>
          <w:rFonts w:ascii="Arial" w:hAnsi="Arial" w:cs="Arial"/>
        </w:rPr>
        <w:t>%</w:t>
      </w:r>
      <w:r w:rsidR="00CA0BAE">
        <w:rPr>
          <w:rFonts w:ascii="Arial" w:hAnsi="Arial" w:cs="Arial"/>
        </w:rPr>
        <w:t>,</w:t>
      </w:r>
      <w:r w:rsidR="00981BDF">
        <w:rPr>
          <w:rFonts w:ascii="Arial" w:hAnsi="Arial" w:cs="Arial"/>
        </w:rPr>
        <w:t xml:space="preserve"> </w:t>
      </w:r>
      <w:r w:rsidRPr="003B19F7">
        <w:rPr>
          <w:rFonts w:ascii="Arial" w:hAnsi="Arial" w:cs="Arial"/>
        </w:rPr>
        <w:t xml:space="preserve">y </w:t>
      </w:r>
      <w:r w:rsidR="00981BDF">
        <w:rPr>
          <w:rFonts w:ascii="Arial" w:hAnsi="Arial" w:cs="Arial"/>
        </w:rPr>
        <w:t xml:space="preserve">en </w:t>
      </w:r>
      <w:r w:rsidRPr="003B19F7">
        <w:rPr>
          <w:rFonts w:ascii="Arial" w:hAnsi="Arial" w:cs="Arial"/>
        </w:rPr>
        <w:t>educación 1.</w:t>
      </w:r>
      <w:r w:rsidR="00043FC8">
        <w:rPr>
          <w:rFonts w:ascii="Arial" w:hAnsi="Arial" w:cs="Arial"/>
        </w:rPr>
        <w:t>4</w:t>
      </w:r>
      <w:r w:rsidRPr="003B19F7">
        <w:rPr>
          <w:rFonts w:ascii="Arial" w:hAnsi="Arial" w:cs="Arial"/>
        </w:rPr>
        <w:t xml:space="preserve"> por ciento.</w:t>
      </w:r>
    </w:p>
    <w:p w14:paraId="71E73080" w14:textId="77777777" w:rsidR="009D0C99" w:rsidRPr="009F0ED9" w:rsidRDefault="009D0C99" w:rsidP="009D0C99">
      <w:pPr>
        <w:spacing w:before="240"/>
        <w:jc w:val="center"/>
        <w:rPr>
          <w:rFonts w:ascii="Arial" w:hAnsi="Arial" w:cs="Arial"/>
          <w:b/>
          <w:smallCaps/>
          <w:sz w:val="22"/>
          <w:szCs w:val="22"/>
        </w:rPr>
      </w:pPr>
      <w:r w:rsidRPr="00912349">
        <w:rPr>
          <w:rFonts w:ascii="MS Sans Serif" w:hAnsi="MS Sans Serif" w:cs="MS Sans Serif"/>
          <w:b/>
          <w:smallCaps/>
          <w:sz w:val="22"/>
          <w:szCs w:val="22"/>
        </w:rPr>
        <w:br w:type="page"/>
      </w:r>
      <w:r w:rsidRPr="009F0ED9">
        <w:rPr>
          <w:rFonts w:ascii="Arial" w:hAnsi="Arial" w:cs="Arial"/>
        </w:rPr>
        <w:lastRenderedPageBreak/>
        <w:t>Gráfica 2</w:t>
      </w:r>
    </w:p>
    <w:p w14:paraId="4D3C84A0" w14:textId="77777777" w:rsidR="009D0C99" w:rsidRPr="009F0ED9" w:rsidRDefault="009D0C99" w:rsidP="009D0C99">
      <w:pPr>
        <w:jc w:val="center"/>
        <w:rPr>
          <w:rFonts w:ascii="Arial" w:hAnsi="Arial" w:cs="Arial"/>
          <w:b/>
          <w:smallCaps/>
          <w:sz w:val="22"/>
          <w:szCs w:val="22"/>
        </w:rPr>
      </w:pPr>
      <w:r w:rsidRPr="009F0ED9">
        <w:rPr>
          <w:rFonts w:ascii="Arial" w:hAnsi="Arial" w:cs="Arial"/>
          <w:b/>
          <w:smallCaps/>
          <w:sz w:val="22"/>
          <w:szCs w:val="22"/>
        </w:rPr>
        <w:t>Consumo final de los hogares y de las instituciones privadas</w:t>
      </w:r>
    </w:p>
    <w:p w14:paraId="25B8DE25" w14:textId="6F4C7AE5" w:rsidR="009D0C99" w:rsidRPr="009F0ED9" w:rsidRDefault="009D0C99" w:rsidP="009D0C99">
      <w:pPr>
        <w:jc w:val="center"/>
        <w:rPr>
          <w:rFonts w:ascii="Arial" w:hAnsi="Arial" w:cs="Arial"/>
          <w:b/>
          <w:smallCaps/>
          <w:sz w:val="22"/>
          <w:szCs w:val="22"/>
        </w:rPr>
      </w:pPr>
      <w:r w:rsidRPr="009F0ED9">
        <w:rPr>
          <w:rFonts w:ascii="Arial" w:hAnsi="Arial" w:cs="Arial"/>
          <w:b/>
          <w:smallCaps/>
          <w:sz w:val="22"/>
          <w:szCs w:val="22"/>
        </w:rPr>
        <w:t>sin fines de lucro por finalidad</w:t>
      </w:r>
      <w:r w:rsidRPr="009F0ED9">
        <w:rPr>
          <w:rFonts w:ascii="Arial" w:hAnsi="Arial" w:cs="Arial"/>
          <w:b/>
          <w:smallCaps/>
          <w:sz w:val="20"/>
        </w:rPr>
        <w:t xml:space="preserve"> </w:t>
      </w:r>
      <w:r w:rsidRPr="009F0ED9">
        <w:rPr>
          <w:rFonts w:ascii="Arial" w:hAnsi="Arial" w:cs="Arial"/>
          <w:b/>
          <w:smallCaps/>
          <w:sz w:val="22"/>
          <w:szCs w:val="22"/>
        </w:rPr>
        <w:t>durante</w:t>
      </w:r>
      <w:r w:rsidRPr="009F0ED9">
        <w:rPr>
          <w:rFonts w:ascii="Arial" w:hAnsi="Arial" w:cs="Arial"/>
          <w:b/>
          <w:smallCaps/>
          <w:sz w:val="20"/>
        </w:rPr>
        <w:t xml:space="preserve"> </w:t>
      </w:r>
      <w:r w:rsidR="00AB5F83">
        <w:rPr>
          <w:rFonts w:ascii="Arial" w:hAnsi="Arial" w:cs="Arial"/>
          <w:b/>
          <w:smallCaps/>
          <w:sz w:val="22"/>
          <w:szCs w:val="22"/>
        </w:rPr>
        <w:t>20</w:t>
      </w:r>
      <w:r w:rsidR="00FE00F8">
        <w:rPr>
          <w:rFonts w:ascii="Arial" w:hAnsi="Arial" w:cs="Arial"/>
          <w:b/>
          <w:smallCaps/>
          <w:sz w:val="22"/>
          <w:szCs w:val="22"/>
        </w:rPr>
        <w:t>20</w:t>
      </w:r>
    </w:p>
    <w:p w14:paraId="78C158A3" w14:textId="2C7263C5" w:rsidR="009337B1" w:rsidRPr="009337B1" w:rsidRDefault="009D0C99" w:rsidP="009337B1">
      <w:pPr>
        <w:pStyle w:val="Textoindependiente"/>
        <w:spacing w:after="120"/>
        <w:ind w:left="-142"/>
        <w:jc w:val="center"/>
        <w:rPr>
          <w:sz w:val="8"/>
          <w:szCs w:val="8"/>
        </w:rPr>
      </w:pPr>
      <w:r w:rsidRPr="009F0ED9">
        <w:rPr>
          <w:rFonts w:ascii="Arial" w:hAnsi="Arial" w:cs="Arial"/>
          <w:sz w:val="18"/>
          <w:szCs w:val="18"/>
        </w:rPr>
        <w:t>(Estructura porcentual)</w:t>
      </w:r>
    </w:p>
    <w:p w14:paraId="0A96966A" w14:textId="3E38574A" w:rsidR="001A0262" w:rsidRPr="009E1EE6" w:rsidRDefault="005F758B" w:rsidP="009D0C99">
      <w:pPr>
        <w:ind w:left="709" w:hanging="709"/>
        <w:jc w:val="center"/>
        <w:rPr>
          <w:highlight w:val="lightGray"/>
        </w:rPr>
      </w:pPr>
      <w:r w:rsidRPr="005F758B">
        <w:rPr>
          <w:noProof/>
          <w:highlight w:val="lightGray"/>
        </w:rPr>
        <w:drawing>
          <wp:inline distT="0" distB="0" distL="0" distR="0" wp14:anchorId="3579EF37" wp14:editId="2F91E4C0">
            <wp:extent cx="5566723" cy="402018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77349" cy="4027859"/>
                    </a:xfrm>
                    <a:prstGeom prst="rect">
                      <a:avLst/>
                    </a:prstGeom>
                    <a:noFill/>
                    <a:ln>
                      <a:noFill/>
                    </a:ln>
                  </pic:spPr>
                </pic:pic>
              </a:graphicData>
            </a:graphic>
          </wp:inline>
        </w:drawing>
      </w:r>
    </w:p>
    <w:p w14:paraId="10FCF593" w14:textId="77777777" w:rsidR="009D0C99" w:rsidRPr="002D61DC" w:rsidRDefault="009D0C99" w:rsidP="009D0C99">
      <w:pPr>
        <w:pStyle w:val="Textoindependiente"/>
        <w:tabs>
          <w:tab w:val="left" w:pos="1005"/>
        </w:tabs>
        <w:ind w:left="142" w:hanging="142"/>
        <w:jc w:val="left"/>
        <w:rPr>
          <w:rFonts w:ascii="Arial" w:hAnsi="Arial" w:cs="Arial"/>
          <w:sz w:val="16"/>
          <w:szCs w:val="16"/>
        </w:rPr>
      </w:pPr>
      <w:r w:rsidRPr="002D61DC">
        <w:rPr>
          <w:rFonts w:ascii="Arial" w:hAnsi="Arial" w:cs="Arial"/>
          <w:sz w:val="16"/>
          <w:szCs w:val="16"/>
          <w:lang w:val="es-MX"/>
        </w:rPr>
        <w:t>*</w:t>
      </w:r>
      <w:r w:rsidRPr="002D61DC">
        <w:rPr>
          <w:rFonts w:ascii="Arial" w:hAnsi="Arial" w:cs="Arial"/>
          <w:sz w:val="16"/>
          <w:szCs w:val="16"/>
        </w:rPr>
        <w:t xml:space="preserve"> El rubro de bienes y servicios diversos incluye: los cuidados personales, efectos personales, seguros y servicios financieros, entre otros.</w:t>
      </w:r>
    </w:p>
    <w:p w14:paraId="5365D4FA" w14:textId="77777777" w:rsidR="009D0C99" w:rsidRPr="002D61DC" w:rsidRDefault="009D0C99" w:rsidP="009D0C99">
      <w:pPr>
        <w:pStyle w:val="Textoindependiente"/>
        <w:tabs>
          <w:tab w:val="left" w:pos="1005"/>
        </w:tabs>
        <w:jc w:val="left"/>
        <w:rPr>
          <w:rFonts w:ascii="Arial" w:hAnsi="Arial" w:cs="Arial"/>
          <w:sz w:val="16"/>
          <w:szCs w:val="16"/>
        </w:rPr>
      </w:pPr>
      <w:r w:rsidRPr="002D61DC">
        <w:rPr>
          <w:rFonts w:ascii="Arial" w:hAnsi="Arial" w:cs="Arial"/>
          <w:sz w:val="16"/>
          <w:szCs w:val="16"/>
        </w:rPr>
        <w:t xml:space="preserve"> </w:t>
      </w:r>
      <w:r w:rsidRPr="002D61DC">
        <w:rPr>
          <w:rFonts w:ascii="Arial" w:hAnsi="Arial" w:cs="Arial"/>
          <w:sz w:val="16"/>
          <w:szCs w:val="16"/>
          <w:lang w:val="es-MX"/>
        </w:rPr>
        <w:t xml:space="preserve"> </w:t>
      </w:r>
      <w:r w:rsidRPr="002D61DC">
        <w:rPr>
          <w:rFonts w:ascii="Arial" w:hAnsi="Arial" w:cs="Arial"/>
          <w:sz w:val="16"/>
          <w:szCs w:val="16"/>
        </w:rPr>
        <w:t>Fuente: INEGI.</w:t>
      </w:r>
    </w:p>
    <w:p w14:paraId="6C7DD2EE" w14:textId="3BB19B31" w:rsidR="00147A7F" w:rsidRDefault="009D0C99" w:rsidP="009D0C99">
      <w:pPr>
        <w:pStyle w:val="Textoindependiente"/>
        <w:spacing w:before="1080"/>
        <w:rPr>
          <w:rFonts w:ascii="Arial" w:hAnsi="Arial" w:cs="Arial"/>
          <w:lang w:val="es-MX"/>
        </w:rPr>
      </w:pPr>
      <w:r w:rsidRPr="002D61DC">
        <w:rPr>
          <w:rFonts w:ascii="Arial" w:hAnsi="Arial" w:cs="Arial"/>
        </w:rPr>
        <w:t xml:space="preserve">En términos reales, </w:t>
      </w:r>
      <w:r w:rsidRPr="002D61DC">
        <w:rPr>
          <w:rFonts w:ascii="Arial" w:hAnsi="Arial" w:cs="Arial"/>
          <w:lang w:val="es-MX"/>
        </w:rPr>
        <w:t>el consumo final privado</w:t>
      </w:r>
      <w:r w:rsidRPr="002D61DC">
        <w:rPr>
          <w:rFonts w:ascii="Arial" w:hAnsi="Arial" w:cs="Arial"/>
        </w:rPr>
        <w:t xml:space="preserve"> mostró </w:t>
      </w:r>
      <w:r w:rsidR="00147A7F">
        <w:rPr>
          <w:rFonts w:ascii="Arial" w:hAnsi="Arial" w:cs="Arial"/>
          <w:lang w:val="es-MX"/>
        </w:rPr>
        <w:t>una disminución</w:t>
      </w:r>
      <w:r w:rsidRPr="002D61DC">
        <w:rPr>
          <w:rFonts w:ascii="Arial" w:hAnsi="Arial" w:cs="Arial"/>
        </w:rPr>
        <w:t xml:space="preserve"> anual de</w:t>
      </w:r>
      <w:r w:rsidR="006F69D3">
        <w:rPr>
          <w:rFonts w:ascii="Arial" w:hAnsi="Arial" w:cs="Arial"/>
          <w:lang w:val="es-MX"/>
        </w:rPr>
        <w:t xml:space="preserve"> </w:t>
      </w:r>
      <w:r w:rsidR="00EA1A96">
        <w:rPr>
          <w:rFonts w:ascii="Arial" w:hAnsi="Arial" w:cs="Arial"/>
          <w:lang w:val="es-MX"/>
        </w:rPr>
        <w:t xml:space="preserve">            1</w:t>
      </w:r>
      <w:r w:rsidR="00147A7F">
        <w:rPr>
          <w:rFonts w:ascii="Arial" w:hAnsi="Arial" w:cs="Arial"/>
          <w:lang w:val="es-MX"/>
        </w:rPr>
        <w:t>1.2</w:t>
      </w:r>
      <w:r w:rsidRPr="002D61DC">
        <w:rPr>
          <w:rFonts w:ascii="Arial" w:hAnsi="Arial" w:cs="Arial"/>
        </w:rPr>
        <w:t xml:space="preserve">% respecto a </w:t>
      </w:r>
      <w:r w:rsidR="00AB5F83" w:rsidRPr="002D61DC">
        <w:rPr>
          <w:rFonts w:ascii="Arial" w:hAnsi="Arial" w:cs="Arial"/>
        </w:rPr>
        <w:t>201</w:t>
      </w:r>
      <w:r w:rsidR="00147A7F">
        <w:rPr>
          <w:rFonts w:ascii="Arial" w:hAnsi="Arial" w:cs="Arial"/>
          <w:lang w:val="es-MX"/>
        </w:rPr>
        <w:t>9</w:t>
      </w:r>
      <w:r w:rsidRPr="002D61DC">
        <w:rPr>
          <w:rFonts w:ascii="Arial" w:hAnsi="Arial" w:cs="Arial"/>
        </w:rPr>
        <w:t xml:space="preserve">, explicado </w:t>
      </w:r>
      <w:r w:rsidRPr="002D61DC">
        <w:rPr>
          <w:rFonts w:ascii="Arial" w:hAnsi="Arial" w:cs="Arial"/>
          <w:lang w:val="es-MX"/>
        </w:rPr>
        <w:t xml:space="preserve">principalmente </w:t>
      </w:r>
      <w:r w:rsidRPr="002D61DC">
        <w:rPr>
          <w:rFonts w:ascii="Arial" w:hAnsi="Arial" w:cs="Arial"/>
        </w:rPr>
        <w:t xml:space="preserve">por </w:t>
      </w:r>
      <w:r w:rsidR="00147A7F">
        <w:rPr>
          <w:rFonts w:ascii="Arial" w:hAnsi="Arial" w:cs="Arial"/>
          <w:lang w:val="es-MX"/>
        </w:rPr>
        <w:t>la</w:t>
      </w:r>
      <w:r w:rsidR="00E432AF">
        <w:rPr>
          <w:rFonts w:ascii="Arial" w:hAnsi="Arial" w:cs="Arial"/>
          <w:lang w:val="es-MX"/>
        </w:rPr>
        <w:t>s siguientes caídas:</w:t>
      </w:r>
      <w:r w:rsidR="00910871" w:rsidRPr="002D61DC">
        <w:rPr>
          <w:rFonts w:ascii="Arial" w:hAnsi="Arial" w:cs="Arial"/>
          <w:lang w:val="es-MX"/>
        </w:rPr>
        <w:t xml:space="preserve"> </w:t>
      </w:r>
      <w:r w:rsidR="00903752" w:rsidRPr="00147A7F">
        <w:rPr>
          <w:rFonts w:ascii="Arial" w:hAnsi="Arial" w:cs="Arial"/>
          <w:lang w:val="es-MX"/>
        </w:rPr>
        <w:t>42.6%</w:t>
      </w:r>
      <w:r w:rsidR="00903752">
        <w:rPr>
          <w:rFonts w:ascii="Arial" w:hAnsi="Arial" w:cs="Arial"/>
          <w:lang w:val="es-MX"/>
        </w:rPr>
        <w:t xml:space="preserve"> </w:t>
      </w:r>
      <w:r w:rsidR="00E432AF">
        <w:rPr>
          <w:rFonts w:ascii="Arial" w:hAnsi="Arial" w:cs="Arial"/>
          <w:lang w:val="es-MX"/>
        </w:rPr>
        <w:t>en</w:t>
      </w:r>
      <w:r w:rsidR="00903752">
        <w:rPr>
          <w:rFonts w:ascii="Arial" w:hAnsi="Arial" w:cs="Arial"/>
          <w:lang w:val="es-MX"/>
        </w:rPr>
        <w:t xml:space="preserve"> gasto en </w:t>
      </w:r>
      <w:r w:rsidR="00903752" w:rsidRPr="00147A7F">
        <w:rPr>
          <w:rFonts w:ascii="Arial" w:hAnsi="Arial" w:cs="Arial"/>
          <w:lang w:val="es-MX"/>
        </w:rPr>
        <w:t>restaurantes y hoteles;</w:t>
      </w:r>
      <w:r w:rsidR="00E432AF">
        <w:rPr>
          <w:rFonts w:ascii="Arial" w:hAnsi="Arial" w:cs="Arial"/>
          <w:lang w:val="es-MX"/>
        </w:rPr>
        <w:t xml:space="preserve"> 32% en </w:t>
      </w:r>
      <w:r w:rsidR="00903752">
        <w:rPr>
          <w:rFonts w:ascii="Arial" w:hAnsi="Arial" w:cs="Arial"/>
          <w:lang w:val="es-MX"/>
        </w:rPr>
        <w:t>prendas de vestir y calzado;</w:t>
      </w:r>
      <w:r w:rsidR="00E432AF">
        <w:rPr>
          <w:rFonts w:ascii="Arial" w:hAnsi="Arial" w:cs="Arial"/>
          <w:lang w:val="es-MX"/>
        </w:rPr>
        <w:t xml:space="preserve"> 28.5% en</w:t>
      </w:r>
      <w:r w:rsidR="00903752">
        <w:rPr>
          <w:rFonts w:ascii="Arial" w:hAnsi="Arial" w:cs="Arial"/>
          <w:lang w:val="es-MX"/>
        </w:rPr>
        <w:t xml:space="preserve"> </w:t>
      </w:r>
      <w:r w:rsidR="00147A7F">
        <w:rPr>
          <w:rFonts w:ascii="Arial" w:hAnsi="Arial" w:cs="Arial"/>
          <w:lang w:val="es-MX"/>
        </w:rPr>
        <w:t>transporte</w:t>
      </w:r>
      <w:r w:rsidR="00910871" w:rsidRPr="002D61DC">
        <w:rPr>
          <w:rFonts w:ascii="Arial" w:hAnsi="Arial" w:cs="Arial"/>
          <w:lang w:val="es-MX"/>
        </w:rPr>
        <w:t xml:space="preserve">; </w:t>
      </w:r>
      <w:r w:rsidR="00E432AF">
        <w:rPr>
          <w:rFonts w:ascii="Arial" w:hAnsi="Arial" w:cs="Arial"/>
          <w:lang w:val="es-MX"/>
        </w:rPr>
        <w:t xml:space="preserve">25.5% en </w:t>
      </w:r>
      <w:r w:rsidR="00147A7F">
        <w:rPr>
          <w:rFonts w:ascii="Arial" w:hAnsi="Arial" w:cs="Arial"/>
          <w:lang w:val="es-MX"/>
        </w:rPr>
        <w:t xml:space="preserve">recreación y cultura; </w:t>
      </w:r>
      <w:r w:rsidR="00E432AF">
        <w:rPr>
          <w:rFonts w:ascii="Arial" w:hAnsi="Arial" w:cs="Arial"/>
          <w:lang w:val="es-MX"/>
        </w:rPr>
        <w:t xml:space="preserve">12.6% en </w:t>
      </w:r>
      <w:r w:rsidR="00147A7F" w:rsidRPr="00147A7F">
        <w:rPr>
          <w:rFonts w:ascii="Arial" w:hAnsi="Arial" w:cs="Arial"/>
          <w:lang w:val="es-MX"/>
        </w:rPr>
        <w:t xml:space="preserve">bebidas alcohólicas y tabaco; </w:t>
      </w:r>
      <w:r w:rsidR="00E432AF">
        <w:rPr>
          <w:rFonts w:ascii="Arial" w:hAnsi="Arial" w:cs="Arial"/>
          <w:lang w:val="es-MX"/>
        </w:rPr>
        <w:t xml:space="preserve">11.7% en </w:t>
      </w:r>
      <w:r w:rsidR="00147A7F" w:rsidRPr="00147A7F">
        <w:rPr>
          <w:rFonts w:ascii="Arial" w:hAnsi="Arial" w:cs="Arial"/>
          <w:lang w:val="es-MX"/>
        </w:rPr>
        <w:t xml:space="preserve">educación; </w:t>
      </w:r>
      <w:r w:rsidR="00E432AF">
        <w:rPr>
          <w:rFonts w:ascii="Arial" w:hAnsi="Arial" w:cs="Arial"/>
          <w:lang w:val="es-MX"/>
        </w:rPr>
        <w:t xml:space="preserve">4.3% en </w:t>
      </w:r>
      <w:r w:rsidR="00147A7F" w:rsidRPr="00147A7F">
        <w:rPr>
          <w:rFonts w:ascii="Arial" w:hAnsi="Arial" w:cs="Arial"/>
          <w:lang w:val="es-MX"/>
        </w:rPr>
        <w:t>salud</w:t>
      </w:r>
      <w:r w:rsidR="00E432AF">
        <w:rPr>
          <w:rFonts w:ascii="Arial" w:hAnsi="Arial" w:cs="Arial"/>
          <w:lang w:val="es-MX"/>
        </w:rPr>
        <w:t xml:space="preserve">, y 6.4 </w:t>
      </w:r>
      <w:r w:rsidR="00147A7F" w:rsidRPr="00147A7F">
        <w:rPr>
          <w:rFonts w:ascii="Arial" w:hAnsi="Arial" w:cs="Arial"/>
          <w:lang w:val="es-MX"/>
        </w:rPr>
        <w:t>%</w:t>
      </w:r>
      <w:r w:rsidR="00E432AF">
        <w:rPr>
          <w:rFonts w:ascii="Arial" w:hAnsi="Arial" w:cs="Arial"/>
          <w:lang w:val="es-MX"/>
        </w:rPr>
        <w:t xml:space="preserve"> en </w:t>
      </w:r>
      <w:r w:rsidR="00147A7F" w:rsidRPr="00147A7F">
        <w:rPr>
          <w:rFonts w:ascii="Arial" w:hAnsi="Arial" w:cs="Arial"/>
          <w:lang w:val="es-MX"/>
        </w:rPr>
        <w:t>bienes y servicios diverso</w:t>
      </w:r>
      <w:r w:rsidR="00C946ED">
        <w:rPr>
          <w:rFonts w:ascii="Arial" w:hAnsi="Arial" w:cs="Arial"/>
          <w:lang w:val="es-MX"/>
        </w:rPr>
        <w:t>s</w:t>
      </w:r>
      <w:r w:rsidR="00147A7F">
        <w:rPr>
          <w:rFonts w:ascii="Arial" w:hAnsi="Arial" w:cs="Arial"/>
          <w:lang w:val="es-MX"/>
        </w:rPr>
        <w:t>,</w:t>
      </w:r>
      <w:r w:rsidR="00147A7F" w:rsidRPr="00147A7F">
        <w:rPr>
          <w:rFonts w:ascii="Arial" w:hAnsi="Arial" w:cs="Arial"/>
          <w:lang w:val="es-MX"/>
        </w:rPr>
        <w:t xml:space="preserve"> entre otras.</w:t>
      </w:r>
    </w:p>
    <w:p w14:paraId="4C6DBEE8" w14:textId="0D334787" w:rsidR="009D0C99" w:rsidRPr="002D61DC" w:rsidRDefault="009D0C99" w:rsidP="009D0C99">
      <w:pPr>
        <w:pStyle w:val="n01"/>
        <w:keepLines w:val="0"/>
        <w:spacing w:before="600"/>
        <w:ind w:left="0" w:firstLine="0"/>
        <w:outlineLvl w:val="0"/>
        <w:rPr>
          <w:rFonts w:ascii="Arial" w:hAnsi="Arial" w:cs="Arial"/>
          <w:b/>
          <w:smallCaps/>
          <w:color w:val="auto"/>
          <w:szCs w:val="24"/>
          <w:lang w:val="es-MX"/>
        </w:rPr>
      </w:pPr>
    </w:p>
    <w:p w14:paraId="034BC237" w14:textId="77777777" w:rsidR="009C0C0B" w:rsidRDefault="009C0C0B" w:rsidP="009A09CB">
      <w:pPr>
        <w:pStyle w:val="n01"/>
        <w:keepLines w:val="0"/>
        <w:spacing w:before="600" w:after="120"/>
        <w:ind w:left="0" w:firstLine="0"/>
        <w:outlineLvl w:val="0"/>
        <w:rPr>
          <w:rFonts w:ascii="Arial" w:hAnsi="Arial" w:cs="Arial"/>
          <w:b/>
          <w:smallCaps/>
          <w:color w:val="auto"/>
          <w:lang w:val="es-MX"/>
        </w:rPr>
      </w:pPr>
    </w:p>
    <w:p w14:paraId="56140D00" w14:textId="77777777" w:rsidR="009D0C99" w:rsidRDefault="009D0C99" w:rsidP="009D0C99">
      <w:pPr>
        <w:pStyle w:val="n01"/>
        <w:keepLines w:val="0"/>
        <w:spacing w:before="0"/>
        <w:ind w:left="0" w:firstLine="0"/>
        <w:outlineLvl w:val="0"/>
        <w:rPr>
          <w:rFonts w:ascii="Arial" w:hAnsi="Arial" w:cs="Arial"/>
          <w:b/>
          <w:smallCaps/>
          <w:color w:val="auto"/>
          <w:lang w:val="es-MX"/>
        </w:rPr>
      </w:pPr>
      <w:r>
        <w:rPr>
          <w:rFonts w:ascii="Arial" w:hAnsi="Arial" w:cs="Arial"/>
          <w:b/>
          <w:smallCaps/>
          <w:color w:val="auto"/>
          <w:lang w:val="es-MX"/>
        </w:rPr>
        <w:t>Ahorro</w:t>
      </w:r>
    </w:p>
    <w:p w14:paraId="5A43ADF6" w14:textId="7199272C" w:rsidR="009D0C99" w:rsidRDefault="009D0C99" w:rsidP="00994BB9">
      <w:pPr>
        <w:spacing w:before="240"/>
        <w:jc w:val="both"/>
        <w:rPr>
          <w:rFonts w:ascii="Arial" w:hAnsi="Arial" w:cs="Arial"/>
        </w:rPr>
      </w:pPr>
      <w:r w:rsidRPr="00966BF8">
        <w:rPr>
          <w:rFonts w:ascii="Arial" w:hAnsi="Arial" w:cs="Arial"/>
        </w:rPr>
        <w:t>El ahorro interno bruto, que se refiere a la parte del ingreso disponible que no se gasta en bienes y servicios de consumo final, representó 2</w:t>
      </w:r>
      <w:r w:rsidR="00AA1552" w:rsidRPr="00966BF8">
        <w:rPr>
          <w:rFonts w:ascii="Arial" w:hAnsi="Arial" w:cs="Arial"/>
        </w:rPr>
        <w:t>4.7</w:t>
      </w:r>
      <w:r w:rsidRPr="00966BF8">
        <w:rPr>
          <w:rFonts w:ascii="Arial" w:hAnsi="Arial" w:cs="Arial"/>
        </w:rPr>
        <w:t xml:space="preserve">% del PIB de </w:t>
      </w:r>
      <w:r w:rsidR="00AB5F83" w:rsidRPr="00966BF8">
        <w:rPr>
          <w:rFonts w:ascii="Arial" w:hAnsi="Arial" w:cs="Arial"/>
        </w:rPr>
        <w:t>20</w:t>
      </w:r>
      <w:r w:rsidR="00903752" w:rsidRPr="00966BF8">
        <w:rPr>
          <w:rFonts w:ascii="Arial" w:hAnsi="Arial" w:cs="Arial"/>
        </w:rPr>
        <w:t>20</w:t>
      </w:r>
      <w:r w:rsidRPr="00966BF8">
        <w:rPr>
          <w:rFonts w:ascii="Arial" w:hAnsi="Arial" w:cs="Arial"/>
        </w:rPr>
        <w:t xml:space="preserve">, y el ahorro externo participó con </w:t>
      </w:r>
      <w:r w:rsidR="00E432AF" w:rsidRPr="00966BF8">
        <w:rPr>
          <w:rFonts w:ascii="Arial" w:hAnsi="Arial" w:cs="Arial"/>
        </w:rPr>
        <w:t>(-)</w:t>
      </w:r>
      <w:r w:rsidR="00903752" w:rsidRPr="00966BF8">
        <w:rPr>
          <w:rFonts w:ascii="Arial" w:hAnsi="Arial" w:cs="Arial"/>
        </w:rPr>
        <w:t>2.4</w:t>
      </w:r>
      <w:r w:rsidRPr="00966BF8">
        <w:rPr>
          <w:rFonts w:ascii="Arial" w:hAnsi="Arial" w:cs="Arial"/>
        </w:rPr>
        <w:t xml:space="preserve"> por ciento. Ambos rubros constituyen el ahorro total. De esta manera, la formación bruta de capital (que se integra con la formación bruta de capital fijo más la variación de existencias), que significó 2</w:t>
      </w:r>
      <w:r w:rsidR="00AA1552" w:rsidRPr="00966BF8">
        <w:rPr>
          <w:rFonts w:ascii="Arial" w:hAnsi="Arial" w:cs="Arial"/>
        </w:rPr>
        <w:t>2.3</w:t>
      </w:r>
      <w:r w:rsidRPr="00966BF8">
        <w:rPr>
          <w:rFonts w:ascii="Arial" w:hAnsi="Arial" w:cs="Arial"/>
        </w:rPr>
        <w:t>% del PIB en el año en cuestión fue financiada por el ahorro total.</w:t>
      </w:r>
    </w:p>
    <w:p w14:paraId="1BCE5537" w14:textId="57AD0418" w:rsidR="00936545" w:rsidRPr="009F0ED9" w:rsidRDefault="00936545" w:rsidP="00936545">
      <w:pPr>
        <w:spacing w:before="240"/>
        <w:jc w:val="center"/>
        <w:rPr>
          <w:rFonts w:ascii="Arial" w:hAnsi="Arial" w:cs="Arial"/>
          <w:b/>
          <w:smallCaps/>
          <w:sz w:val="22"/>
          <w:szCs w:val="22"/>
        </w:rPr>
      </w:pPr>
      <w:r w:rsidRPr="009F0ED9">
        <w:rPr>
          <w:rFonts w:ascii="Arial" w:hAnsi="Arial" w:cs="Arial"/>
        </w:rPr>
        <w:t xml:space="preserve">Gráfica </w:t>
      </w:r>
      <w:r>
        <w:rPr>
          <w:rFonts w:ascii="Arial" w:hAnsi="Arial" w:cs="Arial"/>
        </w:rPr>
        <w:t>3</w:t>
      </w:r>
    </w:p>
    <w:p w14:paraId="235877A2" w14:textId="7B8CB0C2" w:rsidR="00936545" w:rsidRPr="00047B93" w:rsidRDefault="00936545" w:rsidP="00936545">
      <w:pPr>
        <w:jc w:val="center"/>
        <w:rPr>
          <w:rFonts w:ascii="Arial" w:hAnsi="Arial" w:cs="Arial"/>
          <w:b/>
          <w:smallCaps/>
          <w:sz w:val="22"/>
          <w:szCs w:val="22"/>
        </w:rPr>
      </w:pPr>
      <w:r w:rsidRPr="00047B93">
        <w:rPr>
          <w:rFonts w:ascii="Arial" w:hAnsi="Arial" w:cs="Arial"/>
          <w:b/>
          <w:smallCaps/>
          <w:sz w:val="22"/>
          <w:szCs w:val="22"/>
        </w:rPr>
        <w:t>Financiamiento de la Formación Bruta Total por el Ahorro,</w:t>
      </w:r>
      <w:r w:rsidRPr="00047B93">
        <w:rPr>
          <w:rFonts w:ascii="Arial" w:hAnsi="Arial" w:cs="Arial"/>
          <w:b/>
          <w:smallCaps/>
          <w:sz w:val="20"/>
        </w:rPr>
        <w:t xml:space="preserve"> </w:t>
      </w:r>
      <w:r w:rsidRPr="00047B93">
        <w:rPr>
          <w:rFonts w:ascii="Arial" w:hAnsi="Arial" w:cs="Arial"/>
          <w:b/>
          <w:smallCaps/>
          <w:sz w:val="22"/>
          <w:szCs w:val="22"/>
        </w:rPr>
        <w:t>2</w:t>
      </w:r>
      <w:r w:rsidR="0088456D" w:rsidRPr="00047B93">
        <w:rPr>
          <w:rFonts w:ascii="Arial" w:hAnsi="Arial" w:cs="Arial"/>
          <w:b/>
          <w:smallCaps/>
          <w:sz w:val="22"/>
          <w:szCs w:val="22"/>
        </w:rPr>
        <w:t>008-2</w:t>
      </w:r>
      <w:r w:rsidRPr="00047B93">
        <w:rPr>
          <w:rFonts w:ascii="Arial" w:hAnsi="Arial" w:cs="Arial"/>
          <w:b/>
          <w:smallCaps/>
          <w:sz w:val="22"/>
          <w:szCs w:val="22"/>
        </w:rPr>
        <w:t>0</w:t>
      </w:r>
      <w:r w:rsidR="00047B93">
        <w:rPr>
          <w:rFonts w:ascii="Arial" w:hAnsi="Arial" w:cs="Arial"/>
          <w:b/>
          <w:smallCaps/>
          <w:sz w:val="22"/>
          <w:szCs w:val="22"/>
        </w:rPr>
        <w:t>20</w:t>
      </w:r>
    </w:p>
    <w:p w14:paraId="5C538DF8" w14:textId="6690539D" w:rsidR="00936545" w:rsidRPr="00047B93" w:rsidRDefault="00936545" w:rsidP="009A09CB">
      <w:pPr>
        <w:pStyle w:val="Textoindependiente"/>
        <w:ind w:left="-142"/>
        <w:jc w:val="center"/>
        <w:rPr>
          <w:sz w:val="8"/>
          <w:szCs w:val="18"/>
        </w:rPr>
      </w:pPr>
      <w:r w:rsidRPr="00047B93">
        <w:rPr>
          <w:rFonts w:ascii="Arial" w:hAnsi="Arial" w:cs="Arial"/>
          <w:sz w:val="18"/>
          <w:szCs w:val="18"/>
        </w:rPr>
        <w:t>(</w:t>
      </w:r>
      <w:r w:rsidRPr="00047B93">
        <w:rPr>
          <w:rFonts w:ascii="Arial" w:hAnsi="Arial" w:cs="Arial"/>
          <w:sz w:val="18"/>
          <w:szCs w:val="18"/>
          <w:lang w:val="es-MX"/>
        </w:rPr>
        <w:t>Participación</w:t>
      </w:r>
      <w:r w:rsidRPr="00047B93">
        <w:rPr>
          <w:rFonts w:ascii="Arial" w:hAnsi="Arial" w:cs="Arial"/>
          <w:sz w:val="18"/>
          <w:szCs w:val="18"/>
        </w:rPr>
        <w:t xml:space="preserve"> porcentual</w:t>
      </w:r>
      <w:r w:rsidRPr="00047B93">
        <w:rPr>
          <w:rFonts w:ascii="Arial" w:hAnsi="Arial" w:cs="Arial"/>
          <w:sz w:val="18"/>
          <w:szCs w:val="18"/>
          <w:lang w:val="es-MX"/>
        </w:rPr>
        <w:t xml:space="preserve"> sobre el PIB total</w:t>
      </w:r>
      <w:r w:rsidRPr="00047B93">
        <w:rPr>
          <w:rFonts w:ascii="Arial" w:hAnsi="Arial" w:cs="Arial"/>
          <w:sz w:val="18"/>
          <w:szCs w:val="18"/>
        </w:rPr>
        <w:t>)</w:t>
      </w:r>
    </w:p>
    <w:p w14:paraId="3E2A657F" w14:textId="78FFC7EA" w:rsidR="00936545" w:rsidRPr="00903752" w:rsidRDefault="008725A2" w:rsidP="009A09CB">
      <w:pPr>
        <w:pStyle w:val="Textoindependiente"/>
        <w:tabs>
          <w:tab w:val="left" w:pos="1005"/>
        </w:tabs>
        <w:jc w:val="center"/>
        <w:rPr>
          <w:rFonts w:ascii="Arial" w:hAnsi="Arial" w:cs="Arial"/>
          <w:sz w:val="16"/>
          <w:szCs w:val="16"/>
          <w:highlight w:val="yellow"/>
        </w:rPr>
      </w:pPr>
      <w:r>
        <w:rPr>
          <w:rFonts w:ascii="Arial" w:hAnsi="Arial" w:cs="Arial"/>
          <w:noProof/>
          <w:sz w:val="16"/>
          <w:szCs w:val="16"/>
          <w:highlight w:val="yellow"/>
        </w:rPr>
        <w:drawing>
          <wp:inline distT="0" distB="0" distL="0" distR="0" wp14:anchorId="5D5A1D49" wp14:editId="71C04ABA">
            <wp:extent cx="5614670" cy="2444750"/>
            <wp:effectExtent l="0" t="0" r="508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4670" cy="2444750"/>
                    </a:xfrm>
                    <a:prstGeom prst="rect">
                      <a:avLst/>
                    </a:prstGeom>
                    <a:noFill/>
                  </pic:spPr>
                </pic:pic>
              </a:graphicData>
            </a:graphic>
          </wp:inline>
        </w:drawing>
      </w:r>
    </w:p>
    <w:p w14:paraId="18D0BCD6" w14:textId="77777777" w:rsidR="00B6193A" w:rsidRPr="00903752" w:rsidRDefault="00B6193A" w:rsidP="009A09CB">
      <w:pPr>
        <w:pStyle w:val="Textoindependiente"/>
        <w:tabs>
          <w:tab w:val="left" w:pos="1005"/>
        </w:tabs>
        <w:jc w:val="center"/>
        <w:rPr>
          <w:rFonts w:ascii="Arial" w:hAnsi="Arial" w:cs="Arial"/>
          <w:sz w:val="16"/>
          <w:szCs w:val="16"/>
          <w:highlight w:val="yellow"/>
        </w:rPr>
      </w:pPr>
    </w:p>
    <w:p w14:paraId="19BCED97" w14:textId="37FB4FF5" w:rsidR="00FD4AFE" w:rsidRPr="00691419" w:rsidRDefault="00FD4AFE" w:rsidP="00936545">
      <w:pPr>
        <w:pStyle w:val="Textoindependiente"/>
        <w:tabs>
          <w:tab w:val="left" w:pos="1005"/>
        </w:tabs>
        <w:jc w:val="left"/>
        <w:rPr>
          <w:rFonts w:ascii="Arial" w:hAnsi="Arial" w:cs="Arial"/>
          <w:sz w:val="16"/>
          <w:szCs w:val="16"/>
        </w:rPr>
      </w:pPr>
      <w:r w:rsidRPr="00691419">
        <w:rPr>
          <w:rFonts w:ascii="Arial" w:hAnsi="Arial" w:cs="Arial"/>
          <w:sz w:val="16"/>
          <w:szCs w:val="16"/>
          <w:lang w:val="es-MX"/>
        </w:rPr>
        <w:t xml:space="preserve"> </w:t>
      </w:r>
      <w:r w:rsidRPr="00691419">
        <w:rPr>
          <w:rFonts w:ascii="Arial" w:hAnsi="Arial" w:cs="Arial"/>
          <w:sz w:val="16"/>
          <w:szCs w:val="16"/>
        </w:rPr>
        <w:t>NOTA: La suma de los parciales puede no coincidir con el total debido al redondeo.</w:t>
      </w:r>
    </w:p>
    <w:p w14:paraId="19DB74A8" w14:textId="3F3742CB" w:rsidR="00936545" w:rsidRPr="002D61DC" w:rsidRDefault="00FD4AFE" w:rsidP="00936545">
      <w:pPr>
        <w:pStyle w:val="Textoindependiente"/>
        <w:tabs>
          <w:tab w:val="left" w:pos="1005"/>
        </w:tabs>
        <w:jc w:val="left"/>
        <w:rPr>
          <w:rFonts w:ascii="Arial" w:hAnsi="Arial" w:cs="Arial"/>
          <w:sz w:val="16"/>
          <w:szCs w:val="16"/>
        </w:rPr>
      </w:pPr>
      <w:r w:rsidRPr="00691419">
        <w:rPr>
          <w:rFonts w:ascii="Arial" w:hAnsi="Arial" w:cs="Arial"/>
          <w:sz w:val="16"/>
          <w:szCs w:val="16"/>
          <w:lang w:val="es-MX"/>
        </w:rPr>
        <w:t xml:space="preserve"> </w:t>
      </w:r>
      <w:r w:rsidR="00936545" w:rsidRPr="00691419">
        <w:rPr>
          <w:rFonts w:ascii="Arial" w:hAnsi="Arial" w:cs="Arial"/>
          <w:sz w:val="16"/>
          <w:szCs w:val="16"/>
        </w:rPr>
        <w:t>Fuente: INEGI.</w:t>
      </w:r>
    </w:p>
    <w:p w14:paraId="49464F1A" w14:textId="77777777" w:rsidR="009D0C99" w:rsidRPr="00BA3ACE" w:rsidRDefault="009D0C99" w:rsidP="00994BB9">
      <w:pPr>
        <w:pStyle w:val="n01"/>
        <w:keepLines w:val="0"/>
        <w:spacing w:before="360"/>
        <w:ind w:left="0" w:firstLine="0"/>
        <w:outlineLvl w:val="0"/>
        <w:rPr>
          <w:rFonts w:ascii="Arial" w:hAnsi="Arial" w:cs="Arial"/>
          <w:b/>
          <w:smallCaps/>
          <w:color w:val="auto"/>
          <w:lang w:val="es-MX"/>
        </w:rPr>
      </w:pPr>
      <w:r w:rsidRPr="00BA3ACE">
        <w:rPr>
          <w:rFonts w:ascii="Arial" w:hAnsi="Arial" w:cs="Arial"/>
          <w:b/>
          <w:smallCaps/>
          <w:color w:val="auto"/>
          <w:lang w:val="es-MX"/>
        </w:rPr>
        <w:t>Puestos de trabajo ocupados remunerados</w:t>
      </w:r>
    </w:p>
    <w:p w14:paraId="6CF5F9E1" w14:textId="1DD8DE0F" w:rsidR="0085042C" w:rsidRDefault="009D0C99" w:rsidP="00994BB9">
      <w:pPr>
        <w:spacing w:before="240"/>
        <w:jc w:val="both"/>
        <w:rPr>
          <w:rFonts w:ascii="Arial" w:hAnsi="Arial" w:cs="Arial"/>
        </w:rPr>
      </w:pPr>
      <w:r w:rsidRPr="00BA3ACE">
        <w:rPr>
          <w:rFonts w:ascii="Arial" w:hAnsi="Arial" w:cs="Arial"/>
        </w:rPr>
        <w:t xml:space="preserve">Durante </w:t>
      </w:r>
      <w:r w:rsidR="00AB5F83" w:rsidRPr="00BA3ACE">
        <w:rPr>
          <w:rFonts w:ascii="Arial" w:hAnsi="Arial" w:cs="Arial"/>
        </w:rPr>
        <w:t>20</w:t>
      </w:r>
      <w:r w:rsidR="00903752">
        <w:rPr>
          <w:rFonts w:ascii="Arial" w:hAnsi="Arial" w:cs="Arial"/>
        </w:rPr>
        <w:t>20</w:t>
      </w:r>
      <w:r w:rsidRPr="00BA3ACE">
        <w:rPr>
          <w:rFonts w:ascii="Arial" w:hAnsi="Arial" w:cs="Arial"/>
        </w:rPr>
        <w:t xml:space="preserve">, el número de ocupaciones remuneradas dependientes de la razón social alcanzó una cifra de </w:t>
      </w:r>
      <w:r w:rsidR="007122BD" w:rsidRPr="00BA3ACE">
        <w:rPr>
          <w:rFonts w:ascii="Arial" w:hAnsi="Arial" w:cs="Arial"/>
        </w:rPr>
        <w:t>3</w:t>
      </w:r>
      <w:r w:rsidR="00903752">
        <w:rPr>
          <w:rFonts w:ascii="Arial" w:hAnsi="Arial" w:cs="Arial"/>
        </w:rPr>
        <w:t>7</w:t>
      </w:r>
      <w:r w:rsidR="009C7F29">
        <w:rPr>
          <w:rFonts w:ascii="Arial" w:hAnsi="Arial" w:cs="Arial"/>
        </w:rPr>
        <w:t xml:space="preserve"> </w:t>
      </w:r>
      <w:r w:rsidR="00903752">
        <w:rPr>
          <w:rFonts w:ascii="Arial" w:hAnsi="Arial" w:cs="Arial"/>
        </w:rPr>
        <w:t>496</w:t>
      </w:r>
      <w:r w:rsidR="009C7F29">
        <w:rPr>
          <w:rFonts w:ascii="Arial" w:hAnsi="Arial" w:cs="Arial"/>
        </w:rPr>
        <w:t xml:space="preserve"> </w:t>
      </w:r>
      <w:r w:rsidR="00903752">
        <w:rPr>
          <w:rFonts w:ascii="Arial" w:hAnsi="Arial" w:cs="Arial"/>
        </w:rPr>
        <w:t>488</w:t>
      </w:r>
      <w:r w:rsidRPr="00BA3ACE">
        <w:rPr>
          <w:rFonts w:ascii="Arial" w:hAnsi="Arial" w:cs="Arial"/>
        </w:rPr>
        <w:t xml:space="preserve"> puestos de trabajo, </w:t>
      </w:r>
      <w:r w:rsidR="00CB2951">
        <w:rPr>
          <w:rFonts w:ascii="Arial" w:hAnsi="Arial" w:cs="Arial"/>
        </w:rPr>
        <w:t xml:space="preserve">misma </w:t>
      </w:r>
      <w:r w:rsidRPr="00BA3ACE">
        <w:rPr>
          <w:rFonts w:ascii="Arial" w:hAnsi="Arial" w:cs="Arial"/>
        </w:rPr>
        <w:t>que representó un</w:t>
      </w:r>
      <w:r w:rsidR="00903752">
        <w:rPr>
          <w:rFonts w:ascii="Arial" w:hAnsi="Arial" w:cs="Arial"/>
        </w:rPr>
        <w:t>a</w:t>
      </w:r>
      <w:r w:rsidRPr="00BA3ACE">
        <w:rPr>
          <w:rFonts w:ascii="Arial" w:hAnsi="Arial" w:cs="Arial"/>
        </w:rPr>
        <w:t xml:space="preserve"> </w:t>
      </w:r>
      <w:r w:rsidR="00903752">
        <w:rPr>
          <w:rFonts w:ascii="Arial" w:hAnsi="Arial" w:cs="Arial"/>
        </w:rPr>
        <w:t>caída</w:t>
      </w:r>
      <w:r w:rsidRPr="00BA3ACE">
        <w:rPr>
          <w:rFonts w:ascii="Arial" w:hAnsi="Arial" w:cs="Arial"/>
        </w:rPr>
        <w:t xml:space="preserve"> de </w:t>
      </w:r>
      <w:r w:rsidR="00903752">
        <w:rPr>
          <w:rFonts w:ascii="Arial" w:hAnsi="Arial" w:cs="Arial"/>
        </w:rPr>
        <w:t>4.9</w:t>
      </w:r>
      <w:r w:rsidRPr="00BA3ACE">
        <w:rPr>
          <w:rFonts w:ascii="Arial" w:hAnsi="Arial" w:cs="Arial"/>
        </w:rPr>
        <w:t xml:space="preserve">% en comparación con </w:t>
      </w:r>
      <w:r w:rsidR="00AB5F83" w:rsidRPr="00BA3ACE">
        <w:rPr>
          <w:rFonts w:ascii="Arial" w:hAnsi="Arial" w:cs="Arial"/>
        </w:rPr>
        <w:t>201</w:t>
      </w:r>
      <w:r w:rsidR="00903752">
        <w:rPr>
          <w:rFonts w:ascii="Arial" w:hAnsi="Arial" w:cs="Arial"/>
        </w:rPr>
        <w:t>9</w:t>
      </w:r>
      <w:r w:rsidRPr="00BA3ACE">
        <w:rPr>
          <w:rFonts w:ascii="Arial" w:hAnsi="Arial" w:cs="Arial"/>
        </w:rPr>
        <w:t>. Los sectores con la mayor participación en la ocupación fueron: las industrias manufactureras 1</w:t>
      </w:r>
      <w:r w:rsidR="002D61DC" w:rsidRPr="00BA3ACE">
        <w:rPr>
          <w:rFonts w:ascii="Arial" w:hAnsi="Arial" w:cs="Arial"/>
        </w:rPr>
        <w:t>6.</w:t>
      </w:r>
      <w:r w:rsidR="00903752">
        <w:rPr>
          <w:rFonts w:ascii="Arial" w:hAnsi="Arial" w:cs="Arial"/>
        </w:rPr>
        <w:t>7</w:t>
      </w:r>
      <w:r w:rsidRPr="00BA3ACE">
        <w:rPr>
          <w:rFonts w:ascii="Arial" w:hAnsi="Arial" w:cs="Arial"/>
        </w:rPr>
        <w:t>%;</w:t>
      </w:r>
      <w:r w:rsidR="00903752">
        <w:rPr>
          <w:rFonts w:ascii="Arial" w:hAnsi="Arial" w:cs="Arial"/>
        </w:rPr>
        <w:t xml:space="preserve"> </w:t>
      </w:r>
      <w:r w:rsidR="00903752" w:rsidRPr="00BA3ACE">
        <w:rPr>
          <w:rFonts w:ascii="Arial" w:hAnsi="Arial" w:cs="Arial"/>
        </w:rPr>
        <w:t>comercio (al por mayor y al por menor) 1</w:t>
      </w:r>
      <w:r w:rsidR="00903752">
        <w:rPr>
          <w:rFonts w:ascii="Arial" w:hAnsi="Arial" w:cs="Arial"/>
        </w:rPr>
        <w:t>2</w:t>
      </w:r>
      <w:r w:rsidR="00903752" w:rsidRPr="00BA3ACE">
        <w:rPr>
          <w:rFonts w:ascii="Arial" w:hAnsi="Arial" w:cs="Arial"/>
        </w:rPr>
        <w:t>.</w:t>
      </w:r>
      <w:r w:rsidR="00903752">
        <w:rPr>
          <w:rFonts w:ascii="Arial" w:hAnsi="Arial" w:cs="Arial"/>
        </w:rPr>
        <w:t>2</w:t>
      </w:r>
      <w:r w:rsidR="00903752" w:rsidRPr="00BA3ACE">
        <w:rPr>
          <w:rFonts w:ascii="Arial" w:hAnsi="Arial" w:cs="Arial"/>
        </w:rPr>
        <w:t>%;</w:t>
      </w:r>
      <w:r w:rsidR="00903752">
        <w:rPr>
          <w:rFonts w:ascii="Arial" w:hAnsi="Arial" w:cs="Arial"/>
        </w:rPr>
        <w:t xml:space="preserve"> </w:t>
      </w:r>
      <w:r w:rsidRPr="00BA3ACE">
        <w:rPr>
          <w:rFonts w:ascii="Arial" w:hAnsi="Arial" w:cs="Arial"/>
        </w:rPr>
        <w:t>los servicios de apoyo a los negocios y manejo de desechos y servicios de remediación 12.</w:t>
      </w:r>
      <w:r w:rsidR="00903752">
        <w:rPr>
          <w:rFonts w:ascii="Arial" w:hAnsi="Arial" w:cs="Arial"/>
        </w:rPr>
        <w:t>2</w:t>
      </w:r>
      <w:r w:rsidRPr="00BA3ACE">
        <w:rPr>
          <w:rFonts w:ascii="Arial" w:hAnsi="Arial" w:cs="Arial"/>
        </w:rPr>
        <w:t>%;</w:t>
      </w:r>
      <w:r w:rsidR="00D43B51" w:rsidRPr="00BA3ACE">
        <w:rPr>
          <w:rFonts w:ascii="Arial" w:hAnsi="Arial" w:cs="Arial"/>
        </w:rPr>
        <w:t xml:space="preserve"> </w:t>
      </w:r>
      <w:r w:rsidR="007C53D8" w:rsidRPr="00BA3ACE">
        <w:rPr>
          <w:rFonts w:ascii="Arial" w:hAnsi="Arial" w:cs="Arial"/>
        </w:rPr>
        <w:t>construcción 1</w:t>
      </w:r>
      <w:r w:rsidR="007C53D8">
        <w:rPr>
          <w:rFonts w:ascii="Arial" w:hAnsi="Arial" w:cs="Arial"/>
        </w:rPr>
        <w:t>0</w:t>
      </w:r>
      <w:r w:rsidR="007C53D8" w:rsidRPr="00BA3ACE">
        <w:rPr>
          <w:rFonts w:ascii="Arial" w:hAnsi="Arial" w:cs="Arial"/>
        </w:rPr>
        <w:t xml:space="preserve">.3%; </w:t>
      </w:r>
      <w:r w:rsidRPr="00BA3ACE">
        <w:rPr>
          <w:rFonts w:ascii="Arial" w:hAnsi="Arial" w:cs="Arial"/>
        </w:rPr>
        <w:t>otros servicios excepto actividades gubernamentales 8.</w:t>
      </w:r>
      <w:r w:rsidR="00903752">
        <w:rPr>
          <w:rFonts w:ascii="Arial" w:hAnsi="Arial" w:cs="Arial"/>
        </w:rPr>
        <w:t>7</w:t>
      </w:r>
      <w:r w:rsidRPr="00BA3ACE">
        <w:rPr>
          <w:rFonts w:ascii="Arial" w:hAnsi="Arial" w:cs="Arial"/>
        </w:rPr>
        <w:t>%; agricultura, cría y explotación de animales, aprovechamiento forestal, pesca y caza 7.</w:t>
      </w:r>
      <w:r w:rsidR="00903752">
        <w:rPr>
          <w:rFonts w:ascii="Arial" w:hAnsi="Arial" w:cs="Arial"/>
        </w:rPr>
        <w:t>7</w:t>
      </w:r>
      <w:r w:rsidRPr="00BA3ACE">
        <w:rPr>
          <w:rFonts w:ascii="Arial" w:hAnsi="Arial" w:cs="Arial"/>
        </w:rPr>
        <w:t>%</w:t>
      </w:r>
      <w:r w:rsidR="009C7F29">
        <w:rPr>
          <w:rFonts w:ascii="Arial" w:hAnsi="Arial" w:cs="Arial"/>
        </w:rPr>
        <w:t>,</w:t>
      </w:r>
      <w:r w:rsidRPr="00BA3ACE">
        <w:rPr>
          <w:rFonts w:ascii="Arial" w:hAnsi="Arial" w:cs="Arial"/>
        </w:rPr>
        <w:t xml:space="preserve"> y las actividades legislativas, gubernamentales, de impartición de justicia y de organismos internacionales y extraterritoriales con 7.</w:t>
      </w:r>
      <w:r w:rsidR="00903752">
        <w:rPr>
          <w:rFonts w:ascii="Arial" w:hAnsi="Arial" w:cs="Arial"/>
        </w:rPr>
        <w:t>6</w:t>
      </w:r>
      <w:r w:rsidRPr="00BA3ACE">
        <w:rPr>
          <w:rFonts w:ascii="Arial" w:hAnsi="Arial" w:cs="Arial"/>
        </w:rPr>
        <w:t xml:space="preserve"> por ciento. </w:t>
      </w:r>
    </w:p>
    <w:p w14:paraId="29557B47" w14:textId="3100C9EC" w:rsidR="009D0C99" w:rsidRPr="00BA3ACE" w:rsidRDefault="009D0C99" w:rsidP="00994BB9">
      <w:pPr>
        <w:spacing w:before="240"/>
        <w:jc w:val="both"/>
        <w:rPr>
          <w:rFonts w:ascii="Arial" w:hAnsi="Arial" w:cs="Arial"/>
        </w:rPr>
      </w:pPr>
      <w:r w:rsidRPr="00BA3ACE">
        <w:rPr>
          <w:rFonts w:ascii="Arial" w:hAnsi="Arial" w:cs="Arial"/>
        </w:rPr>
        <w:lastRenderedPageBreak/>
        <w:t>Este grupo de sectores aportó 7</w:t>
      </w:r>
      <w:r w:rsidR="00B16B4A" w:rsidRPr="00BA3ACE">
        <w:rPr>
          <w:rFonts w:ascii="Arial" w:hAnsi="Arial" w:cs="Arial"/>
        </w:rPr>
        <w:t>5.</w:t>
      </w:r>
      <w:r w:rsidR="00503EDE">
        <w:rPr>
          <w:rFonts w:ascii="Arial" w:hAnsi="Arial" w:cs="Arial"/>
        </w:rPr>
        <w:t>4</w:t>
      </w:r>
      <w:r w:rsidRPr="00BA3ACE">
        <w:rPr>
          <w:rFonts w:ascii="Arial" w:hAnsi="Arial" w:cs="Arial"/>
        </w:rPr>
        <w:t>%</w:t>
      </w:r>
      <w:r w:rsidR="00B16B4A" w:rsidRPr="00BA3ACE">
        <w:rPr>
          <w:rStyle w:val="Refdenotaalpie"/>
          <w:rFonts w:ascii="Arial" w:hAnsi="Arial" w:cs="Arial"/>
        </w:rPr>
        <w:footnoteReference w:id="12"/>
      </w:r>
      <w:r w:rsidRPr="00BA3ACE">
        <w:rPr>
          <w:rFonts w:ascii="Arial" w:hAnsi="Arial" w:cs="Arial"/>
        </w:rPr>
        <w:t xml:space="preserve"> total de puestos de trabajo en el año de referencia (véase gráfica siguiente).</w:t>
      </w:r>
    </w:p>
    <w:p w14:paraId="0DC967FB" w14:textId="32583BBB" w:rsidR="009D0C99" w:rsidRPr="00016008" w:rsidRDefault="009D0C99" w:rsidP="009D0C99">
      <w:pPr>
        <w:pStyle w:val="Textoindependiente"/>
        <w:jc w:val="center"/>
        <w:rPr>
          <w:rFonts w:ascii="Arial" w:hAnsi="Arial" w:cs="Arial"/>
          <w:lang w:val="es-MX"/>
        </w:rPr>
      </w:pPr>
      <w:r w:rsidRPr="00016008">
        <w:rPr>
          <w:rFonts w:ascii="Arial" w:hAnsi="Arial" w:cs="Arial"/>
          <w:lang w:val="es-MX"/>
        </w:rPr>
        <w:t xml:space="preserve">Gráfica </w:t>
      </w:r>
      <w:r w:rsidR="00FD4AFE">
        <w:rPr>
          <w:rFonts w:ascii="Arial" w:hAnsi="Arial" w:cs="Arial"/>
          <w:lang w:val="es-MX"/>
        </w:rPr>
        <w:t>4</w:t>
      </w:r>
    </w:p>
    <w:p w14:paraId="02A6BC7D" w14:textId="77777777" w:rsidR="009D0C99" w:rsidRPr="002F55A5" w:rsidRDefault="009D0C99" w:rsidP="009D0C99">
      <w:pPr>
        <w:pStyle w:val="Textoindependiente"/>
        <w:jc w:val="center"/>
        <w:rPr>
          <w:rFonts w:ascii="Arial" w:hAnsi="Arial" w:cs="Arial"/>
          <w:b/>
          <w:smallCaps/>
          <w:sz w:val="22"/>
          <w:szCs w:val="22"/>
        </w:rPr>
      </w:pPr>
      <w:r w:rsidRPr="002F55A5">
        <w:rPr>
          <w:rFonts w:ascii="Arial" w:hAnsi="Arial" w:cs="Arial"/>
          <w:b/>
          <w:smallCaps/>
          <w:sz w:val="22"/>
          <w:szCs w:val="22"/>
        </w:rPr>
        <w:t>Puestos de trabajo ocupados remunerados, dependientes</w:t>
      </w:r>
    </w:p>
    <w:p w14:paraId="5199B2A5" w14:textId="534C2E96" w:rsidR="009D0C99" w:rsidRPr="00EE638B" w:rsidRDefault="009D0C99" w:rsidP="009D0C99">
      <w:pPr>
        <w:pStyle w:val="Textoindependiente"/>
        <w:jc w:val="center"/>
        <w:rPr>
          <w:rFonts w:ascii="Arial" w:hAnsi="Arial" w:cs="Arial"/>
          <w:b/>
          <w:smallCaps/>
          <w:sz w:val="22"/>
          <w:szCs w:val="22"/>
          <w:lang w:val="es-MX"/>
        </w:rPr>
      </w:pPr>
      <w:r>
        <w:rPr>
          <w:rFonts w:ascii="Arial" w:hAnsi="Arial" w:cs="Arial"/>
          <w:b/>
          <w:smallCaps/>
          <w:sz w:val="22"/>
          <w:szCs w:val="22"/>
        </w:rPr>
        <w:t xml:space="preserve">de la razón social </w:t>
      </w:r>
      <w:r w:rsidRPr="00306AE8">
        <w:rPr>
          <w:rFonts w:ascii="Arial" w:hAnsi="Arial" w:cs="Arial"/>
          <w:b/>
          <w:smallCaps/>
          <w:sz w:val="22"/>
          <w:szCs w:val="22"/>
        </w:rPr>
        <w:t xml:space="preserve">durante </w:t>
      </w:r>
      <w:r w:rsidR="00AB5F83" w:rsidRPr="00306AE8">
        <w:rPr>
          <w:rFonts w:ascii="Arial" w:hAnsi="Arial" w:cs="Arial"/>
          <w:b/>
          <w:smallCaps/>
          <w:sz w:val="22"/>
          <w:szCs w:val="22"/>
        </w:rPr>
        <w:t>20</w:t>
      </w:r>
      <w:r w:rsidR="00EE638B">
        <w:rPr>
          <w:rFonts w:ascii="Arial" w:hAnsi="Arial" w:cs="Arial"/>
          <w:b/>
          <w:smallCaps/>
          <w:sz w:val="22"/>
          <w:szCs w:val="22"/>
          <w:lang w:val="es-MX"/>
        </w:rPr>
        <w:t>20</w:t>
      </w:r>
    </w:p>
    <w:p w14:paraId="1067365E" w14:textId="77777777" w:rsidR="009D0C99" w:rsidRDefault="009D0C99" w:rsidP="009D0C99">
      <w:pPr>
        <w:pStyle w:val="Textoindependiente"/>
        <w:tabs>
          <w:tab w:val="center" w:pos="3348"/>
        </w:tabs>
        <w:jc w:val="center"/>
        <w:rPr>
          <w:rFonts w:ascii="Arial" w:hAnsi="Arial" w:cs="Arial"/>
          <w:sz w:val="18"/>
          <w:szCs w:val="18"/>
        </w:rPr>
      </w:pPr>
      <w:r w:rsidRPr="002F55A5">
        <w:rPr>
          <w:rFonts w:ascii="Arial" w:hAnsi="Arial" w:cs="Arial"/>
          <w:sz w:val="18"/>
          <w:szCs w:val="18"/>
        </w:rPr>
        <w:t>(Estructura porcentual)</w:t>
      </w:r>
    </w:p>
    <w:p w14:paraId="629D7722" w14:textId="77777777" w:rsidR="009D0C99" w:rsidRPr="00016008" w:rsidRDefault="009D0C99" w:rsidP="009D0C99">
      <w:pPr>
        <w:pStyle w:val="Textoindependiente"/>
        <w:tabs>
          <w:tab w:val="center" w:pos="3348"/>
        </w:tabs>
        <w:spacing w:after="60"/>
        <w:jc w:val="center"/>
        <w:rPr>
          <w:rFonts w:ascii="Arial" w:hAnsi="Arial" w:cs="Arial"/>
          <w:sz w:val="2"/>
          <w:szCs w:val="18"/>
        </w:rPr>
      </w:pPr>
    </w:p>
    <w:p w14:paraId="1CCEE1FF" w14:textId="068E4361" w:rsidR="00306AE8" w:rsidRDefault="00600486" w:rsidP="009A09CB">
      <w:pPr>
        <w:pStyle w:val="Textoindependiente"/>
        <w:tabs>
          <w:tab w:val="center" w:pos="3348"/>
        </w:tabs>
        <w:jc w:val="center"/>
        <w:rPr>
          <w:rFonts w:ascii="Arial" w:hAnsi="Arial" w:cs="Arial"/>
          <w:sz w:val="16"/>
          <w:szCs w:val="16"/>
        </w:rPr>
      </w:pPr>
      <w:r>
        <w:rPr>
          <w:rFonts w:ascii="Arial" w:hAnsi="Arial" w:cs="Arial"/>
          <w:noProof/>
          <w:sz w:val="16"/>
          <w:szCs w:val="16"/>
        </w:rPr>
        <w:drawing>
          <wp:inline distT="0" distB="0" distL="0" distR="0" wp14:anchorId="2516B670" wp14:editId="0B53425F">
            <wp:extent cx="5572599" cy="398929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3940" cy="4004571"/>
                    </a:xfrm>
                    <a:prstGeom prst="rect">
                      <a:avLst/>
                    </a:prstGeom>
                    <a:noFill/>
                  </pic:spPr>
                </pic:pic>
              </a:graphicData>
            </a:graphic>
          </wp:inline>
        </w:drawing>
      </w:r>
    </w:p>
    <w:p w14:paraId="476CF776" w14:textId="3A5E4E7F" w:rsidR="00306AE8" w:rsidRDefault="00306AE8" w:rsidP="00306AE8">
      <w:pPr>
        <w:pStyle w:val="Textoindependiente"/>
        <w:tabs>
          <w:tab w:val="center" w:pos="3348"/>
        </w:tabs>
        <w:jc w:val="left"/>
        <w:rPr>
          <w:rFonts w:ascii="Arial" w:hAnsi="Arial" w:cs="Arial"/>
          <w:sz w:val="16"/>
          <w:szCs w:val="16"/>
        </w:rPr>
      </w:pPr>
      <w:r w:rsidRPr="00AD37A9">
        <w:rPr>
          <w:rFonts w:ascii="Arial" w:hAnsi="Arial" w:cs="Arial"/>
          <w:sz w:val="16"/>
          <w:szCs w:val="16"/>
        </w:rPr>
        <w:t>NOTA: La suma de los parciales puede no coincidir con el total debido al redondeo.</w:t>
      </w:r>
    </w:p>
    <w:p w14:paraId="143BA8DE" w14:textId="47C0B859" w:rsidR="009D0C99" w:rsidRDefault="009D0C99" w:rsidP="00306AE8">
      <w:pPr>
        <w:pStyle w:val="Textoindependiente"/>
        <w:tabs>
          <w:tab w:val="center" w:pos="3348"/>
        </w:tabs>
        <w:jc w:val="left"/>
        <w:rPr>
          <w:rFonts w:ascii="Arial" w:hAnsi="Arial" w:cs="Arial"/>
          <w:sz w:val="18"/>
          <w:szCs w:val="18"/>
        </w:rPr>
      </w:pPr>
      <w:r w:rsidRPr="00657BC9">
        <w:rPr>
          <w:rFonts w:ascii="Arial" w:hAnsi="Arial" w:cs="Arial"/>
          <w:sz w:val="16"/>
          <w:szCs w:val="16"/>
        </w:rPr>
        <w:t>Fuente: INEGI.</w:t>
      </w:r>
    </w:p>
    <w:p w14:paraId="4FCA1BB2" w14:textId="77777777" w:rsidR="009D0C99" w:rsidRPr="009E1EE6" w:rsidRDefault="009D0C99" w:rsidP="009D0C99">
      <w:pPr>
        <w:pStyle w:val="Textoindependiente"/>
        <w:tabs>
          <w:tab w:val="center" w:pos="3348"/>
        </w:tabs>
        <w:ind w:left="851"/>
        <w:jc w:val="left"/>
        <w:rPr>
          <w:rFonts w:ascii="Arial" w:hAnsi="Arial" w:cs="Arial"/>
          <w:sz w:val="18"/>
          <w:szCs w:val="18"/>
          <w:highlight w:val="lightGray"/>
        </w:rPr>
      </w:pPr>
    </w:p>
    <w:p w14:paraId="725AE899" w14:textId="2C8D81C9" w:rsidR="00735658" w:rsidRDefault="009D0C99" w:rsidP="00480DD5">
      <w:pPr>
        <w:spacing w:before="480"/>
        <w:jc w:val="both"/>
        <w:rPr>
          <w:rFonts w:ascii="Arial" w:hAnsi="Arial" w:cs="Arial"/>
        </w:rPr>
      </w:pPr>
      <w:r w:rsidRPr="00E23273">
        <w:rPr>
          <w:rFonts w:ascii="Arial" w:hAnsi="Arial" w:cs="Arial"/>
        </w:rPr>
        <w:t xml:space="preserve">En </w:t>
      </w:r>
      <w:r w:rsidR="00AB5F83">
        <w:rPr>
          <w:rFonts w:ascii="Arial" w:hAnsi="Arial" w:cs="Arial"/>
        </w:rPr>
        <w:t>20</w:t>
      </w:r>
      <w:r w:rsidR="00EE638B">
        <w:rPr>
          <w:rFonts w:ascii="Arial" w:hAnsi="Arial" w:cs="Arial"/>
        </w:rPr>
        <w:t>20</w:t>
      </w:r>
      <w:r w:rsidRPr="00E23273">
        <w:rPr>
          <w:rFonts w:ascii="Arial" w:hAnsi="Arial" w:cs="Arial"/>
        </w:rPr>
        <w:t xml:space="preserve">, las remuneraciones promedio en la economía alcanzaron </w:t>
      </w:r>
      <w:r w:rsidR="00EE638B">
        <w:rPr>
          <w:rFonts w:ascii="Arial" w:hAnsi="Arial" w:cs="Arial"/>
          <w:lang w:eastAsia="x-none"/>
        </w:rPr>
        <w:t>176</w:t>
      </w:r>
      <w:r w:rsidR="009C7F29">
        <w:rPr>
          <w:rFonts w:ascii="Arial" w:hAnsi="Arial" w:cs="Arial"/>
          <w:lang w:eastAsia="x-none"/>
        </w:rPr>
        <w:t xml:space="preserve"> </w:t>
      </w:r>
      <w:r w:rsidR="00EE638B">
        <w:rPr>
          <w:rFonts w:ascii="Arial" w:hAnsi="Arial" w:cs="Arial"/>
          <w:lang w:eastAsia="x-none"/>
        </w:rPr>
        <w:t>952</w:t>
      </w:r>
      <w:r w:rsidRPr="00E23273">
        <w:rPr>
          <w:rFonts w:ascii="Arial" w:hAnsi="Arial" w:cs="Arial"/>
          <w:lang w:eastAsia="x-none"/>
        </w:rPr>
        <w:t xml:space="preserve"> </w:t>
      </w:r>
      <w:r w:rsidRPr="00E23273">
        <w:rPr>
          <w:rFonts w:ascii="Arial" w:hAnsi="Arial" w:cs="Arial"/>
        </w:rPr>
        <w:t>pesos corrientes por puesto durante el año, lo que equivale a 1</w:t>
      </w:r>
      <w:r w:rsidR="00EE638B">
        <w:rPr>
          <w:rFonts w:ascii="Arial" w:hAnsi="Arial" w:cs="Arial"/>
        </w:rPr>
        <w:t>4</w:t>
      </w:r>
      <w:r w:rsidR="009C7F29">
        <w:rPr>
          <w:rFonts w:ascii="Arial" w:hAnsi="Arial" w:cs="Arial"/>
        </w:rPr>
        <w:t xml:space="preserve"> </w:t>
      </w:r>
      <w:r w:rsidR="00EE638B">
        <w:rPr>
          <w:rFonts w:ascii="Arial" w:hAnsi="Arial" w:cs="Arial"/>
        </w:rPr>
        <w:t>746</w:t>
      </w:r>
      <w:r w:rsidR="00306AE8">
        <w:rPr>
          <w:rFonts w:ascii="Arial" w:hAnsi="Arial" w:cs="Arial"/>
        </w:rPr>
        <w:t xml:space="preserve"> </w:t>
      </w:r>
      <w:r w:rsidRPr="00E23273">
        <w:rPr>
          <w:rFonts w:ascii="Arial" w:hAnsi="Arial" w:cs="Arial"/>
        </w:rPr>
        <w:t xml:space="preserve">pesos mensuales. Los sectores que destacaron por registrar las remuneraciones medias anuales más altas en el año en referencia fueron: los corporativos con </w:t>
      </w:r>
      <w:r w:rsidR="00EE638B">
        <w:rPr>
          <w:rFonts w:ascii="Arial" w:hAnsi="Arial" w:cs="Arial"/>
        </w:rPr>
        <w:t>9</w:t>
      </w:r>
      <w:r w:rsidR="00306AE8">
        <w:rPr>
          <w:rFonts w:ascii="Arial" w:hAnsi="Arial" w:cs="Arial"/>
        </w:rPr>
        <w:t>10</w:t>
      </w:r>
      <w:r w:rsidR="009C7F29">
        <w:rPr>
          <w:rFonts w:ascii="Arial" w:hAnsi="Arial" w:cs="Arial"/>
        </w:rPr>
        <w:t xml:space="preserve"> </w:t>
      </w:r>
      <w:r w:rsidR="00EE638B">
        <w:rPr>
          <w:rFonts w:ascii="Arial" w:hAnsi="Arial" w:cs="Arial"/>
        </w:rPr>
        <w:t>434</w:t>
      </w:r>
      <w:r w:rsidRPr="00E23273">
        <w:rPr>
          <w:rFonts w:ascii="Arial" w:hAnsi="Arial" w:cs="Arial"/>
        </w:rPr>
        <w:t xml:space="preserve"> pesos por puesto; los servicios financieros y de seguros con </w:t>
      </w:r>
      <w:r w:rsidR="00EE638B">
        <w:rPr>
          <w:rFonts w:ascii="Arial" w:hAnsi="Arial" w:cs="Arial"/>
        </w:rPr>
        <w:t>492</w:t>
      </w:r>
      <w:r w:rsidR="009C7F29">
        <w:rPr>
          <w:rFonts w:ascii="Arial" w:hAnsi="Arial" w:cs="Arial"/>
        </w:rPr>
        <w:t xml:space="preserve"> </w:t>
      </w:r>
      <w:r w:rsidR="00EE638B">
        <w:rPr>
          <w:rFonts w:ascii="Arial" w:hAnsi="Arial" w:cs="Arial"/>
        </w:rPr>
        <w:t>798</w:t>
      </w:r>
      <w:r w:rsidR="00306AE8">
        <w:rPr>
          <w:rFonts w:ascii="Arial" w:hAnsi="Arial" w:cs="Arial"/>
        </w:rPr>
        <w:t xml:space="preserve"> </w:t>
      </w:r>
      <w:r w:rsidRPr="00E23273">
        <w:rPr>
          <w:rFonts w:ascii="Arial" w:hAnsi="Arial" w:cs="Arial"/>
        </w:rPr>
        <w:t xml:space="preserve">pesos; </w:t>
      </w:r>
      <w:r w:rsidR="00AA653F" w:rsidRPr="00E23273">
        <w:rPr>
          <w:rFonts w:ascii="Arial" w:hAnsi="Arial" w:cs="Arial"/>
        </w:rPr>
        <w:t xml:space="preserve">servicios de salud y asistencia social </w:t>
      </w:r>
      <w:r w:rsidR="00AA653F">
        <w:rPr>
          <w:rFonts w:ascii="Arial" w:hAnsi="Arial" w:cs="Arial"/>
        </w:rPr>
        <w:t>402</w:t>
      </w:r>
      <w:r w:rsidR="009C7F29">
        <w:rPr>
          <w:rFonts w:ascii="Arial" w:hAnsi="Arial" w:cs="Arial"/>
        </w:rPr>
        <w:t xml:space="preserve"> </w:t>
      </w:r>
      <w:r w:rsidR="00AA653F">
        <w:rPr>
          <w:rFonts w:ascii="Arial" w:hAnsi="Arial" w:cs="Arial"/>
        </w:rPr>
        <w:t>994</w:t>
      </w:r>
      <w:r w:rsidR="00AA653F" w:rsidRPr="00E23273">
        <w:rPr>
          <w:rFonts w:ascii="Arial" w:hAnsi="Arial" w:cs="Arial"/>
        </w:rPr>
        <w:t xml:space="preserve">; la generación, transmisión y distribución de energía eléctrica, suministro de agua y de gas por ductos al consumidor final </w:t>
      </w:r>
      <w:r w:rsidR="00AA653F">
        <w:rPr>
          <w:rFonts w:ascii="Arial" w:hAnsi="Arial" w:cs="Arial"/>
        </w:rPr>
        <w:t>398</w:t>
      </w:r>
      <w:r w:rsidR="009C7F29">
        <w:rPr>
          <w:rFonts w:ascii="Arial" w:hAnsi="Arial" w:cs="Arial"/>
        </w:rPr>
        <w:t xml:space="preserve"> </w:t>
      </w:r>
      <w:r w:rsidR="00AA653F">
        <w:rPr>
          <w:rFonts w:ascii="Arial" w:hAnsi="Arial" w:cs="Arial"/>
        </w:rPr>
        <w:t>739</w:t>
      </w:r>
      <w:r w:rsidR="00AA653F" w:rsidRPr="00E23273">
        <w:rPr>
          <w:rFonts w:ascii="Arial" w:hAnsi="Arial" w:cs="Arial"/>
        </w:rPr>
        <w:t>;</w:t>
      </w:r>
      <w:r w:rsidR="00AA653F">
        <w:rPr>
          <w:rFonts w:ascii="Arial" w:hAnsi="Arial" w:cs="Arial"/>
        </w:rPr>
        <w:t xml:space="preserve"> </w:t>
      </w:r>
      <w:r w:rsidRPr="00E23273">
        <w:rPr>
          <w:rFonts w:ascii="Arial" w:hAnsi="Arial" w:cs="Arial"/>
        </w:rPr>
        <w:t xml:space="preserve">información en medios masivos </w:t>
      </w:r>
      <w:r w:rsidR="00AA653F">
        <w:rPr>
          <w:rFonts w:ascii="Arial" w:hAnsi="Arial" w:cs="Arial"/>
        </w:rPr>
        <w:t>369</w:t>
      </w:r>
      <w:r w:rsidR="009C7F29">
        <w:rPr>
          <w:rFonts w:ascii="Arial" w:hAnsi="Arial" w:cs="Arial"/>
        </w:rPr>
        <w:t xml:space="preserve"> </w:t>
      </w:r>
      <w:r w:rsidR="00AA653F">
        <w:rPr>
          <w:rFonts w:ascii="Arial" w:hAnsi="Arial" w:cs="Arial"/>
        </w:rPr>
        <w:t>196</w:t>
      </w:r>
      <w:r w:rsidR="00291CE7">
        <w:rPr>
          <w:rFonts w:ascii="Arial" w:hAnsi="Arial" w:cs="Arial"/>
        </w:rPr>
        <w:t xml:space="preserve"> </w:t>
      </w:r>
      <w:r w:rsidR="00291CE7" w:rsidRPr="00452246">
        <w:rPr>
          <w:rFonts w:ascii="Arial" w:hAnsi="Arial" w:cs="Arial"/>
        </w:rPr>
        <w:t>y</w:t>
      </w:r>
      <w:r w:rsidRPr="00452246">
        <w:rPr>
          <w:rFonts w:ascii="Arial" w:hAnsi="Arial" w:cs="Arial"/>
        </w:rPr>
        <w:t xml:space="preserve"> los servicios educativos con </w:t>
      </w:r>
      <w:r w:rsidR="00452246" w:rsidRPr="00452246">
        <w:rPr>
          <w:rFonts w:ascii="Arial" w:hAnsi="Arial" w:cs="Arial"/>
        </w:rPr>
        <w:t>344</w:t>
      </w:r>
      <w:r w:rsidR="009C7F29">
        <w:rPr>
          <w:rFonts w:ascii="Arial" w:hAnsi="Arial" w:cs="Arial"/>
        </w:rPr>
        <w:t xml:space="preserve"> </w:t>
      </w:r>
      <w:r w:rsidR="00452246" w:rsidRPr="00452246">
        <w:rPr>
          <w:rFonts w:ascii="Arial" w:hAnsi="Arial" w:cs="Arial"/>
        </w:rPr>
        <w:t>937</w:t>
      </w:r>
      <w:r w:rsidR="00AA653F">
        <w:rPr>
          <w:rFonts w:ascii="Arial" w:hAnsi="Arial" w:cs="Arial"/>
          <w:highlight w:val="yellow"/>
        </w:rPr>
        <w:t xml:space="preserve"> </w:t>
      </w:r>
      <w:r w:rsidRPr="00E23273">
        <w:rPr>
          <w:rFonts w:ascii="Arial" w:hAnsi="Arial" w:cs="Arial"/>
        </w:rPr>
        <w:t>pesos por puesto.</w:t>
      </w:r>
    </w:p>
    <w:p w14:paraId="5A9E7DC3" w14:textId="6145A12B" w:rsidR="009D0C99" w:rsidRDefault="009D0C99" w:rsidP="00735658">
      <w:pPr>
        <w:pStyle w:val="Textoindependiente"/>
        <w:spacing w:before="360"/>
        <w:rPr>
          <w:rFonts w:ascii="Arial" w:hAnsi="Arial" w:cs="Arial"/>
        </w:rPr>
      </w:pPr>
      <w:r w:rsidRPr="00CD40A4">
        <w:rPr>
          <w:rFonts w:ascii="Arial" w:hAnsi="Arial" w:cs="Arial"/>
        </w:rPr>
        <w:lastRenderedPageBreak/>
        <w:t xml:space="preserve">Por su parte, las menores remuneraciones medias anuales por </w:t>
      </w:r>
      <w:r w:rsidRPr="00CD40A4">
        <w:rPr>
          <w:rFonts w:ascii="Arial" w:hAnsi="Arial" w:cs="Arial"/>
          <w:lang w:val="es-MX"/>
        </w:rPr>
        <w:t xml:space="preserve">persona </w:t>
      </w:r>
      <w:r w:rsidRPr="00CD40A4">
        <w:rPr>
          <w:rFonts w:ascii="Arial" w:hAnsi="Arial" w:cs="Arial"/>
        </w:rPr>
        <w:t xml:space="preserve">se registraron en los sectores de agricultura, cría y explotación de animales, aprovechamiento forestal, pesca y caza con </w:t>
      </w:r>
      <w:r w:rsidR="00A00AB6">
        <w:rPr>
          <w:rFonts w:ascii="Arial" w:hAnsi="Arial" w:cs="Arial"/>
          <w:lang w:val="es-MX"/>
        </w:rPr>
        <w:t>63</w:t>
      </w:r>
      <w:r w:rsidR="009C7F29">
        <w:rPr>
          <w:rFonts w:ascii="Arial" w:hAnsi="Arial" w:cs="Arial"/>
          <w:lang w:val="es-MX"/>
        </w:rPr>
        <w:t xml:space="preserve"> </w:t>
      </w:r>
      <w:r w:rsidR="00A00AB6">
        <w:rPr>
          <w:rFonts w:ascii="Arial" w:hAnsi="Arial" w:cs="Arial"/>
          <w:lang w:val="es-MX"/>
        </w:rPr>
        <w:t>069</w:t>
      </w:r>
      <w:r w:rsidRPr="00CD40A4">
        <w:rPr>
          <w:rFonts w:ascii="Arial" w:hAnsi="Arial" w:cs="Arial"/>
          <w:lang w:val="es-MX"/>
        </w:rPr>
        <w:t xml:space="preserve"> </w:t>
      </w:r>
      <w:r w:rsidRPr="00CD40A4">
        <w:rPr>
          <w:rFonts w:ascii="Arial" w:hAnsi="Arial" w:cs="Arial"/>
        </w:rPr>
        <w:t xml:space="preserve">pesos; otros servicios excepto actividades gubernamentales </w:t>
      </w:r>
      <w:r w:rsidR="00A00AB6">
        <w:rPr>
          <w:rFonts w:ascii="Arial" w:hAnsi="Arial" w:cs="Arial"/>
          <w:lang w:val="es-MX"/>
        </w:rPr>
        <w:t>57</w:t>
      </w:r>
      <w:r w:rsidR="009C7F29">
        <w:rPr>
          <w:rFonts w:ascii="Arial" w:hAnsi="Arial" w:cs="Arial"/>
          <w:lang w:val="es-MX"/>
        </w:rPr>
        <w:t xml:space="preserve"> </w:t>
      </w:r>
      <w:r w:rsidR="00A00AB6">
        <w:rPr>
          <w:rFonts w:ascii="Arial" w:hAnsi="Arial" w:cs="Arial"/>
          <w:lang w:val="es-MX"/>
        </w:rPr>
        <w:t>314</w:t>
      </w:r>
      <w:r w:rsidRPr="00CD40A4">
        <w:rPr>
          <w:rFonts w:ascii="Arial" w:hAnsi="Arial" w:cs="Arial"/>
        </w:rPr>
        <w:t>;</w:t>
      </w:r>
      <w:r w:rsidR="00BE70F2">
        <w:rPr>
          <w:rFonts w:ascii="Arial" w:hAnsi="Arial" w:cs="Arial"/>
          <w:lang w:val="es-MX"/>
        </w:rPr>
        <w:t xml:space="preserve"> el comercio al por mayor 8</w:t>
      </w:r>
      <w:r w:rsidR="00A00AB6">
        <w:rPr>
          <w:rFonts w:ascii="Arial" w:hAnsi="Arial" w:cs="Arial"/>
          <w:lang w:val="es-MX"/>
        </w:rPr>
        <w:t>3</w:t>
      </w:r>
      <w:r w:rsidR="009C7F29">
        <w:rPr>
          <w:rFonts w:ascii="Arial" w:hAnsi="Arial" w:cs="Arial"/>
          <w:lang w:val="es-MX"/>
        </w:rPr>
        <w:t xml:space="preserve"> </w:t>
      </w:r>
      <w:r w:rsidR="00A00AB6">
        <w:rPr>
          <w:rFonts w:ascii="Arial" w:hAnsi="Arial" w:cs="Arial"/>
          <w:lang w:val="es-MX"/>
        </w:rPr>
        <w:t>954</w:t>
      </w:r>
      <w:r w:rsidR="00BE70F2">
        <w:rPr>
          <w:rFonts w:ascii="Arial" w:hAnsi="Arial" w:cs="Arial"/>
          <w:lang w:val="es-MX"/>
        </w:rPr>
        <w:t>;</w:t>
      </w:r>
      <w:r w:rsidRPr="00CD40A4">
        <w:rPr>
          <w:rFonts w:ascii="Arial" w:hAnsi="Arial" w:cs="Arial"/>
        </w:rPr>
        <w:t xml:space="preserve"> </w:t>
      </w:r>
      <w:r w:rsidRPr="00CD40A4">
        <w:rPr>
          <w:rFonts w:ascii="Arial" w:hAnsi="Arial" w:cs="Arial"/>
          <w:lang w:val="es-MX"/>
        </w:rPr>
        <w:t xml:space="preserve">los </w:t>
      </w:r>
      <w:r w:rsidRPr="00CD40A4">
        <w:rPr>
          <w:rFonts w:ascii="Arial" w:hAnsi="Arial" w:cs="Arial"/>
        </w:rPr>
        <w:t xml:space="preserve">servicios de alojamiento temporal y de preparación de alimentos y </w:t>
      </w:r>
      <w:r w:rsidRPr="00081AD6">
        <w:rPr>
          <w:rFonts w:ascii="Arial" w:hAnsi="Arial" w:cs="Arial"/>
        </w:rPr>
        <w:t>bebidas</w:t>
      </w:r>
      <w:r w:rsidRPr="00081AD6">
        <w:rPr>
          <w:rFonts w:ascii="Arial" w:hAnsi="Arial" w:cs="Arial"/>
          <w:lang w:val="es-MX"/>
        </w:rPr>
        <w:t xml:space="preserve"> </w:t>
      </w:r>
      <w:r w:rsidR="00066944" w:rsidRPr="00081AD6">
        <w:rPr>
          <w:rFonts w:ascii="Arial" w:hAnsi="Arial" w:cs="Arial"/>
          <w:lang w:val="es-MX"/>
        </w:rPr>
        <w:t>8</w:t>
      </w:r>
      <w:r w:rsidR="00A00AB6" w:rsidRPr="00081AD6">
        <w:rPr>
          <w:rFonts w:ascii="Arial" w:hAnsi="Arial" w:cs="Arial"/>
          <w:lang w:val="es-MX"/>
        </w:rPr>
        <w:t>9</w:t>
      </w:r>
      <w:r w:rsidR="009C7F29">
        <w:rPr>
          <w:rFonts w:ascii="Arial" w:hAnsi="Arial" w:cs="Arial"/>
          <w:lang w:val="es-MX"/>
        </w:rPr>
        <w:t xml:space="preserve"> </w:t>
      </w:r>
      <w:r w:rsidR="00A00AB6" w:rsidRPr="00081AD6">
        <w:rPr>
          <w:rFonts w:ascii="Arial" w:hAnsi="Arial" w:cs="Arial"/>
          <w:lang w:val="es-MX"/>
        </w:rPr>
        <w:t>3</w:t>
      </w:r>
      <w:r w:rsidR="00456800" w:rsidRPr="00081AD6">
        <w:rPr>
          <w:rFonts w:ascii="Arial" w:hAnsi="Arial" w:cs="Arial"/>
          <w:lang w:val="es-MX"/>
        </w:rPr>
        <w:t>50</w:t>
      </w:r>
      <w:r w:rsidRPr="00081AD6">
        <w:rPr>
          <w:rFonts w:ascii="Arial" w:hAnsi="Arial" w:cs="Arial"/>
          <w:lang w:val="es-MX"/>
        </w:rPr>
        <w:t>;</w:t>
      </w:r>
      <w:r w:rsidRPr="00CD40A4">
        <w:rPr>
          <w:rFonts w:ascii="Arial" w:hAnsi="Arial" w:cs="Arial"/>
          <w:lang w:val="es-MX"/>
        </w:rPr>
        <w:t xml:space="preserve"> </w:t>
      </w:r>
      <w:r w:rsidRPr="00081AD6">
        <w:rPr>
          <w:rFonts w:ascii="Arial" w:hAnsi="Arial" w:cs="Arial"/>
        </w:rPr>
        <w:t>y l</w:t>
      </w:r>
      <w:r w:rsidRPr="00081AD6">
        <w:rPr>
          <w:rFonts w:ascii="Arial" w:hAnsi="Arial" w:cs="Arial"/>
          <w:lang w:val="es-MX"/>
        </w:rPr>
        <w:t xml:space="preserve">os servicios inmobiliarios y de alquiler de bienes muebles e intangibles con </w:t>
      </w:r>
      <w:r w:rsidR="00081AD6" w:rsidRPr="00081AD6">
        <w:rPr>
          <w:rFonts w:ascii="Arial" w:hAnsi="Arial" w:cs="Arial"/>
          <w:lang w:val="es-MX"/>
        </w:rPr>
        <w:t>108</w:t>
      </w:r>
      <w:r w:rsidR="009C7F29">
        <w:rPr>
          <w:rFonts w:ascii="Arial" w:hAnsi="Arial" w:cs="Arial"/>
          <w:lang w:val="es-MX"/>
        </w:rPr>
        <w:t xml:space="preserve"> </w:t>
      </w:r>
      <w:r w:rsidR="00081AD6" w:rsidRPr="00081AD6">
        <w:rPr>
          <w:rFonts w:ascii="Arial" w:hAnsi="Arial" w:cs="Arial"/>
          <w:lang w:val="es-MX"/>
        </w:rPr>
        <w:t>335</w:t>
      </w:r>
      <w:r w:rsidR="00081AD6">
        <w:rPr>
          <w:rFonts w:ascii="Arial" w:hAnsi="Arial" w:cs="Arial"/>
          <w:lang w:val="es-MX"/>
        </w:rPr>
        <w:t xml:space="preserve"> </w:t>
      </w:r>
      <w:r w:rsidRPr="00CD40A4">
        <w:rPr>
          <w:rFonts w:ascii="Arial" w:hAnsi="Arial" w:cs="Arial"/>
        </w:rPr>
        <w:t>pesos por p</w:t>
      </w:r>
      <w:r w:rsidRPr="00CD40A4">
        <w:rPr>
          <w:rFonts w:ascii="Arial" w:hAnsi="Arial" w:cs="Arial"/>
          <w:lang w:val="es-MX"/>
        </w:rPr>
        <w:t xml:space="preserve">uesto de trabajo </w:t>
      </w:r>
      <w:r w:rsidRPr="00CD40A4">
        <w:rPr>
          <w:rFonts w:ascii="Arial" w:hAnsi="Arial" w:cs="Arial"/>
        </w:rPr>
        <w:t>(v</w:t>
      </w:r>
      <w:r w:rsidRPr="00CD40A4">
        <w:rPr>
          <w:rFonts w:ascii="Arial" w:hAnsi="Arial" w:cs="Arial"/>
          <w:lang w:val="es-MX"/>
        </w:rPr>
        <w:t>éase</w:t>
      </w:r>
      <w:r w:rsidRPr="00CD40A4">
        <w:rPr>
          <w:rFonts w:ascii="Arial" w:hAnsi="Arial" w:cs="Arial"/>
        </w:rPr>
        <w:t xml:space="preserve"> cuadro siguiente).</w:t>
      </w:r>
    </w:p>
    <w:p w14:paraId="0D4B86D9" w14:textId="77777777" w:rsidR="009D0C99" w:rsidRDefault="009D0C99" w:rsidP="00735658">
      <w:pPr>
        <w:pStyle w:val="Textoindependiente"/>
        <w:spacing w:before="240"/>
        <w:jc w:val="center"/>
        <w:rPr>
          <w:rFonts w:ascii="Arial" w:hAnsi="Arial" w:cs="Arial"/>
          <w:lang w:val="es-MX"/>
        </w:rPr>
      </w:pPr>
      <w:r>
        <w:rPr>
          <w:rFonts w:ascii="Arial" w:hAnsi="Arial" w:cs="Arial"/>
          <w:lang w:val="es-MX"/>
        </w:rPr>
        <w:t>Cuadro 4</w:t>
      </w:r>
    </w:p>
    <w:p w14:paraId="2580E09D" w14:textId="77777777" w:rsidR="009D0C99" w:rsidRDefault="009D0C99" w:rsidP="009D0C99">
      <w:pPr>
        <w:pStyle w:val="Textoindependiente"/>
        <w:keepNext/>
        <w:jc w:val="center"/>
        <w:rPr>
          <w:rFonts w:ascii="Arial" w:hAnsi="Arial" w:cs="Arial"/>
          <w:b/>
          <w:smallCaps/>
          <w:sz w:val="22"/>
          <w:szCs w:val="22"/>
          <w:lang w:val="es-ES_tradnl"/>
        </w:rPr>
      </w:pPr>
      <w:r>
        <w:rPr>
          <w:rFonts w:ascii="Arial" w:hAnsi="Arial" w:cs="Arial"/>
          <w:b/>
          <w:smallCaps/>
          <w:sz w:val="22"/>
          <w:szCs w:val="22"/>
          <w:lang w:val="es-ES_tradnl"/>
        </w:rPr>
        <w:t xml:space="preserve">Remuneraciones Medias de los Puestos de Trabajo Ocupados dependientes </w:t>
      </w:r>
    </w:p>
    <w:p w14:paraId="5C35C033" w14:textId="33CF6E11" w:rsidR="009D0C99" w:rsidRDefault="009D0C99" w:rsidP="009D0C99">
      <w:pPr>
        <w:pStyle w:val="Textoindependiente"/>
        <w:keepNext/>
        <w:jc w:val="center"/>
        <w:rPr>
          <w:rFonts w:ascii="Arial" w:hAnsi="Arial" w:cs="Arial"/>
          <w:sz w:val="18"/>
          <w:szCs w:val="18"/>
        </w:rPr>
      </w:pPr>
      <w:r>
        <w:rPr>
          <w:rFonts w:ascii="Arial" w:hAnsi="Arial" w:cs="Arial"/>
          <w:b/>
          <w:smallCaps/>
          <w:sz w:val="22"/>
          <w:szCs w:val="22"/>
          <w:lang w:val="es-ES_tradnl"/>
        </w:rPr>
        <w:t>de la razón social duran</w:t>
      </w:r>
      <w:r w:rsidRPr="00BA3ACE">
        <w:rPr>
          <w:rFonts w:ascii="Arial" w:hAnsi="Arial" w:cs="Arial"/>
          <w:b/>
          <w:smallCaps/>
          <w:sz w:val="22"/>
          <w:szCs w:val="22"/>
          <w:lang w:val="es-ES_tradnl"/>
        </w:rPr>
        <w:t xml:space="preserve">te </w:t>
      </w:r>
      <w:r w:rsidR="00AB5F83" w:rsidRPr="00BA3ACE">
        <w:rPr>
          <w:rFonts w:ascii="Arial" w:hAnsi="Arial" w:cs="Arial"/>
          <w:b/>
          <w:smallCaps/>
          <w:sz w:val="22"/>
          <w:szCs w:val="22"/>
          <w:lang w:val="es-ES_tradnl"/>
        </w:rPr>
        <w:t>20</w:t>
      </w:r>
      <w:r w:rsidR="00456800">
        <w:rPr>
          <w:rFonts w:ascii="Arial" w:hAnsi="Arial" w:cs="Arial"/>
          <w:b/>
          <w:smallCaps/>
          <w:sz w:val="22"/>
          <w:szCs w:val="22"/>
          <w:lang w:val="es-ES_tradnl"/>
        </w:rPr>
        <w:t>20</w:t>
      </w:r>
    </w:p>
    <w:p w14:paraId="151B4437" w14:textId="77777777" w:rsidR="009D0C99" w:rsidRDefault="009D0C99" w:rsidP="009D0C99">
      <w:pPr>
        <w:pStyle w:val="Textoindependiente"/>
        <w:keepNext/>
        <w:jc w:val="center"/>
        <w:rPr>
          <w:rFonts w:ascii="Arial" w:hAnsi="Arial" w:cs="Arial"/>
          <w:sz w:val="18"/>
          <w:szCs w:val="18"/>
        </w:rPr>
      </w:pPr>
      <w:r>
        <w:rPr>
          <w:rFonts w:ascii="Arial" w:hAnsi="Arial" w:cs="Arial"/>
          <w:sz w:val="18"/>
          <w:szCs w:val="18"/>
        </w:rPr>
        <w:t>(Pesos corrientes por p</w:t>
      </w:r>
      <w:r>
        <w:rPr>
          <w:rFonts w:ascii="Arial" w:hAnsi="Arial" w:cs="Arial"/>
          <w:sz w:val="18"/>
          <w:szCs w:val="18"/>
          <w:lang w:val="es-MX"/>
        </w:rPr>
        <w:t>uesto</w:t>
      </w:r>
      <w:r>
        <w:rPr>
          <w:rFonts w:ascii="Arial" w:hAnsi="Arial" w:cs="Arial"/>
          <w:sz w:val="18"/>
          <w:szCs w:val="18"/>
        </w:rPr>
        <w:t>)</w:t>
      </w:r>
      <w:r>
        <w:rPr>
          <w:rFonts w:ascii="Arial" w:hAnsi="Arial" w:cs="Arial"/>
          <w:sz w:val="18"/>
          <w:szCs w:val="18"/>
        </w:rPr>
        <w:tab/>
      </w:r>
    </w:p>
    <w:tbl>
      <w:tblPr>
        <w:tblW w:w="8940" w:type="dxa"/>
        <w:tblCellMar>
          <w:left w:w="70" w:type="dxa"/>
          <w:right w:w="70" w:type="dxa"/>
        </w:tblCellMar>
        <w:tblLook w:val="04A0" w:firstRow="1" w:lastRow="0" w:firstColumn="1" w:lastColumn="0" w:noHBand="0" w:noVBand="1"/>
      </w:tblPr>
      <w:tblGrid>
        <w:gridCol w:w="7549"/>
        <w:gridCol w:w="1391"/>
      </w:tblGrid>
      <w:tr w:rsidR="00456800" w:rsidRPr="00511DFE" w14:paraId="0023E953" w14:textId="77777777" w:rsidTr="00E432AF">
        <w:trPr>
          <w:trHeight w:val="495"/>
        </w:trPr>
        <w:tc>
          <w:tcPr>
            <w:tcW w:w="7549"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12EBDC9E" w14:textId="77777777" w:rsidR="00456800" w:rsidRPr="00511DFE" w:rsidRDefault="00456800" w:rsidP="00E432AF">
            <w:pPr>
              <w:jc w:val="center"/>
              <w:rPr>
                <w:rFonts w:ascii="Arial" w:eastAsia="Times New Roman" w:hAnsi="Arial" w:cs="Arial"/>
                <w:b/>
                <w:bCs/>
                <w:color w:val="FFFFFF"/>
                <w:sz w:val="18"/>
                <w:szCs w:val="18"/>
              </w:rPr>
            </w:pPr>
            <w:r w:rsidRPr="00511DFE">
              <w:rPr>
                <w:rFonts w:ascii="Arial" w:eastAsia="Times New Roman" w:hAnsi="Arial" w:cs="Arial"/>
                <w:b/>
                <w:bCs/>
                <w:color w:val="FFFFFF"/>
                <w:sz w:val="18"/>
                <w:szCs w:val="18"/>
              </w:rPr>
              <w:t>Denominación</w:t>
            </w:r>
          </w:p>
        </w:tc>
        <w:tc>
          <w:tcPr>
            <w:tcW w:w="1391" w:type="dxa"/>
            <w:tcBorders>
              <w:top w:val="single" w:sz="8" w:space="0" w:color="auto"/>
              <w:left w:val="nil"/>
              <w:bottom w:val="single" w:sz="8" w:space="0" w:color="auto"/>
              <w:right w:val="single" w:sz="8" w:space="0" w:color="auto"/>
            </w:tcBorders>
            <w:shd w:val="clear" w:color="000000" w:fill="002060"/>
            <w:vAlign w:val="center"/>
            <w:hideMark/>
          </w:tcPr>
          <w:p w14:paraId="7D7B5975" w14:textId="77777777" w:rsidR="00456800" w:rsidRPr="00511DFE" w:rsidRDefault="00456800" w:rsidP="00E432AF">
            <w:pPr>
              <w:jc w:val="center"/>
              <w:rPr>
                <w:rFonts w:ascii="Arial" w:eastAsia="Times New Roman" w:hAnsi="Arial" w:cs="Arial"/>
                <w:b/>
                <w:bCs/>
                <w:color w:val="FFFFFF"/>
                <w:sz w:val="18"/>
                <w:szCs w:val="18"/>
              </w:rPr>
            </w:pPr>
            <w:r w:rsidRPr="00511DFE">
              <w:rPr>
                <w:rFonts w:ascii="Arial" w:eastAsia="Times New Roman" w:hAnsi="Arial" w:cs="Arial"/>
                <w:b/>
                <w:bCs/>
                <w:color w:val="FFFFFF"/>
                <w:sz w:val="18"/>
                <w:szCs w:val="18"/>
              </w:rPr>
              <w:t>Remuneración Media Anual</w:t>
            </w:r>
          </w:p>
        </w:tc>
      </w:tr>
      <w:tr w:rsidR="00456800" w:rsidRPr="00511DFE" w14:paraId="700669BB"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7CBAC687" w14:textId="77777777" w:rsidR="00456800" w:rsidRPr="00511DFE" w:rsidRDefault="00456800" w:rsidP="00E432AF">
            <w:pPr>
              <w:spacing w:before="100" w:beforeAutospacing="1" w:after="100" w:afterAutospacing="1"/>
              <w:ind w:left="284"/>
              <w:rPr>
                <w:rFonts w:ascii="Arial" w:eastAsia="Times New Roman" w:hAnsi="Arial" w:cs="Arial"/>
                <w:b/>
                <w:bCs/>
                <w:color w:val="000000"/>
                <w:sz w:val="18"/>
                <w:szCs w:val="18"/>
              </w:rPr>
            </w:pPr>
            <w:r w:rsidRPr="00511DFE">
              <w:rPr>
                <w:rFonts w:ascii="Arial" w:eastAsia="Times New Roman" w:hAnsi="Arial" w:cs="Arial"/>
                <w:b/>
                <w:bCs/>
                <w:color w:val="000000"/>
                <w:sz w:val="18"/>
                <w:szCs w:val="18"/>
              </w:rPr>
              <w:t xml:space="preserve">Total </w:t>
            </w:r>
          </w:p>
        </w:tc>
        <w:tc>
          <w:tcPr>
            <w:tcW w:w="1391" w:type="dxa"/>
            <w:tcBorders>
              <w:top w:val="nil"/>
              <w:left w:val="nil"/>
              <w:bottom w:val="nil"/>
              <w:right w:val="single" w:sz="8" w:space="0" w:color="auto"/>
            </w:tcBorders>
            <w:shd w:val="clear" w:color="auto" w:fill="auto"/>
            <w:vAlign w:val="center"/>
            <w:hideMark/>
          </w:tcPr>
          <w:p w14:paraId="245F1DC9" w14:textId="34C568CC" w:rsidR="00456800" w:rsidRPr="004D4361" w:rsidRDefault="00456800" w:rsidP="00E432AF">
            <w:pPr>
              <w:jc w:val="right"/>
              <w:rPr>
                <w:rFonts w:ascii="Arial" w:hAnsi="Arial" w:cs="Arial"/>
                <w:b/>
                <w:bCs/>
                <w:color w:val="000000"/>
                <w:sz w:val="18"/>
                <w:szCs w:val="18"/>
              </w:rPr>
            </w:pPr>
            <w:r w:rsidRPr="004D4361">
              <w:rPr>
                <w:rFonts w:ascii="Arial" w:hAnsi="Arial" w:cs="Arial"/>
                <w:b/>
                <w:bCs/>
                <w:color w:val="000000"/>
                <w:sz w:val="18"/>
                <w:szCs w:val="18"/>
              </w:rPr>
              <w:t>176</w:t>
            </w:r>
            <w:r w:rsidR="009C7F29">
              <w:rPr>
                <w:rFonts w:ascii="Arial" w:hAnsi="Arial" w:cs="Arial"/>
                <w:b/>
                <w:bCs/>
                <w:color w:val="000000"/>
                <w:sz w:val="18"/>
                <w:szCs w:val="18"/>
              </w:rPr>
              <w:t xml:space="preserve"> </w:t>
            </w:r>
            <w:r w:rsidRPr="004D4361">
              <w:rPr>
                <w:rFonts w:ascii="Arial" w:hAnsi="Arial" w:cs="Arial"/>
                <w:b/>
                <w:bCs/>
                <w:color w:val="000000"/>
                <w:sz w:val="18"/>
                <w:szCs w:val="18"/>
              </w:rPr>
              <w:t>952</w:t>
            </w:r>
          </w:p>
        </w:tc>
      </w:tr>
      <w:tr w:rsidR="00456800" w:rsidRPr="00511DFE" w14:paraId="4E18C39B"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4113103D" w14:textId="77777777" w:rsidR="00456800" w:rsidRPr="00511DFE" w:rsidRDefault="00456800" w:rsidP="00E432AF">
            <w:pPr>
              <w:spacing w:before="100" w:beforeAutospacing="1" w:after="100" w:afterAutospacing="1"/>
              <w:ind w:left="284"/>
              <w:rPr>
                <w:rFonts w:ascii="Arial" w:eastAsia="Times New Roman" w:hAnsi="Arial" w:cs="Arial"/>
                <w:b/>
                <w:bCs/>
                <w:color w:val="000000"/>
                <w:sz w:val="18"/>
                <w:szCs w:val="18"/>
              </w:rPr>
            </w:pPr>
            <w:r w:rsidRPr="00511DFE">
              <w:rPr>
                <w:rFonts w:ascii="Arial" w:eastAsia="Times New Roman" w:hAnsi="Arial" w:cs="Arial"/>
                <w:b/>
                <w:bCs/>
                <w:color w:val="000000"/>
                <w:sz w:val="18"/>
                <w:szCs w:val="18"/>
              </w:rPr>
              <w:t>Actividades Primarias</w:t>
            </w:r>
          </w:p>
        </w:tc>
        <w:tc>
          <w:tcPr>
            <w:tcW w:w="1391" w:type="dxa"/>
            <w:tcBorders>
              <w:top w:val="nil"/>
              <w:left w:val="nil"/>
              <w:bottom w:val="nil"/>
              <w:right w:val="single" w:sz="8" w:space="0" w:color="auto"/>
            </w:tcBorders>
            <w:shd w:val="clear" w:color="auto" w:fill="auto"/>
            <w:vAlign w:val="center"/>
            <w:hideMark/>
          </w:tcPr>
          <w:p w14:paraId="1362BDD1" w14:textId="31CAB580" w:rsidR="00456800" w:rsidRPr="004D4361" w:rsidRDefault="00456800" w:rsidP="00E432AF">
            <w:pPr>
              <w:jc w:val="right"/>
              <w:rPr>
                <w:rFonts w:ascii="Arial" w:hAnsi="Arial" w:cs="Arial"/>
                <w:b/>
                <w:bCs/>
                <w:color w:val="000000"/>
                <w:sz w:val="18"/>
                <w:szCs w:val="18"/>
              </w:rPr>
            </w:pPr>
            <w:r w:rsidRPr="004D4361">
              <w:rPr>
                <w:rFonts w:ascii="Arial" w:hAnsi="Arial" w:cs="Arial"/>
                <w:b/>
                <w:bCs/>
                <w:color w:val="000000"/>
                <w:sz w:val="18"/>
                <w:szCs w:val="18"/>
              </w:rPr>
              <w:t>63</w:t>
            </w:r>
            <w:r w:rsidR="009C7F29">
              <w:rPr>
                <w:rFonts w:ascii="Arial" w:hAnsi="Arial" w:cs="Arial"/>
                <w:b/>
                <w:bCs/>
                <w:color w:val="000000"/>
                <w:sz w:val="18"/>
                <w:szCs w:val="18"/>
              </w:rPr>
              <w:t xml:space="preserve"> </w:t>
            </w:r>
            <w:r w:rsidRPr="004D4361">
              <w:rPr>
                <w:rFonts w:ascii="Arial" w:hAnsi="Arial" w:cs="Arial"/>
                <w:b/>
                <w:bCs/>
                <w:color w:val="000000"/>
                <w:sz w:val="18"/>
                <w:szCs w:val="18"/>
              </w:rPr>
              <w:t>069</w:t>
            </w:r>
          </w:p>
        </w:tc>
      </w:tr>
      <w:tr w:rsidR="00456800" w:rsidRPr="00511DFE" w14:paraId="5D2AC4FE"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2714F27E"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11 Agricultura, cría y explotación de animales, aprovechamiento forestal, pesca y caza</w:t>
            </w:r>
          </w:p>
        </w:tc>
        <w:tc>
          <w:tcPr>
            <w:tcW w:w="1391" w:type="dxa"/>
            <w:tcBorders>
              <w:top w:val="nil"/>
              <w:left w:val="single" w:sz="8" w:space="0" w:color="auto"/>
              <w:bottom w:val="nil"/>
              <w:right w:val="single" w:sz="8" w:space="0" w:color="auto"/>
            </w:tcBorders>
            <w:shd w:val="clear" w:color="auto" w:fill="auto"/>
            <w:vAlign w:val="center"/>
          </w:tcPr>
          <w:p w14:paraId="69A795CD" w14:textId="00A7AC70"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63</w:t>
            </w:r>
            <w:r w:rsidR="009C7F29">
              <w:rPr>
                <w:rFonts w:ascii="Arial" w:hAnsi="Arial" w:cs="Arial"/>
                <w:color w:val="000000"/>
                <w:sz w:val="18"/>
                <w:szCs w:val="18"/>
              </w:rPr>
              <w:t xml:space="preserve"> </w:t>
            </w:r>
            <w:r w:rsidRPr="004D4361">
              <w:rPr>
                <w:rFonts w:ascii="Arial" w:hAnsi="Arial" w:cs="Arial"/>
                <w:color w:val="000000"/>
                <w:sz w:val="18"/>
                <w:szCs w:val="18"/>
              </w:rPr>
              <w:t>069</w:t>
            </w:r>
          </w:p>
        </w:tc>
      </w:tr>
      <w:tr w:rsidR="00456800" w:rsidRPr="00511DFE" w14:paraId="19632C05"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4CD43737" w14:textId="77777777" w:rsidR="00456800" w:rsidRPr="00511DFE" w:rsidRDefault="00456800" w:rsidP="00E432AF">
            <w:pPr>
              <w:spacing w:before="100" w:beforeAutospacing="1" w:after="100" w:afterAutospacing="1"/>
              <w:ind w:left="284"/>
              <w:rPr>
                <w:rFonts w:ascii="Arial" w:eastAsia="Times New Roman" w:hAnsi="Arial" w:cs="Arial"/>
                <w:b/>
                <w:bCs/>
                <w:color w:val="000000"/>
                <w:sz w:val="18"/>
                <w:szCs w:val="18"/>
              </w:rPr>
            </w:pPr>
            <w:r w:rsidRPr="00511DFE">
              <w:rPr>
                <w:rFonts w:ascii="Arial" w:eastAsia="Times New Roman" w:hAnsi="Arial" w:cs="Arial"/>
                <w:b/>
                <w:bCs/>
                <w:color w:val="000000"/>
                <w:sz w:val="18"/>
                <w:szCs w:val="18"/>
              </w:rPr>
              <w:t>Actividades Secundarias</w:t>
            </w:r>
          </w:p>
        </w:tc>
        <w:tc>
          <w:tcPr>
            <w:tcW w:w="1391" w:type="dxa"/>
            <w:tcBorders>
              <w:top w:val="nil"/>
              <w:left w:val="nil"/>
              <w:bottom w:val="nil"/>
              <w:right w:val="single" w:sz="8" w:space="0" w:color="auto"/>
            </w:tcBorders>
            <w:shd w:val="clear" w:color="auto" w:fill="auto"/>
            <w:vAlign w:val="center"/>
            <w:hideMark/>
          </w:tcPr>
          <w:p w14:paraId="045704E3" w14:textId="7751AF3D" w:rsidR="00456800" w:rsidRPr="004D4361" w:rsidRDefault="00456800" w:rsidP="00E432AF">
            <w:pPr>
              <w:jc w:val="right"/>
              <w:rPr>
                <w:rFonts w:ascii="Arial" w:hAnsi="Arial" w:cs="Arial"/>
                <w:b/>
                <w:bCs/>
                <w:color w:val="000000"/>
                <w:sz w:val="18"/>
                <w:szCs w:val="18"/>
              </w:rPr>
            </w:pPr>
            <w:r w:rsidRPr="004D4361">
              <w:rPr>
                <w:rFonts w:ascii="Arial" w:hAnsi="Arial" w:cs="Arial"/>
                <w:b/>
                <w:bCs/>
                <w:color w:val="000000"/>
                <w:sz w:val="18"/>
                <w:szCs w:val="18"/>
              </w:rPr>
              <w:t>167</w:t>
            </w:r>
            <w:r w:rsidR="009C7F29">
              <w:rPr>
                <w:rFonts w:ascii="Arial" w:hAnsi="Arial" w:cs="Arial"/>
                <w:b/>
                <w:bCs/>
                <w:color w:val="000000"/>
                <w:sz w:val="18"/>
                <w:szCs w:val="18"/>
              </w:rPr>
              <w:t xml:space="preserve"> </w:t>
            </w:r>
            <w:r w:rsidRPr="004D4361">
              <w:rPr>
                <w:rFonts w:ascii="Arial" w:hAnsi="Arial" w:cs="Arial"/>
                <w:b/>
                <w:bCs/>
                <w:color w:val="000000"/>
                <w:sz w:val="18"/>
                <w:szCs w:val="18"/>
              </w:rPr>
              <w:t>000</w:t>
            </w:r>
          </w:p>
        </w:tc>
      </w:tr>
      <w:tr w:rsidR="00456800" w:rsidRPr="00511DFE" w14:paraId="5660AF82"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0C9C6E19"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 xml:space="preserve">21 Minería </w:t>
            </w:r>
          </w:p>
        </w:tc>
        <w:tc>
          <w:tcPr>
            <w:tcW w:w="1391" w:type="dxa"/>
            <w:tcBorders>
              <w:top w:val="nil"/>
              <w:left w:val="nil"/>
              <w:bottom w:val="nil"/>
              <w:right w:val="single" w:sz="8" w:space="0" w:color="auto"/>
            </w:tcBorders>
            <w:shd w:val="clear" w:color="auto" w:fill="auto"/>
            <w:vAlign w:val="center"/>
            <w:hideMark/>
          </w:tcPr>
          <w:p w14:paraId="683863FC" w14:textId="474C79B4"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246</w:t>
            </w:r>
            <w:r w:rsidR="009C7F29">
              <w:rPr>
                <w:rFonts w:ascii="Arial" w:hAnsi="Arial" w:cs="Arial"/>
                <w:color w:val="000000"/>
                <w:sz w:val="18"/>
                <w:szCs w:val="18"/>
              </w:rPr>
              <w:t xml:space="preserve"> </w:t>
            </w:r>
            <w:r w:rsidRPr="004D4361">
              <w:rPr>
                <w:rFonts w:ascii="Arial" w:hAnsi="Arial" w:cs="Arial"/>
                <w:color w:val="000000"/>
                <w:sz w:val="18"/>
                <w:szCs w:val="18"/>
              </w:rPr>
              <w:t>644</w:t>
            </w:r>
          </w:p>
        </w:tc>
      </w:tr>
      <w:tr w:rsidR="00456800" w:rsidRPr="00511DFE" w14:paraId="157FE2F0"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5639FCD2"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22 Generación, transmisión y distribución de energía eléctrica, suministro de agua y de gas por ductos al consumidor final</w:t>
            </w:r>
          </w:p>
        </w:tc>
        <w:tc>
          <w:tcPr>
            <w:tcW w:w="1391" w:type="dxa"/>
            <w:tcBorders>
              <w:top w:val="nil"/>
              <w:left w:val="single" w:sz="8" w:space="0" w:color="auto"/>
              <w:bottom w:val="nil"/>
              <w:right w:val="single" w:sz="8" w:space="0" w:color="auto"/>
            </w:tcBorders>
            <w:shd w:val="clear" w:color="auto" w:fill="auto"/>
            <w:vAlign w:val="center"/>
            <w:hideMark/>
          </w:tcPr>
          <w:p w14:paraId="09A4E207" w14:textId="1C3ECE94"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398</w:t>
            </w:r>
            <w:r w:rsidR="009C7F29">
              <w:rPr>
                <w:rFonts w:ascii="Arial" w:hAnsi="Arial" w:cs="Arial"/>
                <w:color w:val="000000"/>
                <w:sz w:val="18"/>
                <w:szCs w:val="18"/>
              </w:rPr>
              <w:t xml:space="preserve"> </w:t>
            </w:r>
            <w:r w:rsidRPr="004D4361">
              <w:rPr>
                <w:rFonts w:ascii="Arial" w:hAnsi="Arial" w:cs="Arial"/>
                <w:color w:val="000000"/>
                <w:sz w:val="18"/>
                <w:szCs w:val="18"/>
              </w:rPr>
              <w:t>739</w:t>
            </w:r>
          </w:p>
        </w:tc>
      </w:tr>
      <w:tr w:rsidR="00456800" w:rsidRPr="00511DFE" w14:paraId="1A98ADD4"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6631D419"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 xml:space="preserve">23 Construcción </w:t>
            </w:r>
          </w:p>
        </w:tc>
        <w:tc>
          <w:tcPr>
            <w:tcW w:w="1391" w:type="dxa"/>
            <w:tcBorders>
              <w:top w:val="nil"/>
              <w:left w:val="nil"/>
              <w:bottom w:val="nil"/>
              <w:right w:val="single" w:sz="8" w:space="0" w:color="auto"/>
            </w:tcBorders>
            <w:shd w:val="clear" w:color="auto" w:fill="auto"/>
            <w:vAlign w:val="center"/>
            <w:hideMark/>
          </w:tcPr>
          <w:p w14:paraId="20A2A4CA" w14:textId="6350E2E4"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115</w:t>
            </w:r>
            <w:r w:rsidR="009C7F29">
              <w:rPr>
                <w:rFonts w:ascii="Arial" w:hAnsi="Arial" w:cs="Arial"/>
                <w:color w:val="000000"/>
                <w:sz w:val="18"/>
                <w:szCs w:val="18"/>
              </w:rPr>
              <w:t xml:space="preserve"> </w:t>
            </w:r>
            <w:r w:rsidRPr="004D4361">
              <w:rPr>
                <w:rFonts w:ascii="Arial" w:hAnsi="Arial" w:cs="Arial"/>
                <w:color w:val="000000"/>
                <w:sz w:val="18"/>
                <w:szCs w:val="18"/>
              </w:rPr>
              <w:t>743</w:t>
            </w:r>
          </w:p>
        </w:tc>
      </w:tr>
      <w:tr w:rsidR="00456800" w:rsidRPr="00511DFE" w14:paraId="1DB1B531"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6E516CB0"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 xml:space="preserve">31-33 Industrias manufactureras </w:t>
            </w:r>
          </w:p>
        </w:tc>
        <w:tc>
          <w:tcPr>
            <w:tcW w:w="1391" w:type="dxa"/>
            <w:tcBorders>
              <w:top w:val="nil"/>
              <w:left w:val="nil"/>
              <w:bottom w:val="nil"/>
              <w:right w:val="single" w:sz="8" w:space="0" w:color="auto"/>
            </w:tcBorders>
            <w:shd w:val="clear" w:color="auto" w:fill="auto"/>
            <w:vAlign w:val="center"/>
            <w:hideMark/>
          </w:tcPr>
          <w:p w14:paraId="44C39180" w14:textId="45E36FA5"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186</w:t>
            </w:r>
            <w:r w:rsidR="009C7F29">
              <w:rPr>
                <w:rFonts w:ascii="Arial" w:hAnsi="Arial" w:cs="Arial"/>
                <w:color w:val="000000"/>
                <w:sz w:val="18"/>
                <w:szCs w:val="18"/>
              </w:rPr>
              <w:t xml:space="preserve"> </w:t>
            </w:r>
            <w:r w:rsidRPr="004D4361">
              <w:rPr>
                <w:rFonts w:ascii="Arial" w:hAnsi="Arial" w:cs="Arial"/>
                <w:color w:val="000000"/>
                <w:sz w:val="18"/>
                <w:szCs w:val="18"/>
              </w:rPr>
              <w:t>804</w:t>
            </w:r>
          </w:p>
        </w:tc>
      </w:tr>
      <w:tr w:rsidR="00456800" w:rsidRPr="00511DFE" w14:paraId="446E1DE5"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4580DC89" w14:textId="77777777" w:rsidR="00456800" w:rsidRPr="00511DFE" w:rsidRDefault="00456800" w:rsidP="00E432AF">
            <w:pPr>
              <w:spacing w:before="100" w:beforeAutospacing="1" w:after="100" w:afterAutospacing="1"/>
              <w:ind w:left="284"/>
              <w:rPr>
                <w:rFonts w:ascii="Arial" w:eastAsia="Times New Roman" w:hAnsi="Arial" w:cs="Arial"/>
                <w:b/>
                <w:bCs/>
                <w:color w:val="000000"/>
                <w:sz w:val="18"/>
                <w:szCs w:val="18"/>
              </w:rPr>
            </w:pPr>
            <w:r w:rsidRPr="00511DFE">
              <w:rPr>
                <w:rFonts w:ascii="Arial" w:eastAsia="Times New Roman" w:hAnsi="Arial" w:cs="Arial"/>
                <w:b/>
                <w:bCs/>
                <w:color w:val="000000"/>
                <w:sz w:val="18"/>
                <w:szCs w:val="18"/>
              </w:rPr>
              <w:t>Actividades Terciarias</w:t>
            </w:r>
          </w:p>
        </w:tc>
        <w:tc>
          <w:tcPr>
            <w:tcW w:w="1391" w:type="dxa"/>
            <w:tcBorders>
              <w:top w:val="nil"/>
              <w:left w:val="nil"/>
              <w:bottom w:val="nil"/>
              <w:right w:val="single" w:sz="8" w:space="0" w:color="auto"/>
            </w:tcBorders>
            <w:shd w:val="clear" w:color="auto" w:fill="auto"/>
            <w:vAlign w:val="center"/>
            <w:hideMark/>
          </w:tcPr>
          <w:p w14:paraId="7B995566" w14:textId="266D29B7" w:rsidR="00456800" w:rsidRPr="004D4361" w:rsidRDefault="00456800" w:rsidP="00E432AF">
            <w:pPr>
              <w:jc w:val="right"/>
              <w:rPr>
                <w:rFonts w:ascii="Arial" w:hAnsi="Arial" w:cs="Arial"/>
                <w:b/>
                <w:bCs/>
                <w:color w:val="000000"/>
                <w:sz w:val="18"/>
                <w:szCs w:val="18"/>
              </w:rPr>
            </w:pPr>
            <w:r w:rsidRPr="004D4361">
              <w:rPr>
                <w:rFonts w:ascii="Arial" w:hAnsi="Arial" w:cs="Arial"/>
                <w:b/>
                <w:bCs/>
                <w:color w:val="000000"/>
                <w:sz w:val="18"/>
                <w:szCs w:val="18"/>
              </w:rPr>
              <w:t>195</w:t>
            </w:r>
            <w:r w:rsidR="009C7F29">
              <w:rPr>
                <w:rFonts w:ascii="Arial" w:hAnsi="Arial" w:cs="Arial"/>
                <w:b/>
                <w:bCs/>
                <w:color w:val="000000"/>
                <w:sz w:val="18"/>
                <w:szCs w:val="18"/>
              </w:rPr>
              <w:t xml:space="preserve"> </w:t>
            </w:r>
            <w:r w:rsidRPr="004D4361">
              <w:rPr>
                <w:rFonts w:ascii="Arial" w:hAnsi="Arial" w:cs="Arial"/>
                <w:b/>
                <w:bCs/>
                <w:color w:val="000000"/>
                <w:sz w:val="18"/>
                <w:szCs w:val="18"/>
              </w:rPr>
              <w:t>057</w:t>
            </w:r>
          </w:p>
        </w:tc>
      </w:tr>
      <w:tr w:rsidR="00456800" w:rsidRPr="00511DFE" w14:paraId="661AC136"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tcPr>
          <w:p w14:paraId="4F7DAD23" w14:textId="77777777" w:rsidR="00456800" w:rsidRPr="00CB7223" w:rsidRDefault="00456800" w:rsidP="00E432AF">
            <w:pPr>
              <w:spacing w:before="100" w:beforeAutospacing="1" w:after="100" w:afterAutospacing="1"/>
              <w:ind w:left="851" w:hanging="284"/>
              <w:rPr>
                <w:rFonts w:ascii="Arial" w:eastAsia="Times New Roman" w:hAnsi="Arial" w:cs="Arial"/>
                <w:bCs/>
                <w:color w:val="000000"/>
                <w:sz w:val="18"/>
                <w:szCs w:val="18"/>
              </w:rPr>
            </w:pPr>
            <w:r w:rsidRPr="00CB7223">
              <w:rPr>
                <w:rFonts w:ascii="Arial" w:eastAsia="Times New Roman" w:hAnsi="Arial" w:cs="Arial"/>
                <w:bCs/>
                <w:color w:val="000000"/>
                <w:sz w:val="18"/>
                <w:szCs w:val="18"/>
              </w:rPr>
              <w:t>46-46 Comercio</w:t>
            </w:r>
          </w:p>
        </w:tc>
        <w:tc>
          <w:tcPr>
            <w:tcW w:w="1391" w:type="dxa"/>
            <w:tcBorders>
              <w:top w:val="nil"/>
              <w:left w:val="nil"/>
              <w:bottom w:val="nil"/>
              <w:right w:val="single" w:sz="8" w:space="0" w:color="auto"/>
            </w:tcBorders>
            <w:shd w:val="clear" w:color="auto" w:fill="auto"/>
            <w:vAlign w:val="center"/>
          </w:tcPr>
          <w:p w14:paraId="2367F47A" w14:textId="4C3B646B"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137</w:t>
            </w:r>
            <w:r w:rsidR="009C7F29">
              <w:rPr>
                <w:rFonts w:ascii="Arial" w:hAnsi="Arial" w:cs="Arial"/>
                <w:color w:val="000000"/>
                <w:sz w:val="18"/>
                <w:szCs w:val="18"/>
              </w:rPr>
              <w:t xml:space="preserve"> </w:t>
            </w:r>
            <w:r w:rsidRPr="004D4361">
              <w:rPr>
                <w:rFonts w:ascii="Arial" w:hAnsi="Arial" w:cs="Arial"/>
                <w:color w:val="000000"/>
                <w:sz w:val="18"/>
                <w:szCs w:val="18"/>
              </w:rPr>
              <w:t>035</w:t>
            </w:r>
          </w:p>
        </w:tc>
      </w:tr>
      <w:tr w:rsidR="00456800" w:rsidRPr="00511DFE" w14:paraId="25A17505"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2B732D1A"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43 Comercio al por mayor</w:t>
            </w:r>
          </w:p>
        </w:tc>
        <w:tc>
          <w:tcPr>
            <w:tcW w:w="1391" w:type="dxa"/>
            <w:tcBorders>
              <w:top w:val="nil"/>
              <w:left w:val="nil"/>
              <w:bottom w:val="nil"/>
              <w:right w:val="single" w:sz="8" w:space="0" w:color="auto"/>
            </w:tcBorders>
            <w:shd w:val="clear" w:color="auto" w:fill="auto"/>
            <w:vAlign w:val="center"/>
            <w:hideMark/>
          </w:tcPr>
          <w:p w14:paraId="7C961B47" w14:textId="0F260498"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83</w:t>
            </w:r>
            <w:r w:rsidR="009C7F29">
              <w:rPr>
                <w:rFonts w:ascii="Arial" w:hAnsi="Arial" w:cs="Arial"/>
                <w:color w:val="000000"/>
                <w:sz w:val="18"/>
                <w:szCs w:val="18"/>
              </w:rPr>
              <w:t xml:space="preserve"> </w:t>
            </w:r>
            <w:r w:rsidRPr="004D4361">
              <w:rPr>
                <w:rFonts w:ascii="Arial" w:hAnsi="Arial" w:cs="Arial"/>
                <w:color w:val="000000"/>
                <w:sz w:val="18"/>
                <w:szCs w:val="18"/>
              </w:rPr>
              <w:t>954</w:t>
            </w:r>
          </w:p>
        </w:tc>
      </w:tr>
      <w:tr w:rsidR="00456800" w:rsidRPr="00511DFE" w14:paraId="25F1FBD7"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3E130EF8"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46 Comercio al por menor</w:t>
            </w:r>
          </w:p>
        </w:tc>
        <w:tc>
          <w:tcPr>
            <w:tcW w:w="1391" w:type="dxa"/>
            <w:tcBorders>
              <w:top w:val="nil"/>
              <w:left w:val="nil"/>
              <w:bottom w:val="nil"/>
              <w:right w:val="single" w:sz="8" w:space="0" w:color="auto"/>
            </w:tcBorders>
            <w:shd w:val="clear" w:color="auto" w:fill="auto"/>
            <w:vAlign w:val="center"/>
            <w:hideMark/>
          </w:tcPr>
          <w:p w14:paraId="7C3204E0" w14:textId="2B3C2820"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150</w:t>
            </w:r>
            <w:r w:rsidR="009C7F29">
              <w:rPr>
                <w:rFonts w:ascii="Arial" w:hAnsi="Arial" w:cs="Arial"/>
                <w:color w:val="000000"/>
                <w:sz w:val="18"/>
                <w:szCs w:val="18"/>
              </w:rPr>
              <w:t xml:space="preserve"> </w:t>
            </w:r>
            <w:r w:rsidRPr="004D4361">
              <w:rPr>
                <w:rFonts w:ascii="Arial" w:hAnsi="Arial" w:cs="Arial"/>
                <w:color w:val="000000"/>
                <w:sz w:val="18"/>
                <w:szCs w:val="18"/>
              </w:rPr>
              <w:t>310</w:t>
            </w:r>
          </w:p>
        </w:tc>
      </w:tr>
      <w:tr w:rsidR="00456800" w:rsidRPr="00511DFE" w14:paraId="72C4A705"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4F572153"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 xml:space="preserve">48-49 Transportes, correos y almacenamiento </w:t>
            </w:r>
          </w:p>
        </w:tc>
        <w:tc>
          <w:tcPr>
            <w:tcW w:w="1391" w:type="dxa"/>
            <w:tcBorders>
              <w:top w:val="nil"/>
              <w:left w:val="nil"/>
              <w:bottom w:val="nil"/>
              <w:right w:val="single" w:sz="8" w:space="0" w:color="auto"/>
            </w:tcBorders>
            <w:shd w:val="clear" w:color="auto" w:fill="auto"/>
            <w:vAlign w:val="center"/>
            <w:hideMark/>
          </w:tcPr>
          <w:p w14:paraId="5CA64C29" w14:textId="3F79060E"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194</w:t>
            </w:r>
            <w:r w:rsidR="009C7F29">
              <w:rPr>
                <w:rFonts w:ascii="Arial" w:hAnsi="Arial" w:cs="Arial"/>
                <w:color w:val="000000"/>
                <w:sz w:val="18"/>
                <w:szCs w:val="18"/>
              </w:rPr>
              <w:t xml:space="preserve"> </w:t>
            </w:r>
            <w:r w:rsidRPr="004D4361">
              <w:rPr>
                <w:rFonts w:ascii="Arial" w:hAnsi="Arial" w:cs="Arial"/>
                <w:color w:val="000000"/>
                <w:sz w:val="18"/>
                <w:szCs w:val="18"/>
              </w:rPr>
              <w:t>415</w:t>
            </w:r>
          </w:p>
        </w:tc>
      </w:tr>
      <w:tr w:rsidR="00456800" w:rsidRPr="00511DFE" w14:paraId="22C44258"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7D485AC2"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 xml:space="preserve">51 Información en medios masivos </w:t>
            </w:r>
          </w:p>
        </w:tc>
        <w:tc>
          <w:tcPr>
            <w:tcW w:w="1391" w:type="dxa"/>
            <w:tcBorders>
              <w:top w:val="nil"/>
              <w:left w:val="nil"/>
              <w:bottom w:val="nil"/>
              <w:right w:val="single" w:sz="8" w:space="0" w:color="auto"/>
            </w:tcBorders>
            <w:shd w:val="clear" w:color="auto" w:fill="auto"/>
            <w:vAlign w:val="center"/>
            <w:hideMark/>
          </w:tcPr>
          <w:p w14:paraId="5BCEACB3" w14:textId="4F23AB1C"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369</w:t>
            </w:r>
            <w:r w:rsidR="009C7F29">
              <w:rPr>
                <w:rFonts w:ascii="Arial" w:hAnsi="Arial" w:cs="Arial"/>
                <w:color w:val="000000"/>
                <w:sz w:val="18"/>
                <w:szCs w:val="18"/>
              </w:rPr>
              <w:t xml:space="preserve"> </w:t>
            </w:r>
            <w:r w:rsidRPr="004D4361">
              <w:rPr>
                <w:rFonts w:ascii="Arial" w:hAnsi="Arial" w:cs="Arial"/>
                <w:color w:val="000000"/>
                <w:sz w:val="18"/>
                <w:szCs w:val="18"/>
              </w:rPr>
              <w:t>196</w:t>
            </w:r>
          </w:p>
        </w:tc>
      </w:tr>
      <w:tr w:rsidR="00456800" w:rsidRPr="00511DFE" w14:paraId="3C43FCE1"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5E31F259"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 xml:space="preserve">52 Servicios financieros y de seguros </w:t>
            </w:r>
          </w:p>
        </w:tc>
        <w:tc>
          <w:tcPr>
            <w:tcW w:w="1391" w:type="dxa"/>
            <w:tcBorders>
              <w:top w:val="nil"/>
              <w:left w:val="nil"/>
              <w:bottom w:val="nil"/>
              <w:right w:val="single" w:sz="8" w:space="0" w:color="auto"/>
            </w:tcBorders>
            <w:shd w:val="clear" w:color="auto" w:fill="auto"/>
            <w:vAlign w:val="center"/>
            <w:hideMark/>
          </w:tcPr>
          <w:p w14:paraId="3D2B2C01" w14:textId="03A056C7"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492</w:t>
            </w:r>
            <w:r w:rsidR="009C7F29">
              <w:rPr>
                <w:rFonts w:ascii="Arial" w:hAnsi="Arial" w:cs="Arial"/>
                <w:color w:val="000000"/>
                <w:sz w:val="18"/>
                <w:szCs w:val="18"/>
              </w:rPr>
              <w:t xml:space="preserve"> </w:t>
            </w:r>
            <w:r w:rsidRPr="004D4361">
              <w:rPr>
                <w:rFonts w:ascii="Arial" w:hAnsi="Arial" w:cs="Arial"/>
                <w:color w:val="000000"/>
                <w:sz w:val="18"/>
                <w:szCs w:val="18"/>
              </w:rPr>
              <w:t>798</w:t>
            </w:r>
          </w:p>
        </w:tc>
      </w:tr>
      <w:tr w:rsidR="00456800" w:rsidRPr="00511DFE" w14:paraId="0D149A72"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17490767"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53 Servicios inmobiliarios y de alquiler de bienes muebles e intangibles</w:t>
            </w:r>
          </w:p>
        </w:tc>
        <w:tc>
          <w:tcPr>
            <w:tcW w:w="1391" w:type="dxa"/>
            <w:tcBorders>
              <w:top w:val="nil"/>
              <w:left w:val="nil"/>
              <w:bottom w:val="nil"/>
              <w:right w:val="single" w:sz="8" w:space="0" w:color="auto"/>
            </w:tcBorders>
            <w:shd w:val="clear" w:color="auto" w:fill="auto"/>
            <w:vAlign w:val="center"/>
            <w:hideMark/>
          </w:tcPr>
          <w:p w14:paraId="67ADAEB7" w14:textId="62749D90"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108</w:t>
            </w:r>
            <w:r w:rsidR="006C6EF7">
              <w:rPr>
                <w:rFonts w:ascii="Arial" w:hAnsi="Arial" w:cs="Arial"/>
                <w:color w:val="000000"/>
                <w:sz w:val="18"/>
                <w:szCs w:val="18"/>
              </w:rPr>
              <w:t xml:space="preserve"> </w:t>
            </w:r>
            <w:r w:rsidRPr="004D4361">
              <w:rPr>
                <w:rFonts w:ascii="Arial" w:hAnsi="Arial" w:cs="Arial"/>
                <w:color w:val="000000"/>
                <w:sz w:val="18"/>
                <w:szCs w:val="18"/>
              </w:rPr>
              <w:t>335</w:t>
            </w:r>
          </w:p>
        </w:tc>
      </w:tr>
      <w:tr w:rsidR="00456800" w:rsidRPr="00511DFE" w14:paraId="161FAAB7"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6A75B378"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 xml:space="preserve">54 Servicios profesionales, científicos y técnicos </w:t>
            </w:r>
          </w:p>
        </w:tc>
        <w:tc>
          <w:tcPr>
            <w:tcW w:w="1391" w:type="dxa"/>
            <w:tcBorders>
              <w:top w:val="nil"/>
              <w:left w:val="nil"/>
              <w:bottom w:val="nil"/>
              <w:right w:val="single" w:sz="8" w:space="0" w:color="auto"/>
            </w:tcBorders>
            <w:shd w:val="clear" w:color="auto" w:fill="auto"/>
            <w:vAlign w:val="center"/>
            <w:hideMark/>
          </w:tcPr>
          <w:p w14:paraId="4072FB4E" w14:textId="1E0FE5EF"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260</w:t>
            </w:r>
            <w:r w:rsidR="006C6EF7">
              <w:rPr>
                <w:rFonts w:ascii="Arial" w:hAnsi="Arial" w:cs="Arial"/>
                <w:color w:val="000000"/>
                <w:sz w:val="18"/>
                <w:szCs w:val="18"/>
              </w:rPr>
              <w:t xml:space="preserve"> </w:t>
            </w:r>
            <w:r w:rsidRPr="004D4361">
              <w:rPr>
                <w:rFonts w:ascii="Arial" w:hAnsi="Arial" w:cs="Arial"/>
                <w:color w:val="000000"/>
                <w:sz w:val="18"/>
                <w:szCs w:val="18"/>
              </w:rPr>
              <w:t>521</w:t>
            </w:r>
          </w:p>
        </w:tc>
      </w:tr>
      <w:tr w:rsidR="00456800" w:rsidRPr="00511DFE" w14:paraId="4D058A58"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57E4FDFA"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55 Corporativos</w:t>
            </w:r>
          </w:p>
        </w:tc>
        <w:tc>
          <w:tcPr>
            <w:tcW w:w="1391" w:type="dxa"/>
            <w:tcBorders>
              <w:top w:val="nil"/>
              <w:left w:val="nil"/>
              <w:bottom w:val="nil"/>
              <w:right w:val="single" w:sz="8" w:space="0" w:color="auto"/>
            </w:tcBorders>
            <w:shd w:val="clear" w:color="auto" w:fill="auto"/>
            <w:vAlign w:val="center"/>
            <w:hideMark/>
          </w:tcPr>
          <w:p w14:paraId="06F05550" w14:textId="62AAE7D2"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910</w:t>
            </w:r>
            <w:r w:rsidR="006C6EF7">
              <w:rPr>
                <w:rFonts w:ascii="Arial" w:hAnsi="Arial" w:cs="Arial"/>
                <w:color w:val="000000"/>
                <w:sz w:val="18"/>
                <w:szCs w:val="18"/>
              </w:rPr>
              <w:t xml:space="preserve"> </w:t>
            </w:r>
            <w:r w:rsidRPr="004D4361">
              <w:rPr>
                <w:rFonts w:ascii="Arial" w:hAnsi="Arial" w:cs="Arial"/>
                <w:color w:val="000000"/>
                <w:sz w:val="18"/>
                <w:szCs w:val="18"/>
              </w:rPr>
              <w:t>434</w:t>
            </w:r>
          </w:p>
        </w:tc>
      </w:tr>
      <w:tr w:rsidR="00456800" w:rsidRPr="00511DFE" w14:paraId="611CCFD4"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68993938"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Pr>
                <w:rFonts w:ascii="Arial" w:eastAsia="Times New Roman" w:hAnsi="Arial" w:cs="Arial"/>
                <w:color w:val="000000"/>
                <w:sz w:val="18"/>
                <w:szCs w:val="18"/>
              </w:rPr>
              <w:t>5</w:t>
            </w:r>
            <w:r w:rsidRPr="00511DFE">
              <w:rPr>
                <w:rFonts w:ascii="Arial" w:eastAsia="Times New Roman" w:hAnsi="Arial" w:cs="Arial"/>
                <w:color w:val="000000"/>
                <w:sz w:val="18"/>
                <w:szCs w:val="18"/>
              </w:rPr>
              <w:t xml:space="preserve">6 Servicios de apoyo a los negocios y manejo </w:t>
            </w:r>
            <w:proofErr w:type="gramStart"/>
            <w:r w:rsidRPr="00511DFE">
              <w:rPr>
                <w:rFonts w:ascii="Arial" w:eastAsia="Times New Roman" w:hAnsi="Arial" w:cs="Arial"/>
                <w:color w:val="000000"/>
                <w:sz w:val="18"/>
                <w:szCs w:val="18"/>
              </w:rPr>
              <w:t>de  desechos</w:t>
            </w:r>
            <w:proofErr w:type="gramEnd"/>
            <w:r w:rsidRPr="00511DFE">
              <w:rPr>
                <w:rFonts w:ascii="Arial" w:eastAsia="Times New Roman" w:hAnsi="Arial" w:cs="Arial"/>
                <w:color w:val="000000"/>
                <w:sz w:val="18"/>
                <w:szCs w:val="18"/>
              </w:rPr>
              <w:t xml:space="preserve"> y servicios de remediación</w:t>
            </w:r>
          </w:p>
        </w:tc>
        <w:tc>
          <w:tcPr>
            <w:tcW w:w="1391" w:type="dxa"/>
            <w:tcBorders>
              <w:top w:val="nil"/>
              <w:left w:val="single" w:sz="8" w:space="0" w:color="auto"/>
              <w:bottom w:val="nil"/>
              <w:right w:val="single" w:sz="8" w:space="0" w:color="auto"/>
            </w:tcBorders>
            <w:shd w:val="clear" w:color="auto" w:fill="auto"/>
            <w:vAlign w:val="center"/>
            <w:hideMark/>
          </w:tcPr>
          <w:p w14:paraId="5934FEB8" w14:textId="100E5EC1"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128</w:t>
            </w:r>
            <w:r w:rsidR="006C6EF7">
              <w:rPr>
                <w:rFonts w:ascii="Arial" w:hAnsi="Arial" w:cs="Arial"/>
                <w:color w:val="000000"/>
                <w:sz w:val="18"/>
                <w:szCs w:val="18"/>
              </w:rPr>
              <w:t xml:space="preserve"> </w:t>
            </w:r>
            <w:r w:rsidRPr="004D4361">
              <w:rPr>
                <w:rFonts w:ascii="Arial" w:hAnsi="Arial" w:cs="Arial"/>
                <w:color w:val="000000"/>
                <w:sz w:val="18"/>
                <w:szCs w:val="18"/>
              </w:rPr>
              <w:t>958</w:t>
            </w:r>
          </w:p>
        </w:tc>
      </w:tr>
      <w:tr w:rsidR="00456800" w:rsidRPr="00511DFE" w14:paraId="24884FE5"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295DE2F1"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 xml:space="preserve">61 Servicios educativos </w:t>
            </w:r>
          </w:p>
        </w:tc>
        <w:tc>
          <w:tcPr>
            <w:tcW w:w="1391" w:type="dxa"/>
            <w:tcBorders>
              <w:top w:val="nil"/>
              <w:left w:val="nil"/>
              <w:bottom w:val="nil"/>
              <w:right w:val="single" w:sz="8" w:space="0" w:color="auto"/>
            </w:tcBorders>
            <w:shd w:val="clear" w:color="auto" w:fill="auto"/>
            <w:vAlign w:val="center"/>
            <w:hideMark/>
          </w:tcPr>
          <w:p w14:paraId="11D7F2BF" w14:textId="7EB26D39"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344</w:t>
            </w:r>
            <w:r w:rsidR="006C6EF7">
              <w:rPr>
                <w:rFonts w:ascii="Arial" w:hAnsi="Arial" w:cs="Arial"/>
                <w:color w:val="000000"/>
                <w:sz w:val="18"/>
                <w:szCs w:val="18"/>
              </w:rPr>
              <w:t xml:space="preserve"> </w:t>
            </w:r>
            <w:r w:rsidRPr="004D4361">
              <w:rPr>
                <w:rFonts w:ascii="Arial" w:hAnsi="Arial" w:cs="Arial"/>
                <w:color w:val="000000"/>
                <w:sz w:val="18"/>
                <w:szCs w:val="18"/>
              </w:rPr>
              <w:t>937</w:t>
            </w:r>
          </w:p>
        </w:tc>
      </w:tr>
      <w:tr w:rsidR="00456800" w:rsidRPr="00511DFE" w14:paraId="4841A76B" w14:textId="77777777" w:rsidTr="00E432AF">
        <w:trPr>
          <w:trHeight w:val="300"/>
        </w:trPr>
        <w:tc>
          <w:tcPr>
            <w:tcW w:w="7549" w:type="dxa"/>
            <w:tcBorders>
              <w:top w:val="nil"/>
              <w:left w:val="single" w:sz="8" w:space="0" w:color="auto"/>
              <w:bottom w:val="nil"/>
              <w:right w:val="single" w:sz="8" w:space="0" w:color="auto"/>
            </w:tcBorders>
            <w:shd w:val="clear" w:color="auto" w:fill="auto"/>
            <w:vAlign w:val="center"/>
            <w:hideMark/>
          </w:tcPr>
          <w:p w14:paraId="1C6DDB1C"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 xml:space="preserve">62 Servicios de salud y de asistencia social </w:t>
            </w:r>
          </w:p>
        </w:tc>
        <w:tc>
          <w:tcPr>
            <w:tcW w:w="1391" w:type="dxa"/>
            <w:tcBorders>
              <w:top w:val="nil"/>
              <w:left w:val="nil"/>
              <w:bottom w:val="nil"/>
              <w:right w:val="single" w:sz="8" w:space="0" w:color="auto"/>
            </w:tcBorders>
            <w:shd w:val="clear" w:color="auto" w:fill="auto"/>
            <w:vAlign w:val="center"/>
            <w:hideMark/>
          </w:tcPr>
          <w:p w14:paraId="3D7B8F9F" w14:textId="2C51907E"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402</w:t>
            </w:r>
            <w:r w:rsidR="006C6EF7">
              <w:rPr>
                <w:rFonts w:ascii="Arial" w:hAnsi="Arial" w:cs="Arial"/>
                <w:color w:val="000000"/>
                <w:sz w:val="18"/>
                <w:szCs w:val="18"/>
              </w:rPr>
              <w:t xml:space="preserve"> </w:t>
            </w:r>
            <w:r w:rsidRPr="004D4361">
              <w:rPr>
                <w:rFonts w:ascii="Arial" w:hAnsi="Arial" w:cs="Arial"/>
                <w:color w:val="000000"/>
                <w:sz w:val="18"/>
                <w:szCs w:val="18"/>
              </w:rPr>
              <w:t>994</w:t>
            </w:r>
          </w:p>
        </w:tc>
      </w:tr>
      <w:tr w:rsidR="00456800" w:rsidRPr="00511DFE" w14:paraId="47FC310F" w14:textId="77777777" w:rsidTr="00E432AF">
        <w:trPr>
          <w:trHeight w:val="299"/>
        </w:trPr>
        <w:tc>
          <w:tcPr>
            <w:tcW w:w="7549" w:type="dxa"/>
            <w:tcBorders>
              <w:top w:val="nil"/>
              <w:left w:val="single" w:sz="8" w:space="0" w:color="auto"/>
              <w:bottom w:val="nil"/>
              <w:right w:val="single" w:sz="8" w:space="0" w:color="auto"/>
            </w:tcBorders>
            <w:shd w:val="clear" w:color="auto" w:fill="auto"/>
            <w:vAlign w:val="center"/>
            <w:hideMark/>
          </w:tcPr>
          <w:p w14:paraId="19C099DA"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 xml:space="preserve">71 Servicios de esparcimiento, culturales, deportivos y otros servicios </w:t>
            </w:r>
            <w:r>
              <w:rPr>
                <w:rFonts w:ascii="Arial" w:eastAsia="Times New Roman" w:hAnsi="Arial" w:cs="Arial"/>
                <w:color w:val="000000"/>
                <w:sz w:val="18"/>
                <w:szCs w:val="18"/>
              </w:rPr>
              <w:t>r</w:t>
            </w:r>
            <w:r w:rsidRPr="00511DFE">
              <w:rPr>
                <w:rFonts w:ascii="Arial" w:eastAsia="Times New Roman" w:hAnsi="Arial" w:cs="Arial"/>
                <w:color w:val="000000"/>
                <w:sz w:val="18"/>
                <w:szCs w:val="18"/>
              </w:rPr>
              <w:t>ecreativos</w:t>
            </w:r>
          </w:p>
        </w:tc>
        <w:tc>
          <w:tcPr>
            <w:tcW w:w="1391" w:type="dxa"/>
            <w:tcBorders>
              <w:top w:val="nil"/>
              <w:left w:val="nil"/>
              <w:bottom w:val="nil"/>
              <w:right w:val="single" w:sz="8" w:space="0" w:color="auto"/>
            </w:tcBorders>
            <w:shd w:val="clear" w:color="auto" w:fill="auto"/>
            <w:vAlign w:val="center"/>
            <w:hideMark/>
          </w:tcPr>
          <w:p w14:paraId="0CDAFBD7" w14:textId="1E17FF99"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171</w:t>
            </w:r>
            <w:r w:rsidR="006C6EF7">
              <w:rPr>
                <w:rFonts w:ascii="Arial" w:hAnsi="Arial" w:cs="Arial"/>
                <w:color w:val="000000"/>
                <w:sz w:val="18"/>
                <w:szCs w:val="18"/>
              </w:rPr>
              <w:t xml:space="preserve"> </w:t>
            </w:r>
            <w:r w:rsidRPr="004D4361">
              <w:rPr>
                <w:rFonts w:ascii="Arial" w:hAnsi="Arial" w:cs="Arial"/>
                <w:color w:val="000000"/>
                <w:sz w:val="18"/>
                <w:szCs w:val="18"/>
              </w:rPr>
              <w:t>189</w:t>
            </w:r>
          </w:p>
        </w:tc>
      </w:tr>
      <w:tr w:rsidR="00456800" w:rsidRPr="00511DFE" w14:paraId="751B2556" w14:textId="77777777" w:rsidTr="00E432AF">
        <w:trPr>
          <w:trHeight w:val="211"/>
        </w:trPr>
        <w:tc>
          <w:tcPr>
            <w:tcW w:w="7549" w:type="dxa"/>
            <w:tcBorders>
              <w:top w:val="nil"/>
              <w:left w:val="single" w:sz="8" w:space="0" w:color="auto"/>
              <w:bottom w:val="nil"/>
              <w:right w:val="single" w:sz="8" w:space="0" w:color="auto"/>
            </w:tcBorders>
            <w:shd w:val="clear" w:color="auto" w:fill="auto"/>
            <w:vAlign w:val="center"/>
            <w:hideMark/>
          </w:tcPr>
          <w:p w14:paraId="30F2F101" w14:textId="77777777" w:rsidR="00456800" w:rsidRPr="00081AD6" w:rsidRDefault="00456800" w:rsidP="00E432AF">
            <w:pPr>
              <w:ind w:left="851" w:hanging="284"/>
              <w:rPr>
                <w:rFonts w:ascii="Arial" w:eastAsia="Times New Roman" w:hAnsi="Arial" w:cs="Arial"/>
                <w:color w:val="000000"/>
                <w:sz w:val="18"/>
                <w:szCs w:val="18"/>
              </w:rPr>
            </w:pPr>
            <w:r w:rsidRPr="00081AD6">
              <w:rPr>
                <w:rFonts w:ascii="Arial" w:eastAsia="Times New Roman" w:hAnsi="Arial" w:cs="Arial"/>
                <w:color w:val="000000"/>
                <w:sz w:val="18"/>
                <w:szCs w:val="18"/>
              </w:rPr>
              <w:t>72 Servicios de alojamiento temporal y de preparación de alimentos y bebidas</w:t>
            </w:r>
          </w:p>
        </w:tc>
        <w:tc>
          <w:tcPr>
            <w:tcW w:w="1391" w:type="dxa"/>
            <w:tcBorders>
              <w:top w:val="nil"/>
              <w:left w:val="nil"/>
              <w:bottom w:val="nil"/>
              <w:right w:val="single" w:sz="8" w:space="0" w:color="auto"/>
            </w:tcBorders>
            <w:shd w:val="clear" w:color="auto" w:fill="auto"/>
            <w:vAlign w:val="center"/>
            <w:hideMark/>
          </w:tcPr>
          <w:p w14:paraId="7314840F" w14:textId="5D1D014C" w:rsidR="00456800" w:rsidRPr="00081AD6" w:rsidRDefault="00456800" w:rsidP="00E432AF">
            <w:pPr>
              <w:jc w:val="right"/>
              <w:rPr>
                <w:rFonts w:ascii="Arial" w:hAnsi="Arial" w:cs="Arial"/>
                <w:color w:val="000000"/>
                <w:sz w:val="18"/>
                <w:szCs w:val="18"/>
              </w:rPr>
            </w:pPr>
            <w:r w:rsidRPr="00081AD6">
              <w:rPr>
                <w:rFonts w:ascii="Arial" w:hAnsi="Arial" w:cs="Arial"/>
                <w:color w:val="000000"/>
                <w:sz w:val="18"/>
                <w:szCs w:val="18"/>
              </w:rPr>
              <w:t>89</w:t>
            </w:r>
            <w:r w:rsidR="006C6EF7">
              <w:rPr>
                <w:rFonts w:ascii="Arial" w:hAnsi="Arial" w:cs="Arial"/>
                <w:color w:val="000000"/>
                <w:sz w:val="18"/>
                <w:szCs w:val="18"/>
              </w:rPr>
              <w:t xml:space="preserve"> </w:t>
            </w:r>
            <w:r w:rsidRPr="00081AD6">
              <w:rPr>
                <w:rFonts w:ascii="Arial" w:hAnsi="Arial" w:cs="Arial"/>
                <w:color w:val="000000"/>
                <w:sz w:val="18"/>
                <w:szCs w:val="18"/>
              </w:rPr>
              <w:t>350</w:t>
            </w:r>
          </w:p>
        </w:tc>
      </w:tr>
      <w:tr w:rsidR="00456800" w:rsidRPr="00511DFE" w14:paraId="50C7BF01" w14:textId="77777777" w:rsidTr="00E432AF">
        <w:trPr>
          <w:trHeight w:val="300"/>
        </w:trPr>
        <w:tc>
          <w:tcPr>
            <w:tcW w:w="7549" w:type="dxa"/>
            <w:tcBorders>
              <w:top w:val="nil"/>
              <w:left w:val="single" w:sz="8" w:space="0" w:color="auto"/>
              <w:right w:val="single" w:sz="8" w:space="0" w:color="auto"/>
            </w:tcBorders>
            <w:shd w:val="clear" w:color="auto" w:fill="auto"/>
            <w:vAlign w:val="center"/>
            <w:hideMark/>
          </w:tcPr>
          <w:p w14:paraId="2D74580B"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 xml:space="preserve">81 Otros servicios excepto actividades del Gobierno </w:t>
            </w:r>
          </w:p>
        </w:tc>
        <w:tc>
          <w:tcPr>
            <w:tcW w:w="1391" w:type="dxa"/>
            <w:tcBorders>
              <w:top w:val="nil"/>
              <w:left w:val="nil"/>
              <w:right w:val="single" w:sz="8" w:space="0" w:color="auto"/>
            </w:tcBorders>
            <w:shd w:val="clear" w:color="auto" w:fill="auto"/>
            <w:vAlign w:val="center"/>
            <w:hideMark/>
          </w:tcPr>
          <w:p w14:paraId="636264F4" w14:textId="51D3100F"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57</w:t>
            </w:r>
            <w:r w:rsidR="006C6EF7">
              <w:rPr>
                <w:rFonts w:ascii="Arial" w:hAnsi="Arial" w:cs="Arial"/>
                <w:color w:val="000000"/>
                <w:sz w:val="18"/>
                <w:szCs w:val="18"/>
              </w:rPr>
              <w:t xml:space="preserve"> </w:t>
            </w:r>
            <w:r w:rsidRPr="004D4361">
              <w:rPr>
                <w:rFonts w:ascii="Arial" w:hAnsi="Arial" w:cs="Arial"/>
                <w:color w:val="000000"/>
                <w:sz w:val="18"/>
                <w:szCs w:val="18"/>
              </w:rPr>
              <w:t>314</w:t>
            </w:r>
          </w:p>
        </w:tc>
      </w:tr>
      <w:tr w:rsidR="00456800" w:rsidRPr="00511DFE" w14:paraId="515B3D6C" w14:textId="77777777" w:rsidTr="00E432AF">
        <w:trPr>
          <w:trHeight w:val="300"/>
        </w:trPr>
        <w:tc>
          <w:tcPr>
            <w:tcW w:w="7549" w:type="dxa"/>
            <w:tcBorders>
              <w:top w:val="nil"/>
              <w:left w:val="single" w:sz="8" w:space="0" w:color="auto"/>
              <w:bottom w:val="single" w:sz="4" w:space="0" w:color="auto"/>
              <w:right w:val="single" w:sz="8" w:space="0" w:color="auto"/>
            </w:tcBorders>
            <w:shd w:val="clear" w:color="auto" w:fill="auto"/>
            <w:vAlign w:val="center"/>
            <w:hideMark/>
          </w:tcPr>
          <w:p w14:paraId="19F76574" w14:textId="77777777" w:rsidR="00456800" w:rsidRPr="00511DFE" w:rsidRDefault="00456800" w:rsidP="00E432AF">
            <w:pPr>
              <w:spacing w:before="100" w:beforeAutospacing="1" w:after="100" w:afterAutospacing="1"/>
              <w:ind w:left="851" w:hanging="284"/>
              <w:rPr>
                <w:rFonts w:ascii="Arial" w:eastAsia="Times New Roman" w:hAnsi="Arial" w:cs="Arial"/>
                <w:color w:val="000000"/>
                <w:sz w:val="18"/>
                <w:szCs w:val="18"/>
              </w:rPr>
            </w:pPr>
            <w:r w:rsidRPr="00511DFE">
              <w:rPr>
                <w:rFonts w:ascii="Arial" w:eastAsia="Times New Roman" w:hAnsi="Arial" w:cs="Arial"/>
                <w:color w:val="000000"/>
                <w:sz w:val="18"/>
                <w:szCs w:val="18"/>
              </w:rPr>
              <w:t>93 Actividades legislativas, gubernamentales, de impartición de justicia y de</w:t>
            </w:r>
            <w:r>
              <w:rPr>
                <w:rFonts w:ascii="Arial" w:eastAsia="Times New Roman" w:hAnsi="Arial" w:cs="Arial"/>
                <w:color w:val="000000"/>
                <w:sz w:val="18"/>
                <w:szCs w:val="18"/>
              </w:rPr>
              <w:t xml:space="preserve"> </w:t>
            </w:r>
            <w:r w:rsidRPr="00511DFE">
              <w:rPr>
                <w:rFonts w:ascii="Arial" w:eastAsia="Times New Roman" w:hAnsi="Arial" w:cs="Arial"/>
                <w:color w:val="000000"/>
                <w:sz w:val="18"/>
                <w:szCs w:val="18"/>
              </w:rPr>
              <w:t>organismos internacionales y extraterritoriales</w:t>
            </w:r>
          </w:p>
        </w:tc>
        <w:tc>
          <w:tcPr>
            <w:tcW w:w="1391" w:type="dxa"/>
            <w:tcBorders>
              <w:top w:val="nil"/>
              <w:left w:val="single" w:sz="8" w:space="0" w:color="auto"/>
              <w:bottom w:val="single" w:sz="4" w:space="0" w:color="auto"/>
              <w:right w:val="single" w:sz="8" w:space="0" w:color="auto"/>
            </w:tcBorders>
            <w:shd w:val="clear" w:color="auto" w:fill="auto"/>
            <w:vAlign w:val="center"/>
            <w:hideMark/>
          </w:tcPr>
          <w:p w14:paraId="42FBCFAF" w14:textId="2FFF5FFA" w:rsidR="00456800" w:rsidRPr="004D4361" w:rsidRDefault="00456800" w:rsidP="00E432AF">
            <w:pPr>
              <w:jc w:val="right"/>
              <w:rPr>
                <w:rFonts w:ascii="Arial" w:hAnsi="Arial" w:cs="Arial"/>
                <w:color w:val="000000"/>
                <w:sz w:val="18"/>
                <w:szCs w:val="18"/>
              </w:rPr>
            </w:pPr>
            <w:r w:rsidRPr="004D4361">
              <w:rPr>
                <w:rFonts w:ascii="Arial" w:hAnsi="Arial" w:cs="Arial"/>
                <w:color w:val="000000"/>
                <w:sz w:val="18"/>
                <w:szCs w:val="18"/>
              </w:rPr>
              <w:t>319</w:t>
            </w:r>
            <w:r w:rsidR="006C6EF7">
              <w:rPr>
                <w:rFonts w:ascii="Arial" w:hAnsi="Arial" w:cs="Arial"/>
                <w:color w:val="000000"/>
                <w:sz w:val="18"/>
                <w:szCs w:val="18"/>
              </w:rPr>
              <w:t xml:space="preserve"> </w:t>
            </w:r>
            <w:r w:rsidRPr="004D4361">
              <w:rPr>
                <w:rFonts w:ascii="Arial" w:hAnsi="Arial" w:cs="Arial"/>
                <w:color w:val="000000"/>
                <w:sz w:val="18"/>
                <w:szCs w:val="18"/>
              </w:rPr>
              <w:t>674</w:t>
            </w:r>
          </w:p>
        </w:tc>
      </w:tr>
    </w:tbl>
    <w:p w14:paraId="64521297" w14:textId="77777777" w:rsidR="009D0C99" w:rsidRDefault="009D0C99" w:rsidP="009D0C99">
      <w:pPr>
        <w:rPr>
          <w:rFonts w:ascii="Arial" w:hAnsi="Arial" w:cs="Arial"/>
        </w:rPr>
      </w:pPr>
      <w:r>
        <w:rPr>
          <w:rFonts w:ascii="Arial" w:hAnsi="Arial" w:cs="Arial"/>
          <w:sz w:val="16"/>
          <w:szCs w:val="16"/>
        </w:rPr>
        <w:t xml:space="preserve"> Fuente: INEGI.</w:t>
      </w:r>
    </w:p>
    <w:p w14:paraId="3BA01E78" w14:textId="77777777" w:rsidR="009D0C99" w:rsidRPr="003C7190" w:rsidRDefault="009D0C99" w:rsidP="009D0C99">
      <w:pPr>
        <w:pStyle w:val="n01"/>
        <w:keepLines w:val="0"/>
        <w:spacing w:before="120"/>
        <w:ind w:left="0" w:firstLine="0"/>
        <w:outlineLvl w:val="0"/>
        <w:rPr>
          <w:rFonts w:ascii="Arial" w:hAnsi="Arial" w:cs="Arial"/>
          <w:b/>
          <w:smallCaps/>
          <w:color w:val="auto"/>
          <w:lang w:val="es-MX"/>
        </w:rPr>
      </w:pPr>
      <w:r>
        <w:rPr>
          <w:b/>
          <w:smallCaps/>
        </w:rPr>
        <w:br w:type="page"/>
      </w:r>
      <w:r w:rsidRPr="003C7190">
        <w:rPr>
          <w:rFonts w:ascii="Arial" w:hAnsi="Arial" w:cs="Arial"/>
          <w:b/>
          <w:smallCaps/>
          <w:color w:val="auto"/>
          <w:lang w:val="es-MX"/>
        </w:rPr>
        <w:lastRenderedPageBreak/>
        <w:t>Aspectos Metodológicos</w:t>
      </w:r>
    </w:p>
    <w:p w14:paraId="68D029ED" w14:textId="7065EFC8" w:rsidR="009A45F4" w:rsidRPr="003C7190" w:rsidRDefault="009A45F4" w:rsidP="009A45F4">
      <w:pPr>
        <w:pStyle w:val="Textoindependiente"/>
        <w:tabs>
          <w:tab w:val="center" w:pos="3348"/>
        </w:tabs>
        <w:spacing w:before="360"/>
        <w:rPr>
          <w:rFonts w:ascii="Arial" w:hAnsi="Arial" w:cs="Arial"/>
        </w:rPr>
      </w:pPr>
      <w:r w:rsidRPr="003C7190">
        <w:rPr>
          <w:rFonts w:ascii="Arial" w:hAnsi="Arial" w:cs="Arial"/>
        </w:rPr>
        <w:t xml:space="preserve">El ámbito conceptual y metodológico que sirve de base para elaborar las Cuentas de Bienes y Servicios tiene su referencia general en el Manual del Sistema de Cuentas Nacionales 2008 (SCN 2008), que fue publicado conjuntamente por la Organización de las Naciones Unidas (ONU), la Organización para la Cooperación y el Desarrollo Económicos (OCDE), el Fondo Monetario Internacional (FMI), el Banco Mundial (BM) y la </w:t>
      </w:r>
      <w:r w:rsidR="00F811B6">
        <w:rPr>
          <w:rFonts w:ascii="Arial" w:hAnsi="Arial" w:cs="Arial"/>
          <w:lang w:val="es-MX"/>
        </w:rPr>
        <w:t xml:space="preserve">Oficina de Estadística de la Comisión Europea </w:t>
      </w:r>
      <w:r w:rsidRPr="003C7190">
        <w:rPr>
          <w:rFonts w:ascii="Arial" w:hAnsi="Arial" w:cs="Arial"/>
        </w:rPr>
        <w:t>(EUROSTAT).</w:t>
      </w:r>
    </w:p>
    <w:p w14:paraId="6C06EF7C" w14:textId="0B806730" w:rsidR="00033CE3" w:rsidRPr="003C7190" w:rsidRDefault="009A45F4" w:rsidP="009A45F4">
      <w:pPr>
        <w:pStyle w:val="Textoindependiente"/>
        <w:tabs>
          <w:tab w:val="center" w:pos="3348"/>
        </w:tabs>
        <w:spacing w:before="360"/>
        <w:rPr>
          <w:rFonts w:ascii="Arial" w:hAnsi="Arial" w:cs="Arial"/>
        </w:rPr>
      </w:pPr>
      <w:r w:rsidRPr="00F62081">
        <w:rPr>
          <w:rFonts w:ascii="Arial" w:hAnsi="Arial" w:cs="Arial"/>
        </w:rPr>
        <w:t>La</w:t>
      </w:r>
      <w:r w:rsidRPr="00F62081">
        <w:rPr>
          <w:rFonts w:ascii="Arial" w:hAnsi="Arial" w:cs="Arial"/>
          <w:lang w:val="es-MX"/>
        </w:rPr>
        <w:t xml:space="preserve"> elaboración de las </w:t>
      </w:r>
      <w:r w:rsidRPr="00F62081">
        <w:rPr>
          <w:rFonts w:ascii="Arial" w:hAnsi="Arial" w:cs="Arial"/>
        </w:rPr>
        <w:t>Cuentas de Bienes y Servicios implica la preparación de cuadros de oferta y utilización y un conjunto de cuentas de producción por industrias o para grupos de establecimientos cuyos bienes y servicios elaborados sean similares y homogéneos; mismas que aportan información sobre la mano de obra ocupada, su distribución por actividad económica y por nivel ocupacional, así como las remuneraciones medias anuales percibidas. También se incluyen cuentas de generación y distribución del ingreso, de capital y la de transacciones corrientes con el resto del mundo.</w:t>
      </w:r>
    </w:p>
    <w:p w14:paraId="7B3C8C62" w14:textId="77777777" w:rsidR="009A45F4" w:rsidRPr="003C7190" w:rsidRDefault="009A45F4" w:rsidP="009A45F4">
      <w:pPr>
        <w:pStyle w:val="Textoindependiente"/>
        <w:tabs>
          <w:tab w:val="center" w:pos="3348"/>
        </w:tabs>
        <w:spacing w:before="360"/>
        <w:rPr>
          <w:rFonts w:ascii="Arial" w:hAnsi="Arial" w:cs="Arial"/>
        </w:rPr>
      </w:pPr>
      <w:r w:rsidRPr="00F62081">
        <w:rPr>
          <w:rFonts w:ascii="Arial" w:hAnsi="Arial" w:cs="Arial"/>
        </w:rPr>
        <w:t>En particular, la cuenta de producción pone en relieve el valor agregado como uno de los principales saldos contables del sistema; en dicha cuenta se mide la producción (productos) y el consumo de bienes y servicios empleados para obtener esta producción; en este concepto no se incluye el valor del desgaste y obsolescencia del capital fijo.</w:t>
      </w:r>
    </w:p>
    <w:p w14:paraId="5CE29279" w14:textId="77777777" w:rsidR="009A45F4" w:rsidRPr="003C7190" w:rsidRDefault="009A45F4" w:rsidP="009A45F4">
      <w:pPr>
        <w:pStyle w:val="Textoindependiente"/>
        <w:tabs>
          <w:tab w:val="center" w:pos="3348"/>
        </w:tabs>
        <w:spacing w:before="360"/>
        <w:rPr>
          <w:rFonts w:ascii="Arial" w:hAnsi="Arial" w:cs="Arial"/>
        </w:rPr>
      </w:pPr>
      <w:r w:rsidRPr="003C7190">
        <w:rPr>
          <w:rFonts w:ascii="Arial" w:hAnsi="Arial" w:cs="Arial"/>
        </w:rPr>
        <w:t xml:space="preserve">La valoración de la producción se realiza en valores básicos, donde quedan incluidos los impuestos a la producción, pero se excluyen los impuestos a los productos, ambos netos de subsidios. </w:t>
      </w:r>
    </w:p>
    <w:p w14:paraId="7B1A03FF" w14:textId="77777777" w:rsidR="009A45F4" w:rsidRPr="003C7190" w:rsidRDefault="009A45F4" w:rsidP="009A45F4">
      <w:pPr>
        <w:pStyle w:val="Textoindependiente"/>
        <w:tabs>
          <w:tab w:val="center" w:pos="3348"/>
        </w:tabs>
        <w:spacing w:before="360"/>
        <w:rPr>
          <w:rFonts w:ascii="Arial" w:hAnsi="Arial" w:cs="Arial"/>
        </w:rPr>
      </w:pPr>
      <w:r w:rsidRPr="00D12F35">
        <w:rPr>
          <w:rFonts w:ascii="Arial" w:hAnsi="Arial" w:cs="Arial"/>
        </w:rPr>
        <w:t xml:space="preserve">Los datos corresponden al total de la economía, </w:t>
      </w:r>
      <w:r>
        <w:rPr>
          <w:rFonts w:ascii="Arial" w:hAnsi="Arial" w:cs="Arial"/>
        </w:rPr>
        <w:t>así como para cada uno de los 20</w:t>
      </w:r>
      <w:r w:rsidRPr="00D12F35">
        <w:rPr>
          <w:rFonts w:ascii="Arial" w:hAnsi="Arial" w:cs="Arial"/>
        </w:rPr>
        <w:t xml:space="preserve"> sectores del clasificador SCIAN versión 20</w:t>
      </w:r>
      <w:r>
        <w:rPr>
          <w:rFonts w:ascii="Arial" w:hAnsi="Arial" w:cs="Arial"/>
          <w:lang w:val="es-MX"/>
        </w:rPr>
        <w:t>13</w:t>
      </w:r>
      <w:r w:rsidRPr="00D12F35">
        <w:rPr>
          <w:rFonts w:ascii="Arial" w:hAnsi="Arial" w:cs="Arial"/>
        </w:rPr>
        <w:t xml:space="preserve"> que corresponden a: Agricultura, cría y explotación de animales, aprovecham</w:t>
      </w:r>
      <w:r>
        <w:rPr>
          <w:rFonts w:ascii="Arial" w:hAnsi="Arial" w:cs="Arial"/>
        </w:rPr>
        <w:t xml:space="preserve">iento, forestal, pesca y caza; </w:t>
      </w:r>
      <w:r w:rsidRPr="00D12F35">
        <w:rPr>
          <w:rFonts w:ascii="Arial" w:hAnsi="Arial" w:cs="Arial"/>
        </w:rPr>
        <w:t xml:space="preserve">Minería; </w:t>
      </w:r>
      <w:r w:rsidRPr="00EE1D40">
        <w:rPr>
          <w:rFonts w:ascii="Arial" w:hAnsi="Arial" w:cs="Arial"/>
        </w:rPr>
        <w:t>Generación, transmisión y distribución de energía eléctrica, suministro de agua y de gas por ductos al consumidor final; Construcción; Industrias Manufactureras;</w:t>
      </w:r>
      <w:r w:rsidRPr="00D12F35">
        <w:rPr>
          <w:rFonts w:ascii="Arial" w:hAnsi="Arial" w:cs="Arial"/>
        </w:rPr>
        <w:t xml:space="preserve"> </w:t>
      </w:r>
      <w:r w:rsidRPr="00EE1D40">
        <w:rPr>
          <w:rFonts w:ascii="Arial" w:hAnsi="Arial" w:cs="Arial"/>
        </w:rPr>
        <w:t>Comercio</w:t>
      </w:r>
      <w:r>
        <w:rPr>
          <w:rFonts w:ascii="Arial" w:hAnsi="Arial" w:cs="Arial"/>
          <w:lang w:val="es-MX"/>
        </w:rPr>
        <w:t xml:space="preserve"> al por mayor</w:t>
      </w:r>
      <w:r w:rsidRPr="00EE1D40">
        <w:rPr>
          <w:rFonts w:ascii="Arial" w:hAnsi="Arial" w:cs="Arial"/>
        </w:rPr>
        <w:t>;</w:t>
      </w:r>
      <w:r>
        <w:rPr>
          <w:rFonts w:ascii="Arial" w:hAnsi="Arial" w:cs="Arial"/>
          <w:lang w:val="es-MX"/>
        </w:rPr>
        <w:t xml:space="preserve"> Comercio al por menor;</w:t>
      </w:r>
      <w:r w:rsidRPr="00EE1D40">
        <w:rPr>
          <w:rFonts w:ascii="Arial" w:hAnsi="Arial" w:cs="Arial"/>
        </w:rPr>
        <w:t xml:space="preserve"> Transporte, correos y almacenamiento; Información en medios masivos; Servicios financieros y de seguros; Servicios inmobiliarios y de alquiler de bienes muebles e intangibles; Servicios profesionales, científicos y técnicos; Corporativos; Servicios de apoyo a los negocios y manejo de desechos y servicios de remediación; Servicios educativos; Servicios de salud y de asistencia social; Servicios de esparcimiento culturales y deportivos, y otros servicios recreativos; Servicios de alojamiento temporal y de preparación de alimentos y bebidas; Otros servicios excepto </w:t>
      </w:r>
      <w:r w:rsidRPr="00EE1D40">
        <w:rPr>
          <w:rFonts w:ascii="Arial" w:hAnsi="Arial" w:cs="Arial"/>
        </w:rPr>
        <w:lastRenderedPageBreak/>
        <w:t>actividades gubernamentales; Actividades legislativas, gubernamentales, de impartición de justicia y de organismos internacionales y extraterritoriales.</w:t>
      </w:r>
      <w:r w:rsidRPr="003C7190">
        <w:rPr>
          <w:rFonts w:ascii="Arial" w:hAnsi="Arial" w:cs="Arial"/>
        </w:rPr>
        <w:t xml:space="preserve"> </w:t>
      </w:r>
    </w:p>
    <w:p w14:paraId="301837E3" w14:textId="2BF1E331" w:rsidR="009A45F4" w:rsidRPr="003C7190" w:rsidRDefault="009A45F4" w:rsidP="009A45F4">
      <w:pPr>
        <w:pStyle w:val="Textoindependiente"/>
        <w:tabs>
          <w:tab w:val="center" w:pos="3348"/>
        </w:tabs>
        <w:spacing w:before="360"/>
        <w:rPr>
          <w:rFonts w:ascii="Arial" w:hAnsi="Arial" w:cs="Arial"/>
        </w:rPr>
      </w:pPr>
      <w:r w:rsidRPr="003C7190">
        <w:rPr>
          <w:rFonts w:ascii="Arial" w:hAnsi="Arial" w:cs="Arial"/>
        </w:rPr>
        <w:t>Adicionalmente se incluye la información correspondiente a cada una de las 86 ramas del SCIAN que integran a la industria manufacturera, correspondiente a las variables de salarios, sueldos, obreros y empleados</w:t>
      </w:r>
      <w:r w:rsidR="00566298">
        <w:rPr>
          <w:rFonts w:ascii="Arial" w:hAnsi="Arial" w:cs="Arial"/>
          <w:lang w:val="es-MX"/>
        </w:rPr>
        <w:t>,</w:t>
      </w:r>
      <w:r w:rsidRPr="003C7190">
        <w:rPr>
          <w:rFonts w:ascii="Arial" w:hAnsi="Arial" w:cs="Arial"/>
        </w:rPr>
        <w:t xml:space="preserve"> destacando: productos alimenticios, bebidas y tabaco; textiles, prendas de vestir e industria del cuero; industria de la madera y productos de madera; papel, productos de papel, imprentas y editoriales; sustancias químicas, derivados del petróleo, productos de caucho y plásticos; productos de minerales no metálicos, exceptuando derivados del petróleo y carbón; industrias metálicas básicas; productos metálicos, maquinaria y equipo; y otras industrias manufactureras. </w:t>
      </w:r>
    </w:p>
    <w:p w14:paraId="2C24C8D2" w14:textId="77777777" w:rsidR="009A45F4" w:rsidRPr="003C7190" w:rsidRDefault="009A45F4" w:rsidP="009A45F4">
      <w:pPr>
        <w:pStyle w:val="n01"/>
        <w:keepLines w:val="0"/>
        <w:spacing w:before="600"/>
        <w:ind w:left="0" w:firstLine="0"/>
        <w:outlineLvl w:val="0"/>
        <w:rPr>
          <w:rFonts w:ascii="Arial" w:hAnsi="Arial" w:cs="Arial"/>
          <w:b/>
          <w:smallCaps/>
          <w:color w:val="auto"/>
          <w:lang w:val="es-MX"/>
        </w:rPr>
      </w:pPr>
      <w:r w:rsidRPr="003C7190">
        <w:rPr>
          <w:rFonts w:ascii="Arial" w:hAnsi="Arial" w:cs="Arial"/>
          <w:b/>
          <w:smallCaps/>
          <w:color w:val="auto"/>
          <w:lang w:val="es-MX"/>
        </w:rPr>
        <w:t>Principales fuentes de información</w:t>
      </w:r>
    </w:p>
    <w:p w14:paraId="1A38F376" w14:textId="7D6125F0" w:rsidR="009A45F4" w:rsidRPr="00EE1D40" w:rsidRDefault="009A45F4" w:rsidP="009A45F4">
      <w:pPr>
        <w:pStyle w:val="Textoindependiente"/>
        <w:tabs>
          <w:tab w:val="center" w:pos="3348"/>
        </w:tabs>
        <w:spacing w:before="360"/>
        <w:rPr>
          <w:rFonts w:ascii="Arial" w:hAnsi="Arial" w:cs="Arial"/>
        </w:rPr>
      </w:pPr>
      <w:r w:rsidRPr="00EE1D40">
        <w:rPr>
          <w:rFonts w:ascii="Arial" w:hAnsi="Arial" w:cs="Arial"/>
        </w:rPr>
        <w:t>Censo Económico 20</w:t>
      </w:r>
      <w:r>
        <w:rPr>
          <w:rFonts w:ascii="Arial" w:hAnsi="Arial" w:cs="Arial"/>
          <w:lang w:val="es-MX"/>
        </w:rPr>
        <w:t>14</w:t>
      </w:r>
      <w:r w:rsidRPr="00EE1D40">
        <w:rPr>
          <w:rFonts w:ascii="Arial" w:hAnsi="Arial" w:cs="Arial"/>
        </w:rPr>
        <w:t>; XII Censo General de Población y Vivienda 2010; así como las Encuestas Nacionales de Ingreso-Gasto de los Hogares</w:t>
      </w:r>
      <w:r>
        <w:rPr>
          <w:rFonts w:ascii="Arial" w:hAnsi="Arial" w:cs="Arial"/>
          <w:lang w:val="es-MX"/>
        </w:rPr>
        <w:t xml:space="preserve"> 2002, 2004 2005, 2006,</w:t>
      </w:r>
      <w:r w:rsidRPr="00EE1D40">
        <w:rPr>
          <w:rFonts w:ascii="Arial" w:hAnsi="Arial" w:cs="Arial"/>
        </w:rPr>
        <w:t xml:space="preserve"> </w:t>
      </w:r>
      <w:r>
        <w:rPr>
          <w:rFonts w:ascii="Arial" w:hAnsi="Arial" w:cs="Arial"/>
          <w:lang w:val="es-MX"/>
        </w:rPr>
        <w:t xml:space="preserve">2008, 2010, </w:t>
      </w:r>
      <w:r w:rsidRPr="00E04C18">
        <w:rPr>
          <w:rFonts w:ascii="Arial" w:hAnsi="Arial" w:cs="Arial"/>
        </w:rPr>
        <w:t>20</w:t>
      </w:r>
      <w:r w:rsidRPr="00E04C18">
        <w:rPr>
          <w:rFonts w:ascii="Arial" w:hAnsi="Arial" w:cs="Arial"/>
          <w:lang w:val="es-MX"/>
        </w:rPr>
        <w:t>12</w:t>
      </w:r>
      <w:r>
        <w:rPr>
          <w:rFonts w:ascii="Arial" w:hAnsi="Arial" w:cs="Arial"/>
          <w:lang w:val="es-MX"/>
        </w:rPr>
        <w:t xml:space="preserve">, </w:t>
      </w:r>
      <w:r w:rsidRPr="00F836BA">
        <w:rPr>
          <w:rFonts w:ascii="Arial" w:hAnsi="Arial" w:cs="Arial"/>
          <w:lang w:val="es-MX"/>
        </w:rPr>
        <w:t xml:space="preserve">2014, </w:t>
      </w:r>
      <w:r w:rsidRPr="00D1734E">
        <w:rPr>
          <w:rFonts w:ascii="Arial" w:hAnsi="Arial" w:cs="Arial"/>
          <w:lang w:val="es-MX"/>
        </w:rPr>
        <w:t>2016 y 2018</w:t>
      </w:r>
      <w:r w:rsidRPr="00D1734E">
        <w:rPr>
          <w:rFonts w:ascii="Arial" w:hAnsi="Arial" w:cs="Arial"/>
        </w:rPr>
        <w:t>;</w:t>
      </w:r>
      <w:r w:rsidRPr="00EE1D40">
        <w:rPr>
          <w:rFonts w:ascii="Arial" w:hAnsi="Arial" w:cs="Arial"/>
        </w:rPr>
        <w:t xml:space="preserve"> Encuestas Sectoriales del INEGI: Encuesta Mensual de la Industria Manufacturera (EMIM) y Encuesta Anual de la Industria Manufacturera (EAIM), Encuesta Mensual sobre E</w:t>
      </w:r>
      <w:r w:rsidR="00CB2951">
        <w:rPr>
          <w:rFonts w:ascii="Arial" w:hAnsi="Arial" w:cs="Arial"/>
          <w:lang w:val="es-MX"/>
        </w:rPr>
        <w:t xml:space="preserve">mpresas </w:t>
      </w:r>
      <w:r w:rsidRPr="00EE1D40">
        <w:rPr>
          <w:rFonts w:ascii="Arial" w:hAnsi="Arial" w:cs="Arial"/>
        </w:rPr>
        <w:t xml:space="preserve">Comerciales, Balanza de Pagos, Estadística de la Industria Minero-metalúrgica, la </w:t>
      </w:r>
      <w:r w:rsidRPr="00F836BA">
        <w:rPr>
          <w:rFonts w:ascii="Arial" w:hAnsi="Arial" w:cs="Arial"/>
        </w:rPr>
        <w:t xml:space="preserve">Encuesta </w:t>
      </w:r>
      <w:r>
        <w:rPr>
          <w:rFonts w:ascii="Arial" w:hAnsi="Arial" w:cs="Arial"/>
          <w:lang w:val="es-MX"/>
        </w:rPr>
        <w:t>Nacional de Empresas Constructoras</w:t>
      </w:r>
      <w:r w:rsidRPr="00EE1D40">
        <w:rPr>
          <w:rFonts w:ascii="Arial" w:hAnsi="Arial" w:cs="Arial"/>
        </w:rPr>
        <w:t xml:space="preserve"> y Encuestas de Servicios</w:t>
      </w:r>
      <w:r w:rsidR="0083638E">
        <w:rPr>
          <w:rFonts w:ascii="Arial" w:hAnsi="Arial" w:cs="Arial"/>
          <w:lang w:val="es-MX"/>
        </w:rPr>
        <w:t xml:space="preserve">; así como el </w:t>
      </w:r>
      <w:r w:rsidR="0083638E" w:rsidRPr="0083638E">
        <w:rPr>
          <w:rFonts w:ascii="Arial" w:hAnsi="Arial" w:cs="Arial"/>
          <w:lang w:val="es-MX"/>
        </w:rPr>
        <w:t>Registro Administrativo de la Industria Automotriz de Vehículos Ligeros (RAIAVL)</w:t>
      </w:r>
      <w:r w:rsidR="0083638E">
        <w:rPr>
          <w:rFonts w:ascii="Arial" w:hAnsi="Arial" w:cs="Arial"/>
          <w:lang w:val="es-MX"/>
        </w:rPr>
        <w:t xml:space="preserve"> y el </w:t>
      </w:r>
      <w:r w:rsidR="0083638E" w:rsidRPr="0083638E">
        <w:rPr>
          <w:rFonts w:ascii="Arial" w:hAnsi="Arial" w:cs="Arial"/>
          <w:lang w:val="es-MX"/>
        </w:rPr>
        <w:t>Registro Administrativo de la Industria Automotriz de Vehículos Pesados (RAIAVP)</w:t>
      </w:r>
      <w:r w:rsidRPr="00EE1D40">
        <w:rPr>
          <w:rFonts w:ascii="Arial" w:hAnsi="Arial" w:cs="Arial"/>
        </w:rPr>
        <w:t>. Además, indicadores de precios de los Índices de Precios Consumidor y Productor.</w:t>
      </w:r>
    </w:p>
    <w:p w14:paraId="15E0C12C" w14:textId="320A84D3" w:rsidR="009A45F4" w:rsidRPr="003C7190" w:rsidRDefault="009A45F4" w:rsidP="009A45F4">
      <w:pPr>
        <w:pStyle w:val="Textoindependiente"/>
        <w:tabs>
          <w:tab w:val="center" w:pos="3348"/>
        </w:tabs>
        <w:spacing w:before="360"/>
        <w:rPr>
          <w:rFonts w:ascii="Arial" w:hAnsi="Arial" w:cs="Arial"/>
        </w:rPr>
      </w:pPr>
      <w:r w:rsidRPr="00EE1D40">
        <w:rPr>
          <w:rFonts w:ascii="Arial" w:hAnsi="Arial" w:cs="Arial"/>
        </w:rPr>
        <w:t xml:space="preserve">Instituciones y Organismos Públicos: Servicio de Transportes Eléctricos del Distrito Federal, Sistema de Transporte Colectivo, Metrorrey, Caminos y Puentes Federales (CAPUFE), Comisión Federal de Electricidad (CFE), Comisión Nacional del Agua (CONAGUA), Instituto de Seguridad y Servicios Sociales de los Trabajadores del Estado (ISSSTE), Instituto Mexicano del Seguro Social (IMSS), Banco de México (BANXICO), Servicio Postal Mexicano (SEPOMEX), Petróleos Mexicanos (PEMEX), Secretaría de Comunicaciones y Transportes (SCT), Instituto </w:t>
      </w:r>
      <w:r w:rsidRPr="00EE1D40">
        <w:rPr>
          <w:rFonts w:ascii="Arial" w:hAnsi="Arial" w:cs="Arial"/>
          <w:lang w:val="es-MX"/>
        </w:rPr>
        <w:t xml:space="preserve">Nacional </w:t>
      </w:r>
      <w:r w:rsidRPr="00EE1D40">
        <w:rPr>
          <w:rFonts w:ascii="Arial" w:hAnsi="Arial" w:cs="Arial"/>
        </w:rPr>
        <w:t>Electoral (I</w:t>
      </w:r>
      <w:r w:rsidRPr="00EE1D40">
        <w:rPr>
          <w:rFonts w:ascii="Arial" w:hAnsi="Arial" w:cs="Arial"/>
          <w:lang w:val="es-MX"/>
        </w:rPr>
        <w:t>N</w:t>
      </w:r>
      <w:r w:rsidRPr="00EE1D40">
        <w:rPr>
          <w:rFonts w:ascii="Arial" w:hAnsi="Arial" w:cs="Arial"/>
        </w:rPr>
        <w:t>E), Secretaría de Agricultura</w:t>
      </w:r>
      <w:r w:rsidR="00254DE5">
        <w:rPr>
          <w:rFonts w:ascii="Arial" w:hAnsi="Arial" w:cs="Arial"/>
          <w:lang w:val="es-MX"/>
        </w:rPr>
        <w:t xml:space="preserve"> y</w:t>
      </w:r>
      <w:r w:rsidRPr="00EE1D40">
        <w:rPr>
          <w:rFonts w:ascii="Arial" w:hAnsi="Arial" w:cs="Arial"/>
        </w:rPr>
        <w:t xml:space="preserve"> Desarrollo Rural (SA</w:t>
      </w:r>
      <w:r w:rsidR="00254DE5">
        <w:rPr>
          <w:rFonts w:ascii="Arial" w:hAnsi="Arial" w:cs="Arial"/>
          <w:lang w:val="es-MX"/>
        </w:rPr>
        <w:t>DER</w:t>
      </w:r>
      <w:r w:rsidR="00291CE7">
        <w:rPr>
          <w:rFonts w:ascii="Arial" w:hAnsi="Arial" w:cs="Arial"/>
          <w:lang w:val="es-MX"/>
        </w:rPr>
        <w:t>, antes SAGARPA</w:t>
      </w:r>
      <w:r w:rsidRPr="00EE1D40">
        <w:rPr>
          <w:rFonts w:ascii="Arial" w:hAnsi="Arial" w:cs="Arial"/>
        </w:rPr>
        <w:t>), Secretaría de Hacienda y Crédito Público (SHCP), Secretaría de Salud (SS) y Secretaría de Turismo (SECTUR), Secretaría de Educación Pública (SEP), Secretaría de Gobernación (SEGOB) y Gobierno</w:t>
      </w:r>
      <w:r>
        <w:rPr>
          <w:rFonts w:ascii="Arial" w:hAnsi="Arial" w:cs="Arial"/>
        </w:rPr>
        <w:t xml:space="preserve">s de los Estados, entre otros. </w:t>
      </w:r>
    </w:p>
    <w:p w14:paraId="6A5F7D83" w14:textId="08E9EFDF" w:rsidR="009A45F4" w:rsidRPr="00EE1D40" w:rsidRDefault="009A45F4" w:rsidP="009A45F4">
      <w:pPr>
        <w:pStyle w:val="Textoindependiente"/>
        <w:tabs>
          <w:tab w:val="center" w:pos="3348"/>
        </w:tabs>
        <w:spacing w:before="360"/>
        <w:rPr>
          <w:rFonts w:ascii="Arial" w:hAnsi="Arial" w:cs="Arial"/>
        </w:rPr>
      </w:pPr>
      <w:r w:rsidRPr="00EE1D40">
        <w:rPr>
          <w:rFonts w:ascii="Arial" w:hAnsi="Arial" w:cs="Arial"/>
        </w:rPr>
        <w:t xml:space="preserve">Otras Empresas y Organismos: Teléfonos de México, S.A. (TELMEX), </w:t>
      </w:r>
      <w:proofErr w:type="spellStart"/>
      <w:r w:rsidRPr="00EE1D40">
        <w:rPr>
          <w:rFonts w:ascii="Arial" w:hAnsi="Arial" w:cs="Arial"/>
        </w:rPr>
        <w:t>Radio</w:t>
      </w:r>
      <w:r w:rsidR="00254DE5">
        <w:rPr>
          <w:rFonts w:ascii="Arial" w:hAnsi="Arial" w:cs="Arial"/>
          <w:lang w:val="es-MX"/>
        </w:rPr>
        <w:t>m</w:t>
      </w:r>
      <w:r w:rsidRPr="00EE1D40">
        <w:rPr>
          <w:rFonts w:ascii="Arial" w:hAnsi="Arial" w:cs="Arial"/>
        </w:rPr>
        <w:t>óvil</w:t>
      </w:r>
      <w:proofErr w:type="spellEnd"/>
      <w:r w:rsidRPr="00EE1D40">
        <w:rPr>
          <w:rFonts w:ascii="Arial" w:hAnsi="Arial" w:cs="Arial"/>
        </w:rPr>
        <w:t xml:space="preserve"> DIPSA, S.A. de C.V. (TELCEL), AVANTEL, S.A., </w:t>
      </w:r>
      <w:r w:rsidRPr="00F836BA">
        <w:rPr>
          <w:rFonts w:ascii="Arial" w:hAnsi="Arial" w:cs="Arial"/>
        </w:rPr>
        <w:t xml:space="preserve">Grupo </w:t>
      </w:r>
      <w:r w:rsidR="00254DE5" w:rsidRPr="00F836BA">
        <w:rPr>
          <w:rFonts w:ascii="Arial" w:hAnsi="Arial" w:cs="Arial"/>
        </w:rPr>
        <w:t>I</w:t>
      </w:r>
      <w:r w:rsidR="00254DE5">
        <w:rPr>
          <w:rFonts w:ascii="Arial" w:hAnsi="Arial" w:cs="Arial"/>
          <w:lang w:val="es-MX"/>
        </w:rPr>
        <w:t>usacell</w:t>
      </w:r>
      <w:r w:rsidR="00254DE5" w:rsidRPr="00F836BA">
        <w:rPr>
          <w:rFonts w:ascii="Arial" w:hAnsi="Arial" w:cs="Arial"/>
        </w:rPr>
        <w:t xml:space="preserve"> </w:t>
      </w:r>
      <w:r w:rsidRPr="00F836BA">
        <w:rPr>
          <w:rFonts w:ascii="Arial" w:hAnsi="Arial" w:cs="Arial"/>
        </w:rPr>
        <w:t>S.A. de C.V.,</w:t>
      </w:r>
      <w:r w:rsidRPr="00EE1D40">
        <w:rPr>
          <w:rFonts w:ascii="Arial" w:hAnsi="Arial" w:cs="Arial"/>
        </w:rPr>
        <w:t xml:space="preserve"> Aeropuertos y Servicios Auxiliares (ASA), Servicios a la Navegación en el Espacio </w:t>
      </w:r>
      <w:r w:rsidRPr="00EE1D40">
        <w:rPr>
          <w:rFonts w:ascii="Arial" w:hAnsi="Arial" w:cs="Arial"/>
        </w:rPr>
        <w:lastRenderedPageBreak/>
        <w:t>Aéreo Mexicano (SENEAM), Grupos Aeroportuarios, Satélites Mexicanos (SATMEX</w:t>
      </w:r>
      <w:r w:rsidR="00254DE5">
        <w:rPr>
          <w:rFonts w:ascii="Arial" w:hAnsi="Arial" w:cs="Arial"/>
          <w:lang w:val="es-MX"/>
        </w:rPr>
        <w:t>, adquirida por Eutelsat</w:t>
      </w:r>
      <w:r w:rsidRPr="00EE1D40">
        <w:rPr>
          <w:rFonts w:ascii="Arial" w:hAnsi="Arial" w:cs="Arial"/>
        </w:rPr>
        <w:t xml:space="preserve">), Asociación Nacional de Productores de Autobuses, Camiones y Tractocamiones, A.C. (ANPACT), Asociación Mexicana de Distribuidores de Autos, A.C. (AMDA), Cementos Mexicanos en México (CEMEX), Asociación Mexicana de Instituciones de Seguros (AMIS), Asociación Mexicana de Bancos (AMB), así como de otras empresas de servicios privados. </w:t>
      </w:r>
    </w:p>
    <w:p w14:paraId="6C5F0432" w14:textId="538AF692" w:rsidR="009A45F4" w:rsidRDefault="009A45F4" w:rsidP="009A45F4">
      <w:pPr>
        <w:pStyle w:val="Textoindependiente"/>
        <w:tabs>
          <w:tab w:val="center" w:pos="3348"/>
        </w:tabs>
        <w:spacing w:before="360"/>
        <w:rPr>
          <w:rFonts w:ascii="Arial" w:hAnsi="Arial" w:cs="Arial"/>
        </w:rPr>
      </w:pPr>
      <w:r w:rsidRPr="003C7190">
        <w:rPr>
          <w:rFonts w:ascii="Arial" w:hAnsi="Arial" w:cs="Arial"/>
        </w:rPr>
        <w:t xml:space="preserve">Los resultados que se presentan en este comunicado de prensa son tan solo una parte de las múltiples variables macroeconómicas que explican el nivel y comportamiento de la actividad económica del país, y que se incluyen </w:t>
      </w:r>
      <w:r w:rsidRPr="006770FE">
        <w:rPr>
          <w:rFonts w:ascii="Arial" w:hAnsi="Arial" w:cs="Arial"/>
        </w:rPr>
        <w:t>en la publicación “Cuentas de Bienes y Servicios, 20</w:t>
      </w:r>
      <w:r w:rsidR="00D1734E" w:rsidRPr="006770FE">
        <w:rPr>
          <w:rFonts w:ascii="Arial" w:hAnsi="Arial" w:cs="Arial"/>
          <w:lang w:val="es-MX"/>
        </w:rPr>
        <w:t>20</w:t>
      </w:r>
      <w:r w:rsidR="00D955B4" w:rsidRPr="006770FE">
        <w:rPr>
          <w:rFonts w:ascii="Arial" w:hAnsi="Arial" w:cs="Arial"/>
          <w:lang w:val="es-MX"/>
        </w:rPr>
        <w:t>. Preliminar</w:t>
      </w:r>
      <w:r w:rsidRPr="006770FE">
        <w:rPr>
          <w:rFonts w:ascii="Arial" w:hAnsi="Arial" w:cs="Arial"/>
        </w:rPr>
        <w:t>. Año Base 2013”</w:t>
      </w:r>
      <w:r w:rsidR="0046058A" w:rsidRPr="006770FE">
        <w:rPr>
          <w:rFonts w:ascii="Arial" w:hAnsi="Arial" w:cs="Arial"/>
          <w:lang w:val="es-MX"/>
        </w:rPr>
        <w:t xml:space="preserve"> </w:t>
      </w:r>
      <w:r w:rsidRPr="003C7190">
        <w:rPr>
          <w:rFonts w:ascii="Arial" w:hAnsi="Arial" w:cs="Arial"/>
        </w:rPr>
        <w:t>versión preliminar, la cual puede ser consultada en el sitio del Instituto en Internet</w:t>
      </w:r>
      <w:r w:rsidRPr="00083C9D">
        <w:rPr>
          <w:rFonts w:ascii="Arial" w:hAnsi="Arial" w:cs="Arial"/>
        </w:rPr>
        <w:t>:</w:t>
      </w:r>
    </w:p>
    <w:p w14:paraId="1CDA1E56" w14:textId="5B77D381" w:rsidR="00E92592" w:rsidRDefault="00AD704B" w:rsidP="009D0C99">
      <w:pPr>
        <w:pStyle w:val="Textoindependiente"/>
        <w:tabs>
          <w:tab w:val="center" w:pos="3348"/>
        </w:tabs>
        <w:spacing w:before="360"/>
        <w:rPr>
          <w:rFonts w:ascii="Arial" w:hAnsi="Arial" w:cs="Arial"/>
          <w:lang w:val="es-MX"/>
        </w:rPr>
      </w:pPr>
      <w:hyperlink r:id="rId25" w:history="1">
        <w:r w:rsidR="009A45F4" w:rsidRPr="00227EE5">
          <w:rPr>
            <w:rStyle w:val="Hipervnculo"/>
            <w:rFonts w:ascii="Arial" w:hAnsi="Arial" w:cs="Arial"/>
          </w:rPr>
          <w:t>https://www.inegi.org.mx/programas/pibact/2013/</w:t>
        </w:r>
      </w:hyperlink>
      <w:r w:rsidR="005127FA">
        <w:rPr>
          <w:rStyle w:val="Hipervnculo"/>
          <w:rFonts w:ascii="Arial" w:hAnsi="Arial" w:cs="Arial"/>
          <w:lang w:val="es-MX"/>
        </w:rPr>
        <w:t xml:space="preserve"> </w:t>
      </w:r>
    </w:p>
    <w:p w14:paraId="1EF9F446" w14:textId="761CF74B" w:rsidR="00E92592" w:rsidRDefault="00E92592" w:rsidP="00E92592">
      <w:pPr>
        <w:rPr>
          <w:lang w:eastAsia="x-none"/>
        </w:rPr>
      </w:pPr>
    </w:p>
    <w:sectPr w:rsidR="00E92592" w:rsidSect="00ED71F9">
      <w:headerReference w:type="default" r:id="rId26"/>
      <w:pgSz w:w="12240" w:h="15840"/>
      <w:pgMar w:top="2552" w:right="1701" w:bottom="1134"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07752" w14:textId="77777777" w:rsidR="00AD704B" w:rsidRDefault="00AD704B" w:rsidP="00ED71F9">
      <w:r>
        <w:separator/>
      </w:r>
    </w:p>
  </w:endnote>
  <w:endnote w:type="continuationSeparator" w:id="0">
    <w:p w14:paraId="031FB395" w14:textId="77777777" w:rsidR="00AD704B" w:rsidRDefault="00AD704B" w:rsidP="00ED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E869" w14:textId="77777777" w:rsidR="00E432AF" w:rsidRDefault="00E432AF" w:rsidP="002F2271">
    <w:pPr>
      <w:pStyle w:val="Piedepgina"/>
      <w:contextualSpacing/>
      <w:jc w:val="center"/>
      <w:rPr>
        <w:b/>
        <w:color w:val="002060"/>
        <w:sz w:val="22"/>
        <w:szCs w:val="22"/>
      </w:rPr>
    </w:pPr>
  </w:p>
  <w:p w14:paraId="5926C196" w14:textId="77777777" w:rsidR="00E432AF" w:rsidRPr="00AA489E" w:rsidRDefault="00E432AF" w:rsidP="002F2271">
    <w:pPr>
      <w:pStyle w:val="Piedepgina"/>
      <w:contextualSpacing/>
      <w:jc w:val="center"/>
      <w:rPr>
        <w:color w:val="002060"/>
        <w:sz w:val="18"/>
        <w:szCs w:val="18"/>
      </w:rPr>
    </w:pPr>
    <w:r w:rsidRPr="00AA489E">
      <w:rPr>
        <w:b/>
        <w:color w:val="002060"/>
        <w:sz w:val="18"/>
        <w:szCs w:val="18"/>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D68A7" w14:textId="77777777" w:rsidR="00AD704B" w:rsidRDefault="00AD704B" w:rsidP="00ED71F9">
      <w:r>
        <w:separator/>
      </w:r>
    </w:p>
  </w:footnote>
  <w:footnote w:type="continuationSeparator" w:id="0">
    <w:p w14:paraId="071C688F" w14:textId="77777777" w:rsidR="00AD704B" w:rsidRDefault="00AD704B" w:rsidP="00ED71F9">
      <w:r>
        <w:continuationSeparator/>
      </w:r>
    </w:p>
  </w:footnote>
  <w:footnote w:id="1">
    <w:p w14:paraId="09258AD1" w14:textId="77777777" w:rsidR="00E432AF" w:rsidRPr="00EB3764" w:rsidRDefault="00E432AF" w:rsidP="0085042C">
      <w:pPr>
        <w:pStyle w:val="Textonotapie"/>
        <w:ind w:hanging="426"/>
        <w:rPr>
          <w:sz w:val="18"/>
          <w:szCs w:val="18"/>
        </w:rPr>
      </w:pPr>
      <w:r w:rsidRPr="00EB3764">
        <w:rPr>
          <w:rStyle w:val="Refdenotaalpie"/>
          <w:rFonts w:ascii="Arial" w:hAnsi="Arial" w:cs="Arial"/>
          <w:sz w:val="18"/>
          <w:szCs w:val="18"/>
        </w:rPr>
        <w:footnoteRef/>
      </w:r>
      <w:r w:rsidRPr="00CB2951">
        <w:rPr>
          <w:rFonts w:ascii="Arial" w:hAnsi="Arial" w:cs="Arial"/>
          <w:sz w:val="16"/>
          <w:szCs w:val="16"/>
        </w:rPr>
        <w:t xml:space="preserve"> </w:t>
      </w:r>
      <w:r w:rsidRPr="007A0065">
        <w:rPr>
          <w:rFonts w:ascii="Arial" w:hAnsi="Arial" w:cs="Arial"/>
          <w:sz w:val="16"/>
          <w:szCs w:val="16"/>
        </w:rPr>
        <w:t>La suma de los parciales puede no coincidir con el total debido al redondeo</w:t>
      </w:r>
      <w:r>
        <w:rPr>
          <w:rFonts w:ascii="Arial" w:hAnsi="Arial" w:cs="Arial"/>
          <w:sz w:val="16"/>
          <w:szCs w:val="16"/>
        </w:rPr>
        <w:t>.</w:t>
      </w:r>
    </w:p>
  </w:footnote>
  <w:footnote w:id="2">
    <w:p w14:paraId="004B33FF" w14:textId="77777777" w:rsidR="00E432AF" w:rsidRPr="00EB3764" w:rsidRDefault="00E432AF" w:rsidP="0085042C">
      <w:pPr>
        <w:pStyle w:val="Textonotapie"/>
        <w:ind w:hanging="426"/>
        <w:rPr>
          <w:sz w:val="18"/>
          <w:szCs w:val="18"/>
        </w:rPr>
      </w:pPr>
      <w:r w:rsidRPr="00EB3764">
        <w:rPr>
          <w:rStyle w:val="Refdenotaalpie"/>
          <w:rFonts w:ascii="Arial" w:hAnsi="Arial" w:cs="Arial"/>
          <w:sz w:val="18"/>
          <w:szCs w:val="18"/>
        </w:rPr>
        <w:footnoteRef/>
      </w:r>
      <w:r w:rsidRPr="00EB3764">
        <w:rPr>
          <w:rFonts w:ascii="Arial" w:hAnsi="Arial" w:cs="Arial"/>
          <w:sz w:val="18"/>
          <w:szCs w:val="18"/>
        </w:rPr>
        <w:t xml:space="preserve"> Netos de subsidios.</w:t>
      </w:r>
    </w:p>
  </w:footnote>
  <w:footnote w:id="3">
    <w:p w14:paraId="601661DD" w14:textId="77777777" w:rsidR="00E432AF" w:rsidRDefault="00E432AF" w:rsidP="0085042C">
      <w:pPr>
        <w:pStyle w:val="Textonotapie"/>
        <w:ind w:hanging="426"/>
      </w:pPr>
      <w:r w:rsidRPr="00EB3764">
        <w:rPr>
          <w:rStyle w:val="Refdenotaalpie"/>
          <w:rFonts w:ascii="Arial" w:hAnsi="Arial" w:cs="Arial"/>
          <w:sz w:val="18"/>
          <w:szCs w:val="18"/>
        </w:rPr>
        <w:footnoteRef/>
      </w:r>
      <w:r w:rsidRPr="00EB3764">
        <w:rPr>
          <w:rFonts w:ascii="Arial" w:hAnsi="Arial" w:cs="Arial"/>
          <w:sz w:val="18"/>
          <w:szCs w:val="18"/>
        </w:rPr>
        <w:t xml:space="preserve"> Éste es igual al ahorro interno neto más el consumo de capital fijo.</w:t>
      </w:r>
    </w:p>
  </w:footnote>
  <w:footnote w:id="4">
    <w:p w14:paraId="06942599" w14:textId="77777777" w:rsidR="00E432AF" w:rsidRPr="00EB3764" w:rsidRDefault="00E432AF" w:rsidP="00ED71F9">
      <w:pPr>
        <w:pStyle w:val="Textonotapie"/>
        <w:ind w:left="142" w:hanging="142"/>
        <w:jc w:val="both"/>
        <w:rPr>
          <w:rFonts w:ascii="Arial" w:hAnsi="Arial" w:cs="Arial"/>
          <w:sz w:val="18"/>
          <w:szCs w:val="18"/>
        </w:rPr>
      </w:pPr>
      <w:r w:rsidRPr="00EB3764">
        <w:rPr>
          <w:rStyle w:val="Refdenotaalpie"/>
          <w:rFonts w:ascii="Arial" w:hAnsi="Arial" w:cs="Arial"/>
          <w:sz w:val="18"/>
          <w:szCs w:val="18"/>
        </w:rPr>
        <w:footnoteRef/>
      </w:r>
      <w:r w:rsidRPr="00EB3764">
        <w:rPr>
          <w:sz w:val="18"/>
          <w:szCs w:val="18"/>
        </w:rPr>
        <w:t xml:space="preserve"> </w:t>
      </w:r>
      <w:r w:rsidRPr="00EB3764">
        <w:rPr>
          <w:rFonts w:ascii="Arial" w:hAnsi="Arial" w:cs="Arial"/>
          <w:sz w:val="18"/>
          <w:szCs w:val="18"/>
        </w:rPr>
        <w:tab/>
        <w:t>Son los precios de los bienes y servicios valorados en el establecimiento de venta. En éstos se incluyen los gastos de transporte y los impuestos netos a los productos como el IVA.</w:t>
      </w:r>
    </w:p>
  </w:footnote>
  <w:footnote w:id="5">
    <w:p w14:paraId="7C732144" w14:textId="77777777" w:rsidR="00E432AF" w:rsidRPr="00EB3764" w:rsidRDefault="00E432AF" w:rsidP="00ED71F9">
      <w:pPr>
        <w:pStyle w:val="Textonotapie"/>
        <w:ind w:left="142" w:hanging="142"/>
        <w:jc w:val="both"/>
        <w:rPr>
          <w:rFonts w:ascii="Arial" w:hAnsi="Arial" w:cs="Arial"/>
          <w:sz w:val="18"/>
          <w:szCs w:val="18"/>
        </w:rPr>
      </w:pPr>
      <w:r w:rsidRPr="00EB3764">
        <w:rPr>
          <w:rStyle w:val="Refdenotaalpie"/>
          <w:rFonts w:ascii="Arial" w:hAnsi="Arial" w:cs="Arial"/>
          <w:sz w:val="18"/>
          <w:szCs w:val="18"/>
        </w:rPr>
        <w:footnoteRef/>
      </w:r>
      <w:r w:rsidRPr="00EB3764">
        <w:rPr>
          <w:rFonts w:ascii="Arial" w:hAnsi="Arial" w:cs="Arial"/>
          <w:sz w:val="18"/>
          <w:szCs w:val="18"/>
        </w:rPr>
        <w:t xml:space="preserve"> </w:t>
      </w:r>
      <w:r w:rsidRPr="00EB3764">
        <w:rPr>
          <w:rFonts w:ascii="Arial" w:hAnsi="Arial" w:cs="Arial"/>
          <w:sz w:val="18"/>
          <w:szCs w:val="18"/>
        </w:rPr>
        <w:tab/>
        <w:t>Incluyen los impuestos a la importación.</w:t>
      </w:r>
    </w:p>
  </w:footnote>
  <w:footnote w:id="6">
    <w:p w14:paraId="7942B7C6" w14:textId="77777777" w:rsidR="00E432AF" w:rsidRPr="00D12F35" w:rsidRDefault="00E432AF" w:rsidP="009D0C99">
      <w:pPr>
        <w:pStyle w:val="Textonotapie"/>
        <w:tabs>
          <w:tab w:val="left" w:pos="142"/>
        </w:tabs>
        <w:ind w:left="142" w:hanging="142"/>
        <w:jc w:val="both"/>
        <w:rPr>
          <w:rFonts w:ascii="Arial" w:hAnsi="Arial" w:cs="Arial"/>
        </w:rPr>
      </w:pPr>
      <w:r w:rsidRPr="00EB3764">
        <w:rPr>
          <w:rStyle w:val="Refdenotaalpie"/>
          <w:rFonts w:ascii="Arial" w:hAnsi="Arial" w:cs="Arial"/>
          <w:sz w:val="18"/>
          <w:szCs w:val="18"/>
        </w:rPr>
        <w:footnoteRef/>
      </w:r>
      <w:r w:rsidRPr="00EB3764">
        <w:rPr>
          <w:rFonts w:ascii="Arial" w:hAnsi="Arial" w:cs="Arial"/>
          <w:sz w:val="18"/>
          <w:szCs w:val="18"/>
        </w:rPr>
        <w:t xml:space="preserve"> </w:t>
      </w:r>
      <w:r w:rsidRPr="00EB3764">
        <w:rPr>
          <w:rFonts w:ascii="Arial" w:hAnsi="Arial" w:cs="Arial"/>
          <w:sz w:val="18"/>
          <w:szCs w:val="18"/>
        </w:rPr>
        <w:tab/>
        <w:t>El Producto Interno Bruto es el valor monetario de los bienes y servicios finales producidos por una economía en un periodo determinado dentro del territorio del país.</w:t>
      </w:r>
    </w:p>
  </w:footnote>
  <w:footnote w:id="7">
    <w:p w14:paraId="0F9130BA" w14:textId="77777777" w:rsidR="00E432AF" w:rsidRPr="007A0065" w:rsidRDefault="00E432AF" w:rsidP="009D0C99">
      <w:pPr>
        <w:pStyle w:val="Textonotapie"/>
        <w:ind w:left="142" w:hanging="142"/>
        <w:jc w:val="both"/>
        <w:rPr>
          <w:rFonts w:ascii="Arial" w:hAnsi="Arial" w:cs="Arial"/>
          <w:sz w:val="18"/>
          <w:szCs w:val="18"/>
        </w:rPr>
      </w:pPr>
      <w:r w:rsidRPr="007A0065">
        <w:rPr>
          <w:rStyle w:val="Refdenotaalpie"/>
          <w:rFonts w:ascii="Arial" w:hAnsi="Arial" w:cs="Arial"/>
          <w:sz w:val="18"/>
          <w:szCs w:val="18"/>
        </w:rPr>
        <w:footnoteRef/>
      </w:r>
      <w:r w:rsidRPr="007A0065">
        <w:rPr>
          <w:rFonts w:ascii="Arial" w:hAnsi="Arial" w:cs="Arial"/>
          <w:sz w:val="18"/>
          <w:szCs w:val="18"/>
        </w:rPr>
        <w:t xml:space="preserve"> </w:t>
      </w:r>
      <w:r w:rsidRPr="007A0065">
        <w:rPr>
          <w:rFonts w:ascii="Arial" w:hAnsi="Arial" w:cs="Arial"/>
          <w:sz w:val="18"/>
          <w:szCs w:val="18"/>
        </w:rPr>
        <w:tab/>
        <w:t>Son los precios de los bienes o servicios valorados en el establecimiento del productor. Se excluyen los gastos de transporte y los impuestos netos a los productos como el IVA.</w:t>
      </w:r>
    </w:p>
  </w:footnote>
  <w:footnote w:id="8">
    <w:p w14:paraId="5007048B" w14:textId="77777777" w:rsidR="00E432AF" w:rsidRPr="007A0065" w:rsidRDefault="00E432AF" w:rsidP="009D0C99">
      <w:pPr>
        <w:autoSpaceDE w:val="0"/>
        <w:autoSpaceDN w:val="0"/>
        <w:adjustRightInd w:val="0"/>
        <w:ind w:left="142" w:hanging="142"/>
        <w:jc w:val="both"/>
        <w:rPr>
          <w:rFonts w:ascii="Arial" w:hAnsi="Arial" w:cs="Arial"/>
          <w:sz w:val="18"/>
          <w:szCs w:val="18"/>
        </w:rPr>
      </w:pPr>
      <w:r w:rsidRPr="007A0065">
        <w:rPr>
          <w:rStyle w:val="Refdenotaalpie"/>
          <w:rFonts w:ascii="Arial" w:hAnsi="Arial" w:cs="Arial"/>
          <w:sz w:val="18"/>
          <w:szCs w:val="18"/>
        </w:rPr>
        <w:footnoteRef/>
      </w:r>
      <w:r w:rsidRPr="007A0065">
        <w:rPr>
          <w:rFonts w:ascii="Arial" w:hAnsi="Arial" w:cs="Arial"/>
          <w:sz w:val="18"/>
          <w:szCs w:val="18"/>
        </w:rPr>
        <w:t xml:space="preserve"> </w:t>
      </w:r>
      <w:r w:rsidRPr="007A0065">
        <w:rPr>
          <w:rFonts w:ascii="Arial" w:hAnsi="Arial" w:cs="Arial"/>
          <w:sz w:val="18"/>
          <w:szCs w:val="18"/>
        </w:rPr>
        <w:tab/>
        <w:t>Bienes y servicios vendidos o utilizados a precios económicamente significativos, es decir, que influyen sobre las cantidades que los productores están dispuestos a ofertar y también, en las que los compradores desean adquirir.</w:t>
      </w:r>
    </w:p>
  </w:footnote>
  <w:footnote w:id="9">
    <w:p w14:paraId="38463272" w14:textId="77777777" w:rsidR="00E432AF" w:rsidRPr="007A0065" w:rsidRDefault="00E432AF" w:rsidP="009D0C99">
      <w:pPr>
        <w:pStyle w:val="Textonotapie"/>
        <w:tabs>
          <w:tab w:val="left" w:pos="142"/>
        </w:tabs>
        <w:ind w:left="142" w:hanging="142"/>
        <w:jc w:val="both"/>
        <w:rPr>
          <w:rFonts w:ascii="Arial" w:hAnsi="Arial" w:cs="Arial"/>
          <w:sz w:val="18"/>
          <w:szCs w:val="18"/>
        </w:rPr>
      </w:pPr>
      <w:r w:rsidRPr="007A0065">
        <w:rPr>
          <w:rStyle w:val="Refdenotaalpie"/>
          <w:rFonts w:ascii="Arial" w:hAnsi="Arial" w:cs="Arial"/>
          <w:sz w:val="18"/>
          <w:szCs w:val="18"/>
        </w:rPr>
        <w:footnoteRef/>
      </w:r>
      <w:r w:rsidRPr="007A0065">
        <w:rPr>
          <w:rFonts w:ascii="Arial" w:hAnsi="Arial" w:cs="Arial"/>
          <w:sz w:val="18"/>
          <w:szCs w:val="18"/>
        </w:rPr>
        <w:t xml:space="preserve"> </w:t>
      </w:r>
      <w:r w:rsidRPr="007A0065">
        <w:rPr>
          <w:rFonts w:ascii="Arial" w:hAnsi="Arial" w:cs="Arial"/>
          <w:sz w:val="18"/>
          <w:szCs w:val="18"/>
        </w:rPr>
        <w:tab/>
        <w:t>Se realiza únicamente en empresas no constituidas en sociedad (empresas familiares) con bienes agropecuarios producidos y consumidos por los miembros del hogar, los servicios de alquiler de viviendas ocupadas por los propietarios y el servicio doméstico remunerado.</w:t>
      </w:r>
    </w:p>
  </w:footnote>
  <w:footnote w:id="10">
    <w:p w14:paraId="780A131B" w14:textId="269AA3E9" w:rsidR="00E432AF" w:rsidRPr="007A0065" w:rsidRDefault="00E432AF" w:rsidP="009D0C99">
      <w:pPr>
        <w:pStyle w:val="Textonotapie"/>
        <w:tabs>
          <w:tab w:val="left" w:pos="284"/>
        </w:tabs>
        <w:ind w:left="142" w:hanging="142"/>
        <w:jc w:val="both"/>
        <w:rPr>
          <w:rFonts w:ascii="Arial" w:hAnsi="Arial" w:cs="Arial"/>
          <w:sz w:val="18"/>
          <w:szCs w:val="18"/>
        </w:rPr>
      </w:pPr>
      <w:r w:rsidRPr="007A0065">
        <w:rPr>
          <w:rStyle w:val="Refdenotaalpie"/>
          <w:rFonts w:ascii="Arial" w:hAnsi="Arial" w:cs="Arial"/>
          <w:sz w:val="18"/>
          <w:szCs w:val="18"/>
        </w:rPr>
        <w:footnoteRef/>
      </w:r>
      <w:r w:rsidRPr="007A0065">
        <w:rPr>
          <w:rFonts w:ascii="Arial" w:hAnsi="Arial" w:cs="Arial"/>
          <w:sz w:val="18"/>
          <w:szCs w:val="18"/>
        </w:rPr>
        <w:t xml:space="preserve"> </w:t>
      </w:r>
      <w:r w:rsidRPr="007A0065">
        <w:rPr>
          <w:rFonts w:ascii="Arial" w:hAnsi="Arial" w:cs="Arial"/>
          <w:sz w:val="18"/>
          <w:szCs w:val="18"/>
        </w:rPr>
        <w:tab/>
        <w:t>La discrepancia estadística para 20</w:t>
      </w:r>
      <w:r>
        <w:rPr>
          <w:rFonts w:ascii="Arial" w:hAnsi="Arial" w:cs="Arial"/>
          <w:sz w:val="18"/>
          <w:szCs w:val="18"/>
        </w:rPr>
        <w:t>20</w:t>
      </w:r>
      <w:r w:rsidRPr="007A0065">
        <w:rPr>
          <w:rFonts w:ascii="Arial" w:hAnsi="Arial" w:cs="Arial"/>
          <w:sz w:val="18"/>
          <w:szCs w:val="18"/>
        </w:rPr>
        <w:t xml:space="preserve"> fue de 1.</w:t>
      </w:r>
      <w:r>
        <w:rPr>
          <w:rFonts w:ascii="Arial" w:hAnsi="Arial" w:cs="Arial"/>
          <w:sz w:val="18"/>
          <w:szCs w:val="18"/>
        </w:rPr>
        <w:t>5</w:t>
      </w:r>
      <w:r w:rsidRPr="007A0065">
        <w:rPr>
          <w:rFonts w:ascii="Arial" w:hAnsi="Arial" w:cs="Arial"/>
          <w:sz w:val="18"/>
          <w:szCs w:val="18"/>
        </w:rPr>
        <w:t xml:space="preserve"> por ciento.</w:t>
      </w:r>
    </w:p>
  </w:footnote>
  <w:footnote w:id="11">
    <w:p w14:paraId="358BEEE4" w14:textId="362A26F3" w:rsidR="00E432AF" w:rsidRPr="007A0065" w:rsidRDefault="00E432AF" w:rsidP="009D0C99">
      <w:pPr>
        <w:pStyle w:val="Textonotapie"/>
        <w:ind w:left="142" w:hanging="142"/>
        <w:jc w:val="both"/>
        <w:rPr>
          <w:rFonts w:ascii="Arial" w:hAnsi="Arial" w:cs="Arial"/>
          <w:sz w:val="18"/>
          <w:szCs w:val="18"/>
        </w:rPr>
      </w:pPr>
      <w:r w:rsidRPr="007A0065">
        <w:rPr>
          <w:rStyle w:val="Refdenotaalpie"/>
          <w:rFonts w:ascii="Arial" w:hAnsi="Arial" w:cs="Arial"/>
          <w:sz w:val="18"/>
          <w:szCs w:val="18"/>
        </w:rPr>
        <w:footnoteRef/>
      </w:r>
      <w:r w:rsidRPr="007A0065">
        <w:rPr>
          <w:rFonts w:ascii="Arial" w:hAnsi="Arial" w:cs="Arial"/>
          <w:sz w:val="18"/>
          <w:szCs w:val="18"/>
        </w:rPr>
        <w:t xml:space="preserve"> Esta participación incluye la variación de existencias que aportó el 0</w:t>
      </w:r>
      <w:r>
        <w:rPr>
          <w:rFonts w:ascii="Arial" w:hAnsi="Arial" w:cs="Arial"/>
          <w:sz w:val="18"/>
          <w:szCs w:val="18"/>
        </w:rPr>
        <w:t>.1</w:t>
      </w:r>
      <w:r w:rsidRPr="007A0065">
        <w:rPr>
          <w:rFonts w:ascii="Arial" w:hAnsi="Arial" w:cs="Arial"/>
          <w:sz w:val="18"/>
          <w:szCs w:val="18"/>
        </w:rPr>
        <w:t xml:space="preserve"> por ciento.</w:t>
      </w:r>
    </w:p>
  </w:footnote>
  <w:footnote w:id="12">
    <w:p w14:paraId="3BA33211" w14:textId="30AD5A43" w:rsidR="00E432AF" w:rsidRPr="00B16B4A" w:rsidRDefault="00E432AF">
      <w:pPr>
        <w:pStyle w:val="Textonotapie"/>
        <w:rPr>
          <w:rFonts w:ascii="Arial" w:hAnsi="Arial" w:cs="Arial"/>
          <w:sz w:val="16"/>
          <w:szCs w:val="16"/>
        </w:rPr>
      </w:pPr>
      <w:r w:rsidRPr="00B16B4A">
        <w:rPr>
          <w:rStyle w:val="Refdenotaalpie"/>
          <w:rFonts w:ascii="Arial" w:hAnsi="Arial" w:cs="Arial"/>
          <w:sz w:val="16"/>
          <w:szCs w:val="16"/>
        </w:rPr>
        <w:footnoteRef/>
      </w:r>
      <w:r w:rsidRPr="00B16B4A">
        <w:rPr>
          <w:rFonts w:ascii="Arial" w:hAnsi="Arial" w:cs="Arial"/>
          <w:sz w:val="16"/>
          <w:szCs w:val="16"/>
        </w:rPr>
        <w:t xml:space="preserve"> La suma de los componentes puede no coincidir con los totales debido al redondeo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A73E" w14:textId="0FE4C705" w:rsidR="00E432AF" w:rsidRPr="0085042C" w:rsidRDefault="00E432AF" w:rsidP="00A63879">
    <w:pPr>
      <w:pStyle w:val="Encabezado"/>
      <w:framePr w:w="5445" w:hSpace="141" w:wrap="auto" w:vAnchor="text" w:hAnchor="page" w:x="5661" w:y="34"/>
      <w:ind w:left="567" w:hanging="11"/>
      <w:contextualSpacing/>
      <w:jc w:val="right"/>
      <w:rPr>
        <w:rFonts w:ascii="Arial" w:hAnsi="Arial" w:cs="Arial"/>
        <w:b/>
        <w:color w:val="002060"/>
      </w:rPr>
    </w:pPr>
    <w:r w:rsidRPr="0085042C">
      <w:rPr>
        <w:rFonts w:ascii="Arial" w:hAnsi="Arial" w:cs="Arial"/>
        <w:b/>
        <w:color w:val="002060"/>
      </w:rPr>
      <w:t xml:space="preserve">COMUNICADO DE PRENSA NÚM. </w:t>
    </w:r>
    <w:r w:rsidR="006C6EF7">
      <w:rPr>
        <w:rFonts w:ascii="Arial" w:hAnsi="Arial" w:cs="Arial"/>
        <w:b/>
        <w:color w:val="002060"/>
      </w:rPr>
      <w:t>55</w:t>
    </w:r>
    <w:r w:rsidR="00744A09">
      <w:rPr>
        <w:rFonts w:ascii="Arial" w:hAnsi="Arial" w:cs="Arial"/>
        <w:b/>
        <w:color w:val="002060"/>
      </w:rPr>
      <w:t>4</w:t>
    </w:r>
    <w:r w:rsidRPr="0085042C">
      <w:rPr>
        <w:rFonts w:ascii="Arial" w:hAnsi="Arial" w:cs="Arial"/>
        <w:b/>
        <w:color w:val="002060"/>
      </w:rPr>
      <w:t>/2</w:t>
    </w:r>
    <w:r w:rsidR="006C6EF7">
      <w:rPr>
        <w:rFonts w:ascii="Arial" w:hAnsi="Arial" w:cs="Arial"/>
        <w:b/>
        <w:color w:val="002060"/>
      </w:rPr>
      <w:t>1</w:t>
    </w:r>
  </w:p>
  <w:p w14:paraId="78DFCF22" w14:textId="41F07931" w:rsidR="00E432AF" w:rsidRPr="0085042C" w:rsidRDefault="00E432AF" w:rsidP="00A63879">
    <w:pPr>
      <w:pStyle w:val="Encabezado"/>
      <w:framePr w:w="5445" w:hSpace="141" w:wrap="auto" w:vAnchor="text" w:hAnchor="page" w:x="5661" w:y="34"/>
      <w:ind w:left="567" w:hanging="11"/>
      <w:contextualSpacing/>
      <w:jc w:val="right"/>
      <w:rPr>
        <w:rFonts w:ascii="Arial" w:hAnsi="Arial" w:cs="Arial"/>
        <w:b/>
        <w:color w:val="002060"/>
        <w:lang w:val="pt-BR"/>
      </w:rPr>
    </w:pPr>
    <w:r w:rsidRPr="0085042C">
      <w:rPr>
        <w:rFonts w:ascii="Arial" w:hAnsi="Arial" w:cs="Arial"/>
        <w:b/>
        <w:color w:val="002060"/>
        <w:lang w:val="pt-BR"/>
      </w:rPr>
      <w:t>1 DE OCTUBRE DE 202</w:t>
    </w:r>
    <w:r w:rsidR="006C6EF7">
      <w:rPr>
        <w:rFonts w:ascii="Arial" w:hAnsi="Arial" w:cs="Arial"/>
        <w:b/>
        <w:color w:val="002060"/>
        <w:lang w:val="pt-BR"/>
      </w:rPr>
      <w:t>1</w:t>
    </w:r>
  </w:p>
  <w:p w14:paraId="3D1A54D8" w14:textId="77777777" w:rsidR="00E432AF" w:rsidRPr="0085042C" w:rsidRDefault="00E432AF" w:rsidP="00A63879">
    <w:pPr>
      <w:pStyle w:val="Encabezado"/>
      <w:framePr w:w="5445" w:hSpace="141" w:wrap="auto" w:vAnchor="text" w:hAnchor="page" w:x="5661" w:y="34"/>
      <w:ind w:left="567" w:hanging="11"/>
      <w:contextualSpacing/>
      <w:jc w:val="right"/>
      <w:rPr>
        <w:rFonts w:ascii="Arial" w:hAnsi="Arial" w:cs="Arial"/>
        <w:b/>
        <w:color w:val="002060"/>
        <w:lang w:val="pt-BR"/>
      </w:rPr>
    </w:pPr>
    <w:r w:rsidRPr="0085042C">
      <w:rPr>
        <w:rFonts w:ascii="Arial" w:hAnsi="Arial" w:cs="Arial"/>
        <w:b/>
        <w:color w:val="002060"/>
        <w:lang w:val="pt-BR"/>
      </w:rPr>
      <w:t xml:space="preserve">PÁGINA </w:t>
    </w:r>
    <w:r w:rsidRPr="0085042C">
      <w:rPr>
        <w:rFonts w:ascii="Arial" w:hAnsi="Arial" w:cs="Arial"/>
        <w:b/>
        <w:color w:val="002060"/>
      </w:rPr>
      <w:fldChar w:fldCharType="begin"/>
    </w:r>
    <w:r w:rsidRPr="0085042C">
      <w:rPr>
        <w:rFonts w:ascii="Arial" w:hAnsi="Arial" w:cs="Arial"/>
        <w:b/>
        <w:color w:val="002060"/>
        <w:lang w:val="pt-BR"/>
      </w:rPr>
      <w:instrText xml:space="preserve">\PAGE </w:instrText>
    </w:r>
    <w:r w:rsidRPr="0085042C">
      <w:rPr>
        <w:rFonts w:ascii="Arial" w:hAnsi="Arial" w:cs="Arial"/>
        <w:color w:val="002060"/>
      </w:rPr>
      <w:fldChar w:fldCharType="separate"/>
    </w:r>
    <w:r w:rsidRPr="0085042C">
      <w:rPr>
        <w:rFonts w:ascii="Arial" w:hAnsi="Arial" w:cs="Arial"/>
        <w:b/>
        <w:noProof/>
        <w:color w:val="002060"/>
        <w:lang w:val="pt-BR"/>
      </w:rPr>
      <w:t>1</w:t>
    </w:r>
    <w:r w:rsidRPr="0085042C">
      <w:rPr>
        <w:rFonts w:ascii="Arial" w:hAnsi="Arial" w:cs="Arial"/>
        <w:color w:val="002060"/>
      </w:rPr>
      <w:fldChar w:fldCharType="end"/>
    </w:r>
    <w:r w:rsidRPr="0085042C">
      <w:rPr>
        <w:rFonts w:ascii="Arial" w:hAnsi="Arial" w:cs="Arial"/>
        <w:b/>
        <w:color w:val="002060"/>
        <w:lang w:val="pt-BR"/>
      </w:rPr>
      <w:t>/2</w:t>
    </w:r>
  </w:p>
  <w:p w14:paraId="3635C84C" w14:textId="6A558F89" w:rsidR="00E432AF" w:rsidRPr="0085042C" w:rsidRDefault="00E432AF" w:rsidP="0085042C">
    <w:pPr>
      <w:pStyle w:val="Encabezado"/>
      <w:ind w:left="-993" w:firstLine="567"/>
      <w:rPr>
        <w:color w:val="002060"/>
      </w:rPr>
    </w:pPr>
    <w:r w:rsidRPr="0085042C">
      <w:rPr>
        <w:noProof/>
        <w:color w:val="002060"/>
      </w:rPr>
      <w:drawing>
        <wp:inline distT="0" distB="0" distL="0" distR="0" wp14:anchorId="55B54186" wp14:editId="7533CEBA">
          <wp:extent cx="754526" cy="779780"/>
          <wp:effectExtent l="0" t="0" r="762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26" cy="78339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ED060" w14:textId="1DE735F5" w:rsidR="00E432AF" w:rsidRPr="00ED71F9" w:rsidRDefault="00E432AF">
    <w:pPr>
      <w:pStyle w:val="Encabezado"/>
      <w:rPr>
        <w:sz w:val="32"/>
        <w:szCs w:val="32"/>
      </w:rPr>
    </w:pPr>
  </w:p>
  <w:p w14:paraId="515DBCFD" w14:textId="34669176" w:rsidR="00E432AF" w:rsidRDefault="00E432AF" w:rsidP="00994BB9">
    <w:pPr>
      <w:pStyle w:val="Encabezado"/>
      <w:ind w:left="-284"/>
      <w:jc w:val="center"/>
    </w:pPr>
    <w:r w:rsidRPr="00F418AF">
      <w:rPr>
        <w:noProof/>
      </w:rPr>
      <w:drawing>
        <wp:inline distT="0" distB="0" distL="0" distR="0" wp14:anchorId="43830008" wp14:editId="6561FFEF">
          <wp:extent cx="859891" cy="895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537" cy="8970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94"/>
    <w:rsid w:val="00000486"/>
    <w:rsid w:val="00001B4D"/>
    <w:rsid w:val="00005C5E"/>
    <w:rsid w:val="0002598E"/>
    <w:rsid w:val="00027C30"/>
    <w:rsid w:val="00033CE3"/>
    <w:rsid w:val="00043FC8"/>
    <w:rsid w:val="00047B93"/>
    <w:rsid w:val="0006168D"/>
    <w:rsid w:val="00066944"/>
    <w:rsid w:val="0007127C"/>
    <w:rsid w:val="00081AD6"/>
    <w:rsid w:val="000850BD"/>
    <w:rsid w:val="000979E1"/>
    <w:rsid w:val="000E7DC1"/>
    <w:rsid w:val="00140BDE"/>
    <w:rsid w:val="00146E06"/>
    <w:rsid w:val="00147A7F"/>
    <w:rsid w:val="001573E0"/>
    <w:rsid w:val="00166DD8"/>
    <w:rsid w:val="001811D3"/>
    <w:rsid w:val="001A0262"/>
    <w:rsid w:val="001C0FF0"/>
    <w:rsid w:val="001C1A11"/>
    <w:rsid w:val="001D3128"/>
    <w:rsid w:val="00217F98"/>
    <w:rsid w:val="002209A6"/>
    <w:rsid w:val="00225A19"/>
    <w:rsid w:val="00227EE5"/>
    <w:rsid w:val="002357DA"/>
    <w:rsid w:val="00254DE5"/>
    <w:rsid w:val="00274756"/>
    <w:rsid w:val="00274D0F"/>
    <w:rsid w:val="00277390"/>
    <w:rsid w:val="00277477"/>
    <w:rsid w:val="00286103"/>
    <w:rsid w:val="002902AA"/>
    <w:rsid w:val="00291CE7"/>
    <w:rsid w:val="00293C75"/>
    <w:rsid w:val="002A426A"/>
    <w:rsid w:val="002A47E3"/>
    <w:rsid w:val="002D2731"/>
    <w:rsid w:val="002D3890"/>
    <w:rsid w:val="002D61DC"/>
    <w:rsid w:val="002D6823"/>
    <w:rsid w:val="002E35B2"/>
    <w:rsid w:val="002F00A2"/>
    <w:rsid w:val="002F1847"/>
    <w:rsid w:val="002F2271"/>
    <w:rsid w:val="00306AE8"/>
    <w:rsid w:val="00323E72"/>
    <w:rsid w:val="00340410"/>
    <w:rsid w:val="00342E8D"/>
    <w:rsid w:val="00364D3B"/>
    <w:rsid w:val="003B20B5"/>
    <w:rsid w:val="003B295A"/>
    <w:rsid w:val="00424788"/>
    <w:rsid w:val="00431377"/>
    <w:rsid w:val="00452246"/>
    <w:rsid w:val="00456800"/>
    <w:rsid w:val="0046058A"/>
    <w:rsid w:val="00473CF4"/>
    <w:rsid w:val="00480DD5"/>
    <w:rsid w:val="00491D5E"/>
    <w:rsid w:val="004B0D3D"/>
    <w:rsid w:val="004C260D"/>
    <w:rsid w:val="004F017B"/>
    <w:rsid w:val="00503A60"/>
    <w:rsid w:val="00503EDE"/>
    <w:rsid w:val="00510CE0"/>
    <w:rsid w:val="005127FA"/>
    <w:rsid w:val="00514E65"/>
    <w:rsid w:val="00544E03"/>
    <w:rsid w:val="00566298"/>
    <w:rsid w:val="005833AB"/>
    <w:rsid w:val="005953CD"/>
    <w:rsid w:val="005A220E"/>
    <w:rsid w:val="005B0DEE"/>
    <w:rsid w:val="005B4D9D"/>
    <w:rsid w:val="005C270C"/>
    <w:rsid w:val="005C72E0"/>
    <w:rsid w:val="005F758B"/>
    <w:rsid w:val="005F7E75"/>
    <w:rsid w:val="00600486"/>
    <w:rsid w:val="00600944"/>
    <w:rsid w:val="00615093"/>
    <w:rsid w:val="00636D65"/>
    <w:rsid w:val="0064746D"/>
    <w:rsid w:val="00666272"/>
    <w:rsid w:val="006770FE"/>
    <w:rsid w:val="0067746C"/>
    <w:rsid w:val="006821D6"/>
    <w:rsid w:val="00682C6D"/>
    <w:rsid w:val="00691419"/>
    <w:rsid w:val="00694001"/>
    <w:rsid w:val="006B7D6F"/>
    <w:rsid w:val="006C4671"/>
    <w:rsid w:val="006C6EF7"/>
    <w:rsid w:val="006D437B"/>
    <w:rsid w:val="006D7133"/>
    <w:rsid w:val="006F69D3"/>
    <w:rsid w:val="007108EB"/>
    <w:rsid w:val="007122BD"/>
    <w:rsid w:val="00713731"/>
    <w:rsid w:val="00713947"/>
    <w:rsid w:val="00724605"/>
    <w:rsid w:val="00735658"/>
    <w:rsid w:val="007400A0"/>
    <w:rsid w:val="00744A09"/>
    <w:rsid w:val="00777D18"/>
    <w:rsid w:val="00782122"/>
    <w:rsid w:val="007A0065"/>
    <w:rsid w:val="007A25D7"/>
    <w:rsid w:val="007B5CCF"/>
    <w:rsid w:val="007C53D8"/>
    <w:rsid w:val="007D0EC2"/>
    <w:rsid w:val="007D7541"/>
    <w:rsid w:val="00801629"/>
    <w:rsid w:val="008149FE"/>
    <w:rsid w:val="00815B1F"/>
    <w:rsid w:val="00831A7E"/>
    <w:rsid w:val="00834F8F"/>
    <w:rsid w:val="008352F5"/>
    <w:rsid w:val="0083638E"/>
    <w:rsid w:val="00845188"/>
    <w:rsid w:val="0085042C"/>
    <w:rsid w:val="008524FE"/>
    <w:rsid w:val="00860186"/>
    <w:rsid w:val="00863BCA"/>
    <w:rsid w:val="00866368"/>
    <w:rsid w:val="008725A2"/>
    <w:rsid w:val="00875719"/>
    <w:rsid w:val="0088456D"/>
    <w:rsid w:val="00886176"/>
    <w:rsid w:val="008A1CAE"/>
    <w:rsid w:val="008A3E90"/>
    <w:rsid w:val="008A777B"/>
    <w:rsid w:val="008B5E63"/>
    <w:rsid w:val="008C7264"/>
    <w:rsid w:val="008D3481"/>
    <w:rsid w:val="008D46A7"/>
    <w:rsid w:val="008E4269"/>
    <w:rsid w:val="008E5845"/>
    <w:rsid w:val="00903295"/>
    <w:rsid w:val="00903752"/>
    <w:rsid w:val="00904A80"/>
    <w:rsid w:val="00910871"/>
    <w:rsid w:val="00930014"/>
    <w:rsid w:val="009337B1"/>
    <w:rsid w:val="00936545"/>
    <w:rsid w:val="00966BF8"/>
    <w:rsid w:val="00971814"/>
    <w:rsid w:val="00977D98"/>
    <w:rsid w:val="00981BDF"/>
    <w:rsid w:val="00991502"/>
    <w:rsid w:val="00991B7D"/>
    <w:rsid w:val="00994BB9"/>
    <w:rsid w:val="009A09CB"/>
    <w:rsid w:val="009A45F4"/>
    <w:rsid w:val="009C0C0B"/>
    <w:rsid w:val="009C7F29"/>
    <w:rsid w:val="009D04C0"/>
    <w:rsid w:val="009D0C99"/>
    <w:rsid w:val="009D7D2D"/>
    <w:rsid w:val="009F2B76"/>
    <w:rsid w:val="009F5CC3"/>
    <w:rsid w:val="00A00AB6"/>
    <w:rsid w:val="00A13089"/>
    <w:rsid w:val="00A13F13"/>
    <w:rsid w:val="00A314A9"/>
    <w:rsid w:val="00A37384"/>
    <w:rsid w:val="00A63879"/>
    <w:rsid w:val="00A81A2F"/>
    <w:rsid w:val="00A830B6"/>
    <w:rsid w:val="00A964B2"/>
    <w:rsid w:val="00AA1552"/>
    <w:rsid w:val="00AA4E4A"/>
    <w:rsid w:val="00AA653F"/>
    <w:rsid w:val="00AB07AB"/>
    <w:rsid w:val="00AB2B3C"/>
    <w:rsid w:val="00AB561B"/>
    <w:rsid w:val="00AB5F83"/>
    <w:rsid w:val="00AC5066"/>
    <w:rsid w:val="00AD1872"/>
    <w:rsid w:val="00AD3A37"/>
    <w:rsid w:val="00AD704B"/>
    <w:rsid w:val="00AE2EA3"/>
    <w:rsid w:val="00B16B4A"/>
    <w:rsid w:val="00B511F8"/>
    <w:rsid w:val="00B6193A"/>
    <w:rsid w:val="00B66CF2"/>
    <w:rsid w:val="00B66DDA"/>
    <w:rsid w:val="00B729A2"/>
    <w:rsid w:val="00B74004"/>
    <w:rsid w:val="00B94C95"/>
    <w:rsid w:val="00BA3ACE"/>
    <w:rsid w:val="00BE70F2"/>
    <w:rsid w:val="00BF1C41"/>
    <w:rsid w:val="00C04AF5"/>
    <w:rsid w:val="00C22EA8"/>
    <w:rsid w:val="00C33F02"/>
    <w:rsid w:val="00C41F82"/>
    <w:rsid w:val="00C64E7A"/>
    <w:rsid w:val="00C67178"/>
    <w:rsid w:val="00C74828"/>
    <w:rsid w:val="00C81259"/>
    <w:rsid w:val="00C83753"/>
    <w:rsid w:val="00C946ED"/>
    <w:rsid w:val="00C95294"/>
    <w:rsid w:val="00CA0BAE"/>
    <w:rsid w:val="00CB2951"/>
    <w:rsid w:val="00CD23F2"/>
    <w:rsid w:val="00CE634C"/>
    <w:rsid w:val="00D1734E"/>
    <w:rsid w:val="00D2511C"/>
    <w:rsid w:val="00D43002"/>
    <w:rsid w:val="00D433A4"/>
    <w:rsid w:val="00D43B51"/>
    <w:rsid w:val="00D474AA"/>
    <w:rsid w:val="00D661D1"/>
    <w:rsid w:val="00D8495B"/>
    <w:rsid w:val="00D92FDE"/>
    <w:rsid w:val="00D955B4"/>
    <w:rsid w:val="00DB4B09"/>
    <w:rsid w:val="00DB7532"/>
    <w:rsid w:val="00DC31BC"/>
    <w:rsid w:val="00DC668B"/>
    <w:rsid w:val="00DD7B8C"/>
    <w:rsid w:val="00DF409B"/>
    <w:rsid w:val="00E01EE3"/>
    <w:rsid w:val="00E02EDC"/>
    <w:rsid w:val="00E0427B"/>
    <w:rsid w:val="00E432AF"/>
    <w:rsid w:val="00E54442"/>
    <w:rsid w:val="00E62903"/>
    <w:rsid w:val="00E7232B"/>
    <w:rsid w:val="00E92592"/>
    <w:rsid w:val="00E97CEE"/>
    <w:rsid w:val="00EA1A96"/>
    <w:rsid w:val="00EB3764"/>
    <w:rsid w:val="00ED417B"/>
    <w:rsid w:val="00ED61A6"/>
    <w:rsid w:val="00ED71F9"/>
    <w:rsid w:val="00EE638B"/>
    <w:rsid w:val="00EE7F94"/>
    <w:rsid w:val="00F00E35"/>
    <w:rsid w:val="00F0626E"/>
    <w:rsid w:val="00F070BC"/>
    <w:rsid w:val="00F1338E"/>
    <w:rsid w:val="00F2064E"/>
    <w:rsid w:val="00F22E86"/>
    <w:rsid w:val="00F419B5"/>
    <w:rsid w:val="00F50862"/>
    <w:rsid w:val="00F54852"/>
    <w:rsid w:val="00F62081"/>
    <w:rsid w:val="00F63AED"/>
    <w:rsid w:val="00F67734"/>
    <w:rsid w:val="00F74F89"/>
    <w:rsid w:val="00F76C3D"/>
    <w:rsid w:val="00F8104D"/>
    <w:rsid w:val="00F811B6"/>
    <w:rsid w:val="00FC146E"/>
    <w:rsid w:val="00FD4AFE"/>
    <w:rsid w:val="00FE00F8"/>
    <w:rsid w:val="00FE3D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6F570"/>
  <w15:chartTrackingRefBased/>
  <w15:docId w15:val="{12C8211F-517F-4F65-BC62-93769264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1F9"/>
    <w:pPr>
      <w:spacing w:after="0" w:line="240" w:lineRule="auto"/>
    </w:pPr>
    <w:rPr>
      <w:rFonts w:ascii="Univers (W1)" w:eastAsia="Univers (W1)" w:hAnsi="Univers (W1)" w:cs="Univers (W1)"/>
      <w:sz w:val="24"/>
      <w:szCs w:val="24"/>
      <w:lang w:eastAsia="es-MX"/>
    </w:rPr>
  </w:style>
  <w:style w:type="paragraph" w:styleId="Ttulo2">
    <w:name w:val="heading 2"/>
    <w:basedOn w:val="Normal"/>
    <w:next w:val="Normal"/>
    <w:link w:val="Ttulo2Car"/>
    <w:qFormat/>
    <w:rsid w:val="00994BB9"/>
    <w:pPr>
      <w:keepNext/>
      <w:spacing w:before="240"/>
      <w:jc w:val="both"/>
      <w:outlineLvl w:val="1"/>
    </w:pPr>
    <w:rPr>
      <w:rFonts w:ascii="MS Sans Serif" w:hAnsi="MS Sans Serif" w:cs="MS Sans Serif"/>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D71F9"/>
    <w:pPr>
      <w:tabs>
        <w:tab w:val="center" w:pos="4419"/>
        <w:tab w:val="right" w:pos="8838"/>
      </w:tabs>
    </w:pPr>
  </w:style>
  <w:style w:type="character" w:customStyle="1" w:styleId="EncabezadoCar">
    <w:name w:val="Encabezado Car"/>
    <w:basedOn w:val="Fuentedeprrafopredeter"/>
    <w:link w:val="Encabezado"/>
    <w:rsid w:val="00ED71F9"/>
  </w:style>
  <w:style w:type="paragraph" w:styleId="Piedepgina">
    <w:name w:val="footer"/>
    <w:basedOn w:val="Normal"/>
    <w:link w:val="PiedepginaCar"/>
    <w:uiPriority w:val="99"/>
    <w:unhideWhenUsed/>
    <w:rsid w:val="00ED71F9"/>
    <w:pPr>
      <w:tabs>
        <w:tab w:val="center" w:pos="4419"/>
        <w:tab w:val="right" w:pos="8838"/>
      </w:tabs>
    </w:pPr>
  </w:style>
  <w:style w:type="character" w:customStyle="1" w:styleId="PiedepginaCar">
    <w:name w:val="Pie de página Car"/>
    <w:basedOn w:val="Fuentedeprrafopredeter"/>
    <w:link w:val="Piedepgina"/>
    <w:uiPriority w:val="99"/>
    <w:rsid w:val="00ED71F9"/>
  </w:style>
  <w:style w:type="paragraph" w:styleId="Textonotapie">
    <w:name w:val="footnote text"/>
    <w:basedOn w:val="Normal"/>
    <w:link w:val="TextonotapieCar"/>
    <w:rsid w:val="00ED71F9"/>
    <w:rPr>
      <w:sz w:val="20"/>
      <w:szCs w:val="20"/>
    </w:rPr>
  </w:style>
  <w:style w:type="character" w:customStyle="1" w:styleId="TextonotapieCar">
    <w:name w:val="Texto nota pie Car"/>
    <w:basedOn w:val="Fuentedeprrafopredeter"/>
    <w:link w:val="Textonotapie"/>
    <w:rsid w:val="00ED71F9"/>
    <w:rPr>
      <w:rFonts w:ascii="Univers (W1)" w:eastAsia="Univers (W1)" w:hAnsi="Univers (W1)" w:cs="Univers (W1)"/>
      <w:sz w:val="20"/>
      <w:szCs w:val="20"/>
      <w:lang w:eastAsia="es-MX"/>
    </w:rPr>
  </w:style>
  <w:style w:type="character" w:styleId="Refdenotaalpie">
    <w:name w:val="footnote reference"/>
    <w:rsid w:val="00ED71F9"/>
    <w:rPr>
      <w:vertAlign w:val="superscript"/>
    </w:rPr>
  </w:style>
  <w:style w:type="paragraph" w:styleId="Textoindependiente">
    <w:name w:val="Body Text"/>
    <w:basedOn w:val="Normal"/>
    <w:link w:val="TextoindependienteCar"/>
    <w:rsid w:val="00ED71F9"/>
    <w:pPr>
      <w:jc w:val="both"/>
    </w:pPr>
    <w:rPr>
      <w:rFonts w:ascii="MS Sans Serif" w:hAnsi="MS Sans Serif"/>
      <w:lang w:val="x-none" w:eastAsia="x-none"/>
    </w:rPr>
  </w:style>
  <w:style w:type="character" w:customStyle="1" w:styleId="TextoindependienteCar">
    <w:name w:val="Texto independiente Car"/>
    <w:basedOn w:val="Fuentedeprrafopredeter"/>
    <w:link w:val="Textoindependiente"/>
    <w:rsid w:val="00ED71F9"/>
    <w:rPr>
      <w:rFonts w:ascii="MS Sans Serif" w:eastAsia="Univers (W1)" w:hAnsi="MS Sans Serif" w:cs="Univers (W1)"/>
      <w:sz w:val="24"/>
      <w:szCs w:val="24"/>
      <w:lang w:val="x-none" w:eastAsia="x-none"/>
    </w:rPr>
  </w:style>
  <w:style w:type="paragraph" w:customStyle="1" w:styleId="Profesin">
    <w:name w:val="Profesión"/>
    <w:basedOn w:val="Normal"/>
    <w:rsid w:val="00ED71F9"/>
    <w:pPr>
      <w:jc w:val="center"/>
    </w:pPr>
    <w:rPr>
      <w:rFonts w:ascii="MS Sans Serif" w:hAnsi="MS Sans Serif"/>
      <w:b/>
      <w:caps/>
      <w:sz w:val="28"/>
      <w:szCs w:val="20"/>
      <w:lang w:val="es-ES_tradnl" w:eastAsia="es-ES"/>
    </w:rPr>
  </w:style>
  <w:style w:type="paragraph" w:customStyle="1" w:styleId="n01">
    <w:name w:val="n01"/>
    <w:basedOn w:val="Normal"/>
    <w:rsid w:val="00ED71F9"/>
    <w:pPr>
      <w:keepLines/>
      <w:spacing w:before="240"/>
      <w:ind w:left="720" w:hanging="720"/>
      <w:jc w:val="both"/>
    </w:pPr>
    <w:rPr>
      <w:rFonts w:ascii="MT Extra" w:hAnsi="MT Extra"/>
      <w:color w:val="800080"/>
      <w:szCs w:val="20"/>
      <w:lang w:val="es-ES_tradnl" w:eastAsia="es-ES"/>
    </w:rPr>
  </w:style>
  <w:style w:type="paragraph" w:customStyle="1" w:styleId="Textodebloque1">
    <w:name w:val="Texto de bloque1"/>
    <w:basedOn w:val="Normal"/>
    <w:rsid w:val="00ED71F9"/>
    <w:pPr>
      <w:spacing w:before="240"/>
      <w:ind w:left="1843" w:right="1361" w:hanging="273"/>
      <w:jc w:val="both"/>
    </w:pPr>
    <w:rPr>
      <w:rFonts w:ascii="MS Sans Serif" w:hAnsi="MS Sans Serif"/>
      <w:b/>
      <w:sz w:val="22"/>
      <w:szCs w:val="20"/>
      <w:lang w:val="es-ES_tradnl" w:eastAsia="es-ES"/>
    </w:rPr>
  </w:style>
  <w:style w:type="character" w:styleId="Hipervnculo">
    <w:name w:val="Hyperlink"/>
    <w:rsid w:val="009D0C99"/>
    <w:rPr>
      <w:color w:val="0000FF"/>
      <w:u w:val="single"/>
    </w:rPr>
  </w:style>
  <w:style w:type="character" w:styleId="Mencinsinresolver">
    <w:name w:val="Unresolved Mention"/>
    <w:basedOn w:val="Fuentedeprrafopredeter"/>
    <w:uiPriority w:val="99"/>
    <w:semiHidden/>
    <w:unhideWhenUsed/>
    <w:rsid w:val="009D0C99"/>
    <w:rPr>
      <w:color w:val="605E5C"/>
      <w:shd w:val="clear" w:color="auto" w:fill="E1DFDD"/>
    </w:rPr>
  </w:style>
  <w:style w:type="character" w:styleId="Refdecomentario">
    <w:name w:val="annotation reference"/>
    <w:basedOn w:val="Fuentedeprrafopredeter"/>
    <w:uiPriority w:val="99"/>
    <w:semiHidden/>
    <w:unhideWhenUsed/>
    <w:rsid w:val="00B16B4A"/>
    <w:rPr>
      <w:sz w:val="16"/>
      <w:szCs w:val="16"/>
    </w:rPr>
  </w:style>
  <w:style w:type="paragraph" w:styleId="Textocomentario">
    <w:name w:val="annotation text"/>
    <w:basedOn w:val="Normal"/>
    <w:link w:val="TextocomentarioCar"/>
    <w:uiPriority w:val="99"/>
    <w:semiHidden/>
    <w:unhideWhenUsed/>
    <w:rsid w:val="00B16B4A"/>
    <w:rPr>
      <w:sz w:val="20"/>
      <w:szCs w:val="20"/>
    </w:rPr>
  </w:style>
  <w:style w:type="character" w:customStyle="1" w:styleId="TextocomentarioCar">
    <w:name w:val="Texto comentario Car"/>
    <w:basedOn w:val="Fuentedeprrafopredeter"/>
    <w:link w:val="Textocomentario"/>
    <w:uiPriority w:val="99"/>
    <w:semiHidden/>
    <w:rsid w:val="00B16B4A"/>
    <w:rPr>
      <w:rFonts w:ascii="Univers (W1)" w:eastAsia="Univers (W1)" w:hAnsi="Univers (W1)" w:cs="Univers (W1)"/>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16B4A"/>
    <w:rPr>
      <w:b/>
      <w:bCs/>
    </w:rPr>
  </w:style>
  <w:style w:type="character" w:customStyle="1" w:styleId="AsuntodelcomentarioCar">
    <w:name w:val="Asunto del comentario Car"/>
    <w:basedOn w:val="TextocomentarioCar"/>
    <w:link w:val="Asuntodelcomentario"/>
    <w:uiPriority w:val="99"/>
    <w:semiHidden/>
    <w:rsid w:val="00B16B4A"/>
    <w:rPr>
      <w:rFonts w:ascii="Univers (W1)" w:eastAsia="Univers (W1)" w:hAnsi="Univers (W1)" w:cs="Univers (W1)"/>
      <w:b/>
      <w:bCs/>
      <w:sz w:val="20"/>
      <w:szCs w:val="20"/>
      <w:lang w:eastAsia="es-MX"/>
    </w:rPr>
  </w:style>
  <w:style w:type="paragraph" w:styleId="Textodeglobo">
    <w:name w:val="Balloon Text"/>
    <w:basedOn w:val="Normal"/>
    <w:link w:val="TextodegloboCar"/>
    <w:uiPriority w:val="99"/>
    <w:semiHidden/>
    <w:unhideWhenUsed/>
    <w:rsid w:val="00B16B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B4A"/>
    <w:rPr>
      <w:rFonts w:ascii="Segoe UI" w:eastAsia="Univers (W1)" w:hAnsi="Segoe UI" w:cs="Segoe UI"/>
      <w:sz w:val="18"/>
      <w:szCs w:val="18"/>
      <w:lang w:eastAsia="es-MX"/>
    </w:rPr>
  </w:style>
  <w:style w:type="character" w:styleId="Hipervnculovisitado">
    <w:name w:val="FollowedHyperlink"/>
    <w:basedOn w:val="Fuentedeprrafopredeter"/>
    <w:uiPriority w:val="99"/>
    <w:semiHidden/>
    <w:unhideWhenUsed/>
    <w:rsid w:val="00BA3ACE"/>
    <w:rPr>
      <w:color w:val="954F72" w:themeColor="followedHyperlink"/>
      <w:u w:val="single"/>
    </w:rPr>
  </w:style>
  <w:style w:type="character" w:customStyle="1" w:styleId="Ttulo2Car">
    <w:name w:val="Título 2 Car"/>
    <w:basedOn w:val="Fuentedeprrafopredeter"/>
    <w:link w:val="Ttulo2"/>
    <w:rsid w:val="00994BB9"/>
    <w:rPr>
      <w:rFonts w:ascii="MS Sans Serif" w:eastAsia="Univers (W1)" w:hAnsi="MS Sans Serif" w:cs="MS Sans Serif"/>
      <w:b/>
      <w:i/>
      <w:sz w:val="24"/>
      <w:szCs w:val="24"/>
      <w:lang w:eastAsia="es-MX"/>
    </w:rPr>
  </w:style>
  <w:style w:type="paragraph" w:styleId="NormalWeb">
    <w:name w:val="Normal (Web)"/>
    <w:basedOn w:val="Normal"/>
    <w:uiPriority w:val="99"/>
    <w:rsid w:val="00994BB9"/>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6901">
      <w:bodyDiv w:val="1"/>
      <w:marLeft w:val="0"/>
      <w:marRight w:val="0"/>
      <w:marTop w:val="0"/>
      <w:marBottom w:val="0"/>
      <w:divBdr>
        <w:top w:val="none" w:sz="0" w:space="0" w:color="auto"/>
        <w:left w:val="none" w:sz="0" w:space="0" w:color="auto"/>
        <w:bottom w:val="none" w:sz="0" w:space="0" w:color="auto"/>
        <w:right w:val="none" w:sz="0" w:space="0" w:color="auto"/>
      </w:divBdr>
    </w:div>
    <w:div w:id="121118640">
      <w:bodyDiv w:val="1"/>
      <w:marLeft w:val="0"/>
      <w:marRight w:val="0"/>
      <w:marTop w:val="0"/>
      <w:marBottom w:val="0"/>
      <w:divBdr>
        <w:top w:val="none" w:sz="0" w:space="0" w:color="auto"/>
        <w:left w:val="none" w:sz="0" w:space="0" w:color="auto"/>
        <w:bottom w:val="none" w:sz="0" w:space="0" w:color="auto"/>
        <w:right w:val="none" w:sz="0" w:space="0" w:color="auto"/>
      </w:divBdr>
    </w:div>
    <w:div w:id="384523012">
      <w:bodyDiv w:val="1"/>
      <w:marLeft w:val="0"/>
      <w:marRight w:val="0"/>
      <w:marTop w:val="0"/>
      <w:marBottom w:val="0"/>
      <w:divBdr>
        <w:top w:val="none" w:sz="0" w:space="0" w:color="auto"/>
        <w:left w:val="none" w:sz="0" w:space="0" w:color="auto"/>
        <w:bottom w:val="none" w:sz="0" w:space="0" w:color="auto"/>
        <w:right w:val="none" w:sz="0" w:space="0" w:color="auto"/>
      </w:divBdr>
    </w:div>
    <w:div w:id="813595650">
      <w:bodyDiv w:val="1"/>
      <w:marLeft w:val="0"/>
      <w:marRight w:val="0"/>
      <w:marTop w:val="0"/>
      <w:marBottom w:val="0"/>
      <w:divBdr>
        <w:top w:val="none" w:sz="0" w:space="0" w:color="auto"/>
        <w:left w:val="none" w:sz="0" w:space="0" w:color="auto"/>
        <w:bottom w:val="none" w:sz="0" w:space="0" w:color="auto"/>
        <w:right w:val="none" w:sz="0" w:space="0" w:color="auto"/>
      </w:divBdr>
    </w:div>
    <w:div w:id="966425185">
      <w:bodyDiv w:val="1"/>
      <w:marLeft w:val="0"/>
      <w:marRight w:val="0"/>
      <w:marTop w:val="0"/>
      <w:marBottom w:val="0"/>
      <w:divBdr>
        <w:top w:val="none" w:sz="0" w:space="0" w:color="auto"/>
        <w:left w:val="none" w:sz="0" w:space="0" w:color="auto"/>
        <w:bottom w:val="none" w:sz="0" w:space="0" w:color="auto"/>
        <w:right w:val="none" w:sz="0" w:space="0" w:color="auto"/>
      </w:divBdr>
    </w:div>
    <w:div w:id="1059088162">
      <w:bodyDiv w:val="1"/>
      <w:marLeft w:val="0"/>
      <w:marRight w:val="0"/>
      <w:marTop w:val="0"/>
      <w:marBottom w:val="0"/>
      <w:divBdr>
        <w:top w:val="none" w:sz="0" w:space="0" w:color="auto"/>
        <w:left w:val="none" w:sz="0" w:space="0" w:color="auto"/>
        <w:bottom w:val="none" w:sz="0" w:space="0" w:color="auto"/>
        <w:right w:val="none" w:sz="0" w:space="0" w:color="auto"/>
      </w:divBdr>
    </w:div>
    <w:div w:id="17765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www.youtube.com/user/INEGIInform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5.jpeg"/><Relationship Id="rId25" Type="http://schemas.openxmlformats.org/officeDocument/2006/relationships/hyperlink" Target="https://www.inegi.org.mx/programas/pibact/2013/"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image" Target="media/image8.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927CF-D8E2-4EEB-8AAF-ABFF8CD6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3514</Words>
  <Characters>19330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Comunicado de Prensa. Sistema de Cuentas Nacionales de México Cuentas de Bienes y Servicios 2020</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Cuentas Nacionales de México Cuentas de Bienes y Servicios 2020</dc:title>
  <dc:subject/>
  <dc:creator>INEGI</dc:creator>
  <cp:keywords/>
  <dc:description/>
  <cp:lastModifiedBy>GUILLEN MEDINA MOISES</cp:lastModifiedBy>
  <cp:revision>3</cp:revision>
  <cp:lastPrinted>2020-09-29T00:33:00Z</cp:lastPrinted>
  <dcterms:created xsi:type="dcterms:W3CDTF">2021-09-30T19:01:00Z</dcterms:created>
  <dcterms:modified xsi:type="dcterms:W3CDTF">2021-09-30T23:00:00Z</dcterms:modified>
</cp:coreProperties>
</file>