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1B03" w14:textId="5CB0992D" w:rsidR="00EE013B" w:rsidRDefault="00703381" w:rsidP="00064944">
      <w:pPr>
        <w:pStyle w:val="Default"/>
        <w:tabs>
          <w:tab w:val="left" w:pos="240"/>
          <w:tab w:val="left" w:pos="2355"/>
          <w:tab w:val="right" w:pos="10080"/>
        </w:tabs>
        <w:spacing w:before="0"/>
        <w:rPr>
          <w:b/>
          <w:bCs/>
          <w:sz w:val="28"/>
          <w:szCs w:val="28"/>
        </w:rPr>
      </w:pPr>
      <w:bookmarkStart w:id="0" w:name="_Hlk71646909"/>
      <w:bookmarkEnd w:id="0"/>
      <w:r>
        <w:rPr>
          <w:b/>
          <w:bCs/>
          <w:sz w:val="28"/>
          <w:szCs w:val="28"/>
        </w:rPr>
        <w:t xml:space="preserve"> </w:t>
      </w:r>
    </w:p>
    <w:p w14:paraId="23EF4B91" w14:textId="77777777" w:rsidR="000170AF" w:rsidRDefault="001C2AC9" w:rsidP="00126627">
      <w:pPr>
        <w:pStyle w:val="Default"/>
        <w:tabs>
          <w:tab w:val="left" w:pos="240"/>
          <w:tab w:val="left" w:pos="2355"/>
          <w:tab w:val="right" w:pos="10080"/>
        </w:tabs>
        <w:spacing w:before="0"/>
        <w:jc w:val="center"/>
        <w:rPr>
          <w:b/>
        </w:rPr>
      </w:pPr>
      <w:r>
        <w:rPr>
          <w:b/>
        </w:rPr>
        <w:t xml:space="preserve">PRESENTA </w:t>
      </w:r>
      <w:r w:rsidR="00843925">
        <w:rPr>
          <w:b/>
        </w:rPr>
        <w:t xml:space="preserve">INEGI </w:t>
      </w:r>
      <w:r w:rsidR="000170AF">
        <w:rPr>
          <w:b/>
        </w:rPr>
        <w:t>ACTUALIZACIÓN D</w:t>
      </w:r>
      <w:r>
        <w:rPr>
          <w:b/>
        </w:rPr>
        <w:t xml:space="preserve">EL </w:t>
      </w:r>
      <w:r w:rsidRPr="001C2AC9">
        <w:rPr>
          <w:b/>
        </w:rPr>
        <w:t xml:space="preserve">DIRECTORIO ESTADÍSTICO </w:t>
      </w:r>
    </w:p>
    <w:p w14:paraId="2D21D54E" w14:textId="68EDA029" w:rsidR="00703381" w:rsidRPr="00126627" w:rsidRDefault="001C2AC9" w:rsidP="00126627">
      <w:pPr>
        <w:pStyle w:val="Default"/>
        <w:tabs>
          <w:tab w:val="left" w:pos="240"/>
          <w:tab w:val="left" w:pos="2355"/>
          <w:tab w:val="right" w:pos="10080"/>
        </w:tabs>
        <w:spacing w:before="0"/>
        <w:jc w:val="center"/>
        <w:rPr>
          <w:b/>
          <w:bCs/>
        </w:rPr>
      </w:pPr>
      <w:r w:rsidRPr="001C2AC9">
        <w:rPr>
          <w:b/>
        </w:rPr>
        <w:t>NACIONAL</w:t>
      </w:r>
      <w:r w:rsidR="000170AF">
        <w:rPr>
          <w:b/>
        </w:rPr>
        <w:t xml:space="preserve"> </w:t>
      </w:r>
      <w:r w:rsidRPr="001C2AC9">
        <w:rPr>
          <w:b/>
        </w:rPr>
        <w:t>DE UNIDADES ECONÓMICAS</w:t>
      </w:r>
      <w:r>
        <w:rPr>
          <w:b/>
        </w:rPr>
        <w:t xml:space="preserve"> </w:t>
      </w:r>
      <w:r w:rsidR="00553899" w:rsidRPr="00126627">
        <w:rPr>
          <w:b/>
          <w:bCs/>
        </w:rPr>
        <w:t>INTERACTIVO</w:t>
      </w:r>
      <w:r w:rsidR="00703381" w:rsidRPr="00126627">
        <w:rPr>
          <w:b/>
          <w:bCs/>
        </w:rPr>
        <w:t xml:space="preserve"> </w:t>
      </w:r>
      <w:r w:rsidR="00B43570" w:rsidRPr="00126627">
        <w:rPr>
          <w:b/>
          <w:bCs/>
        </w:rPr>
        <w:t>05</w:t>
      </w:r>
      <w:r w:rsidR="00703381" w:rsidRPr="00126627">
        <w:rPr>
          <w:b/>
          <w:bCs/>
        </w:rPr>
        <w:t>/20</w:t>
      </w:r>
      <w:r w:rsidR="007D3662" w:rsidRPr="00126627">
        <w:rPr>
          <w:b/>
          <w:bCs/>
        </w:rPr>
        <w:t>2</w:t>
      </w:r>
      <w:r w:rsidR="00B43570" w:rsidRPr="00126627">
        <w:rPr>
          <w:b/>
          <w:bCs/>
        </w:rPr>
        <w:t>1</w:t>
      </w:r>
    </w:p>
    <w:p w14:paraId="39A8B9FA" w14:textId="65362CB0" w:rsidR="00064944" w:rsidRDefault="00064944" w:rsidP="00126627">
      <w:pPr>
        <w:pStyle w:val="Default"/>
        <w:tabs>
          <w:tab w:val="left" w:pos="240"/>
          <w:tab w:val="left" w:pos="2355"/>
          <w:tab w:val="right" w:pos="10080"/>
        </w:tabs>
        <w:spacing w:before="0"/>
        <w:jc w:val="center"/>
        <w:rPr>
          <w:b/>
          <w:bCs/>
          <w:sz w:val="28"/>
          <w:szCs w:val="28"/>
        </w:rPr>
      </w:pPr>
    </w:p>
    <w:p w14:paraId="6A5D4DFA" w14:textId="6D156BC4" w:rsidR="00064944" w:rsidRDefault="008F2615" w:rsidP="00651987">
      <w:pPr>
        <w:pStyle w:val="Default"/>
        <w:numPr>
          <w:ilvl w:val="0"/>
          <w:numId w:val="2"/>
        </w:numPr>
        <w:tabs>
          <w:tab w:val="left" w:pos="9214"/>
        </w:tabs>
        <w:spacing w:before="0"/>
        <w:ind w:left="567" w:right="724" w:hanging="283"/>
        <w:jc w:val="both"/>
        <w:rPr>
          <w:sz w:val="23"/>
          <w:szCs w:val="23"/>
        </w:rPr>
      </w:pPr>
      <w:bookmarkStart w:id="1" w:name="_GoBack"/>
      <w:bookmarkEnd w:id="1"/>
      <w:r>
        <w:rPr>
          <w:sz w:val="23"/>
          <w:szCs w:val="23"/>
        </w:rPr>
        <w:t>En esta nueva edición el</w:t>
      </w:r>
      <w:r w:rsidR="000170AF">
        <w:rPr>
          <w:sz w:val="23"/>
          <w:szCs w:val="23"/>
        </w:rPr>
        <w:t xml:space="preserve"> Directorio </w:t>
      </w:r>
      <w:r w:rsidR="00064944">
        <w:rPr>
          <w:sz w:val="23"/>
          <w:szCs w:val="23"/>
        </w:rPr>
        <w:t>c</w:t>
      </w:r>
      <w:r w:rsidR="001C2AC9">
        <w:rPr>
          <w:sz w:val="23"/>
          <w:szCs w:val="23"/>
        </w:rPr>
        <w:t>uenta con</w:t>
      </w:r>
      <w:r w:rsidR="00064944">
        <w:rPr>
          <w:sz w:val="23"/>
          <w:szCs w:val="23"/>
        </w:rPr>
        <w:t xml:space="preserve"> </w:t>
      </w:r>
      <w:r w:rsidR="0080052B">
        <w:rPr>
          <w:sz w:val="23"/>
          <w:szCs w:val="23"/>
        </w:rPr>
        <w:t xml:space="preserve">información de </w:t>
      </w:r>
      <w:r w:rsidR="003B5580">
        <w:rPr>
          <w:sz w:val="23"/>
          <w:szCs w:val="23"/>
        </w:rPr>
        <w:t>5.5 millones de</w:t>
      </w:r>
      <w:r w:rsidR="00C462EB">
        <w:rPr>
          <w:sz w:val="23"/>
          <w:szCs w:val="23"/>
        </w:rPr>
        <w:br/>
      </w:r>
      <w:r w:rsidR="00064944">
        <w:rPr>
          <w:sz w:val="23"/>
          <w:szCs w:val="23"/>
        </w:rPr>
        <w:t>negocios.</w:t>
      </w:r>
    </w:p>
    <w:p w14:paraId="14C60ABB" w14:textId="2E9E0C35" w:rsidR="00FE27BE" w:rsidRDefault="004C7EDA" w:rsidP="00651987">
      <w:pPr>
        <w:pStyle w:val="Default"/>
        <w:numPr>
          <w:ilvl w:val="0"/>
          <w:numId w:val="2"/>
        </w:numPr>
        <w:tabs>
          <w:tab w:val="left" w:pos="9214"/>
        </w:tabs>
        <w:spacing w:before="0"/>
        <w:ind w:left="567" w:right="724" w:hanging="283"/>
        <w:jc w:val="both"/>
        <w:rPr>
          <w:sz w:val="23"/>
          <w:szCs w:val="23"/>
        </w:rPr>
      </w:pPr>
      <w:r>
        <w:rPr>
          <w:sz w:val="23"/>
          <w:szCs w:val="23"/>
        </w:rPr>
        <w:t>Par</w:t>
      </w:r>
      <w:r w:rsidR="00FE27BE">
        <w:rPr>
          <w:sz w:val="23"/>
          <w:szCs w:val="23"/>
        </w:rPr>
        <w:t>a</w:t>
      </w:r>
      <w:r>
        <w:rPr>
          <w:sz w:val="23"/>
          <w:szCs w:val="23"/>
        </w:rPr>
        <w:t xml:space="preserve"> esta edición, la</w:t>
      </w:r>
      <w:r w:rsidR="00FE27BE">
        <w:rPr>
          <w:sz w:val="23"/>
          <w:szCs w:val="23"/>
        </w:rPr>
        <w:t xml:space="preserve"> fuente principal de actualización del D</w:t>
      </w:r>
      <w:r w:rsidR="00CF10BB">
        <w:rPr>
          <w:sz w:val="23"/>
          <w:szCs w:val="23"/>
        </w:rPr>
        <w:t>i</w:t>
      </w:r>
      <w:r w:rsidR="00FE27BE">
        <w:rPr>
          <w:sz w:val="23"/>
          <w:szCs w:val="23"/>
        </w:rPr>
        <w:t>rectorio</w:t>
      </w:r>
      <w:r w:rsidR="00CF10BB">
        <w:rPr>
          <w:sz w:val="23"/>
          <w:szCs w:val="23"/>
        </w:rPr>
        <w:t xml:space="preserve"> </w:t>
      </w:r>
      <w:r w:rsidR="00FE27BE">
        <w:rPr>
          <w:sz w:val="23"/>
          <w:szCs w:val="23"/>
        </w:rPr>
        <w:t xml:space="preserve">es el Estudio </w:t>
      </w:r>
      <w:r w:rsidR="000170AF">
        <w:rPr>
          <w:sz w:val="23"/>
          <w:szCs w:val="23"/>
        </w:rPr>
        <w:t>s</w:t>
      </w:r>
      <w:r w:rsidR="00FE27BE">
        <w:rPr>
          <w:sz w:val="23"/>
          <w:szCs w:val="23"/>
        </w:rPr>
        <w:t>obre la Demografía de los Negocios 2020 realizado por el Instituto</w:t>
      </w:r>
      <w:r w:rsidR="000170AF">
        <w:rPr>
          <w:sz w:val="23"/>
          <w:szCs w:val="23"/>
        </w:rPr>
        <w:t xml:space="preserve"> </w:t>
      </w:r>
      <w:r w:rsidR="00651987">
        <w:rPr>
          <w:sz w:val="23"/>
          <w:szCs w:val="23"/>
        </w:rPr>
        <w:t xml:space="preserve">para </w:t>
      </w:r>
      <w:r w:rsidR="000170AF">
        <w:rPr>
          <w:sz w:val="23"/>
          <w:szCs w:val="23"/>
        </w:rPr>
        <w:t xml:space="preserve">medir el impacto de la contingencia sanitaria en los negocios micro, pequeños y medianos. </w:t>
      </w:r>
    </w:p>
    <w:p w14:paraId="0B921225" w14:textId="77777777" w:rsidR="00064944" w:rsidRDefault="00064944" w:rsidP="00126627">
      <w:pPr>
        <w:pStyle w:val="Default"/>
        <w:tabs>
          <w:tab w:val="left" w:pos="240"/>
          <w:tab w:val="left" w:pos="2355"/>
          <w:tab w:val="right" w:pos="10080"/>
        </w:tabs>
        <w:spacing w:before="0"/>
        <w:ind w:left="2268"/>
        <w:jc w:val="both"/>
        <w:rPr>
          <w:sz w:val="23"/>
          <w:szCs w:val="23"/>
        </w:rPr>
      </w:pPr>
    </w:p>
    <w:p w14:paraId="72882E82" w14:textId="5506ECFD" w:rsidR="004C7EDA" w:rsidRDefault="00843925" w:rsidP="00126627">
      <w:pPr>
        <w:pStyle w:val="Default"/>
        <w:spacing w:before="0"/>
        <w:ind w:right="15"/>
        <w:jc w:val="both"/>
        <w:rPr>
          <w:sz w:val="23"/>
          <w:szCs w:val="23"/>
        </w:rPr>
      </w:pPr>
      <w:r>
        <w:rPr>
          <w:sz w:val="23"/>
          <w:szCs w:val="23"/>
        </w:rPr>
        <w:t>El Instituto Nacional de Estadística y Geografía (INEGI</w:t>
      </w:r>
      <w:r w:rsidR="000170AF">
        <w:rPr>
          <w:sz w:val="23"/>
          <w:szCs w:val="23"/>
        </w:rPr>
        <w:t>)</w:t>
      </w:r>
      <w:r>
        <w:rPr>
          <w:sz w:val="23"/>
          <w:szCs w:val="23"/>
        </w:rPr>
        <w:t xml:space="preserve"> pone a disposición de los usuarios </w:t>
      </w:r>
      <w:r w:rsidR="000170AF">
        <w:rPr>
          <w:sz w:val="23"/>
          <w:szCs w:val="23"/>
        </w:rPr>
        <w:t>la actualización de</w:t>
      </w:r>
      <w:r>
        <w:rPr>
          <w:sz w:val="23"/>
          <w:szCs w:val="23"/>
        </w:rPr>
        <w:t xml:space="preserve">l </w:t>
      </w:r>
      <w:r w:rsidR="00713C2D">
        <w:rPr>
          <w:sz w:val="23"/>
          <w:szCs w:val="23"/>
        </w:rPr>
        <w:t xml:space="preserve">Directorio Estadístico Nacional de Unidades Económicas </w:t>
      </w:r>
      <w:r w:rsidR="00553899">
        <w:rPr>
          <w:sz w:val="23"/>
          <w:szCs w:val="23"/>
        </w:rPr>
        <w:t>Interactivo</w:t>
      </w:r>
      <w:r w:rsidR="000170AF">
        <w:rPr>
          <w:sz w:val="23"/>
          <w:szCs w:val="23"/>
        </w:rPr>
        <w:t xml:space="preserve"> (DENUE), </w:t>
      </w:r>
      <w:r w:rsidR="009F3357">
        <w:rPr>
          <w:sz w:val="23"/>
          <w:szCs w:val="23"/>
        </w:rPr>
        <w:t xml:space="preserve">en su </w:t>
      </w:r>
      <w:r w:rsidR="00A05639">
        <w:rPr>
          <w:sz w:val="23"/>
          <w:szCs w:val="23"/>
        </w:rPr>
        <w:t xml:space="preserve">edición </w:t>
      </w:r>
      <w:r w:rsidR="00B43570">
        <w:rPr>
          <w:sz w:val="23"/>
          <w:szCs w:val="23"/>
        </w:rPr>
        <w:t>05/2021</w:t>
      </w:r>
      <w:r w:rsidR="000170AF">
        <w:rPr>
          <w:sz w:val="23"/>
          <w:szCs w:val="23"/>
        </w:rPr>
        <w:t xml:space="preserve">, que </w:t>
      </w:r>
      <w:r w:rsidR="007D3662">
        <w:rPr>
          <w:sz w:val="23"/>
          <w:szCs w:val="23"/>
        </w:rPr>
        <w:t xml:space="preserve">proporciona información </w:t>
      </w:r>
      <w:r w:rsidR="007D3662" w:rsidRPr="00963AE6">
        <w:rPr>
          <w:sz w:val="23"/>
          <w:szCs w:val="23"/>
        </w:rPr>
        <w:t>de</w:t>
      </w:r>
      <w:r w:rsidR="009F3357" w:rsidRPr="00963AE6">
        <w:rPr>
          <w:sz w:val="23"/>
          <w:szCs w:val="23"/>
        </w:rPr>
        <w:t xml:space="preserve"> </w:t>
      </w:r>
      <w:r w:rsidR="003B5580" w:rsidRPr="00963AE6">
        <w:rPr>
          <w:sz w:val="23"/>
          <w:szCs w:val="23"/>
        </w:rPr>
        <w:t>5</w:t>
      </w:r>
      <w:r w:rsidR="003B5580">
        <w:rPr>
          <w:sz w:val="23"/>
          <w:szCs w:val="23"/>
        </w:rPr>
        <w:t xml:space="preserve"> </w:t>
      </w:r>
      <w:r w:rsidR="003B5580" w:rsidRPr="00963AE6">
        <w:rPr>
          <w:sz w:val="23"/>
          <w:szCs w:val="23"/>
        </w:rPr>
        <w:t>515</w:t>
      </w:r>
      <w:r w:rsidR="003B5580">
        <w:rPr>
          <w:sz w:val="23"/>
          <w:szCs w:val="23"/>
        </w:rPr>
        <w:t xml:space="preserve"> </w:t>
      </w:r>
      <w:r w:rsidR="003B5580" w:rsidRPr="00963AE6">
        <w:rPr>
          <w:sz w:val="23"/>
          <w:szCs w:val="23"/>
        </w:rPr>
        <w:t>863</w:t>
      </w:r>
      <w:r w:rsidR="003B5580">
        <w:rPr>
          <w:sz w:val="23"/>
          <w:szCs w:val="23"/>
        </w:rPr>
        <w:t xml:space="preserve"> </w:t>
      </w:r>
      <w:r w:rsidR="00713C2D">
        <w:rPr>
          <w:sz w:val="23"/>
          <w:szCs w:val="23"/>
        </w:rPr>
        <w:t xml:space="preserve">establecimientos </w:t>
      </w:r>
      <w:r w:rsidR="00106193">
        <w:rPr>
          <w:sz w:val="23"/>
          <w:szCs w:val="23"/>
        </w:rPr>
        <w:t>activos en el territorio nacional que realizan actividades de todos los sectores de la actividad económica.</w:t>
      </w:r>
      <w:r w:rsidR="0080052B">
        <w:rPr>
          <w:sz w:val="23"/>
          <w:szCs w:val="23"/>
        </w:rPr>
        <w:t xml:space="preserve"> </w:t>
      </w:r>
    </w:p>
    <w:p w14:paraId="0D70845B" w14:textId="77777777" w:rsidR="004C7EDA" w:rsidRDefault="004C7EDA" w:rsidP="00126627">
      <w:pPr>
        <w:pStyle w:val="Default"/>
        <w:spacing w:before="0"/>
        <w:ind w:right="15"/>
        <w:jc w:val="both"/>
        <w:rPr>
          <w:sz w:val="23"/>
          <w:szCs w:val="23"/>
        </w:rPr>
      </w:pPr>
    </w:p>
    <w:p w14:paraId="72113D2A" w14:textId="081A3CCB" w:rsidR="00A73D4E" w:rsidRDefault="00651987" w:rsidP="00126627">
      <w:pPr>
        <w:pStyle w:val="Default"/>
        <w:spacing w:before="0"/>
        <w:ind w:right="15"/>
        <w:jc w:val="both"/>
        <w:rPr>
          <w:sz w:val="23"/>
          <w:szCs w:val="23"/>
        </w:rPr>
      </w:pPr>
      <w:r>
        <w:rPr>
          <w:sz w:val="23"/>
          <w:szCs w:val="23"/>
        </w:rPr>
        <w:t>En esta ocasión, l</w:t>
      </w:r>
      <w:r w:rsidR="000170AF">
        <w:rPr>
          <w:sz w:val="23"/>
          <w:szCs w:val="23"/>
        </w:rPr>
        <w:t xml:space="preserve">a actualización que se presenta </w:t>
      </w:r>
      <w:r w:rsidR="006F4E9A">
        <w:rPr>
          <w:sz w:val="23"/>
          <w:szCs w:val="23"/>
        </w:rPr>
        <w:t>proviene</w:t>
      </w:r>
      <w:r w:rsidR="0080052B">
        <w:rPr>
          <w:sz w:val="23"/>
          <w:szCs w:val="23"/>
        </w:rPr>
        <w:t xml:space="preserve"> mayoritariamente de los datos captados por el Estudio sobre la Demografía de los Negocios 2020, realizado por el Instituto para medir el impacto de la contingencia sanitaria en los negocios micro, pequeños y medianos (</w:t>
      </w:r>
      <w:proofErr w:type="spellStart"/>
      <w:r w:rsidR="0080052B">
        <w:rPr>
          <w:sz w:val="23"/>
          <w:szCs w:val="23"/>
        </w:rPr>
        <w:t>Mi</w:t>
      </w:r>
      <w:r w:rsidR="000170AF">
        <w:rPr>
          <w:sz w:val="23"/>
          <w:szCs w:val="23"/>
        </w:rPr>
        <w:t>pymes</w:t>
      </w:r>
      <w:proofErr w:type="spellEnd"/>
      <w:r w:rsidR="0080052B">
        <w:rPr>
          <w:sz w:val="23"/>
          <w:szCs w:val="23"/>
        </w:rPr>
        <w:t>) del país</w:t>
      </w:r>
      <w:r w:rsidR="00FE27BE">
        <w:rPr>
          <w:rStyle w:val="Refdenotaalpie"/>
          <w:sz w:val="23"/>
          <w:szCs w:val="23"/>
        </w:rPr>
        <w:footnoteReference w:id="1"/>
      </w:r>
      <w:r w:rsidR="0080052B">
        <w:rPr>
          <w:sz w:val="23"/>
          <w:szCs w:val="23"/>
        </w:rPr>
        <w:t>.</w:t>
      </w:r>
    </w:p>
    <w:p w14:paraId="47F44A3F" w14:textId="77777777" w:rsidR="00126627" w:rsidRDefault="00126627" w:rsidP="00126627">
      <w:pPr>
        <w:pStyle w:val="Default"/>
        <w:spacing w:before="0"/>
        <w:ind w:right="15"/>
        <w:jc w:val="both"/>
        <w:rPr>
          <w:sz w:val="23"/>
          <w:szCs w:val="23"/>
        </w:rPr>
      </w:pPr>
    </w:p>
    <w:p w14:paraId="0DCBA1D0" w14:textId="10665DA4" w:rsidR="00EE013B" w:rsidRDefault="00802A88" w:rsidP="00126627">
      <w:pPr>
        <w:pStyle w:val="Default"/>
        <w:spacing w:before="0"/>
        <w:ind w:right="15"/>
        <w:jc w:val="both"/>
        <w:rPr>
          <w:sz w:val="23"/>
          <w:szCs w:val="23"/>
        </w:rPr>
      </w:pPr>
      <w:r>
        <w:rPr>
          <w:sz w:val="23"/>
          <w:szCs w:val="23"/>
        </w:rPr>
        <w:t xml:space="preserve">Los 5.5 millones de negocios que reporta el </w:t>
      </w:r>
      <w:r w:rsidR="00CF3BF1">
        <w:rPr>
          <w:sz w:val="23"/>
          <w:szCs w:val="23"/>
        </w:rPr>
        <w:t xml:space="preserve">DENUE </w:t>
      </w:r>
      <w:r w:rsidR="00AE176C">
        <w:rPr>
          <w:sz w:val="23"/>
          <w:szCs w:val="23"/>
        </w:rPr>
        <w:t xml:space="preserve">Interactivo </w:t>
      </w:r>
      <w:r w:rsidR="00410997">
        <w:rPr>
          <w:sz w:val="23"/>
          <w:szCs w:val="23"/>
        </w:rPr>
        <w:t>05/2021</w:t>
      </w:r>
      <w:r w:rsidR="0087473D">
        <w:rPr>
          <w:sz w:val="23"/>
          <w:szCs w:val="23"/>
        </w:rPr>
        <w:t xml:space="preserve"> </w:t>
      </w:r>
      <w:r>
        <w:rPr>
          <w:sz w:val="23"/>
          <w:szCs w:val="23"/>
        </w:rPr>
        <w:t xml:space="preserve">están ubicados, </w:t>
      </w:r>
      <w:r w:rsidR="00526280">
        <w:rPr>
          <w:sz w:val="23"/>
          <w:szCs w:val="23"/>
        </w:rPr>
        <w:t xml:space="preserve">predominantemente </w:t>
      </w:r>
      <w:r w:rsidR="00405919">
        <w:rPr>
          <w:sz w:val="23"/>
          <w:szCs w:val="23"/>
        </w:rPr>
        <w:t xml:space="preserve">en el </w:t>
      </w:r>
      <w:r w:rsidR="000170AF">
        <w:rPr>
          <w:sz w:val="23"/>
          <w:szCs w:val="23"/>
        </w:rPr>
        <w:t>E</w:t>
      </w:r>
      <w:r w:rsidR="00405919">
        <w:rPr>
          <w:sz w:val="23"/>
          <w:szCs w:val="23"/>
        </w:rPr>
        <w:t>stado de México y en la CDMX</w:t>
      </w:r>
      <w:r>
        <w:rPr>
          <w:sz w:val="23"/>
          <w:szCs w:val="23"/>
        </w:rPr>
        <w:t xml:space="preserve"> </w:t>
      </w:r>
      <w:r w:rsidR="00405919">
        <w:rPr>
          <w:sz w:val="23"/>
          <w:szCs w:val="23"/>
        </w:rPr>
        <w:t xml:space="preserve">y </w:t>
      </w:r>
      <w:r>
        <w:rPr>
          <w:sz w:val="23"/>
          <w:szCs w:val="23"/>
        </w:rPr>
        <w:t>se dedican principalmente a</w:t>
      </w:r>
      <w:r w:rsidR="00526280">
        <w:rPr>
          <w:sz w:val="23"/>
          <w:szCs w:val="23"/>
        </w:rPr>
        <w:t>l comercio y a los servicios</w:t>
      </w:r>
      <w:r w:rsidR="004C7EDA">
        <w:rPr>
          <w:sz w:val="23"/>
          <w:szCs w:val="23"/>
        </w:rPr>
        <w:t>.</w:t>
      </w:r>
    </w:p>
    <w:p w14:paraId="4372DF68" w14:textId="77777777" w:rsidR="004C7EDA" w:rsidRDefault="004C7EDA" w:rsidP="004C7EDA">
      <w:pPr>
        <w:pStyle w:val="Default"/>
        <w:spacing w:before="240"/>
        <w:ind w:right="15"/>
        <w:jc w:val="both"/>
        <w:rPr>
          <w:sz w:val="23"/>
          <w:szCs w:val="23"/>
        </w:rPr>
      </w:pPr>
    </w:p>
    <w:p w14:paraId="10B7360E" w14:textId="77777777" w:rsidR="004C7EDA" w:rsidRDefault="00357264" w:rsidP="004C7EDA">
      <w:pPr>
        <w:pStyle w:val="Default"/>
        <w:spacing w:before="0"/>
        <w:jc w:val="center"/>
        <w:rPr>
          <w:b/>
          <w:sz w:val="23"/>
          <w:szCs w:val="23"/>
        </w:rPr>
      </w:pPr>
      <w:r w:rsidRPr="004C7EDA">
        <w:rPr>
          <w:b/>
          <w:sz w:val="23"/>
          <w:szCs w:val="23"/>
        </w:rPr>
        <w:t xml:space="preserve">Distribución porcentual de los negocios por gran sector de actividad económica </w:t>
      </w:r>
    </w:p>
    <w:p w14:paraId="52099852" w14:textId="36DB28C1" w:rsidR="00357264" w:rsidRPr="004C7EDA" w:rsidRDefault="00357264" w:rsidP="004C7EDA">
      <w:pPr>
        <w:pStyle w:val="Default"/>
        <w:spacing w:before="0"/>
        <w:jc w:val="center"/>
        <w:rPr>
          <w:b/>
          <w:sz w:val="23"/>
          <w:szCs w:val="23"/>
        </w:rPr>
      </w:pPr>
      <w:r w:rsidRPr="004C7EDA">
        <w:rPr>
          <w:b/>
          <w:sz w:val="23"/>
          <w:szCs w:val="23"/>
        </w:rPr>
        <w:t>en el DENUE Interactivo</w:t>
      </w:r>
    </w:p>
    <w:p w14:paraId="552550C3" w14:textId="77777777" w:rsidR="00357264" w:rsidRDefault="00357264" w:rsidP="00357264">
      <w:pPr>
        <w:pStyle w:val="Default"/>
        <w:ind w:right="15"/>
        <w:jc w:val="center"/>
        <w:rPr>
          <w:noProof/>
          <w:sz w:val="23"/>
          <w:szCs w:val="23"/>
        </w:rPr>
      </w:pPr>
      <w:r w:rsidRPr="00647AA3">
        <w:rPr>
          <w:noProof/>
          <w:sz w:val="23"/>
          <w:szCs w:val="23"/>
        </w:rPr>
        <mc:AlternateContent>
          <mc:Choice Requires="wps">
            <w:drawing>
              <wp:anchor distT="0" distB="0" distL="114300" distR="114300" simplePos="0" relativeHeight="251676672" behindDoc="0" locked="0" layoutInCell="1" allowOverlap="1" wp14:anchorId="62F76057" wp14:editId="4737E7A2">
                <wp:simplePos x="0" y="0"/>
                <wp:positionH relativeFrom="margin">
                  <wp:posOffset>226060</wp:posOffset>
                </wp:positionH>
                <wp:positionV relativeFrom="paragraph">
                  <wp:posOffset>2184888</wp:posOffset>
                </wp:positionV>
                <wp:extent cx="5039008" cy="381000"/>
                <wp:effectExtent l="0" t="0" r="0" b="0"/>
                <wp:wrapNone/>
                <wp:docPr id="5" name="24 Rectángulo"/>
                <wp:cNvGraphicFramePr/>
                <a:graphic xmlns:a="http://schemas.openxmlformats.org/drawingml/2006/main">
                  <a:graphicData uri="http://schemas.microsoft.com/office/word/2010/wordprocessingShape">
                    <wps:wsp>
                      <wps:cNvSpPr/>
                      <wps:spPr>
                        <a:xfrm>
                          <a:off x="0" y="0"/>
                          <a:ext cx="5039008" cy="381000"/>
                        </a:xfrm>
                        <a:prstGeom prst="rect">
                          <a:avLst/>
                        </a:prstGeom>
                      </wps:spPr>
                      <wps:txbx>
                        <w:txbxContent>
                          <w:p w14:paraId="4FEFA8C6" w14:textId="77777777" w:rsidR="00357264" w:rsidRPr="00523433" w:rsidRDefault="00357264" w:rsidP="00357264">
                            <w:pPr>
                              <w:textAlignment w:val="baseline"/>
                            </w:pPr>
                            <w:r w:rsidRPr="00523433">
                              <w:rPr>
                                <w:rFonts w:ascii="Calibri" w:hAnsi="Calibri"/>
                                <w:b/>
                                <w:bCs/>
                                <w:color w:val="262626" w:themeColor="text1" w:themeTint="D9"/>
                                <w:kern w:val="24"/>
                                <w:sz w:val="32"/>
                                <w:szCs w:val="32"/>
                                <w14:shadow w14:blurRad="38100" w14:dist="38100" w14:dir="2700000" w14:sx="100000" w14:sy="100000" w14:kx="0" w14:ky="0" w14:algn="tl">
                                  <w14:srgbClr w14:val="000000">
                                    <w14:alpha w14:val="57000"/>
                                  </w14:srgbClr>
                                </w14:shadow>
                              </w:rPr>
                              <w:t xml:space="preserve">4 331 202 unidades económicas </w:t>
                            </w:r>
                          </w:p>
                        </w:txbxContent>
                      </wps:txbx>
                      <wps:bodyPr wrap="none" anchor="ctr">
                        <a:noAutofit/>
                      </wps:bodyPr>
                    </wps:wsp>
                  </a:graphicData>
                </a:graphic>
                <wp14:sizeRelV relativeFrom="margin">
                  <wp14:pctHeight>0</wp14:pctHeight>
                </wp14:sizeRelV>
              </wp:anchor>
            </w:drawing>
          </mc:Choice>
          <mc:Fallback>
            <w:pict>
              <v:rect w14:anchorId="62F76057" id="24 Rectángulo" o:spid="_x0000_s1026" style="position:absolute;left:0;text-align:left;margin-left:17.8pt;margin-top:172.05pt;width:396.75pt;height:30pt;z-index:2516766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" filled="f" stroked="f">
                <v:textbox>
                  <w:txbxContent>
                    <w:p w14:paraId="4FEFA8C6" w14:textId="77777777" w:rsidR="00357264" w:rsidRPr="00523433" w:rsidRDefault="00357264" w:rsidP="00357264">
                      <w:pPr>
                        <w:textAlignment w:val="baseline"/>
                      </w:pPr>
                      <w:r w:rsidRPr="00523433">
                        <w:rPr>
                          <w:rFonts w:ascii="Calibri" w:hAnsi="Calibri"/>
                          <w:b/>
                          <w:bCs/>
                          <w:color w:val="262626" w:themeColor="text1" w:themeTint="D9"/>
                          <w:kern w:val="24"/>
                          <w:sz w:val="32"/>
                          <w:szCs w:val="32"/>
                          <w14:shadow w14:blurRad="38100" w14:dist="38100" w14:dir="2700000" w14:sx="100000" w14:sy="100000" w14:kx="0" w14:ky="0" w14:algn="tl">
                            <w14:srgbClr w14:val="000000">
                              <w14:alpha w14:val="57000"/>
                            </w14:srgbClr>
                          </w14:shadow>
                        </w:rPr>
                        <w:t xml:space="preserve">4 331 202 unidades económicas </w:t>
                      </w:r>
                    </w:p>
                  </w:txbxContent>
                </v:textbox>
                <w10:wrap anchorx="margin"/>
              </v:rect>
            </w:pict>
          </mc:Fallback>
        </mc:AlternateContent>
      </w:r>
      <w:r w:rsidRPr="00647AA3">
        <w:rPr>
          <w:noProof/>
          <w:sz w:val="23"/>
          <w:szCs w:val="23"/>
        </w:rPr>
        <mc:AlternateContent>
          <mc:Choice Requires="wps">
            <w:drawing>
              <wp:anchor distT="0" distB="0" distL="114300" distR="114300" simplePos="0" relativeHeight="251675648" behindDoc="0" locked="0" layoutInCell="1" allowOverlap="1" wp14:anchorId="46BE1F9F" wp14:editId="06CFF493">
                <wp:simplePos x="0" y="0"/>
                <wp:positionH relativeFrom="margin">
                  <wp:posOffset>3327693</wp:posOffset>
                </wp:positionH>
                <wp:positionV relativeFrom="paragraph">
                  <wp:posOffset>2193046</wp:posOffset>
                </wp:positionV>
                <wp:extent cx="2933700" cy="381000"/>
                <wp:effectExtent l="0" t="0" r="0" b="0"/>
                <wp:wrapNone/>
                <wp:docPr id="8" name="24 Rectángulo"/>
                <wp:cNvGraphicFramePr/>
                <a:graphic xmlns:a="http://schemas.openxmlformats.org/drawingml/2006/main">
                  <a:graphicData uri="http://schemas.microsoft.com/office/word/2010/wordprocessingShape">
                    <wps:wsp>
                      <wps:cNvSpPr/>
                      <wps:spPr>
                        <a:xfrm>
                          <a:off x="0" y="0"/>
                          <a:ext cx="2933700" cy="381000"/>
                        </a:xfrm>
                        <a:prstGeom prst="rect">
                          <a:avLst/>
                        </a:prstGeom>
                      </wps:spPr>
                      <wps:txbx>
                        <w:txbxContent>
                          <w:p w14:paraId="57170780" w14:textId="77777777" w:rsidR="00357264" w:rsidRPr="00523433" w:rsidRDefault="00357264" w:rsidP="00357264">
                            <w:pPr>
                              <w:textAlignment w:val="baseline"/>
                            </w:pPr>
                            <w:r w:rsidRPr="00E15317">
                              <w:rPr>
                                <w:rFonts w:ascii="Calibri" w:hAnsi="Calibri"/>
                                <w:b/>
                                <w:bCs/>
                                <w:kern w:val="24"/>
                                <w:sz w:val="32"/>
                                <w:szCs w:val="32"/>
                                <w14:shadow w14:blurRad="38100" w14:dist="38100" w14:dir="2700000" w14:sx="100000" w14:sy="100000" w14:kx="0" w14:ky="0" w14:algn="tl">
                                  <w14:srgbClr w14:val="000000">
                                    <w14:alpha w14:val="57000"/>
                                  </w14:srgbClr>
                                </w14:shadow>
                              </w:rPr>
                              <w:t>5 515 863</w:t>
                            </w:r>
                            <w:r w:rsidRPr="00523433">
                              <w:rPr>
                                <w:rFonts w:ascii="Calibri" w:hAnsi="Calibri"/>
                                <w:b/>
                                <w:bCs/>
                                <w:color w:val="262626" w:themeColor="text1" w:themeTint="D9"/>
                                <w:kern w:val="24"/>
                                <w:sz w:val="32"/>
                                <w:szCs w:val="32"/>
                                <w14:shadow w14:blurRad="38100" w14:dist="38100" w14:dir="2700000" w14:sx="100000" w14:sy="100000" w14:kx="0" w14:ky="0" w14:algn="tl">
                                  <w14:srgbClr w14:val="000000">
                                    <w14:alpha w14:val="57000"/>
                                  </w14:srgbClr>
                                </w14:shadow>
                              </w:rPr>
                              <w:t xml:space="preserve"> unidades económicas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6BE1F9F" id="_x0000_s1027" style="position:absolute;left:0;text-align:left;margin-left:262pt;margin-top:172.7pt;width:231pt;height:3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" filled="f" stroked="f">
                <v:textbox>
                  <w:txbxContent>
                    <w:p w14:paraId="57170780" w14:textId="77777777" w:rsidR="00357264" w:rsidRPr="00523433" w:rsidRDefault="00357264" w:rsidP="00357264">
                      <w:pPr>
                        <w:textAlignment w:val="baseline"/>
                      </w:pPr>
                      <w:r w:rsidRPr="00E15317">
                        <w:rPr>
                          <w:rFonts w:ascii="Calibri" w:hAnsi="Calibri"/>
                          <w:b/>
                          <w:bCs/>
                          <w:kern w:val="24"/>
                          <w:sz w:val="32"/>
                          <w:szCs w:val="32"/>
                          <w14:shadow w14:blurRad="38100" w14:dist="38100" w14:dir="2700000" w14:sx="100000" w14:sy="100000" w14:kx="0" w14:ky="0" w14:algn="tl">
                            <w14:srgbClr w14:val="000000">
                              <w14:alpha w14:val="57000"/>
                            </w14:srgbClr>
                          </w14:shadow>
                        </w:rPr>
                        <w:t>5 515 863</w:t>
                      </w:r>
                      <w:r w:rsidRPr="00523433">
                        <w:rPr>
                          <w:rFonts w:ascii="Calibri" w:hAnsi="Calibri"/>
                          <w:b/>
                          <w:bCs/>
                          <w:color w:val="262626" w:themeColor="text1" w:themeTint="D9"/>
                          <w:kern w:val="24"/>
                          <w:sz w:val="32"/>
                          <w:szCs w:val="32"/>
                          <w14:shadow w14:blurRad="38100" w14:dist="38100" w14:dir="2700000" w14:sx="100000" w14:sy="100000" w14:kx="0" w14:ky="0" w14:algn="tl">
                            <w14:srgbClr w14:val="000000">
                              <w14:alpha w14:val="57000"/>
                            </w14:srgbClr>
                          </w14:shadow>
                        </w:rPr>
                        <w:t xml:space="preserve"> unidades económicas </w:t>
                      </w:r>
                    </w:p>
                  </w:txbxContent>
                </v:textbox>
                <w10:wrap anchorx="margin"/>
              </v:rect>
            </w:pict>
          </mc:Fallback>
        </mc:AlternateContent>
      </w:r>
      <w:r w:rsidRPr="00647AA3">
        <w:rPr>
          <w:noProof/>
          <w:sz w:val="23"/>
          <w:szCs w:val="23"/>
        </w:rPr>
        <w:drawing>
          <wp:inline distT="0" distB="0" distL="0" distR="0" wp14:anchorId="72E66EC3" wp14:editId="0D3413FF">
            <wp:extent cx="3164840" cy="2596368"/>
            <wp:effectExtent l="0" t="0" r="16510" b="1397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21EFD982" wp14:editId="097808BA">
            <wp:extent cx="3114675" cy="2602523"/>
            <wp:effectExtent l="0" t="0" r="9525" b="7620"/>
            <wp:docPr id="1" name="Gráfico 1">
              <a:extLst xmlns:a="http://schemas.openxmlformats.org/drawingml/2006/main">
                <a:ext uri="{FF2B5EF4-FFF2-40B4-BE49-F238E27FC236}">
                  <a16:creationId xmlns:a16="http://schemas.microsoft.com/office/drawing/2014/main" id="{D6B0AB02-A37B-4E40-91AF-73A50761E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9833EA" w14:textId="77777777" w:rsidR="00357264" w:rsidRDefault="00357264" w:rsidP="00357264">
      <w:pPr>
        <w:pStyle w:val="Default"/>
        <w:spacing w:before="0"/>
        <w:ind w:right="15"/>
        <w:jc w:val="center"/>
        <w:rPr>
          <w:noProof/>
          <w:sz w:val="23"/>
          <w:szCs w:val="23"/>
        </w:rPr>
      </w:pPr>
      <w:r>
        <w:rPr>
          <w:noProof/>
          <w:sz w:val="23"/>
          <w:szCs w:val="23"/>
        </w:rPr>
        <w:drawing>
          <wp:inline distT="0" distB="0" distL="0" distR="0" wp14:anchorId="5CF37965" wp14:editId="03850FE1">
            <wp:extent cx="6405519" cy="264356"/>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2552" t="94238" r="1256"/>
                    <a:stretch/>
                  </pic:blipFill>
                  <pic:spPr bwMode="auto">
                    <a:xfrm>
                      <a:off x="0" y="0"/>
                      <a:ext cx="6409904" cy="264537"/>
                    </a:xfrm>
                    <a:prstGeom prst="rect">
                      <a:avLst/>
                    </a:prstGeom>
                    <a:noFill/>
                    <a:ln>
                      <a:noFill/>
                    </a:ln>
                    <a:extLst>
                      <a:ext uri="{53640926-AAD7-44D8-BBD7-CCE9431645EC}">
                        <a14:shadowObscured xmlns:a14="http://schemas.microsoft.com/office/drawing/2010/main"/>
                      </a:ext>
                    </a:extLst>
                  </pic:spPr>
                </pic:pic>
              </a:graphicData>
            </a:graphic>
          </wp:inline>
        </w:drawing>
      </w:r>
    </w:p>
    <w:p w14:paraId="464BD889" w14:textId="77777777" w:rsidR="00651987" w:rsidRDefault="00651987" w:rsidP="00802A88">
      <w:pPr>
        <w:pStyle w:val="Default"/>
        <w:jc w:val="center"/>
        <w:rPr>
          <w:b/>
          <w:sz w:val="23"/>
          <w:szCs w:val="23"/>
        </w:rPr>
      </w:pPr>
    </w:p>
    <w:p w14:paraId="4F0D200E" w14:textId="5F5E78C4" w:rsidR="00292B1E" w:rsidRPr="00802A88" w:rsidRDefault="00546B8E" w:rsidP="00802A88">
      <w:pPr>
        <w:pStyle w:val="Default"/>
        <w:jc w:val="center"/>
        <w:rPr>
          <w:b/>
          <w:sz w:val="23"/>
          <w:szCs w:val="23"/>
        </w:rPr>
      </w:pPr>
      <w:r w:rsidRPr="00802A88">
        <w:rPr>
          <w:b/>
          <w:sz w:val="23"/>
          <w:szCs w:val="23"/>
        </w:rPr>
        <w:t>Total de</w:t>
      </w:r>
      <w:r w:rsidR="00292B1E" w:rsidRPr="00802A88">
        <w:rPr>
          <w:b/>
          <w:sz w:val="23"/>
          <w:szCs w:val="23"/>
        </w:rPr>
        <w:t xml:space="preserve"> unidades económicas por entidad federativa en el DENUE Interactivo 05/2021</w:t>
      </w:r>
    </w:p>
    <w:p w14:paraId="0DE9206E" w14:textId="691655D7" w:rsidR="00E15317" w:rsidRDefault="00292B1E" w:rsidP="00410997">
      <w:pPr>
        <w:pStyle w:val="Default"/>
        <w:ind w:right="15"/>
        <w:jc w:val="both"/>
        <w:rPr>
          <w:noProof/>
          <w:sz w:val="23"/>
          <w:szCs w:val="23"/>
        </w:rPr>
      </w:pPr>
      <w:r>
        <w:rPr>
          <w:noProof/>
        </w:rPr>
        <w:drawing>
          <wp:inline distT="0" distB="0" distL="0" distR="0" wp14:anchorId="18E7F80B" wp14:editId="4DF8174D">
            <wp:extent cx="6400800" cy="5364480"/>
            <wp:effectExtent l="0" t="0" r="0" b="7620"/>
            <wp:docPr id="3" name="Gráfico 3">
              <a:extLst xmlns:a="http://schemas.openxmlformats.org/drawingml/2006/main">
                <a:ext uri="{FF2B5EF4-FFF2-40B4-BE49-F238E27FC236}">
                  <a16:creationId xmlns:a16="http://schemas.microsoft.com/office/drawing/2014/main" id="{22804A5C-5958-4072-B4BB-AB6590161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A632FA" w14:textId="66FE7D81" w:rsidR="00E15317" w:rsidRDefault="00E15317" w:rsidP="00410997">
      <w:pPr>
        <w:pStyle w:val="Default"/>
        <w:ind w:right="15"/>
        <w:jc w:val="both"/>
        <w:rPr>
          <w:noProof/>
          <w:sz w:val="23"/>
          <w:szCs w:val="23"/>
        </w:rPr>
      </w:pPr>
    </w:p>
    <w:p w14:paraId="4FDF02F6" w14:textId="7947E7AB" w:rsidR="004C7EDA" w:rsidRDefault="004C7EDA" w:rsidP="00126627">
      <w:pPr>
        <w:pStyle w:val="Default"/>
        <w:spacing w:before="0"/>
        <w:ind w:right="17"/>
        <w:jc w:val="both"/>
        <w:rPr>
          <w:sz w:val="23"/>
          <w:szCs w:val="23"/>
        </w:rPr>
      </w:pPr>
      <w:r>
        <w:rPr>
          <w:sz w:val="23"/>
          <w:szCs w:val="23"/>
        </w:rPr>
        <w:t>A través de su sistema de consulta (</w:t>
      </w:r>
      <w:hyperlink r:id="rId12" w:history="1">
        <w:r w:rsidRPr="00EC43F2">
          <w:rPr>
            <w:rStyle w:val="Hipervnculo"/>
            <w:sz w:val="23"/>
            <w:szCs w:val="23"/>
          </w:rPr>
          <w:t>https://www.inegi.org.mx/app/mapa/denue/default.aspx</w:t>
        </w:r>
      </w:hyperlink>
      <w:r w:rsidRPr="00EC43F2">
        <w:rPr>
          <w:sz w:val="23"/>
          <w:szCs w:val="23"/>
        </w:rPr>
        <w:t xml:space="preserve">) </w:t>
      </w:r>
      <w:r>
        <w:t>e</w:t>
      </w:r>
      <w:r>
        <w:rPr>
          <w:sz w:val="23"/>
          <w:szCs w:val="23"/>
        </w:rPr>
        <w:t>l</w:t>
      </w:r>
      <w:r w:rsidRPr="00AB52AC">
        <w:rPr>
          <w:sz w:val="23"/>
          <w:szCs w:val="23"/>
        </w:rPr>
        <w:t xml:space="preserve"> </w:t>
      </w:r>
      <w:r>
        <w:rPr>
          <w:sz w:val="23"/>
          <w:szCs w:val="23"/>
        </w:rPr>
        <w:t>DENUE</w:t>
      </w:r>
      <w:r w:rsidRPr="00AB52AC">
        <w:rPr>
          <w:sz w:val="23"/>
          <w:szCs w:val="23"/>
        </w:rPr>
        <w:t xml:space="preserve"> </w:t>
      </w:r>
      <w:r>
        <w:rPr>
          <w:sz w:val="23"/>
          <w:szCs w:val="23"/>
        </w:rPr>
        <w:t>o</w:t>
      </w:r>
      <w:r w:rsidRPr="00AB52AC">
        <w:rPr>
          <w:sz w:val="23"/>
          <w:szCs w:val="23"/>
        </w:rPr>
        <w:t>frece</w:t>
      </w:r>
      <w:r>
        <w:rPr>
          <w:sz w:val="23"/>
          <w:szCs w:val="23"/>
        </w:rPr>
        <w:t xml:space="preserve"> desde su primera edición los datos </w:t>
      </w:r>
      <w:r w:rsidRPr="00AB52AC">
        <w:rPr>
          <w:sz w:val="23"/>
          <w:szCs w:val="23"/>
        </w:rPr>
        <w:t xml:space="preserve">de identificación, ubicación, actividad económica y tamaño </w:t>
      </w:r>
      <w:r>
        <w:rPr>
          <w:sz w:val="23"/>
          <w:szCs w:val="23"/>
        </w:rPr>
        <w:t>de cada establecimiento ubicado en el país, tanto en archivo imprimible como en la cartografía digital, características que hacen de este producto estadístico una herramienta útil para la toma de decisiones</w:t>
      </w:r>
      <w:r w:rsidR="00802A88">
        <w:rPr>
          <w:sz w:val="23"/>
          <w:szCs w:val="23"/>
        </w:rPr>
        <w:t>,</w:t>
      </w:r>
      <w:r>
        <w:rPr>
          <w:sz w:val="23"/>
          <w:szCs w:val="23"/>
        </w:rPr>
        <w:t xml:space="preserve"> tanto en el sector público como en el privado y el social</w:t>
      </w:r>
      <w:r w:rsidR="00802A88">
        <w:rPr>
          <w:sz w:val="23"/>
          <w:szCs w:val="23"/>
        </w:rPr>
        <w:t>.</w:t>
      </w:r>
    </w:p>
    <w:p w14:paraId="568F9151" w14:textId="77777777" w:rsidR="00126627" w:rsidRDefault="00126627" w:rsidP="00126627">
      <w:pPr>
        <w:pStyle w:val="Default"/>
        <w:spacing w:before="0"/>
        <w:ind w:right="17"/>
        <w:jc w:val="both"/>
        <w:rPr>
          <w:sz w:val="23"/>
          <w:szCs w:val="23"/>
        </w:rPr>
      </w:pPr>
    </w:p>
    <w:p w14:paraId="5B5BF343" w14:textId="77777777" w:rsidR="00126627" w:rsidRDefault="004C7EDA" w:rsidP="00126627">
      <w:pPr>
        <w:pStyle w:val="Default"/>
        <w:spacing w:before="0"/>
        <w:ind w:right="17"/>
        <w:jc w:val="both"/>
        <w:rPr>
          <w:sz w:val="23"/>
          <w:szCs w:val="23"/>
        </w:rPr>
      </w:pPr>
      <w:r>
        <w:rPr>
          <w:sz w:val="23"/>
          <w:szCs w:val="23"/>
        </w:rPr>
        <w:t xml:space="preserve">El DENUE 05/2021 </w:t>
      </w:r>
      <w:r w:rsidRPr="00CF10BB">
        <w:rPr>
          <w:sz w:val="23"/>
          <w:szCs w:val="23"/>
        </w:rPr>
        <w:t>permit</w:t>
      </w:r>
      <w:r>
        <w:rPr>
          <w:sz w:val="23"/>
          <w:szCs w:val="23"/>
        </w:rPr>
        <w:t>e</w:t>
      </w:r>
      <w:r w:rsidRPr="00CF10BB">
        <w:rPr>
          <w:sz w:val="23"/>
          <w:szCs w:val="23"/>
        </w:rPr>
        <w:t xml:space="preserve"> a los usuarios identificar los cambios</w:t>
      </w:r>
      <w:r>
        <w:rPr>
          <w:sz w:val="23"/>
          <w:szCs w:val="23"/>
        </w:rPr>
        <w:t xml:space="preserve"> </w:t>
      </w:r>
      <w:r w:rsidRPr="00CF10BB">
        <w:rPr>
          <w:sz w:val="23"/>
          <w:szCs w:val="23"/>
        </w:rPr>
        <w:t xml:space="preserve">detectados entre el </w:t>
      </w:r>
      <w:r>
        <w:rPr>
          <w:sz w:val="23"/>
          <w:szCs w:val="23"/>
        </w:rPr>
        <w:t>marco</w:t>
      </w:r>
      <w:r w:rsidRPr="00CF10BB">
        <w:rPr>
          <w:sz w:val="23"/>
          <w:szCs w:val="23"/>
        </w:rPr>
        <w:t xml:space="preserve"> </w:t>
      </w:r>
      <w:r>
        <w:rPr>
          <w:sz w:val="23"/>
          <w:szCs w:val="23"/>
        </w:rPr>
        <w:t xml:space="preserve">geoestadístico </w:t>
      </w:r>
      <w:r w:rsidRPr="00CF10BB">
        <w:rPr>
          <w:sz w:val="23"/>
          <w:szCs w:val="23"/>
        </w:rPr>
        <w:t xml:space="preserve">del cierre de los Censos Económicos 2019 y el </w:t>
      </w:r>
      <w:r>
        <w:rPr>
          <w:sz w:val="23"/>
          <w:szCs w:val="23"/>
        </w:rPr>
        <w:t>correspondiente a</w:t>
      </w:r>
      <w:r w:rsidRPr="00CF10BB">
        <w:rPr>
          <w:sz w:val="23"/>
          <w:szCs w:val="23"/>
        </w:rPr>
        <w:t>l cierre del C</w:t>
      </w:r>
      <w:r>
        <w:rPr>
          <w:sz w:val="23"/>
          <w:szCs w:val="23"/>
        </w:rPr>
        <w:t xml:space="preserve">enso de </w:t>
      </w:r>
      <w:r w:rsidRPr="00CF10BB">
        <w:rPr>
          <w:sz w:val="23"/>
          <w:szCs w:val="23"/>
        </w:rPr>
        <w:t>P</w:t>
      </w:r>
      <w:r>
        <w:rPr>
          <w:sz w:val="23"/>
          <w:szCs w:val="23"/>
        </w:rPr>
        <w:t xml:space="preserve">oblación y </w:t>
      </w:r>
      <w:r w:rsidRPr="00CF10BB">
        <w:rPr>
          <w:sz w:val="23"/>
          <w:szCs w:val="23"/>
        </w:rPr>
        <w:t>V</w:t>
      </w:r>
      <w:r>
        <w:rPr>
          <w:sz w:val="23"/>
          <w:szCs w:val="23"/>
        </w:rPr>
        <w:t>ivienda</w:t>
      </w:r>
      <w:r w:rsidRPr="00CF10BB">
        <w:rPr>
          <w:sz w:val="23"/>
          <w:szCs w:val="23"/>
        </w:rPr>
        <w:t xml:space="preserve"> 2020. </w:t>
      </w:r>
    </w:p>
    <w:p w14:paraId="4E562F2A" w14:textId="77777777" w:rsidR="00126627" w:rsidRDefault="00126627" w:rsidP="00126627">
      <w:pPr>
        <w:pStyle w:val="Default"/>
        <w:spacing w:before="0"/>
        <w:ind w:right="17"/>
        <w:jc w:val="both"/>
        <w:rPr>
          <w:sz w:val="23"/>
          <w:szCs w:val="23"/>
        </w:rPr>
      </w:pPr>
    </w:p>
    <w:p w14:paraId="39818789" w14:textId="759EC0D1" w:rsidR="004C7EDA" w:rsidRDefault="00126627" w:rsidP="00126627">
      <w:pPr>
        <w:pStyle w:val="Default"/>
        <w:spacing w:before="0"/>
        <w:ind w:right="17"/>
        <w:jc w:val="both"/>
        <w:rPr>
          <w:sz w:val="23"/>
          <w:szCs w:val="23"/>
        </w:rPr>
      </w:pPr>
      <w:r>
        <w:rPr>
          <w:sz w:val="23"/>
          <w:szCs w:val="23"/>
        </w:rPr>
        <w:lastRenderedPageBreak/>
        <w:t>C</w:t>
      </w:r>
      <w:r w:rsidR="004C7EDA">
        <w:rPr>
          <w:sz w:val="23"/>
          <w:szCs w:val="23"/>
        </w:rPr>
        <w:t xml:space="preserve">onsiderando que continua la semaforización de la actividad económica en el país, como apoyo a la población en general se mantiene la capa de información </w:t>
      </w:r>
      <w:r w:rsidR="004C7EDA" w:rsidRPr="00B43570">
        <w:rPr>
          <w:i/>
          <w:iCs/>
          <w:sz w:val="23"/>
          <w:szCs w:val="23"/>
        </w:rPr>
        <w:t>COVID-19</w:t>
      </w:r>
      <w:r w:rsidR="004C7EDA">
        <w:rPr>
          <w:i/>
          <w:iCs/>
          <w:sz w:val="23"/>
          <w:szCs w:val="23"/>
        </w:rPr>
        <w:t>,</w:t>
      </w:r>
      <w:r w:rsidR="004C7EDA">
        <w:rPr>
          <w:sz w:val="23"/>
          <w:szCs w:val="23"/>
        </w:rPr>
        <w:t xml:space="preserve"> ─que se incorporó desde la versión de abril 2020─, con los datos de los establecimientos que realizan actividades esenciales y no esenciales. </w:t>
      </w:r>
    </w:p>
    <w:p w14:paraId="66ECB643" w14:textId="77777777" w:rsidR="00126627" w:rsidRDefault="00126627" w:rsidP="00126627">
      <w:pPr>
        <w:pStyle w:val="Default"/>
        <w:spacing w:before="0"/>
        <w:ind w:right="17"/>
        <w:jc w:val="both"/>
        <w:rPr>
          <w:sz w:val="23"/>
          <w:szCs w:val="23"/>
        </w:rPr>
      </w:pPr>
    </w:p>
    <w:p w14:paraId="655E85E3" w14:textId="221910A4" w:rsidR="00126627" w:rsidRDefault="00126627" w:rsidP="00126627">
      <w:pPr>
        <w:pStyle w:val="Default"/>
        <w:spacing w:before="0"/>
        <w:ind w:right="17"/>
        <w:jc w:val="both"/>
        <w:rPr>
          <w:sz w:val="23"/>
          <w:szCs w:val="23"/>
        </w:rPr>
      </w:pPr>
      <w:r>
        <w:rPr>
          <w:sz w:val="23"/>
          <w:szCs w:val="23"/>
        </w:rPr>
        <w:t>A</w:t>
      </w:r>
      <w:r w:rsidR="004C7EDA" w:rsidRPr="00CF10BB">
        <w:rPr>
          <w:sz w:val="23"/>
          <w:szCs w:val="23"/>
        </w:rPr>
        <w:t xml:space="preserve"> partir de esta </w:t>
      </w:r>
      <w:r w:rsidR="004C7EDA">
        <w:rPr>
          <w:sz w:val="23"/>
          <w:szCs w:val="23"/>
        </w:rPr>
        <w:t>versión</w:t>
      </w:r>
      <w:r w:rsidR="004C7EDA" w:rsidRPr="00CF10BB">
        <w:rPr>
          <w:sz w:val="23"/>
          <w:szCs w:val="23"/>
        </w:rPr>
        <w:t xml:space="preserve"> del Directorio se incorpora la Clave Estadística </w:t>
      </w:r>
      <w:r w:rsidR="004C7EDA" w:rsidRPr="00126627">
        <w:rPr>
          <w:sz w:val="23"/>
          <w:szCs w:val="23"/>
        </w:rPr>
        <w:t>Empresarial (CLEE) a la ficha técnica de cada establecimiento y a las tablas de descarga del DENUE. Como la normatividad lo establece</w:t>
      </w:r>
      <w:r w:rsidR="004C7EDA" w:rsidRPr="00126627">
        <w:rPr>
          <w:rStyle w:val="Refdenotaalpie"/>
          <w:sz w:val="23"/>
          <w:szCs w:val="23"/>
        </w:rPr>
        <w:footnoteReference w:id="2"/>
      </w:r>
      <w:r w:rsidR="004C7EDA" w:rsidRPr="00126627">
        <w:rPr>
          <w:sz w:val="23"/>
          <w:szCs w:val="23"/>
        </w:rPr>
        <w:t xml:space="preserve">, la CLEE es asignada por el INEGI a cada establecimiento y empresa registrada en el RENEM ─y por ende en el DENUE─, como el número de identificación y control estadístico que tiene cada establecimiento durante todo su ciclo de vida y que no se vuelve a utilizar después de su muerte (cierre definitivo). </w:t>
      </w:r>
    </w:p>
    <w:p w14:paraId="36A0376C" w14:textId="77777777" w:rsidR="00126627" w:rsidRDefault="00126627" w:rsidP="00126627">
      <w:pPr>
        <w:pStyle w:val="Default"/>
        <w:spacing w:before="0"/>
        <w:ind w:right="17"/>
        <w:jc w:val="both"/>
        <w:rPr>
          <w:sz w:val="23"/>
          <w:szCs w:val="23"/>
        </w:rPr>
      </w:pPr>
    </w:p>
    <w:p w14:paraId="39396963" w14:textId="4645335D" w:rsidR="004C7EDA" w:rsidRPr="00126627" w:rsidRDefault="004C7EDA" w:rsidP="00126627">
      <w:pPr>
        <w:pStyle w:val="Default"/>
        <w:spacing w:before="0"/>
        <w:ind w:right="17"/>
        <w:jc w:val="both"/>
        <w:rPr>
          <w:sz w:val="23"/>
          <w:szCs w:val="23"/>
        </w:rPr>
      </w:pPr>
      <w:r w:rsidRPr="00126627">
        <w:rPr>
          <w:sz w:val="23"/>
          <w:szCs w:val="23"/>
        </w:rPr>
        <w:t xml:space="preserve">Es pertinente señalar que el DENUE mantendrá en las ediciones del presente año 2021 ─tanto en la ficha técnica como en la base de datos─ el número de identificación del DENUE (ID o </w:t>
      </w:r>
      <w:proofErr w:type="spellStart"/>
      <w:r w:rsidRPr="00126627">
        <w:rPr>
          <w:sz w:val="23"/>
          <w:szCs w:val="23"/>
        </w:rPr>
        <w:t>D_Llave</w:t>
      </w:r>
      <w:proofErr w:type="spellEnd"/>
      <w:r w:rsidRPr="00126627">
        <w:rPr>
          <w:sz w:val="23"/>
          <w:szCs w:val="23"/>
        </w:rPr>
        <w:t>)</w:t>
      </w:r>
      <w:r w:rsidRPr="00126627">
        <w:rPr>
          <w:rStyle w:val="Refdenotaalpie"/>
          <w:sz w:val="23"/>
          <w:szCs w:val="23"/>
        </w:rPr>
        <w:footnoteReference w:id="3"/>
      </w:r>
      <w:r w:rsidRPr="00126627">
        <w:rPr>
          <w:sz w:val="23"/>
          <w:szCs w:val="23"/>
        </w:rPr>
        <w:t xml:space="preserve"> junto con la CLEE, para facilitar a los usuarios la asociación de los registros entre las diferentes versiones del Directorio.</w:t>
      </w:r>
    </w:p>
    <w:p w14:paraId="3DA65C51" w14:textId="77777777" w:rsidR="00126627" w:rsidRDefault="00126627" w:rsidP="00126627">
      <w:pPr>
        <w:spacing w:before="0" w:after="0" w:line="240" w:lineRule="auto"/>
        <w:jc w:val="both"/>
        <w:rPr>
          <w:rFonts w:ascii="Arial" w:hAnsi="Arial" w:cs="Arial"/>
          <w:sz w:val="23"/>
          <w:szCs w:val="23"/>
        </w:rPr>
      </w:pPr>
    </w:p>
    <w:p w14:paraId="138E299C" w14:textId="36FE581E" w:rsidR="004C7EDA" w:rsidRPr="00126627" w:rsidRDefault="004C7EDA" w:rsidP="00126627">
      <w:pPr>
        <w:spacing w:before="0" w:after="0" w:line="240" w:lineRule="auto"/>
        <w:jc w:val="both"/>
        <w:rPr>
          <w:rFonts w:ascii="Arial" w:hAnsi="Arial" w:cs="Arial"/>
        </w:rPr>
      </w:pPr>
      <w:r w:rsidRPr="00126627">
        <w:rPr>
          <w:rFonts w:ascii="Arial" w:hAnsi="Arial" w:cs="Arial"/>
          <w:sz w:val="23"/>
          <w:szCs w:val="23"/>
        </w:rPr>
        <w:t xml:space="preserve">El DENUE se actualiza de forma continua mediante la herramienta interactiva de su sistema de consulta. Esta funcionalidad </w:t>
      </w:r>
      <w:r w:rsidR="00126627">
        <w:rPr>
          <w:rFonts w:ascii="Arial" w:hAnsi="Arial" w:cs="Arial"/>
          <w:sz w:val="23"/>
          <w:szCs w:val="23"/>
        </w:rPr>
        <w:t xml:space="preserve">ha sido </w:t>
      </w:r>
      <w:r w:rsidR="001C2AC9">
        <w:rPr>
          <w:rFonts w:ascii="Arial" w:hAnsi="Arial" w:cs="Arial"/>
          <w:sz w:val="23"/>
          <w:szCs w:val="23"/>
        </w:rPr>
        <w:t>ú</w:t>
      </w:r>
      <w:r w:rsidR="00126627">
        <w:rPr>
          <w:rFonts w:ascii="Arial" w:hAnsi="Arial" w:cs="Arial"/>
          <w:sz w:val="23"/>
          <w:szCs w:val="23"/>
        </w:rPr>
        <w:t>til</w:t>
      </w:r>
      <w:r w:rsidRPr="00126627">
        <w:rPr>
          <w:rFonts w:ascii="Arial" w:hAnsi="Arial" w:cs="Arial"/>
          <w:sz w:val="23"/>
          <w:szCs w:val="23"/>
        </w:rPr>
        <w:t xml:space="preserve"> durante la pandemia, tanto para los informantes como para los usuarios, considerando que permite a los negocios actualizar y complementar directamente los datos de sus principales productos o servicios, sus ventajas competitivas, sus redes sociales y sus datos de contacto</w:t>
      </w:r>
      <w:r w:rsidR="00126627">
        <w:rPr>
          <w:rFonts w:ascii="Arial" w:hAnsi="Arial" w:cs="Arial"/>
          <w:sz w:val="23"/>
          <w:szCs w:val="23"/>
        </w:rPr>
        <w:t>;</w:t>
      </w:r>
      <w:r w:rsidRPr="00126627">
        <w:rPr>
          <w:rFonts w:ascii="Arial" w:hAnsi="Arial" w:cs="Arial"/>
          <w:sz w:val="23"/>
          <w:szCs w:val="23"/>
        </w:rPr>
        <w:t xml:space="preserve"> </w:t>
      </w:r>
      <w:r w:rsidR="008F2615">
        <w:rPr>
          <w:rFonts w:ascii="Arial" w:hAnsi="Arial" w:cs="Arial"/>
          <w:sz w:val="23"/>
          <w:szCs w:val="23"/>
        </w:rPr>
        <w:t xml:space="preserve">y </w:t>
      </w:r>
      <w:r w:rsidRPr="00126627">
        <w:rPr>
          <w:rFonts w:ascii="Arial" w:hAnsi="Arial" w:cs="Arial"/>
          <w:sz w:val="23"/>
          <w:szCs w:val="23"/>
        </w:rPr>
        <w:t>a los usuarios les permite consultar la información desde sus dispositivos móviles</w:t>
      </w:r>
      <w:r w:rsidRPr="00126627">
        <w:rPr>
          <w:rStyle w:val="Refdenotaalpie"/>
          <w:rFonts w:ascii="Arial" w:hAnsi="Arial" w:cs="Arial"/>
          <w:sz w:val="23"/>
          <w:szCs w:val="23"/>
        </w:rPr>
        <w:footnoteReference w:id="4"/>
      </w:r>
      <w:r w:rsidRPr="00126627">
        <w:rPr>
          <w:rFonts w:ascii="Arial" w:hAnsi="Arial" w:cs="Arial"/>
          <w:sz w:val="23"/>
          <w:szCs w:val="23"/>
        </w:rPr>
        <w:t xml:space="preserve"> para satisfacer alguna necesidad específica.</w:t>
      </w:r>
    </w:p>
    <w:p w14:paraId="0D0D2FAE" w14:textId="68B7F028" w:rsidR="0099258B" w:rsidRDefault="0099258B" w:rsidP="0099258B">
      <w:pPr>
        <w:jc w:val="center"/>
        <w:rPr>
          <w:rFonts w:ascii="Arial" w:hAnsi="Arial" w:cs="Arial"/>
          <w:b/>
          <w:sz w:val="23"/>
          <w:szCs w:val="23"/>
        </w:rPr>
      </w:pPr>
      <w:r w:rsidRPr="001C2AC9">
        <w:rPr>
          <w:rFonts w:ascii="Arial" w:hAnsi="Arial" w:cs="Arial"/>
          <w:b/>
          <w:sz w:val="23"/>
          <w:szCs w:val="23"/>
        </w:rPr>
        <w:t>-</w:t>
      </w:r>
      <w:proofErr w:type="spellStart"/>
      <w:r w:rsidRPr="001C2AC9">
        <w:rPr>
          <w:rFonts w:ascii="Arial" w:hAnsi="Arial" w:cs="Arial"/>
          <w:b/>
          <w:sz w:val="23"/>
          <w:szCs w:val="23"/>
        </w:rPr>
        <w:t>oOo</w:t>
      </w:r>
      <w:proofErr w:type="spellEnd"/>
      <w:r w:rsidRPr="001C2AC9">
        <w:rPr>
          <w:rFonts w:ascii="Arial" w:hAnsi="Arial" w:cs="Arial"/>
          <w:b/>
          <w:sz w:val="23"/>
          <w:szCs w:val="23"/>
        </w:rPr>
        <w:t>-</w:t>
      </w:r>
    </w:p>
    <w:p w14:paraId="738510C2" w14:textId="52E0E7B3" w:rsidR="001C2AC9" w:rsidRDefault="001C2AC9" w:rsidP="0099258B">
      <w:pPr>
        <w:jc w:val="center"/>
        <w:rPr>
          <w:rFonts w:ascii="Arial" w:hAnsi="Arial" w:cs="Arial"/>
          <w:b/>
          <w:sz w:val="23"/>
          <w:szCs w:val="23"/>
        </w:rPr>
      </w:pPr>
    </w:p>
    <w:p w14:paraId="1925965F" w14:textId="77777777" w:rsidR="001C2AC9" w:rsidRPr="001C2AC9" w:rsidRDefault="001C2AC9" w:rsidP="0099258B">
      <w:pPr>
        <w:jc w:val="center"/>
        <w:rPr>
          <w:rFonts w:ascii="Arial" w:hAnsi="Arial" w:cs="Arial"/>
          <w:b/>
          <w:sz w:val="23"/>
          <w:szCs w:val="23"/>
        </w:rPr>
      </w:pPr>
    </w:p>
    <w:p w14:paraId="44D0B091" w14:textId="139B6CA9" w:rsidR="0099258B" w:rsidRDefault="0099258B" w:rsidP="0099258B">
      <w:pPr>
        <w:pStyle w:val="NormalWeb"/>
        <w:spacing w:before="0" w:beforeAutospacing="0" w:after="0" w:afterAutospacing="0"/>
        <w:ind w:left="-425" w:right="-516"/>
        <w:contextualSpacing/>
        <w:jc w:val="center"/>
        <w:rPr>
          <w:rFonts w:ascii="Arial" w:hAnsi="Arial" w:cs="Arial"/>
          <w:sz w:val="22"/>
          <w:szCs w:val="22"/>
        </w:rPr>
      </w:pPr>
      <w:r w:rsidRPr="009C506D">
        <w:rPr>
          <w:rFonts w:ascii="Arial" w:hAnsi="Arial" w:cs="Arial"/>
          <w:sz w:val="22"/>
          <w:szCs w:val="22"/>
        </w:rPr>
        <w:t xml:space="preserve">Para consultas de medios y periodistas, contactar a: </w:t>
      </w:r>
      <w:hyperlink r:id="rId13" w:history="1">
        <w:r w:rsidRPr="009C506D">
          <w:rPr>
            <w:rStyle w:val="Hipervnculo"/>
            <w:rFonts w:ascii="Arial" w:hAnsi="Arial" w:cs="Arial"/>
            <w:sz w:val="22"/>
            <w:szCs w:val="22"/>
          </w:rPr>
          <w:t>comunicacionsocial@inegi.org.mx</w:t>
        </w:r>
      </w:hyperlink>
      <w:r w:rsidRPr="009C506D">
        <w:rPr>
          <w:rFonts w:ascii="Arial" w:hAnsi="Arial" w:cs="Arial"/>
          <w:sz w:val="22"/>
          <w:szCs w:val="22"/>
        </w:rPr>
        <w:t xml:space="preserve"> </w:t>
      </w:r>
    </w:p>
    <w:p w14:paraId="4CA458AD" w14:textId="77777777" w:rsidR="0099258B" w:rsidRPr="009C506D" w:rsidRDefault="0099258B" w:rsidP="0099258B">
      <w:pPr>
        <w:pStyle w:val="NormalWeb"/>
        <w:spacing w:before="0" w:beforeAutospacing="0" w:after="0" w:afterAutospacing="0"/>
        <w:ind w:left="-425" w:right="-516"/>
        <w:contextualSpacing/>
        <w:jc w:val="center"/>
        <w:rPr>
          <w:rFonts w:ascii="Arial" w:hAnsi="Arial" w:cs="Arial"/>
          <w:sz w:val="22"/>
          <w:szCs w:val="22"/>
        </w:rPr>
      </w:pPr>
    </w:p>
    <w:p w14:paraId="03F0DC6E" w14:textId="57EAB10C" w:rsidR="0099258B" w:rsidRDefault="0099258B" w:rsidP="0099258B">
      <w:pPr>
        <w:pStyle w:val="NormalWeb"/>
        <w:spacing w:before="0" w:beforeAutospacing="0" w:after="0" w:afterAutospacing="0"/>
        <w:ind w:left="-425" w:right="-516"/>
        <w:contextualSpacing/>
        <w:jc w:val="center"/>
        <w:rPr>
          <w:rFonts w:ascii="Arial" w:hAnsi="Arial" w:cs="Arial"/>
          <w:sz w:val="22"/>
          <w:szCs w:val="22"/>
        </w:rPr>
      </w:pPr>
      <w:r w:rsidRPr="009C506D">
        <w:rPr>
          <w:rFonts w:ascii="Arial" w:hAnsi="Arial" w:cs="Arial"/>
          <w:sz w:val="22"/>
          <w:szCs w:val="22"/>
        </w:rPr>
        <w:t xml:space="preserve">o llamar al teléfono (55) 52-78-10-00, </w:t>
      </w:r>
      <w:proofErr w:type="spellStart"/>
      <w:r w:rsidRPr="009C506D">
        <w:rPr>
          <w:rFonts w:ascii="Arial" w:hAnsi="Arial" w:cs="Arial"/>
          <w:sz w:val="22"/>
          <w:szCs w:val="22"/>
        </w:rPr>
        <w:t>exts</w:t>
      </w:r>
      <w:proofErr w:type="spellEnd"/>
      <w:r w:rsidRPr="009C506D">
        <w:rPr>
          <w:rFonts w:ascii="Arial" w:hAnsi="Arial" w:cs="Arial"/>
          <w:sz w:val="22"/>
          <w:szCs w:val="22"/>
        </w:rPr>
        <w:t>. 1134, 1260 y 1241.</w:t>
      </w:r>
    </w:p>
    <w:p w14:paraId="61970F25" w14:textId="77777777" w:rsidR="0099258B" w:rsidRPr="009C506D" w:rsidRDefault="0099258B" w:rsidP="0099258B">
      <w:pPr>
        <w:pStyle w:val="NormalWeb"/>
        <w:spacing w:before="0" w:beforeAutospacing="0" w:after="0" w:afterAutospacing="0"/>
        <w:ind w:left="-425" w:right="-516"/>
        <w:contextualSpacing/>
        <w:jc w:val="center"/>
        <w:rPr>
          <w:rFonts w:ascii="Arial" w:hAnsi="Arial" w:cs="Arial"/>
          <w:sz w:val="22"/>
          <w:szCs w:val="22"/>
        </w:rPr>
      </w:pPr>
    </w:p>
    <w:p w14:paraId="4A450FF9" w14:textId="77777777" w:rsidR="0099258B" w:rsidRDefault="0099258B" w:rsidP="0099258B">
      <w:pPr>
        <w:spacing w:before="0" w:after="0" w:line="240" w:lineRule="auto"/>
        <w:ind w:left="-425" w:right="-516"/>
        <w:contextualSpacing/>
        <w:jc w:val="center"/>
        <w:rPr>
          <w:rFonts w:ascii="Arial" w:hAnsi="Arial" w:cs="Arial"/>
          <w:sz w:val="22"/>
          <w:szCs w:val="22"/>
        </w:rPr>
      </w:pPr>
      <w:r w:rsidRPr="009C506D">
        <w:rPr>
          <w:rFonts w:ascii="Arial" w:hAnsi="Arial" w:cs="Arial"/>
          <w:sz w:val="22"/>
          <w:szCs w:val="22"/>
        </w:rPr>
        <w:t>Dirección de Atención a Medios / Dirección General Adjunta de Comunicación</w:t>
      </w:r>
    </w:p>
    <w:p w14:paraId="56829D25" w14:textId="77777777" w:rsidR="0099258B" w:rsidRPr="009C506D" w:rsidRDefault="0099258B" w:rsidP="0099258B">
      <w:pPr>
        <w:ind w:left="-426" w:right="-518"/>
        <w:contextualSpacing/>
        <w:jc w:val="center"/>
        <w:rPr>
          <w:rFonts w:ascii="Arial" w:hAnsi="Arial" w:cs="Arial"/>
          <w:sz w:val="22"/>
          <w:szCs w:val="22"/>
        </w:rPr>
      </w:pPr>
    </w:p>
    <w:p w14:paraId="6BD37E8A" w14:textId="77777777" w:rsidR="0099258B" w:rsidRPr="00BA1ADF" w:rsidRDefault="0099258B" w:rsidP="0099258B">
      <w:pPr>
        <w:ind w:left="-426" w:right="-518"/>
        <w:contextualSpacing/>
        <w:jc w:val="center"/>
      </w:pPr>
    </w:p>
    <w:p w14:paraId="7ED717FB" w14:textId="6C8D3242" w:rsidR="0099258B" w:rsidRDefault="0099258B" w:rsidP="00292B1E">
      <w:pPr>
        <w:ind w:firstLine="1418"/>
        <w:rPr>
          <w:sz w:val="23"/>
          <w:szCs w:val="23"/>
        </w:rPr>
      </w:pPr>
      <w:r w:rsidRPr="008F0992">
        <w:rPr>
          <w:noProof/>
          <w:lang w:eastAsia="es-MX"/>
        </w:rPr>
        <w:drawing>
          <wp:inline distT="0" distB="0" distL="0" distR="0" wp14:anchorId="40A90DC1" wp14:editId="30817EE1">
            <wp:extent cx="318472" cy="322419"/>
            <wp:effectExtent l="0" t="0" r="5715" b="1905"/>
            <wp:docPr id="4" name="Imagen 4"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rPr>
        <w:t xml:space="preserve"> </w:t>
      </w:r>
      <w:r w:rsidRPr="008F0992">
        <w:rPr>
          <w:noProof/>
          <w:lang w:eastAsia="es-MX"/>
        </w:rPr>
        <w:drawing>
          <wp:inline distT="0" distB="0" distL="0" distR="0" wp14:anchorId="72ED4870" wp14:editId="1400F490">
            <wp:extent cx="327704" cy="325467"/>
            <wp:effectExtent l="0" t="0" r="0" b="0"/>
            <wp:docPr id="31" name="Imagen 31"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rPr>
        <w:t xml:space="preserve"> </w:t>
      </w:r>
      <w:r w:rsidRPr="008F0992">
        <w:rPr>
          <w:noProof/>
          <w:lang w:eastAsia="es-MX"/>
        </w:rPr>
        <w:drawing>
          <wp:inline distT="0" distB="0" distL="0" distR="0" wp14:anchorId="03B3062B" wp14:editId="06004889">
            <wp:extent cx="321276" cy="324093"/>
            <wp:effectExtent l="0" t="0" r="3175" b="0"/>
            <wp:docPr id="11" name="Imagen 11"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rPr>
        <w:t xml:space="preserve"> </w:t>
      </w:r>
      <w:r w:rsidRPr="008F0992">
        <w:rPr>
          <w:noProof/>
          <w:lang w:eastAsia="es-MX"/>
        </w:rPr>
        <w:drawing>
          <wp:inline distT="0" distB="0" distL="0" distR="0" wp14:anchorId="53EB69FD" wp14:editId="094DEDEC">
            <wp:extent cx="321276" cy="326574"/>
            <wp:effectExtent l="0" t="0" r="3175" b="0"/>
            <wp:docPr id="32" name="Imagen 32"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rPr>
        <w:t xml:space="preserve">  </w:t>
      </w:r>
      <w:r w:rsidRPr="008F0992">
        <w:rPr>
          <w:noProof/>
          <w:sz w:val="14"/>
          <w:szCs w:val="18"/>
          <w:lang w:eastAsia="es-MX"/>
        </w:rPr>
        <w:drawing>
          <wp:inline distT="0" distB="0" distL="0" distR="0" wp14:anchorId="0DAD3680" wp14:editId="49109614">
            <wp:extent cx="2323070" cy="319707"/>
            <wp:effectExtent l="0" t="0" r="1270" b="4445"/>
            <wp:docPr id="2" name="Imagen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sectPr w:rsidR="0099258B" w:rsidSect="00802A88">
      <w:headerReference w:type="default" r:id="rId24"/>
      <w:footerReference w:type="default" r:id="rId25"/>
      <w:pgSz w:w="12240" w:h="15840"/>
      <w:pgMar w:top="1985" w:right="1080" w:bottom="1440" w:left="1080"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105F0" w14:textId="77777777" w:rsidR="00604AC1" w:rsidRDefault="00604AC1" w:rsidP="00042CD7">
      <w:pPr>
        <w:spacing w:before="0" w:after="0" w:line="240" w:lineRule="auto"/>
      </w:pPr>
      <w:r>
        <w:separator/>
      </w:r>
    </w:p>
  </w:endnote>
  <w:endnote w:type="continuationSeparator" w:id="0">
    <w:p w14:paraId="7898E0AD" w14:textId="77777777" w:rsidR="00604AC1" w:rsidRDefault="00604AC1" w:rsidP="00042C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212184"/>
      <w:docPartObj>
        <w:docPartGallery w:val="Page Numbers (Bottom of Page)"/>
        <w:docPartUnique/>
      </w:docPartObj>
    </w:sdtPr>
    <w:sdtEndPr>
      <w:rPr>
        <w:rFonts w:ascii="Arial" w:hAnsi="Arial" w:cs="Arial"/>
        <w:b/>
        <w:bCs/>
        <w:color w:val="002060"/>
      </w:rPr>
    </w:sdtEndPr>
    <w:sdtContent>
      <w:p w14:paraId="1E1DF798" w14:textId="6B9E5809" w:rsidR="00042CD7" w:rsidRPr="0099258B" w:rsidRDefault="0099258B" w:rsidP="0099258B">
        <w:pPr>
          <w:pStyle w:val="Piedepgina"/>
          <w:jc w:val="center"/>
          <w:rPr>
            <w:rFonts w:ascii="Arial" w:hAnsi="Arial" w:cs="Arial"/>
            <w:b/>
            <w:bCs/>
            <w:color w:val="002060"/>
          </w:rPr>
        </w:pPr>
        <w:r w:rsidRPr="0099258B">
          <w:rPr>
            <w:rFonts w:ascii="Arial" w:hAnsi="Arial" w:cs="Arial"/>
            <w:b/>
            <w:bCs/>
            <w:color w:val="002060"/>
          </w:rPr>
          <w:t xml:space="preserve">COMUNICACIÓN SOCIAL </w:t>
        </w:r>
      </w:p>
    </w:sdtContent>
  </w:sdt>
  <w:p w14:paraId="7EB0505E" w14:textId="77777777" w:rsidR="00042CD7" w:rsidRDefault="00042C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A4060" w14:textId="77777777" w:rsidR="00604AC1" w:rsidRDefault="00604AC1" w:rsidP="00042CD7">
      <w:pPr>
        <w:spacing w:before="0" w:after="0" w:line="240" w:lineRule="auto"/>
      </w:pPr>
      <w:r>
        <w:separator/>
      </w:r>
    </w:p>
  </w:footnote>
  <w:footnote w:type="continuationSeparator" w:id="0">
    <w:p w14:paraId="208D3136" w14:textId="77777777" w:rsidR="00604AC1" w:rsidRDefault="00604AC1" w:rsidP="00042CD7">
      <w:pPr>
        <w:spacing w:before="0" w:after="0" w:line="240" w:lineRule="auto"/>
      </w:pPr>
      <w:r>
        <w:continuationSeparator/>
      </w:r>
    </w:p>
  </w:footnote>
  <w:footnote w:id="1">
    <w:p w14:paraId="3EF8A0EF" w14:textId="23A76239" w:rsidR="00FE27BE" w:rsidRPr="001C2AC9" w:rsidRDefault="00FE27BE" w:rsidP="00915C9C">
      <w:pPr>
        <w:pStyle w:val="Textonotapie"/>
        <w:jc w:val="both"/>
        <w:rPr>
          <w:rFonts w:ascii="Arial" w:hAnsi="Arial" w:cs="Arial"/>
          <w:sz w:val="16"/>
          <w:szCs w:val="16"/>
        </w:rPr>
      </w:pPr>
      <w:r w:rsidRPr="001C2AC9">
        <w:rPr>
          <w:rStyle w:val="Refdenotaalpie"/>
          <w:rFonts w:ascii="Arial" w:hAnsi="Arial" w:cs="Arial"/>
          <w:sz w:val="16"/>
          <w:szCs w:val="16"/>
        </w:rPr>
        <w:footnoteRef/>
      </w:r>
      <w:r w:rsidRPr="001C2AC9">
        <w:rPr>
          <w:rFonts w:ascii="Arial" w:hAnsi="Arial" w:cs="Arial"/>
          <w:sz w:val="16"/>
          <w:szCs w:val="16"/>
        </w:rPr>
        <w:t xml:space="preserve"> Los resultados del EDN 2020 se pueden consultar en </w:t>
      </w:r>
      <w:hyperlink r:id="rId1" w:history="1">
        <w:r w:rsidR="00A05639" w:rsidRPr="001C2AC9">
          <w:rPr>
            <w:rStyle w:val="Hipervnculo"/>
            <w:rFonts w:ascii="Arial" w:hAnsi="Arial" w:cs="Arial"/>
            <w:sz w:val="16"/>
            <w:szCs w:val="16"/>
          </w:rPr>
          <w:t>https://www.inegi.org.mx/programas/edn/2020/</w:t>
        </w:r>
      </w:hyperlink>
      <w:r w:rsidR="00A05639" w:rsidRPr="001C2AC9">
        <w:rPr>
          <w:rFonts w:ascii="Arial" w:hAnsi="Arial" w:cs="Arial"/>
          <w:sz w:val="16"/>
          <w:szCs w:val="16"/>
        </w:rPr>
        <w:t xml:space="preserve"> </w:t>
      </w:r>
    </w:p>
  </w:footnote>
  <w:footnote w:id="2">
    <w:p w14:paraId="37AA360F" w14:textId="77777777" w:rsidR="004C7EDA" w:rsidRPr="001C2AC9" w:rsidRDefault="004C7EDA" w:rsidP="001C2AC9">
      <w:pPr>
        <w:pStyle w:val="Textonotapie"/>
        <w:ind w:left="142" w:hanging="142"/>
        <w:jc w:val="both"/>
        <w:rPr>
          <w:rFonts w:ascii="Arial" w:hAnsi="Arial" w:cs="Arial"/>
          <w:sz w:val="16"/>
          <w:szCs w:val="16"/>
        </w:rPr>
      </w:pPr>
      <w:r w:rsidRPr="001C2AC9">
        <w:rPr>
          <w:rStyle w:val="Refdenotaalpie"/>
          <w:rFonts w:ascii="Arial" w:hAnsi="Arial" w:cs="Arial"/>
          <w:sz w:val="16"/>
          <w:szCs w:val="16"/>
        </w:rPr>
        <w:footnoteRef/>
      </w:r>
      <w:r w:rsidRPr="001C2AC9">
        <w:rPr>
          <w:rFonts w:ascii="Arial" w:hAnsi="Arial" w:cs="Arial"/>
          <w:sz w:val="16"/>
          <w:szCs w:val="16"/>
        </w:rPr>
        <w:t xml:space="preserve"> Artículo 5, fracción I, inciso a de la Norma Técnica para la incorporación y actualización de información al Registro Estadístico de Negocios de México.  </w:t>
      </w:r>
    </w:p>
  </w:footnote>
  <w:footnote w:id="3">
    <w:p w14:paraId="17E8C1EE" w14:textId="77777777" w:rsidR="004C7EDA" w:rsidRPr="001C2AC9" w:rsidRDefault="004C7EDA" w:rsidP="001C2AC9">
      <w:pPr>
        <w:pStyle w:val="Textonotapie"/>
        <w:ind w:left="142" w:hanging="142"/>
        <w:jc w:val="both"/>
        <w:rPr>
          <w:rFonts w:ascii="Arial" w:hAnsi="Arial" w:cs="Arial"/>
          <w:sz w:val="16"/>
          <w:szCs w:val="16"/>
        </w:rPr>
      </w:pPr>
      <w:r w:rsidRPr="001C2AC9">
        <w:rPr>
          <w:rStyle w:val="Refdenotaalpie"/>
          <w:rFonts w:ascii="Arial" w:hAnsi="Arial" w:cs="Arial"/>
          <w:sz w:val="16"/>
          <w:szCs w:val="16"/>
        </w:rPr>
        <w:footnoteRef/>
      </w:r>
      <w:r w:rsidRPr="001C2AC9">
        <w:rPr>
          <w:rFonts w:ascii="Arial" w:hAnsi="Arial" w:cs="Arial"/>
          <w:sz w:val="16"/>
          <w:szCs w:val="16"/>
        </w:rPr>
        <w:t xml:space="preserve"> Es la clave numérica única de 10 dígitos asignada a cada registro de la base de datos del Directorio Estadístico Nacional de Unidades Económicas (DENUE), </w:t>
      </w:r>
    </w:p>
  </w:footnote>
  <w:footnote w:id="4">
    <w:p w14:paraId="57649130" w14:textId="77777777" w:rsidR="004C7EDA" w:rsidRDefault="004C7EDA" w:rsidP="001C2AC9">
      <w:pPr>
        <w:pStyle w:val="Textonotapie"/>
        <w:ind w:left="142" w:hanging="142"/>
      </w:pPr>
      <w:r w:rsidRPr="001C2AC9">
        <w:rPr>
          <w:rStyle w:val="Refdenotaalpie"/>
          <w:rFonts w:ascii="Arial" w:hAnsi="Arial" w:cs="Arial"/>
          <w:sz w:val="16"/>
          <w:szCs w:val="16"/>
        </w:rPr>
        <w:footnoteRef/>
      </w:r>
      <w:r w:rsidRPr="001C2AC9">
        <w:rPr>
          <w:rFonts w:ascii="Arial" w:hAnsi="Arial" w:cs="Arial"/>
          <w:sz w:val="16"/>
          <w:szCs w:val="16"/>
        </w:rPr>
        <w:t xml:space="preserve"> El DENUE mantiene la aplicación para teléfonos móviles y tabletas con plataformas iOS o Android.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021A" w14:textId="5777807C" w:rsidR="0099258B" w:rsidRPr="0099258B" w:rsidRDefault="0099258B" w:rsidP="004C7EDA">
    <w:pPr>
      <w:spacing w:before="0" w:after="0" w:line="240" w:lineRule="auto"/>
      <w:ind w:left="-567" w:right="15"/>
      <w:jc w:val="right"/>
      <w:rPr>
        <w:rFonts w:ascii="Arial" w:eastAsia="Arial" w:hAnsi="Arial" w:cs="Arial"/>
        <w:sz w:val="24"/>
        <w:szCs w:val="24"/>
      </w:rPr>
    </w:pPr>
    <w:r>
      <w:rPr>
        <w:noProof/>
        <w:lang w:eastAsia="es-MX"/>
      </w:rPr>
      <w:drawing>
        <wp:anchor distT="0" distB="0" distL="114300" distR="114300" simplePos="0" relativeHeight="251659264" behindDoc="0" locked="0" layoutInCell="1" allowOverlap="1" wp14:anchorId="1C10E403" wp14:editId="073D743B">
          <wp:simplePos x="0" y="0"/>
          <wp:positionH relativeFrom="margin">
            <wp:align>left</wp:align>
          </wp:positionH>
          <wp:positionV relativeFrom="topMargin">
            <wp:posOffset>390525</wp:posOffset>
          </wp:positionV>
          <wp:extent cx="771525" cy="800735"/>
          <wp:effectExtent l="0" t="0" r="952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color w:val="002060"/>
      </w:rPr>
      <w:tab/>
    </w:r>
    <w:r>
      <w:rPr>
        <w:rFonts w:ascii="Arial" w:hAnsi="Arial"/>
        <w:b/>
        <w:color w:val="002060"/>
      </w:rPr>
      <w:tab/>
    </w:r>
    <w:r w:rsidRPr="0099258B">
      <w:rPr>
        <w:rFonts w:ascii="Arial" w:hAnsi="Arial" w:cs="Arial"/>
        <w:b/>
        <w:color w:val="002060"/>
        <w:sz w:val="24"/>
        <w:szCs w:val="24"/>
      </w:rPr>
      <w:t>COMUNICADO</w:t>
    </w:r>
    <w:r w:rsidRPr="0099258B">
      <w:rPr>
        <w:rFonts w:ascii="Arial" w:hAnsi="Arial" w:cs="Arial"/>
        <w:b/>
        <w:color w:val="002060"/>
        <w:spacing w:val="-11"/>
        <w:sz w:val="24"/>
        <w:szCs w:val="24"/>
      </w:rPr>
      <w:t xml:space="preserve"> </w:t>
    </w:r>
    <w:r w:rsidRPr="0099258B">
      <w:rPr>
        <w:rFonts w:ascii="Arial" w:hAnsi="Arial" w:cs="Arial"/>
        <w:b/>
        <w:color w:val="002060"/>
        <w:sz w:val="24"/>
        <w:szCs w:val="24"/>
      </w:rPr>
      <w:t>DE</w:t>
    </w:r>
    <w:r w:rsidRPr="0099258B">
      <w:rPr>
        <w:rFonts w:ascii="Arial" w:hAnsi="Arial" w:cs="Arial"/>
        <w:b/>
        <w:color w:val="002060"/>
        <w:spacing w:val="-11"/>
        <w:sz w:val="24"/>
        <w:szCs w:val="24"/>
      </w:rPr>
      <w:t xml:space="preserve"> P</w:t>
    </w:r>
    <w:r w:rsidRPr="0099258B">
      <w:rPr>
        <w:rFonts w:ascii="Arial" w:hAnsi="Arial" w:cs="Arial"/>
        <w:b/>
        <w:color w:val="002060"/>
        <w:spacing w:val="-1"/>
        <w:sz w:val="24"/>
        <w:szCs w:val="24"/>
      </w:rPr>
      <w:t>RENSA</w:t>
    </w:r>
    <w:r w:rsidRPr="0099258B">
      <w:rPr>
        <w:rFonts w:ascii="Arial" w:hAnsi="Arial" w:cs="Arial"/>
        <w:b/>
        <w:color w:val="002060"/>
        <w:spacing w:val="-11"/>
        <w:sz w:val="24"/>
        <w:szCs w:val="24"/>
      </w:rPr>
      <w:t xml:space="preserve"> </w:t>
    </w:r>
    <w:r w:rsidRPr="0099258B">
      <w:rPr>
        <w:rFonts w:ascii="Arial" w:hAnsi="Arial" w:cs="Arial"/>
        <w:b/>
        <w:color w:val="002060"/>
        <w:sz w:val="24"/>
        <w:szCs w:val="24"/>
      </w:rPr>
      <w:t xml:space="preserve">NÚM. </w:t>
    </w:r>
    <w:r w:rsidR="001C2AC9">
      <w:rPr>
        <w:rFonts w:ascii="Arial" w:hAnsi="Arial" w:cs="Arial"/>
        <w:b/>
        <w:color w:val="002060"/>
        <w:sz w:val="24"/>
        <w:szCs w:val="24"/>
      </w:rPr>
      <w:t>321</w:t>
    </w:r>
    <w:r w:rsidRPr="0099258B">
      <w:rPr>
        <w:rFonts w:ascii="Arial" w:hAnsi="Arial" w:cs="Arial"/>
        <w:b/>
        <w:color w:val="002060"/>
        <w:sz w:val="24"/>
        <w:szCs w:val="24"/>
      </w:rPr>
      <w:t>/</w:t>
    </w:r>
    <w:r w:rsidR="007D3662">
      <w:rPr>
        <w:rFonts w:ascii="Arial" w:hAnsi="Arial" w:cs="Arial"/>
        <w:b/>
        <w:color w:val="002060"/>
        <w:sz w:val="24"/>
        <w:szCs w:val="24"/>
      </w:rPr>
      <w:t>2</w:t>
    </w:r>
    <w:r w:rsidR="00B43570">
      <w:rPr>
        <w:rFonts w:ascii="Arial" w:hAnsi="Arial" w:cs="Arial"/>
        <w:b/>
        <w:color w:val="002060"/>
        <w:sz w:val="24"/>
        <w:szCs w:val="24"/>
      </w:rPr>
      <w:t>1</w:t>
    </w:r>
    <w:r w:rsidRPr="0099258B">
      <w:rPr>
        <w:rFonts w:ascii="Arial" w:hAnsi="Arial" w:cs="Arial"/>
        <w:b/>
        <w:color w:val="002060"/>
        <w:spacing w:val="-11"/>
        <w:sz w:val="24"/>
        <w:szCs w:val="24"/>
      </w:rPr>
      <w:t xml:space="preserve"> </w:t>
    </w:r>
  </w:p>
  <w:p w14:paraId="52F6845F" w14:textId="3D4C95C4" w:rsidR="0099258B" w:rsidRPr="0099258B" w:rsidRDefault="00B43570" w:rsidP="004C7EDA">
    <w:pPr>
      <w:spacing w:before="0" w:after="0" w:line="240" w:lineRule="auto"/>
      <w:ind w:right="15"/>
      <w:jc w:val="right"/>
      <w:rPr>
        <w:rFonts w:ascii="Arial" w:eastAsia="Arial" w:hAnsi="Arial" w:cs="Arial"/>
        <w:sz w:val="24"/>
        <w:szCs w:val="24"/>
      </w:rPr>
    </w:pPr>
    <w:r>
      <w:rPr>
        <w:rFonts w:ascii="Arial" w:hAnsi="Arial" w:cs="Arial"/>
        <w:b/>
        <w:color w:val="002060"/>
        <w:sz w:val="24"/>
        <w:szCs w:val="24"/>
      </w:rPr>
      <w:t>25</w:t>
    </w:r>
    <w:r w:rsidR="0099258B" w:rsidRPr="0099258B">
      <w:rPr>
        <w:rFonts w:ascii="Arial" w:hAnsi="Arial" w:cs="Arial"/>
        <w:b/>
        <w:color w:val="002060"/>
        <w:sz w:val="24"/>
        <w:szCs w:val="24"/>
      </w:rPr>
      <w:t xml:space="preserve"> DE </w:t>
    </w:r>
    <w:r>
      <w:rPr>
        <w:rFonts w:ascii="Arial" w:hAnsi="Arial" w:cs="Arial"/>
        <w:b/>
        <w:color w:val="002060"/>
        <w:sz w:val="24"/>
        <w:szCs w:val="24"/>
      </w:rPr>
      <w:t>MAYO</w:t>
    </w:r>
    <w:r w:rsidR="0099258B" w:rsidRPr="0099258B">
      <w:rPr>
        <w:rFonts w:ascii="Arial" w:hAnsi="Arial" w:cs="Arial"/>
        <w:b/>
        <w:color w:val="002060"/>
        <w:spacing w:val="-6"/>
        <w:sz w:val="24"/>
        <w:szCs w:val="24"/>
      </w:rPr>
      <w:t xml:space="preserve"> </w:t>
    </w:r>
    <w:r w:rsidR="0099258B" w:rsidRPr="0099258B">
      <w:rPr>
        <w:rFonts w:ascii="Arial" w:hAnsi="Arial" w:cs="Arial"/>
        <w:b/>
        <w:color w:val="002060"/>
        <w:sz w:val="24"/>
        <w:szCs w:val="24"/>
      </w:rPr>
      <w:t>DE</w:t>
    </w:r>
    <w:r w:rsidR="0099258B" w:rsidRPr="0099258B">
      <w:rPr>
        <w:rFonts w:ascii="Arial" w:hAnsi="Arial" w:cs="Arial"/>
        <w:b/>
        <w:color w:val="002060"/>
        <w:spacing w:val="-5"/>
        <w:sz w:val="24"/>
        <w:szCs w:val="24"/>
      </w:rPr>
      <w:t xml:space="preserve"> </w:t>
    </w:r>
    <w:r w:rsidR="0099258B" w:rsidRPr="0099258B">
      <w:rPr>
        <w:rFonts w:ascii="Arial" w:hAnsi="Arial" w:cs="Arial"/>
        <w:b/>
        <w:color w:val="002060"/>
        <w:sz w:val="24"/>
        <w:szCs w:val="24"/>
      </w:rPr>
      <w:t>20</w:t>
    </w:r>
    <w:r w:rsidR="007D3662">
      <w:rPr>
        <w:rFonts w:ascii="Arial" w:hAnsi="Arial" w:cs="Arial"/>
        <w:b/>
        <w:color w:val="002060"/>
        <w:sz w:val="24"/>
        <w:szCs w:val="24"/>
      </w:rPr>
      <w:t>2</w:t>
    </w:r>
    <w:r>
      <w:rPr>
        <w:rFonts w:ascii="Arial" w:hAnsi="Arial" w:cs="Arial"/>
        <w:b/>
        <w:color w:val="002060"/>
        <w:sz w:val="24"/>
        <w:szCs w:val="24"/>
      </w:rPr>
      <w:t>1</w:t>
    </w:r>
  </w:p>
  <w:p w14:paraId="5641240D" w14:textId="624C12BE" w:rsidR="0099258B" w:rsidRPr="0099258B" w:rsidRDefault="0099258B" w:rsidP="004C7EDA">
    <w:pPr>
      <w:spacing w:before="0" w:after="0" w:line="240" w:lineRule="auto"/>
      <w:ind w:right="15"/>
      <w:jc w:val="right"/>
      <w:rPr>
        <w:rFonts w:ascii="Arial" w:eastAsia="Arial" w:hAnsi="Arial" w:cs="Arial"/>
        <w:sz w:val="24"/>
        <w:szCs w:val="24"/>
      </w:rPr>
    </w:pPr>
    <w:r w:rsidRPr="0099258B">
      <w:rPr>
        <w:rFonts w:ascii="Arial" w:hAnsi="Arial" w:cs="Arial"/>
        <w:b/>
        <w:color w:val="002060"/>
        <w:sz w:val="24"/>
        <w:szCs w:val="24"/>
      </w:rPr>
      <w:t>PÁGINA</w:t>
    </w:r>
    <w:r w:rsidRPr="0099258B">
      <w:rPr>
        <w:rFonts w:ascii="Arial" w:hAnsi="Arial" w:cs="Arial"/>
        <w:b/>
        <w:color w:val="002060"/>
        <w:spacing w:val="-13"/>
        <w:sz w:val="24"/>
        <w:szCs w:val="24"/>
      </w:rPr>
      <w:t xml:space="preserve"> </w:t>
    </w:r>
    <w:r w:rsidRPr="0099258B">
      <w:rPr>
        <w:rFonts w:ascii="Arial" w:hAnsi="Arial" w:cs="Arial"/>
        <w:sz w:val="24"/>
        <w:szCs w:val="24"/>
      </w:rPr>
      <w:fldChar w:fldCharType="begin"/>
    </w:r>
    <w:r w:rsidRPr="0099258B">
      <w:rPr>
        <w:rFonts w:ascii="Arial" w:hAnsi="Arial" w:cs="Arial"/>
        <w:b/>
        <w:color w:val="002060"/>
        <w:sz w:val="24"/>
        <w:szCs w:val="24"/>
      </w:rPr>
      <w:instrText xml:space="preserve"> PAGE </w:instrText>
    </w:r>
    <w:r w:rsidRPr="0099258B">
      <w:rPr>
        <w:rFonts w:ascii="Arial" w:hAnsi="Arial" w:cs="Arial"/>
        <w:sz w:val="24"/>
        <w:szCs w:val="24"/>
      </w:rPr>
      <w:fldChar w:fldCharType="separate"/>
    </w:r>
    <w:r w:rsidR="00874834">
      <w:rPr>
        <w:rFonts w:ascii="Arial" w:hAnsi="Arial" w:cs="Arial"/>
        <w:b/>
        <w:noProof/>
        <w:color w:val="002060"/>
        <w:sz w:val="24"/>
        <w:szCs w:val="24"/>
      </w:rPr>
      <w:t>1</w:t>
    </w:r>
    <w:r w:rsidRPr="0099258B">
      <w:rPr>
        <w:rFonts w:ascii="Arial" w:hAnsi="Arial" w:cs="Arial"/>
        <w:sz w:val="24"/>
        <w:szCs w:val="24"/>
      </w:rPr>
      <w:fldChar w:fldCharType="end"/>
    </w:r>
    <w:r w:rsidRPr="0099258B">
      <w:rPr>
        <w:rFonts w:ascii="Arial" w:hAnsi="Arial" w:cs="Arial"/>
        <w:b/>
        <w:color w:val="002060"/>
        <w:sz w:val="24"/>
        <w:szCs w:val="24"/>
      </w:rPr>
      <w:t>/</w:t>
    </w:r>
    <w:r w:rsidR="001C2AC9">
      <w:rPr>
        <w:rFonts w:ascii="Arial" w:hAnsi="Arial" w:cs="Arial"/>
        <w:b/>
        <w:color w:val="002060"/>
        <w:sz w:val="24"/>
        <w:szCs w:val="24"/>
      </w:rPr>
      <w:t>3</w:t>
    </w:r>
  </w:p>
  <w:p w14:paraId="77299F4C" w14:textId="77777777" w:rsidR="0099258B" w:rsidRDefault="009925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92B69"/>
    <w:multiLevelType w:val="hybridMultilevel"/>
    <w:tmpl w:val="07523A64"/>
    <w:lvl w:ilvl="0" w:tplc="080A0001">
      <w:start w:val="1"/>
      <w:numFmt w:val="bullet"/>
      <w:lvlText w:val=""/>
      <w:lvlJc w:val="left"/>
      <w:pPr>
        <w:ind w:left="1061" w:hanging="360"/>
      </w:pPr>
      <w:rPr>
        <w:rFonts w:ascii="Symbol" w:hAnsi="Symbol" w:hint="default"/>
      </w:rPr>
    </w:lvl>
    <w:lvl w:ilvl="1" w:tplc="080A0003" w:tentative="1">
      <w:start w:val="1"/>
      <w:numFmt w:val="bullet"/>
      <w:lvlText w:val="o"/>
      <w:lvlJc w:val="left"/>
      <w:pPr>
        <w:ind w:left="1781" w:hanging="360"/>
      </w:pPr>
      <w:rPr>
        <w:rFonts w:ascii="Courier New" w:hAnsi="Courier New" w:cs="Courier New" w:hint="default"/>
      </w:rPr>
    </w:lvl>
    <w:lvl w:ilvl="2" w:tplc="080A0005" w:tentative="1">
      <w:start w:val="1"/>
      <w:numFmt w:val="bullet"/>
      <w:lvlText w:val=""/>
      <w:lvlJc w:val="left"/>
      <w:pPr>
        <w:ind w:left="2501" w:hanging="360"/>
      </w:pPr>
      <w:rPr>
        <w:rFonts w:ascii="Wingdings" w:hAnsi="Wingdings" w:hint="default"/>
      </w:rPr>
    </w:lvl>
    <w:lvl w:ilvl="3" w:tplc="080A0001" w:tentative="1">
      <w:start w:val="1"/>
      <w:numFmt w:val="bullet"/>
      <w:lvlText w:val=""/>
      <w:lvlJc w:val="left"/>
      <w:pPr>
        <w:ind w:left="3221" w:hanging="360"/>
      </w:pPr>
      <w:rPr>
        <w:rFonts w:ascii="Symbol" w:hAnsi="Symbol" w:hint="default"/>
      </w:rPr>
    </w:lvl>
    <w:lvl w:ilvl="4" w:tplc="080A0003" w:tentative="1">
      <w:start w:val="1"/>
      <w:numFmt w:val="bullet"/>
      <w:lvlText w:val="o"/>
      <w:lvlJc w:val="left"/>
      <w:pPr>
        <w:ind w:left="3941" w:hanging="360"/>
      </w:pPr>
      <w:rPr>
        <w:rFonts w:ascii="Courier New" w:hAnsi="Courier New" w:cs="Courier New" w:hint="default"/>
      </w:rPr>
    </w:lvl>
    <w:lvl w:ilvl="5" w:tplc="080A0005" w:tentative="1">
      <w:start w:val="1"/>
      <w:numFmt w:val="bullet"/>
      <w:lvlText w:val=""/>
      <w:lvlJc w:val="left"/>
      <w:pPr>
        <w:ind w:left="4661" w:hanging="360"/>
      </w:pPr>
      <w:rPr>
        <w:rFonts w:ascii="Wingdings" w:hAnsi="Wingdings" w:hint="default"/>
      </w:rPr>
    </w:lvl>
    <w:lvl w:ilvl="6" w:tplc="080A0001" w:tentative="1">
      <w:start w:val="1"/>
      <w:numFmt w:val="bullet"/>
      <w:lvlText w:val=""/>
      <w:lvlJc w:val="left"/>
      <w:pPr>
        <w:ind w:left="5381" w:hanging="360"/>
      </w:pPr>
      <w:rPr>
        <w:rFonts w:ascii="Symbol" w:hAnsi="Symbol" w:hint="default"/>
      </w:rPr>
    </w:lvl>
    <w:lvl w:ilvl="7" w:tplc="080A0003" w:tentative="1">
      <w:start w:val="1"/>
      <w:numFmt w:val="bullet"/>
      <w:lvlText w:val="o"/>
      <w:lvlJc w:val="left"/>
      <w:pPr>
        <w:ind w:left="6101" w:hanging="360"/>
      </w:pPr>
      <w:rPr>
        <w:rFonts w:ascii="Courier New" w:hAnsi="Courier New" w:cs="Courier New" w:hint="default"/>
      </w:rPr>
    </w:lvl>
    <w:lvl w:ilvl="8" w:tplc="080A0005" w:tentative="1">
      <w:start w:val="1"/>
      <w:numFmt w:val="bullet"/>
      <w:lvlText w:val=""/>
      <w:lvlJc w:val="left"/>
      <w:pPr>
        <w:ind w:left="6821" w:hanging="360"/>
      </w:pPr>
      <w:rPr>
        <w:rFonts w:ascii="Wingdings" w:hAnsi="Wingdings" w:hint="default"/>
      </w:rPr>
    </w:lvl>
  </w:abstractNum>
  <w:abstractNum w:abstractNumId="1" w15:restartNumberingAfterBreak="0">
    <w:nsid w:val="6AD77C9A"/>
    <w:multiLevelType w:val="hybridMultilevel"/>
    <w:tmpl w:val="AFEC60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E3D5C53"/>
    <w:multiLevelType w:val="hybridMultilevel"/>
    <w:tmpl w:val="5C84A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F90A8D"/>
    <w:multiLevelType w:val="hybridMultilevel"/>
    <w:tmpl w:val="FCFCE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2D"/>
    <w:rsid w:val="00006746"/>
    <w:rsid w:val="000170AF"/>
    <w:rsid w:val="000324BE"/>
    <w:rsid w:val="00042CD7"/>
    <w:rsid w:val="00043F3E"/>
    <w:rsid w:val="0004638F"/>
    <w:rsid w:val="00064944"/>
    <w:rsid w:val="000922D3"/>
    <w:rsid w:val="000925F8"/>
    <w:rsid w:val="000956F3"/>
    <w:rsid w:val="000A466D"/>
    <w:rsid w:val="000F1F1E"/>
    <w:rsid w:val="0010052F"/>
    <w:rsid w:val="00102421"/>
    <w:rsid w:val="00106193"/>
    <w:rsid w:val="001107C5"/>
    <w:rsid w:val="00112B6B"/>
    <w:rsid w:val="00113FC8"/>
    <w:rsid w:val="00114907"/>
    <w:rsid w:val="00126627"/>
    <w:rsid w:val="00130435"/>
    <w:rsid w:val="00132838"/>
    <w:rsid w:val="00174BFF"/>
    <w:rsid w:val="0018451B"/>
    <w:rsid w:val="001B04B5"/>
    <w:rsid w:val="001C2AC9"/>
    <w:rsid w:val="001D5688"/>
    <w:rsid w:val="001D6F7A"/>
    <w:rsid w:val="001F0863"/>
    <w:rsid w:val="00205AFB"/>
    <w:rsid w:val="00292B1E"/>
    <w:rsid w:val="003406A2"/>
    <w:rsid w:val="00350617"/>
    <w:rsid w:val="00357264"/>
    <w:rsid w:val="00364BAF"/>
    <w:rsid w:val="00381F24"/>
    <w:rsid w:val="00382F79"/>
    <w:rsid w:val="003B5580"/>
    <w:rsid w:val="003B7476"/>
    <w:rsid w:val="003D6D04"/>
    <w:rsid w:val="00405919"/>
    <w:rsid w:val="00410997"/>
    <w:rsid w:val="0042105C"/>
    <w:rsid w:val="004211DC"/>
    <w:rsid w:val="004239B3"/>
    <w:rsid w:val="004254D2"/>
    <w:rsid w:val="00434086"/>
    <w:rsid w:val="00450284"/>
    <w:rsid w:val="00470C8D"/>
    <w:rsid w:val="00495448"/>
    <w:rsid w:val="00496BBE"/>
    <w:rsid w:val="004B768A"/>
    <w:rsid w:val="004C387B"/>
    <w:rsid w:val="004C3FA5"/>
    <w:rsid w:val="004C52B5"/>
    <w:rsid w:val="004C7EDA"/>
    <w:rsid w:val="004F43E8"/>
    <w:rsid w:val="0051155E"/>
    <w:rsid w:val="00523433"/>
    <w:rsid w:val="00526280"/>
    <w:rsid w:val="00546B8E"/>
    <w:rsid w:val="00553899"/>
    <w:rsid w:val="00553C21"/>
    <w:rsid w:val="005773F2"/>
    <w:rsid w:val="0059222A"/>
    <w:rsid w:val="005B6797"/>
    <w:rsid w:val="005C08F9"/>
    <w:rsid w:val="00604AC1"/>
    <w:rsid w:val="00611212"/>
    <w:rsid w:val="00635853"/>
    <w:rsid w:val="00647AA3"/>
    <w:rsid w:val="00651987"/>
    <w:rsid w:val="00663EE5"/>
    <w:rsid w:val="00667B7F"/>
    <w:rsid w:val="006A7247"/>
    <w:rsid w:val="006C2854"/>
    <w:rsid w:val="006D68B9"/>
    <w:rsid w:val="006E2737"/>
    <w:rsid w:val="006F4E8D"/>
    <w:rsid w:val="006F4E9A"/>
    <w:rsid w:val="00703381"/>
    <w:rsid w:val="00713C2D"/>
    <w:rsid w:val="00746C8C"/>
    <w:rsid w:val="00756813"/>
    <w:rsid w:val="00765DD6"/>
    <w:rsid w:val="00787A83"/>
    <w:rsid w:val="007A45F6"/>
    <w:rsid w:val="007A76F2"/>
    <w:rsid w:val="007C15E5"/>
    <w:rsid w:val="007D3662"/>
    <w:rsid w:val="007E7BE5"/>
    <w:rsid w:val="007F1A91"/>
    <w:rsid w:val="0080052B"/>
    <w:rsid w:val="00802A88"/>
    <w:rsid w:val="00813A7A"/>
    <w:rsid w:val="00824F81"/>
    <w:rsid w:val="0083481F"/>
    <w:rsid w:val="00842054"/>
    <w:rsid w:val="00843002"/>
    <w:rsid w:val="00843925"/>
    <w:rsid w:val="00843A52"/>
    <w:rsid w:val="008566E6"/>
    <w:rsid w:val="0087473D"/>
    <w:rsid w:val="00874834"/>
    <w:rsid w:val="00881A79"/>
    <w:rsid w:val="00892CF2"/>
    <w:rsid w:val="008B7CF5"/>
    <w:rsid w:val="008C10AD"/>
    <w:rsid w:val="008F2615"/>
    <w:rsid w:val="00915C9C"/>
    <w:rsid w:val="009273AF"/>
    <w:rsid w:val="009614F1"/>
    <w:rsid w:val="00963AE6"/>
    <w:rsid w:val="00965C99"/>
    <w:rsid w:val="0099258B"/>
    <w:rsid w:val="009C6A80"/>
    <w:rsid w:val="009E000F"/>
    <w:rsid w:val="009E3DD7"/>
    <w:rsid w:val="009E6AD8"/>
    <w:rsid w:val="009F0FCE"/>
    <w:rsid w:val="009F3357"/>
    <w:rsid w:val="009F59F7"/>
    <w:rsid w:val="00A00700"/>
    <w:rsid w:val="00A05639"/>
    <w:rsid w:val="00A16CC5"/>
    <w:rsid w:val="00A5290C"/>
    <w:rsid w:val="00A5716B"/>
    <w:rsid w:val="00A73D4E"/>
    <w:rsid w:val="00A82B4C"/>
    <w:rsid w:val="00A96C67"/>
    <w:rsid w:val="00AA5538"/>
    <w:rsid w:val="00AB52AC"/>
    <w:rsid w:val="00AB7413"/>
    <w:rsid w:val="00AC4E91"/>
    <w:rsid w:val="00AE176C"/>
    <w:rsid w:val="00AF670E"/>
    <w:rsid w:val="00B0514C"/>
    <w:rsid w:val="00B10E1A"/>
    <w:rsid w:val="00B167F2"/>
    <w:rsid w:val="00B203F7"/>
    <w:rsid w:val="00B26612"/>
    <w:rsid w:val="00B268A5"/>
    <w:rsid w:val="00B406D7"/>
    <w:rsid w:val="00B43570"/>
    <w:rsid w:val="00B810B8"/>
    <w:rsid w:val="00B84BA6"/>
    <w:rsid w:val="00B87211"/>
    <w:rsid w:val="00B87BD2"/>
    <w:rsid w:val="00BC5445"/>
    <w:rsid w:val="00BE5847"/>
    <w:rsid w:val="00BE6024"/>
    <w:rsid w:val="00C26102"/>
    <w:rsid w:val="00C3051B"/>
    <w:rsid w:val="00C37424"/>
    <w:rsid w:val="00C462EB"/>
    <w:rsid w:val="00C659F6"/>
    <w:rsid w:val="00C707E8"/>
    <w:rsid w:val="00CA7BA3"/>
    <w:rsid w:val="00CC5575"/>
    <w:rsid w:val="00CF10BB"/>
    <w:rsid w:val="00CF3ADF"/>
    <w:rsid w:val="00CF3BF1"/>
    <w:rsid w:val="00D70342"/>
    <w:rsid w:val="00D72E70"/>
    <w:rsid w:val="00D73DA8"/>
    <w:rsid w:val="00D75B5B"/>
    <w:rsid w:val="00D971BD"/>
    <w:rsid w:val="00DB5019"/>
    <w:rsid w:val="00DD5AA3"/>
    <w:rsid w:val="00DF2B7D"/>
    <w:rsid w:val="00DF76F0"/>
    <w:rsid w:val="00E004A7"/>
    <w:rsid w:val="00E0330A"/>
    <w:rsid w:val="00E03AA8"/>
    <w:rsid w:val="00E06163"/>
    <w:rsid w:val="00E13994"/>
    <w:rsid w:val="00E15317"/>
    <w:rsid w:val="00EA1E1D"/>
    <w:rsid w:val="00EA6792"/>
    <w:rsid w:val="00EB2440"/>
    <w:rsid w:val="00EB394B"/>
    <w:rsid w:val="00EC43F2"/>
    <w:rsid w:val="00EE013B"/>
    <w:rsid w:val="00EE3282"/>
    <w:rsid w:val="00F134DC"/>
    <w:rsid w:val="00F33EA8"/>
    <w:rsid w:val="00F7380C"/>
    <w:rsid w:val="00FA0736"/>
    <w:rsid w:val="00FB31FE"/>
    <w:rsid w:val="00FD79EB"/>
    <w:rsid w:val="00FE27BE"/>
    <w:rsid w:val="00FF49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D3895"/>
  <w15:chartTrackingRefBased/>
  <w15:docId w15:val="{1C3D9009-E1CF-4A3E-8E76-F7D2F0F5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MX"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381"/>
  </w:style>
  <w:style w:type="paragraph" w:styleId="Ttulo1">
    <w:name w:val="heading 1"/>
    <w:basedOn w:val="Normal"/>
    <w:next w:val="Normal"/>
    <w:link w:val="Ttulo1Car"/>
    <w:uiPriority w:val="9"/>
    <w:qFormat/>
    <w:rsid w:val="0070338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70338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703381"/>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ar"/>
    <w:uiPriority w:val="9"/>
    <w:semiHidden/>
    <w:unhideWhenUsed/>
    <w:qFormat/>
    <w:rsid w:val="00703381"/>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ar"/>
    <w:uiPriority w:val="9"/>
    <w:semiHidden/>
    <w:unhideWhenUsed/>
    <w:qFormat/>
    <w:rsid w:val="00703381"/>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ar"/>
    <w:uiPriority w:val="9"/>
    <w:semiHidden/>
    <w:unhideWhenUsed/>
    <w:qFormat/>
    <w:rsid w:val="00703381"/>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ar"/>
    <w:uiPriority w:val="9"/>
    <w:semiHidden/>
    <w:unhideWhenUsed/>
    <w:qFormat/>
    <w:rsid w:val="00703381"/>
    <w:pPr>
      <w:spacing w:before="200" w:after="0"/>
      <w:outlineLvl w:val="6"/>
    </w:pPr>
    <w:rPr>
      <w:caps/>
      <w:color w:val="2E74B5" w:themeColor="accent1" w:themeShade="BF"/>
      <w:spacing w:val="10"/>
    </w:rPr>
  </w:style>
  <w:style w:type="paragraph" w:styleId="Ttulo8">
    <w:name w:val="heading 8"/>
    <w:basedOn w:val="Normal"/>
    <w:next w:val="Normal"/>
    <w:link w:val="Ttulo8Car"/>
    <w:uiPriority w:val="9"/>
    <w:semiHidden/>
    <w:unhideWhenUsed/>
    <w:qFormat/>
    <w:rsid w:val="00703381"/>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703381"/>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13C2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32838"/>
    <w:pPr>
      <w:spacing w:beforeAutospacing="1" w:after="100" w:afterAutospacing="1" w:line="240" w:lineRule="auto"/>
    </w:pPr>
    <w:rPr>
      <w:rFonts w:ascii="Times New Roman" w:hAnsi="Times New Roman" w:cs="Times New Roman"/>
      <w:sz w:val="24"/>
      <w:szCs w:val="24"/>
      <w:lang w:eastAsia="es-MX"/>
    </w:rPr>
  </w:style>
  <w:style w:type="character" w:styleId="Hipervnculo">
    <w:name w:val="Hyperlink"/>
    <w:basedOn w:val="Fuentedeprrafopredeter"/>
    <w:uiPriority w:val="99"/>
    <w:unhideWhenUsed/>
    <w:rsid w:val="00AE176C"/>
    <w:rPr>
      <w:color w:val="0563C1" w:themeColor="hyperlink"/>
      <w:u w:val="single"/>
    </w:rPr>
  </w:style>
  <w:style w:type="character" w:customStyle="1" w:styleId="Ttulo1Car">
    <w:name w:val="Título 1 Car"/>
    <w:basedOn w:val="Fuentedeprrafopredeter"/>
    <w:link w:val="Ttulo1"/>
    <w:uiPriority w:val="9"/>
    <w:rsid w:val="00703381"/>
    <w:rPr>
      <w:caps/>
      <w:color w:val="FFFFFF" w:themeColor="background1"/>
      <w:spacing w:val="15"/>
      <w:sz w:val="22"/>
      <w:szCs w:val="22"/>
      <w:shd w:val="clear" w:color="auto" w:fill="5B9BD5" w:themeFill="accent1"/>
    </w:rPr>
  </w:style>
  <w:style w:type="character" w:customStyle="1" w:styleId="Ttulo2Car">
    <w:name w:val="Título 2 Car"/>
    <w:basedOn w:val="Fuentedeprrafopredeter"/>
    <w:link w:val="Ttulo2"/>
    <w:uiPriority w:val="9"/>
    <w:semiHidden/>
    <w:rsid w:val="00703381"/>
    <w:rPr>
      <w:caps/>
      <w:spacing w:val="15"/>
      <w:shd w:val="clear" w:color="auto" w:fill="DEEAF6" w:themeFill="accent1" w:themeFillTint="33"/>
    </w:rPr>
  </w:style>
  <w:style w:type="character" w:customStyle="1" w:styleId="Ttulo3Car">
    <w:name w:val="Título 3 Car"/>
    <w:basedOn w:val="Fuentedeprrafopredeter"/>
    <w:link w:val="Ttulo3"/>
    <w:uiPriority w:val="9"/>
    <w:semiHidden/>
    <w:rsid w:val="00703381"/>
    <w:rPr>
      <w:caps/>
      <w:color w:val="1F4D78" w:themeColor="accent1" w:themeShade="7F"/>
      <w:spacing w:val="15"/>
    </w:rPr>
  </w:style>
  <w:style w:type="character" w:customStyle="1" w:styleId="Ttulo4Car">
    <w:name w:val="Título 4 Car"/>
    <w:basedOn w:val="Fuentedeprrafopredeter"/>
    <w:link w:val="Ttulo4"/>
    <w:uiPriority w:val="9"/>
    <w:semiHidden/>
    <w:rsid w:val="00703381"/>
    <w:rPr>
      <w:caps/>
      <w:color w:val="2E74B5" w:themeColor="accent1" w:themeShade="BF"/>
      <w:spacing w:val="10"/>
    </w:rPr>
  </w:style>
  <w:style w:type="character" w:customStyle="1" w:styleId="Ttulo5Car">
    <w:name w:val="Título 5 Car"/>
    <w:basedOn w:val="Fuentedeprrafopredeter"/>
    <w:link w:val="Ttulo5"/>
    <w:uiPriority w:val="9"/>
    <w:semiHidden/>
    <w:rsid w:val="00703381"/>
    <w:rPr>
      <w:caps/>
      <w:color w:val="2E74B5" w:themeColor="accent1" w:themeShade="BF"/>
      <w:spacing w:val="10"/>
    </w:rPr>
  </w:style>
  <w:style w:type="character" w:customStyle="1" w:styleId="Ttulo6Car">
    <w:name w:val="Título 6 Car"/>
    <w:basedOn w:val="Fuentedeprrafopredeter"/>
    <w:link w:val="Ttulo6"/>
    <w:uiPriority w:val="9"/>
    <w:semiHidden/>
    <w:rsid w:val="00703381"/>
    <w:rPr>
      <w:caps/>
      <w:color w:val="2E74B5" w:themeColor="accent1" w:themeShade="BF"/>
      <w:spacing w:val="10"/>
    </w:rPr>
  </w:style>
  <w:style w:type="character" w:customStyle="1" w:styleId="Ttulo7Car">
    <w:name w:val="Título 7 Car"/>
    <w:basedOn w:val="Fuentedeprrafopredeter"/>
    <w:link w:val="Ttulo7"/>
    <w:uiPriority w:val="9"/>
    <w:semiHidden/>
    <w:rsid w:val="00703381"/>
    <w:rPr>
      <w:caps/>
      <w:color w:val="2E74B5" w:themeColor="accent1" w:themeShade="BF"/>
      <w:spacing w:val="10"/>
    </w:rPr>
  </w:style>
  <w:style w:type="character" w:customStyle="1" w:styleId="Ttulo8Car">
    <w:name w:val="Título 8 Car"/>
    <w:basedOn w:val="Fuentedeprrafopredeter"/>
    <w:link w:val="Ttulo8"/>
    <w:uiPriority w:val="9"/>
    <w:semiHidden/>
    <w:rsid w:val="00703381"/>
    <w:rPr>
      <w:caps/>
      <w:spacing w:val="10"/>
      <w:sz w:val="18"/>
      <w:szCs w:val="18"/>
    </w:rPr>
  </w:style>
  <w:style w:type="character" w:customStyle="1" w:styleId="Ttulo9Car">
    <w:name w:val="Título 9 Car"/>
    <w:basedOn w:val="Fuentedeprrafopredeter"/>
    <w:link w:val="Ttulo9"/>
    <w:uiPriority w:val="9"/>
    <w:semiHidden/>
    <w:rsid w:val="00703381"/>
    <w:rPr>
      <w:i/>
      <w:iCs/>
      <w:caps/>
      <w:spacing w:val="10"/>
      <w:sz w:val="18"/>
      <w:szCs w:val="18"/>
    </w:rPr>
  </w:style>
  <w:style w:type="paragraph" w:styleId="Descripcin">
    <w:name w:val="caption"/>
    <w:basedOn w:val="Normal"/>
    <w:next w:val="Normal"/>
    <w:uiPriority w:val="35"/>
    <w:semiHidden/>
    <w:unhideWhenUsed/>
    <w:qFormat/>
    <w:rsid w:val="00703381"/>
    <w:rPr>
      <w:b/>
      <w:bCs/>
      <w:color w:val="2E74B5" w:themeColor="accent1" w:themeShade="BF"/>
      <w:sz w:val="16"/>
      <w:szCs w:val="16"/>
    </w:rPr>
  </w:style>
  <w:style w:type="paragraph" w:styleId="Ttulo">
    <w:name w:val="Title"/>
    <w:basedOn w:val="Normal"/>
    <w:next w:val="Normal"/>
    <w:link w:val="TtuloCar"/>
    <w:uiPriority w:val="10"/>
    <w:qFormat/>
    <w:rsid w:val="0070338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ar">
    <w:name w:val="Título Car"/>
    <w:basedOn w:val="Fuentedeprrafopredeter"/>
    <w:link w:val="Ttulo"/>
    <w:uiPriority w:val="10"/>
    <w:rsid w:val="00703381"/>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ar"/>
    <w:uiPriority w:val="11"/>
    <w:qFormat/>
    <w:rsid w:val="00703381"/>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703381"/>
    <w:rPr>
      <w:caps/>
      <w:color w:val="595959" w:themeColor="text1" w:themeTint="A6"/>
      <w:spacing w:val="10"/>
      <w:sz w:val="21"/>
      <w:szCs w:val="21"/>
    </w:rPr>
  </w:style>
  <w:style w:type="character" w:styleId="Textoennegrita">
    <w:name w:val="Strong"/>
    <w:uiPriority w:val="22"/>
    <w:qFormat/>
    <w:rsid w:val="00703381"/>
    <w:rPr>
      <w:b/>
      <w:bCs/>
    </w:rPr>
  </w:style>
  <w:style w:type="character" w:styleId="nfasis">
    <w:name w:val="Emphasis"/>
    <w:uiPriority w:val="20"/>
    <w:qFormat/>
    <w:rsid w:val="00703381"/>
    <w:rPr>
      <w:caps/>
      <w:color w:val="1F4D78" w:themeColor="accent1" w:themeShade="7F"/>
      <w:spacing w:val="5"/>
    </w:rPr>
  </w:style>
  <w:style w:type="paragraph" w:styleId="Sinespaciado">
    <w:name w:val="No Spacing"/>
    <w:uiPriority w:val="1"/>
    <w:qFormat/>
    <w:rsid w:val="00703381"/>
    <w:pPr>
      <w:spacing w:after="0" w:line="240" w:lineRule="auto"/>
    </w:pPr>
  </w:style>
  <w:style w:type="paragraph" w:styleId="Cita">
    <w:name w:val="Quote"/>
    <w:basedOn w:val="Normal"/>
    <w:next w:val="Normal"/>
    <w:link w:val="CitaCar"/>
    <w:uiPriority w:val="29"/>
    <w:qFormat/>
    <w:rsid w:val="00703381"/>
    <w:rPr>
      <w:i/>
      <w:iCs/>
      <w:sz w:val="24"/>
      <w:szCs w:val="24"/>
    </w:rPr>
  </w:style>
  <w:style w:type="character" w:customStyle="1" w:styleId="CitaCar">
    <w:name w:val="Cita Car"/>
    <w:basedOn w:val="Fuentedeprrafopredeter"/>
    <w:link w:val="Cita"/>
    <w:uiPriority w:val="29"/>
    <w:rsid w:val="00703381"/>
    <w:rPr>
      <w:i/>
      <w:iCs/>
      <w:sz w:val="24"/>
      <w:szCs w:val="24"/>
    </w:rPr>
  </w:style>
  <w:style w:type="paragraph" w:styleId="Citadestacada">
    <w:name w:val="Intense Quote"/>
    <w:basedOn w:val="Normal"/>
    <w:next w:val="Normal"/>
    <w:link w:val="CitadestacadaCar"/>
    <w:uiPriority w:val="30"/>
    <w:qFormat/>
    <w:rsid w:val="00703381"/>
    <w:pPr>
      <w:spacing w:before="240" w:after="240" w:line="240" w:lineRule="auto"/>
      <w:ind w:left="1080" w:right="1080"/>
      <w:jc w:val="center"/>
    </w:pPr>
    <w:rPr>
      <w:color w:val="5B9BD5" w:themeColor="accent1"/>
      <w:sz w:val="24"/>
      <w:szCs w:val="24"/>
    </w:rPr>
  </w:style>
  <w:style w:type="character" w:customStyle="1" w:styleId="CitadestacadaCar">
    <w:name w:val="Cita destacada Car"/>
    <w:basedOn w:val="Fuentedeprrafopredeter"/>
    <w:link w:val="Citadestacada"/>
    <w:uiPriority w:val="30"/>
    <w:rsid w:val="00703381"/>
    <w:rPr>
      <w:color w:val="5B9BD5" w:themeColor="accent1"/>
      <w:sz w:val="24"/>
      <w:szCs w:val="24"/>
    </w:rPr>
  </w:style>
  <w:style w:type="character" w:styleId="nfasissutil">
    <w:name w:val="Subtle Emphasis"/>
    <w:uiPriority w:val="19"/>
    <w:qFormat/>
    <w:rsid w:val="00703381"/>
    <w:rPr>
      <w:i/>
      <w:iCs/>
      <w:color w:val="1F4D78" w:themeColor="accent1" w:themeShade="7F"/>
    </w:rPr>
  </w:style>
  <w:style w:type="character" w:styleId="nfasisintenso">
    <w:name w:val="Intense Emphasis"/>
    <w:uiPriority w:val="21"/>
    <w:qFormat/>
    <w:rsid w:val="00703381"/>
    <w:rPr>
      <w:b/>
      <w:bCs/>
      <w:caps/>
      <w:color w:val="1F4D78" w:themeColor="accent1" w:themeShade="7F"/>
      <w:spacing w:val="10"/>
    </w:rPr>
  </w:style>
  <w:style w:type="character" w:styleId="Referenciasutil">
    <w:name w:val="Subtle Reference"/>
    <w:uiPriority w:val="31"/>
    <w:qFormat/>
    <w:rsid w:val="00703381"/>
    <w:rPr>
      <w:b/>
      <w:bCs/>
      <w:color w:val="5B9BD5" w:themeColor="accent1"/>
    </w:rPr>
  </w:style>
  <w:style w:type="character" w:styleId="Referenciaintensa">
    <w:name w:val="Intense Reference"/>
    <w:uiPriority w:val="32"/>
    <w:qFormat/>
    <w:rsid w:val="00703381"/>
    <w:rPr>
      <w:b/>
      <w:bCs/>
      <w:i/>
      <w:iCs/>
      <w:caps/>
      <w:color w:val="5B9BD5" w:themeColor="accent1"/>
    </w:rPr>
  </w:style>
  <w:style w:type="character" w:styleId="Ttulodellibro">
    <w:name w:val="Book Title"/>
    <w:uiPriority w:val="33"/>
    <w:qFormat/>
    <w:rsid w:val="00703381"/>
    <w:rPr>
      <w:b/>
      <w:bCs/>
      <w:i/>
      <w:iCs/>
      <w:spacing w:val="0"/>
    </w:rPr>
  </w:style>
  <w:style w:type="paragraph" w:styleId="TtuloTDC">
    <w:name w:val="TOC Heading"/>
    <w:basedOn w:val="Ttulo1"/>
    <w:next w:val="Normal"/>
    <w:uiPriority w:val="39"/>
    <w:semiHidden/>
    <w:unhideWhenUsed/>
    <w:qFormat/>
    <w:rsid w:val="00703381"/>
    <w:pPr>
      <w:outlineLvl w:val="9"/>
    </w:pPr>
  </w:style>
  <w:style w:type="paragraph" w:styleId="Textodeglobo">
    <w:name w:val="Balloon Text"/>
    <w:basedOn w:val="Normal"/>
    <w:link w:val="TextodegloboCar"/>
    <w:uiPriority w:val="99"/>
    <w:semiHidden/>
    <w:unhideWhenUsed/>
    <w:rsid w:val="003D6D04"/>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6D04"/>
    <w:rPr>
      <w:rFonts w:ascii="Segoe UI" w:hAnsi="Segoe UI" w:cs="Segoe UI"/>
      <w:sz w:val="18"/>
      <w:szCs w:val="18"/>
    </w:rPr>
  </w:style>
  <w:style w:type="paragraph" w:styleId="Encabezado">
    <w:name w:val="header"/>
    <w:basedOn w:val="Normal"/>
    <w:link w:val="EncabezadoCar"/>
    <w:uiPriority w:val="99"/>
    <w:unhideWhenUsed/>
    <w:rsid w:val="00042CD7"/>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042CD7"/>
  </w:style>
  <w:style w:type="paragraph" w:styleId="Piedepgina">
    <w:name w:val="footer"/>
    <w:basedOn w:val="Normal"/>
    <w:link w:val="PiedepginaCar"/>
    <w:uiPriority w:val="99"/>
    <w:unhideWhenUsed/>
    <w:rsid w:val="00042CD7"/>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042CD7"/>
  </w:style>
  <w:style w:type="paragraph" w:styleId="Prrafodelista">
    <w:name w:val="List Paragraph"/>
    <w:basedOn w:val="Normal"/>
    <w:uiPriority w:val="34"/>
    <w:qFormat/>
    <w:rsid w:val="004C387B"/>
    <w:pPr>
      <w:spacing w:before="0" w:after="160" w:line="259" w:lineRule="auto"/>
      <w:ind w:left="708"/>
    </w:pPr>
    <w:rPr>
      <w:rFonts w:cs="Times New Roman"/>
      <w:sz w:val="22"/>
      <w:szCs w:val="22"/>
      <w:lang w:eastAsia="es-MX"/>
    </w:rPr>
  </w:style>
  <w:style w:type="paragraph" w:styleId="Textonotapie">
    <w:name w:val="footnote text"/>
    <w:basedOn w:val="Normal"/>
    <w:link w:val="TextonotapieCar"/>
    <w:uiPriority w:val="99"/>
    <w:semiHidden/>
    <w:unhideWhenUsed/>
    <w:rsid w:val="00106193"/>
    <w:pPr>
      <w:spacing w:before="0" w:after="0" w:line="240" w:lineRule="auto"/>
    </w:pPr>
  </w:style>
  <w:style w:type="character" w:customStyle="1" w:styleId="TextonotapieCar">
    <w:name w:val="Texto nota pie Car"/>
    <w:basedOn w:val="Fuentedeprrafopredeter"/>
    <w:link w:val="Textonotapie"/>
    <w:uiPriority w:val="99"/>
    <w:semiHidden/>
    <w:rsid w:val="00106193"/>
  </w:style>
  <w:style w:type="character" w:styleId="Refdenotaalpie">
    <w:name w:val="footnote reference"/>
    <w:basedOn w:val="Fuentedeprrafopredeter"/>
    <w:uiPriority w:val="99"/>
    <w:semiHidden/>
    <w:unhideWhenUsed/>
    <w:rsid w:val="00106193"/>
    <w:rPr>
      <w:vertAlign w:val="superscript"/>
    </w:rPr>
  </w:style>
  <w:style w:type="character" w:styleId="Refdecomentario">
    <w:name w:val="annotation reference"/>
    <w:basedOn w:val="Fuentedeprrafopredeter"/>
    <w:uiPriority w:val="99"/>
    <w:semiHidden/>
    <w:unhideWhenUsed/>
    <w:rsid w:val="00495448"/>
    <w:rPr>
      <w:sz w:val="16"/>
      <w:szCs w:val="16"/>
    </w:rPr>
  </w:style>
  <w:style w:type="paragraph" w:styleId="Textocomentario">
    <w:name w:val="annotation text"/>
    <w:basedOn w:val="Normal"/>
    <w:link w:val="TextocomentarioCar"/>
    <w:uiPriority w:val="99"/>
    <w:unhideWhenUsed/>
    <w:rsid w:val="00495448"/>
    <w:pPr>
      <w:spacing w:line="240" w:lineRule="auto"/>
    </w:pPr>
  </w:style>
  <w:style w:type="character" w:customStyle="1" w:styleId="TextocomentarioCar">
    <w:name w:val="Texto comentario Car"/>
    <w:basedOn w:val="Fuentedeprrafopredeter"/>
    <w:link w:val="Textocomentario"/>
    <w:uiPriority w:val="99"/>
    <w:rsid w:val="00495448"/>
  </w:style>
  <w:style w:type="paragraph" w:styleId="Asuntodelcomentario">
    <w:name w:val="annotation subject"/>
    <w:basedOn w:val="Textocomentario"/>
    <w:next w:val="Textocomentario"/>
    <w:link w:val="AsuntodelcomentarioCar"/>
    <w:uiPriority w:val="99"/>
    <w:semiHidden/>
    <w:unhideWhenUsed/>
    <w:rsid w:val="00495448"/>
    <w:rPr>
      <w:b/>
      <w:bCs/>
    </w:rPr>
  </w:style>
  <w:style w:type="character" w:customStyle="1" w:styleId="AsuntodelcomentarioCar">
    <w:name w:val="Asunto del comentario Car"/>
    <w:basedOn w:val="TextocomentarioCar"/>
    <w:link w:val="Asuntodelcomentario"/>
    <w:uiPriority w:val="99"/>
    <w:semiHidden/>
    <w:rsid w:val="00495448"/>
    <w:rPr>
      <w:b/>
      <w:bCs/>
    </w:rPr>
  </w:style>
  <w:style w:type="character" w:styleId="Mencinsinresolver">
    <w:name w:val="Unresolved Mention"/>
    <w:basedOn w:val="Fuentedeprrafopredeter"/>
    <w:uiPriority w:val="99"/>
    <w:semiHidden/>
    <w:unhideWhenUsed/>
    <w:rsid w:val="00A05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comunicacionsocial@inegi.org.mx" TargetMode="External"/><Relationship Id="rId18" Type="http://schemas.openxmlformats.org/officeDocument/2006/relationships/hyperlink" Target="https://twitter.com/INEGI_INFORM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inegi.org.mx/app/mapa/denue/default.aspx"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dn/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shellsea.becerra\Downloads\NUMERALIA%20DENUE%2005%202021_re.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shellsea.becerra\Downloads\NUMERALIA%20DENUE%2005%202021_r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DENUE 07/2010</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252056976024049E-3"/>
          <c:y val="6.4057150673635821E-2"/>
          <c:w val="0.93808217793000592"/>
          <c:h val="0.93594284932636418"/>
        </c:manualLayout>
      </c:layout>
      <c:pie3DChart>
        <c:varyColors val="1"/>
        <c:ser>
          <c:idx val="0"/>
          <c:order val="0"/>
          <c:explosion val="25"/>
          <c:dPt>
            <c:idx val="0"/>
            <c:bubble3D val="0"/>
            <c:explosion val="1"/>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1-C736-4354-9996-B5687E210A32}"/>
              </c:ext>
            </c:extLst>
          </c:dPt>
          <c:dPt>
            <c:idx val="1"/>
            <c:bubble3D val="0"/>
            <c:explosion val="0"/>
            <c:spPr>
              <a:solidFill>
                <a:srgbClr val="FF33CC"/>
              </a:solidFill>
              <a:ln w="25400">
                <a:solidFill>
                  <a:schemeClr val="lt1"/>
                </a:solidFill>
              </a:ln>
              <a:effectLst/>
              <a:sp3d contourW="25400">
                <a:contourClr>
                  <a:schemeClr val="lt1"/>
                </a:contourClr>
              </a:sp3d>
            </c:spPr>
            <c:extLst>
              <c:ext xmlns:c16="http://schemas.microsoft.com/office/drawing/2014/chart" uri="{C3380CC4-5D6E-409C-BE32-E72D297353CC}">
                <c16:uniqueId val="{00000003-C736-4354-9996-B5687E210A32}"/>
              </c:ext>
            </c:extLst>
          </c:dPt>
          <c:dPt>
            <c:idx val="2"/>
            <c:bubble3D val="0"/>
            <c:explosion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C736-4354-9996-B5687E210A32}"/>
              </c:ext>
            </c:extLst>
          </c:dPt>
          <c:dPt>
            <c:idx val="3"/>
            <c:bubble3D val="0"/>
            <c:explosion val="0"/>
            <c:spPr>
              <a:solidFill>
                <a:srgbClr val="F4B183"/>
              </a:solidFill>
              <a:ln w="25400">
                <a:solidFill>
                  <a:schemeClr val="lt1"/>
                </a:solidFill>
              </a:ln>
              <a:effectLst/>
              <a:sp3d contourW="25400">
                <a:contourClr>
                  <a:schemeClr val="lt1"/>
                </a:contourClr>
              </a:sp3d>
            </c:spPr>
            <c:extLst>
              <c:ext xmlns:c16="http://schemas.microsoft.com/office/drawing/2014/chart" uri="{C3380CC4-5D6E-409C-BE32-E72D297353CC}">
                <c16:uniqueId val="{00000007-C736-4354-9996-B5687E210A32}"/>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es-MX"/>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Hoja1!$E$3:$E$6</c:f>
              <c:numCache>
                <c:formatCode>General</c:formatCode>
                <c:ptCount val="4"/>
                <c:pt idx="0">
                  <c:v>47</c:v>
                </c:pt>
                <c:pt idx="1">
                  <c:v>39</c:v>
                </c:pt>
                <c:pt idx="2">
                  <c:v>11</c:v>
                </c:pt>
                <c:pt idx="3">
                  <c:v>3</c:v>
                </c:pt>
              </c:numCache>
            </c:numRef>
          </c:val>
          <c:extLst>
            <c:ext xmlns:c16="http://schemas.microsoft.com/office/drawing/2014/chart" uri="{C3380CC4-5D6E-409C-BE32-E72D297353CC}">
              <c16:uniqueId val="{00000008-C736-4354-9996-B5687E210A32}"/>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mn-lt"/>
                <a:ea typeface="+mn-ea"/>
                <a:cs typeface="+mn-cs"/>
              </a:defRPr>
            </a:pPr>
            <a:r>
              <a:rPr lang="es-MX"/>
              <a:t>DENUE 05/2021</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mn-lt"/>
              <a:ea typeface="+mn-ea"/>
              <a:cs typeface="+mn-cs"/>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84292101102042"/>
          <c:y val="0.14727906449468342"/>
          <c:w val="0.79079422411648082"/>
          <c:h val="0.75578446178854286"/>
        </c:manualLayout>
      </c:layout>
      <c:pie3DChart>
        <c:varyColors val="1"/>
        <c:ser>
          <c:idx val="0"/>
          <c:order val="0"/>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C295-46BF-92EA-04C69BEEB613}"/>
              </c:ext>
            </c:extLst>
          </c:dPt>
          <c:dPt>
            <c:idx val="1"/>
            <c:bubble3D val="0"/>
            <c:spPr>
              <a:solidFill>
                <a:srgbClr val="2E75B6"/>
              </a:solidFill>
              <a:ln w="25400">
                <a:solidFill>
                  <a:schemeClr val="lt1"/>
                </a:solidFill>
              </a:ln>
              <a:effectLst/>
              <a:sp3d contourW="25400">
                <a:contourClr>
                  <a:schemeClr val="lt1"/>
                </a:contourClr>
              </a:sp3d>
            </c:spPr>
            <c:extLst>
              <c:ext xmlns:c16="http://schemas.microsoft.com/office/drawing/2014/chart" uri="{C3380CC4-5D6E-409C-BE32-E72D297353CC}">
                <c16:uniqueId val="{00000003-C295-46BF-92EA-04C69BEEB613}"/>
              </c:ext>
            </c:extLst>
          </c:dPt>
          <c:dPt>
            <c:idx val="2"/>
            <c:bubble3D val="0"/>
            <c:spPr>
              <a:solidFill>
                <a:srgbClr val="FF33CC"/>
              </a:solidFill>
              <a:ln w="25400">
                <a:solidFill>
                  <a:schemeClr val="lt1"/>
                </a:solidFill>
              </a:ln>
              <a:effectLst/>
              <a:sp3d contourW="25400">
                <a:contourClr>
                  <a:schemeClr val="lt1"/>
                </a:contourClr>
              </a:sp3d>
            </c:spPr>
            <c:extLst>
              <c:ext xmlns:c16="http://schemas.microsoft.com/office/drawing/2014/chart" uri="{C3380CC4-5D6E-409C-BE32-E72D297353CC}">
                <c16:uniqueId val="{00000005-C295-46BF-92EA-04C69BEEB613}"/>
              </c:ext>
            </c:extLst>
          </c:dPt>
          <c:dPt>
            <c:idx val="3"/>
            <c:bubble3D val="0"/>
            <c:spPr>
              <a:solidFill>
                <a:srgbClr val="F4B183"/>
              </a:solidFill>
              <a:ln w="25400">
                <a:solidFill>
                  <a:schemeClr val="lt1"/>
                </a:solidFill>
              </a:ln>
              <a:effectLst/>
              <a:sp3d contourW="25400">
                <a:contourClr>
                  <a:schemeClr val="lt1"/>
                </a:contourClr>
              </a:sp3d>
            </c:spPr>
            <c:extLst>
              <c:ext xmlns:c16="http://schemas.microsoft.com/office/drawing/2014/chart" uri="{C3380CC4-5D6E-409C-BE32-E72D297353CC}">
                <c16:uniqueId val="{00000007-C295-46BF-92EA-04C69BEEB613}"/>
              </c:ext>
            </c:extLst>
          </c:dPt>
          <c:dLbls>
            <c:dLbl>
              <c:idx val="0"/>
              <c:layout>
                <c:manualLayout>
                  <c:x val="-0.13537897212389735"/>
                  <c:y val="0.13430473899386353"/>
                </c:manualLayout>
              </c:layout>
              <c:tx>
                <c:rich>
                  <a:bodyPr/>
                  <a:lstStyle/>
                  <a:p>
                    <a:fld id="{E8171050-F013-4C53-8A46-B6D806D2867B}" type="PERCENTAGE">
                      <a:rPr lang="en-US" sz="1400" baseline="0"/>
                      <a:pPr/>
                      <a:t>[PORCENTAJE]</a:t>
                    </a:fld>
                    <a:endParaRPr lang="es-MX"/>
                  </a:p>
                </c:rich>
              </c:tx>
              <c:showLegendKey val="0"/>
              <c:showVal val="0"/>
              <c:showCatName val="0"/>
              <c:showSerName val="0"/>
              <c:showPercent val="1"/>
              <c:showBubbleSize val="0"/>
              <c:extLst>
                <c:ext xmlns:c15="http://schemas.microsoft.com/office/drawing/2012/chart" uri="{CE6537A1-D6FC-4f65-9D91-7224C49458BB}">
                  <c15:layout>
                    <c:manualLayout>
                      <c:w val="0.18477272909693623"/>
                      <c:h val="0.18482091750082719"/>
                    </c:manualLayout>
                  </c15:layout>
                  <c15:dlblFieldTable/>
                  <c15:showDataLabelsRange val="0"/>
                </c:ext>
                <c:ext xmlns:c16="http://schemas.microsoft.com/office/drawing/2014/chart" uri="{C3380CC4-5D6E-409C-BE32-E72D297353CC}">
                  <c16:uniqueId val="{00000001-C295-46BF-92EA-04C69BEEB613}"/>
                </c:ext>
              </c:extLst>
            </c:dLbl>
            <c:dLbl>
              <c:idx val="1"/>
              <c:layout>
                <c:manualLayout>
                  <c:x val="-0.24244920192392228"/>
                  <c:y val="-0.2116068582109432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95-46BF-92EA-04C69BEEB613}"/>
                </c:ext>
              </c:extLst>
            </c:dLbl>
            <c:dLbl>
              <c:idx val="2"/>
              <c:layout>
                <c:manualLayout>
                  <c:x val="0.19314194577352473"/>
                  <c:y val="-7.797349998471489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295-46BF-92EA-04C69BEEB613}"/>
                </c:ext>
              </c:extLst>
            </c:dLbl>
            <c:dLbl>
              <c:idx val="3"/>
              <c:layout>
                <c:manualLayout>
                  <c:x val="3.2491993546678227E-2"/>
                  <c:y val="-8.037423921890283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295-46BF-92EA-04C69BEEB613}"/>
                </c:ext>
              </c:extLst>
            </c:dLbl>
            <c:numFmt formatCode="0%" sourceLinked="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s-MX"/>
              </a:p>
            </c:txPr>
            <c:showLegendKey val="0"/>
            <c:showVal val="0"/>
            <c:showCatName val="0"/>
            <c:showSerName val="0"/>
            <c:showPercent val="1"/>
            <c:showBubbleSize val="0"/>
            <c:showLeaderLines val="0"/>
            <c:extLst>
              <c:ext xmlns:c15="http://schemas.microsoft.com/office/drawing/2012/chart" uri="{CE6537A1-D6FC-4f65-9D91-7224C49458BB}"/>
            </c:extLst>
          </c:dLbls>
          <c:cat>
            <c:strRef>
              <c:f>SECTOR!$B$25:$B$28</c:f>
              <c:strCache>
                <c:ptCount val="4"/>
                <c:pt idx="0">
                  <c:v>Industrias manufactureras</c:v>
                </c:pt>
                <c:pt idx="1">
                  <c:v>Comercio</c:v>
                </c:pt>
                <c:pt idx="2">
                  <c:v>Servicios </c:v>
                </c:pt>
                <c:pt idx="3">
                  <c:v>Resto de sectores </c:v>
                </c:pt>
              </c:strCache>
            </c:strRef>
          </c:cat>
          <c:val>
            <c:numRef>
              <c:f>SECTOR!$C$25:$C$28</c:f>
              <c:numCache>
                <c:formatCode>#,##0</c:formatCode>
                <c:ptCount val="4"/>
                <c:pt idx="0" formatCode="General">
                  <c:v>606849</c:v>
                </c:pt>
                <c:pt idx="1">
                  <c:v>2396654</c:v>
                </c:pt>
                <c:pt idx="2">
                  <c:v>2242240</c:v>
                </c:pt>
                <c:pt idx="3">
                  <c:v>270120</c:v>
                </c:pt>
              </c:numCache>
            </c:numRef>
          </c:val>
          <c:extLst>
            <c:ext xmlns:c16="http://schemas.microsoft.com/office/drawing/2014/chart" uri="{C3380CC4-5D6E-409C-BE32-E72D297353CC}">
              <c16:uniqueId val="{00000008-C295-46BF-92EA-04C69BEEB613}"/>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ENTIDAD!$C$1</c:f>
              <c:strCache>
                <c:ptCount val="1"/>
                <c:pt idx="0">
                  <c:v>Registros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ENTIDAD!$B$2:$B$33</c:f>
              <c:strCache>
                <c:ptCount val="32"/>
                <c:pt idx="0">
                  <c:v>MÉXICO</c:v>
                </c:pt>
                <c:pt idx="1">
                  <c:v>CIUDAD DE MÉXICO</c:v>
                </c:pt>
                <c:pt idx="2">
                  <c:v>JALISCO</c:v>
                </c:pt>
                <c:pt idx="3">
                  <c:v>PUEBLA</c:v>
                </c:pt>
                <c:pt idx="4">
                  <c:v>VERACRUZ DE IGNACIO DE LA LLAVE</c:v>
                </c:pt>
                <c:pt idx="5">
                  <c:v>GUANAJUATO</c:v>
                </c:pt>
                <c:pt idx="6">
                  <c:v>MICHOACÁN DE OCAMPO</c:v>
                </c:pt>
                <c:pt idx="7">
                  <c:v>OAXACA</c:v>
                </c:pt>
                <c:pt idx="8">
                  <c:v>CHIAPAS</c:v>
                </c:pt>
                <c:pt idx="9">
                  <c:v>NUEVO LEÓN</c:v>
                </c:pt>
                <c:pt idx="10">
                  <c:v>GUERRERO</c:v>
                </c:pt>
                <c:pt idx="11">
                  <c:v>HIDALGO</c:v>
                </c:pt>
                <c:pt idx="12">
                  <c:v>TAMAULIPAS</c:v>
                </c:pt>
                <c:pt idx="13">
                  <c:v>YUCATÁN</c:v>
                </c:pt>
                <c:pt idx="14">
                  <c:v>CHIHUAHUA</c:v>
                </c:pt>
                <c:pt idx="15">
                  <c:v>BAJA CALIFORNIA</c:v>
                </c:pt>
                <c:pt idx="16">
                  <c:v>SINALOA</c:v>
                </c:pt>
                <c:pt idx="17">
                  <c:v>SONORA</c:v>
                </c:pt>
                <c:pt idx="18">
                  <c:v>COAHUILA DE ZARAGOZA</c:v>
                </c:pt>
                <c:pt idx="19">
                  <c:v>SAN LUIS POTOSÍ</c:v>
                </c:pt>
                <c:pt idx="20">
                  <c:v>MORELOS</c:v>
                </c:pt>
                <c:pt idx="21">
                  <c:v>QUERÉTARO</c:v>
                </c:pt>
                <c:pt idx="22">
                  <c:v>TABASCO</c:v>
                </c:pt>
                <c:pt idx="23">
                  <c:v>TLAXCALA</c:v>
                </c:pt>
                <c:pt idx="24">
                  <c:v>ZACATECAS</c:v>
                </c:pt>
                <c:pt idx="25">
                  <c:v>DURANGO</c:v>
                </c:pt>
                <c:pt idx="26">
                  <c:v>QUINTANA ROO</c:v>
                </c:pt>
                <c:pt idx="27">
                  <c:v>NAYARIT</c:v>
                </c:pt>
                <c:pt idx="28">
                  <c:v>AGUASCALIENTES</c:v>
                </c:pt>
                <c:pt idx="29">
                  <c:v>CAMPECHE</c:v>
                </c:pt>
                <c:pt idx="30">
                  <c:v>COLIMA</c:v>
                </c:pt>
                <c:pt idx="31">
                  <c:v>BAJA CALIFORNIA SUR</c:v>
                </c:pt>
              </c:strCache>
            </c:strRef>
          </c:cat>
          <c:val>
            <c:numRef>
              <c:f>ENTIDAD!$C$2:$C$33</c:f>
              <c:numCache>
                <c:formatCode>#,##0</c:formatCode>
                <c:ptCount val="32"/>
                <c:pt idx="0">
                  <c:v>699981</c:v>
                </c:pt>
                <c:pt idx="1">
                  <c:v>474046</c:v>
                </c:pt>
                <c:pt idx="2">
                  <c:v>377777</c:v>
                </c:pt>
                <c:pt idx="3">
                  <c:v>343228</c:v>
                </c:pt>
                <c:pt idx="4">
                  <c:v>326291</c:v>
                </c:pt>
                <c:pt idx="5">
                  <c:v>271566</c:v>
                </c:pt>
                <c:pt idx="6">
                  <c:v>259749</c:v>
                </c:pt>
                <c:pt idx="7">
                  <c:v>250152</c:v>
                </c:pt>
                <c:pt idx="8">
                  <c:v>217757</c:v>
                </c:pt>
                <c:pt idx="9">
                  <c:v>186114</c:v>
                </c:pt>
                <c:pt idx="10">
                  <c:v>169324</c:v>
                </c:pt>
                <c:pt idx="11">
                  <c:v>138256</c:v>
                </c:pt>
                <c:pt idx="12">
                  <c:v>132845</c:v>
                </c:pt>
                <c:pt idx="13">
                  <c:v>130018</c:v>
                </c:pt>
                <c:pt idx="14">
                  <c:v>127916</c:v>
                </c:pt>
                <c:pt idx="15">
                  <c:v>125790</c:v>
                </c:pt>
                <c:pt idx="16">
                  <c:v>123471</c:v>
                </c:pt>
                <c:pt idx="17">
                  <c:v>118824</c:v>
                </c:pt>
                <c:pt idx="18">
                  <c:v>114381</c:v>
                </c:pt>
                <c:pt idx="19">
                  <c:v>112798</c:v>
                </c:pt>
                <c:pt idx="20">
                  <c:v>110685</c:v>
                </c:pt>
                <c:pt idx="21">
                  <c:v>93666</c:v>
                </c:pt>
                <c:pt idx="22">
                  <c:v>85486</c:v>
                </c:pt>
                <c:pt idx="23">
                  <c:v>81764</c:v>
                </c:pt>
                <c:pt idx="24">
                  <c:v>68876</c:v>
                </c:pt>
                <c:pt idx="25">
                  <c:v>66396</c:v>
                </c:pt>
                <c:pt idx="26">
                  <c:v>66108</c:v>
                </c:pt>
                <c:pt idx="27">
                  <c:v>65653</c:v>
                </c:pt>
                <c:pt idx="28">
                  <c:v>61445</c:v>
                </c:pt>
                <c:pt idx="29">
                  <c:v>41401</c:v>
                </c:pt>
                <c:pt idx="30">
                  <c:v>38566</c:v>
                </c:pt>
                <c:pt idx="31">
                  <c:v>35533</c:v>
                </c:pt>
              </c:numCache>
            </c:numRef>
          </c:val>
          <c:extLst>
            <c:ext xmlns:c16="http://schemas.microsoft.com/office/drawing/2014/chart" uri="{C3380CC4-5D6E-409C-BE32-E72D297353CC}">
              <c16:uniqueId val="{00000000-6027-4792-82D0-C7E84575DF65}"/>
            </c:ext>
          </c:extLst>
        </c:ser>
        <c:dLbls>
          <c:showLegendKey val="0"/>
          <c:showVal val="0"/>
          <c:showCatName val="0"/>
          <c:showSerName val="0"/>
          <c:showPercent val="0"/>
          <c:showBubbleSize val="0"/>
        </c:dLbls>
        <c:gapWidth val="182"/>
        <c:axId val="1202115407"/>
        <c:axId val="1202119151"/>
      </c:barChart>
      <c:catAx>
        <c:axId val="120211540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202119151"/>
        <c:crosses val="autoZero"/>
        <c:auto val="1"/>
        <c:lblAlgn val="ctr"/>
        <c:lblOffset val="100"/>
        <c:noMultiLvlLbl val="0"/>
      </c:catAx>
      <c:valAx>
        <c:axId val="1202119151"/>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02115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EE85-4A71-4BB3-8183-8FC95156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3612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Comunicado: Directorio Estadístico Nacional de Unidades Económicas Interactivo (DENUE)</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Directorio Estadístico Nacional de Unidades Económicas Interactivo (DENUE)</dc:title>
  <dc:subject/>
  <dc:creator>INEGI</dc:creator>
  <cp:keywords/>
  <dc:description/>
  <cp:lastModifiedBy>GUILLEN MEDINA MOISES</cp:lastModifiedBy>
  <cp:revision>5</cp:revision>
  <cp:lastPrinted>2019-11-12T18:08:00Z</cp:lastPrinted>
  <dcterms:created xsi:type="dcterms:W3CDTF">2021-05-22T00:58:00Z</dcterms:created>
  <dcterms:modified xsi:type="dcterms:W3CDTF">2021-05-25T00:26:00Z</dcterms:modified>
</cp:coreProperties>
</file>