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44458" w14:textId="5D3C6838" w:rsidR="0099258B" w:rsidRDefault="00703381" w:rsidP="00064944">
      <w:pPr>
        <w:pStyle w:val="Default"/>
        <w:tabs>
          <w:tab w:val="left" w:pos="240"/>
          <w:tab w:val="left" w:pos="2355"/>
          <w:tab w:val="right" w:pos="10080"/>
        </w:tabs>
        <w:spacing w:before="0"/>
        <w:rPr>
          <w:b/>
          <w:bCs/>
          <w:sz w:val="28"/>
          <w:szCs w:val="28"/>
        </w:rPr>
      </w:pPr>
      <w:bookmarkStart w:id="0" w:name="_Hlk71646909"/>
      <w:bookmarkEnd w:id="0"/>
      <w:r>
        <w:rPr>
          <w:b/>
          <w:bCs/>
          <w:sz w:val="28"/>
          <w:szCs w:val="28"/>
        </w:rPr>
        <w:t xml:space="preserve"> </w:t>
      </w:r>
    </w:p>
    <w:p w14:paraId="71771B03" w14:textId="77777777" w:rsidR="00EE013B" w:rsidRDefault="00EE013B" w:rsidP="00064944">
      <w:pPr>
        <w:pStyle w:val="Default"/>
        <w:tabs>
          <w:tab w:val="left" w:pos="240"/>
          <w:tab w:val="left" w:pos="2355"/>
          <w:tab w:val="right" w:pos="10080"/>
        </w:tabs>
        <w:spacing w:before="0"/>
        <w:rPr>
          <w:b/>
          <w:bCs/>
          <w:sz w:val="28"/>
          <w:szCs w:val="28"/>
        </w:rPr>
      </w:pPr>
    </w:p>
    <w:p w14:paraId="2D21D54E" w14:textId="500723E3" w:rsidR="00703381" w:rsidRPr="00345E44" w:rsidRDefault="00D55E5B" w:rsidP="00271571">
      <w:pPr>
        <w:pStyle w:val="Default"/>
        <w:spacing w:before="0"/>
        <w:ind w:right="-268"/>
        <w:jc w:val="center"/>
        <w:rPr>
          <w:b/>
          <w:bCs/>
        </w:rPr>
      </w:pPr>
      <w:bookmarkStart w:id="1" w:name="_GoBack"/>
      <w:r w:rsidRPr="00345E44">
        <w:rPr>
          <w:b/>
          <w:bCs/>
        </w:rPr>
        <w:t xml:space="preserve">ACTUALIZACIÓN DEL </w:t>
      </w:r>
      <w:r w:rsidR="00553899" w:rsidRPr="00345E44">
        <w:rPr>
          <w:b/>
          <w:bCs/>
        </w:rPr>
        <w:t>D</w:t>
      </w:r>
      <w:r w:rsidRPr="00345E44">
        <w:rPr>
          <w:b/>
          <w:bCs/>
        </w:rPr>
        <w:t>IRECTORIO ESTADÍSTICO NACIONAL DE UNIDADES ECONÓMICAS (DENUE</w:t>
      </w:r>
      <w:r w:rsidR="00553899" w:rsidRPr="00345E44">
        <w:rPr>
          <w:b/>
          <w:bCs/>
        </w:rPr>
        <w:t xml:space="preserve"> INTERACTIVO</w:t>
      </w:r>
      <w:r w:rsidR="00703381" w:rsidRPr="00345E44">
        <w:rPr>
          <w:b/>
          <w:bCs/>
        </w:rPr>
        <w:t xml:space="preserve"> </w:t>
      </w:r>
      <w:r w:rsidR="002B7054" w:rsidRPr="00345E44">
        <w:rPr>
          <w:b/>
          <w:bCs/>
        </w:rPr>
        <w:t>11</w:t>
      </w:r>
      <w:r w:rsidR="00703381" w:rsidRPr="00345E44">
        <w:rPr>
          <w:b/>
          <w:bCs/>
        </w:rPr>
        <w:t>/20</w:t>
      </w:r>
      <w:r w:rsidR="007D3662" w:rsidRPr="00345E44">
        <w:rPr>
          <w:b/>
          <w:bCs/>
        </w:rPr>
        <w:t>2</w:t>
      </w:r>
      <w:r w:rsidR="00B43570" w:rsidRPr="00345E44">
        <w:rPr>
          <w:b/>
          <w:bCs/>
        </w:rPr>
        <w:t>1</w:t>
      </w:r>
      <w:r w:rsidRPr="00345E44">
        <w:rPr>
          <w:b/>
          <w:bCs/>
        </w:rPr>
        <w:t>)</w:t>
      </w:r>
    </w:p>
    <w:bookmarkEnd w:id="1"/>
    <w:p w14:paraId="39A8B9FA" w14:textId="65362CB0" w:rsidR="00064944" w:rsidRDefault="00064944" w:rsidP="0099258B">
      <w:pPr>
        <w:pStyle w:val="Default"/>
        <w:tabs>
          <w:tab w:val="left" w:pos="240"/>
          <w:tab w:val="left" w:pos="2355"/>
          <w:tab w:val="right" w:pos="10080"/>
        </w:tabs>
        <w:spacing w:before="0"/>
        <w:jc w:val="center"/>
        <w:rPr>
          <w:b/>
          <w:bCs/>
          <w:sz w:val="28"/>
          <w:szCs w:val="28"/>
        </w:rPr>
      </w:pPr>
    </w:p>
    <w:p w14:paraId="6A5D4DFA" w14:textId="3CF88B6A" w:rsidR="00064944" w:rsidRDefault="00064944" w:rsidP="00271571">
      <w:pPr>
        <w:pStyle w:val="Default"/>
        <w:numPr>
          <w:ilvl w:val="0"/>
          <w:numId w:val="2"/>
        </w:numPr>
        <w:spacing w:before="0"/>
        <w:ind w:left="709" w:right="582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El INEGI publica el DENUE Interactivo </w:t>
      </w:r>
      <w:r w:rsidR="002B7054">
        <w:rPr>
          <w:sz w:val="23"/>
          <w:szCs w:val="23"/>
        </w:rPr>
        <w:t>11</w:t>
      </w:r>
      <w:r>
        <w:rPr>
          <w:sz w:val="23"/>
          <w:szCs w:val="23"/>
        </w:rPr>
        <w:t>/20</w:t>
      </w:r>
      <w:r w:rsidR="007D3662">
        <w:rPr>
          <w:sz w:val="23"/>
          <w:szCs w:val="23"/>
        </w:rPr>
        <w:t>2</w:t>
      </w:r>
      <w:r w:rsidR="00B43570">
        <w:rPr>
          <w:sz w:val="23"/>
          <w:szCs w:val="23"/>
        </w:rPr>
        <w:t>1</w:t>
      </w:r>
      <w:r w:rsidR="007D3662">
        <w:rPr>
          <w:sz w:val="23"/>
          <w:szCs w:val="23"/>
        </w:rPr>
        <w:t>,</w:t>
      </w:r>
      <w:r>
        <w:rPr>
          <w:sz w:val="23"/>
          <w:szCs w:val="23"/>
        </w:rPr>
        <w:t xml:space="preserve"> con </w:t>
      </w:r>
      <w:r w:rsidR="0080052B">
        <w:rPr>
          <w:sz w:val="23"/>
          <w:szCs w:val="23"/>
        </w:rPr>
        <w:t xml:space="preserve">información de </w:t>
      </w:r>
      <w:r w:rsidR="003B5580">
        <w:rPr>
          <w:sz w:val="23"/>
          <w:szCs w:val="23"/>
        </w:rPr>
        <w:t>5</w:t>
      </w:r>
      <w:r w:rsidR="00B8374F">
        <w:rPr>
          <w:sz w:val="23"/>
          <w:szCs w:val="23"/>
        </w:rPr>
        <w:t xml:space="preserve"> 529 201</w:t>
      </w:r>
      <w:r w:rsidR="00963AE6">
        <w:rPr>
          <w:sz w:val="23"/>
          <w:szCs w:val="23"/>
        </w:rPr>
        <w:t xml:space="preserve"> </w:t>
      </w:r>
      <w:r>
        <w:rPr>
          <w:sz w:val="23"/>
          <w:szCs w:val="23"/>
        </w:rPr>
        <w:t>negocios</w:t>
      </w:r>
      <w:r w:rsidR="00EB29BE">
        <w:rPr>
          <w:sz w:val="23"/>
          <w:szCs w:val="23"/>
        </w:rPr>
        <w:t xml:space="preserve"> en el país</w:t>
      </w:r>
      <w:r>
        <w:rPr>
          <w:sz w:val="23"/>
          <w:szCs w:val="23"/>
        </w:rPr>
        <w:t>.</w:t>
      </w:r>
    </w:p>
    <w:p w14:paraId="0B921225" w14:textId="7C4EDC6B" w:rsidR="00064944" w:rsidRPr="00EB29BE" w:rsidRDefault="00E429CF" w:rsidP="00271571">
      <w:pPr>
        <w:pStyle w:val="Default"/>
        <w:numPr>
          <w:ilvl w:val="0"/>
          <w:numId w:val="2"/>
        </w:numPr>
        <w:spacing w:before="0"/>
        <w:ind w:left="709" w:right="582" w:hanging="283"/>
        <w:jc w:val="both"/>
        <w:rPr>
          <w:sz w:val="23"/>
          <w:szCs w:val="23"/>
        </w:rPr>
      </w:pPr>
      <w:r w:rsidRPr="00EB29BE">
        <w:rPr>
          <w:sz w:val="23"/>
          <w:szCs w:val="23"/>
        </w:rPr>
        <w:t xml:space="preserve">Esta edición del </w:t>
      </w:r>
      <w:r w:rsidR="00E011D7" w:rsidRPr="00EB29BE">
        <w:rPr>
          <w:sz w:val="23"/>
          <w:szCs w:val="23"/>
        </w:rPr>
        <w:t>Directorio</w:t>
      </w:r>
      <w:r w:rsidRPr="00EB29BE">
        <w:rPr>
          <w:sz w:val="23"/>
          <w:szCs w:val="23"/>
        </w:rPr>
        <w:t xml:space="preserve"> </w:t>
      </w:r>
      <w:r w:rsidR="00EB29BE" w:rsidRPr="00EB29BE">
        <w:rPr>
          <w:sz w:val="23"/>
          <w:szCs w:val="23"/>
        </w:rPr>
        <w:t>incorpora las actualizaciones de establecimientos a partir del</w:t>
      </w:r>
      <w:r w:rsidR="00FE27BE" w:rsidRPr="00EB29BE">
        <w:rPr>
          <w:sz w:val="23"/>
          <w:szCs w:val="23"/>
        </w:rPr>
        <w:t xml:space="preserve"> Estudio sobre la Demografía de los Negocios</w:t>
      </w:r>
      <w:r w:rsidRPr="00EB29BE">
        <w:rPr>
          <w:sz w:val="23"/>
          <w:szCs w:val="23"/>
        </w:rPr>
        <w:t xml:space="preserve"> </w:t>
      </w:r>
      <w:r w:rsidR="00FE27BE" w:rsidRPr="00EB29BE">
        <w:rPr>
          <w:sz w:val="23"/>
          <w:szCs w:val="23"/>
        </w:rPr>
        <w:t>202</w:t>
      </w:r>
      <w:r w:rsidRPr="00EB29BE">
        <w:rPr>
          <w:sz w:val="23"/>
          <w:szCs w:val="23"/>
        </w:rPr>
        <w:t>1</w:t>
      </w:r>
      <w:r w:rsidR="00FE27BE" w:rsidRPr="00EB29BE">
        <w:rPr>
          <w:sz w:val="23"/>
          <w:szCs w:val="23"/>
        </w:rPr>
        <w:t xml:space="preserve"> realizado por el Instituto</w:t>
      </w:r>
      <w:r w:rsidR="00345E44">
        <w:rPr>
          <w:sz w:val="23"/>
          <w:szCs w:val="23"/>
        </w:rPr>
        <w:t>.</w:t>
      </w:r>
    </w:p>
    <w:p w14:paraId="6C39AFCB" w14:textId="77777777" w:rsidR="00703381" w:rsidRDefault="00703381" w:rsidP="00271571">
      <w:pPr>
        <w:pStyle w:val="Default"/>
        <w:spacing w:before="0"/>
        <w:ind w:left="851" w:hanging="284"/>
        <w:jc w:val="center"/>
        <w:rPr>
          <w:b/>
          <w:bCs/>
          <w:sz w:val="28"/>
          <w:szCs w:val="28"/>
        </w:rPr>
      </w:pPr>
    </w:p>
    <w:p w14:paraId="77964FF5" w14:textId="77777777" w:rsidR="00345E44" w:rsidRDefault="00A66703" w:rsidP="00271571">
      <w:pPr>
        <w:pStyle w:val="Default"/>
        <w:spacing w:before="0"/>
        <w:ind w:right="-126"/>
        <w:jc w:val="both"/>
        <w:rPr>
          <w:sz w:val="23"/>
          <w:szCs w:val="23"/>
        </w:rPr>
      </w:pPr>
      <w:r w:rsidRPr="001F1EAA">
        <w:rPr>
          <w:sz w:val="23"/>
          <w:szCs w:val="23"/>
        </w:rPr>
        <w:t>E</w:t>
      </w:r>
      <w:r w:rsidR="009F3357" w:rsidRPr="001F1EAA">
        <w:rPr>
          <w:sz w:val="23"/>
          <w:szCs w:val="23"/>
        </w:rPr>
        <w:t xml:space="preserve">n su </w:t>
      </w:r>
      <w:r w:rsidR="00A05639" w:rsidRPr="001F1EAA">
        <w:rPr>
          <w:sz w:val="23"/>
          <w:szCs w:val="23"/>
        </w:rPr>
        <w:t xml:space="preserve">edición </w:t>
      </w:r>
      <w:r w:rsidR="00E429CF" w:rsidRPr="001F1EAA">
        <w:rPr>
          <w:sz w:val="23"/>
          <w:szCs w:val="23"/>
        </w:rPr>
        <w:t>11</w:t>
      </w:r>
      <w:r w:rsidR="00B43570" w:rsidRPr="001F1EAA">
        <w:rPr>
          <w:sz w:val="23"/>
          <w:szCs w:val="23"/>
        </w:rPr>
        <w:t>/2021</w:t>
      </w:r>
      <w:r w:rsidR="009F3357" w:rsidRPr="001F1EAA">
        <w:rPr>
          <w:sz w:val="23"/>
          <w:szCs w:val="23"/>
        </w:rPr>
        <w:t xml:space="preserve"> </w:t>
      </w:r>
      <w:r w:rsidRPr="001F1EAA">
        <w:rPr>
          <w:sz w:val="23"/>
          <w:szCs w:val="23"/>
        </w:rPr>
        <w:t>el Directorio Estadístico Nacional de Unidades Económicas (DENUE</w:t>
      </w:r>
      <w:r w:rsidR="001F1EAA">
        <w:rPr>
          <w:sz w:val="23"/>
          <w:szCs w:val="23"/>
        </w:rPr>
        <w:t xml:space="preserve"> Interactivo</w:t>
      </w:r>
      <w:r w:rsidRPr="001F1EAA">
        <w:rPr>
          <w:sz w:val="23"/>
          <w:szCs w:val="23"/>
        </w:rPr>
        <w:t xml:space="preserve">) </w:t>
      </w:r>
      <w:r w:rsidR="007D3662" w:rsidRPr="001F1EAA">
        <w:rPr>
          <w:sz w:val="23"/>
          <w:szCs w:val="23"/>
        </w:rPr>
        <w:t>proporciona información de</w:t>
      </w:r>
      <w:r w:rsidR="009F3357" w:rsidRPr="001F1EAA">
        <w:rPr>
          <w:sz w:val="23"/>
          <w:szCs w:val="23"/>
        </w:rPr>
        <w:t xml:space="preserve"> </w:t>
      </w:r>
      <w:r w:rsidR="00E011D7" w:rsidRPr="001F1EAA">
        <w:rPr>
          <w:sz w:val="23"/>
          <w:szCs w:val="23"/>
        </w:rPr>
        <w:t xml:space="preserve">5 529 201 </w:t>
      </w:r>
      <w:r w:rsidR="00713C2D" w:rsidRPr="001F1EAA">
        <w:rPr>
          <w:sz w:val="23"/>
          <w:szCs w:val="23"/>
        </w:rPr>
        <w:t>establecimientos</w:t>
      </w:r>
      <w:r w:rsidR="00106193" w:rsidRPr="001F1EAA">
        <w:rPr>
          <w:sz w:val="23"/>
          <w:szCs w:val="23"/>
        </w:rPr>
        <w:t xml:space="preserve"> en el territorio nacional que realizan actividades de todos los sectores de la actividad económica.</w:t>
      </w:r>
      <w:r w:rsidR="0080052B" w:rsidRPr="001F1EAA">
        <w:rPr>
          <w:sz w:val="23"/>
          <w:szCs w:val="23"/>
        </w:rPr>
        <w:t xml:space="preserve"> </w:t>
      </w:r>
    </w:p>
    <w:p w14:paraId="2A91516B" w14:textId="77777777" w:rsidR="00345E44" w:rsidRDefault="00345E44" w:rsidP="00271571">
      <w:pPr>
        <w:pStyle w:val="Default"/>
        <w:spacing w:before="0"/>
        <w:ind w:right="-126"/>
        <w:jc w:val="both"/>
        <w:rPr>
          <w:sz w:val="23"/>
          <w:szCs w:val="23"/>
        </w:rPr>
      </w:pPr>
    </w:p>
    <w:p w14:paraId="7C19F0DC" w14:textId="238C14C3" w:rsidR="00A73D4E" w:rsidRPr="001F1EAA" w:rsidRDefault="00345E44" w:rsidP="00271571">
      <w:pPr>
        <w:pStyle w:val="Default"/>
        <w:spacing w:before="0"/>
        <w:ind w:right="-126"/>
        <w:jc w:val="both"/>
        <w:rPr>
          <w:sz w:val="23"/>
          <w:szCs w:val="23"/>
        </w:rPr>
      </w:pPr>
      <w:r>
        <w:rPr>
          <w:sz w:val="23"/>
          <w:szCs w:val="23"/>
        </w:rPr>
        <w:t>La</w:t>
      </w:r>
      <w:r w:rsidR="0080052B" w:rsidRPr="001F1EAA">
        <w:rPr>
          <w:sz w:val="23"/>
          <w:szCs w:val="23"/>
        </w:rPr>
        <w:t xml:space="preserve"> actualización </w:t>
      </w:r>
      <w:r w:rsidR="007948E4">
        <w:rPr>
          <w:sz w:val="23"/>
          <w:szCs w:val="23"/>
        </w:rPr>
        <w:t xml:space="preserve">del DENUE 11/2021 </w:t>
      </w:r>
      <w:r w:rsidR="006F4E9A" w:rsidRPr="001F1EAA">
        <w:rPr>
          <w:sz w:val="23"/>
          <w:szCs w:val="23"/>
        </w:rPr>
        <w:t>proviene</w:t>
      </w:r>
      <w:r w:rsidR="0080052B" w:rsidRPr="001F1EAA">
        <w:rPr>
          <w:sz w:val="23"/>
          <w:szCs w:val="23"/>
        </w:rPr>
        <w:t xml:space="preserve"> </w:t>
      </w:r>
      <w:r w:rsidR="00EB29BE">
        <w:rPr>
          <w:sz w:val="23"/>
          <w:szCs w:val="23"/>
        </w:rPr>
        <w:t>principalmente</w:t>
      </w:r>
      <w:r w:rsidR="00EB29BE" w:rsidRPr="001F1EAA">
        <w:rPr>
          <w:sz w:val="23"/>
          <w:szCs w:val="23"/>
        </w:rPr>
        <w:t xml:space="preserve"> </w:t>
      </w:r>
      <w:r w:rsidR="00A250C4" w:rsidRPr="001F1EAA">
        <w:rPr>
          <w:sz w:val="23"/>
          <w:szCs w:val="23"/>
        </w:rPr>
        <w:t xml:space="preserve">de </w:t>
      </w:r>
      <w:r w:rsidR="00EB29BE">
        <w:rPr>
          <w:sz w:val="23"/>
          <w:szCs w:val="23"/>
        </w:rPr>
        <w:t xml:space="preserve">los </w:t>
      </w:r>
      <w:r w:rsidR="00A250C4" w:rsidRPr="001F1EAA">
        <w:rPr>
          <w:sz w:val="23"/>
          <w:szCs w:val="23"/>
        </w:rPr>
        <w:t xml:space="preserve">registros </w:t>
      </w:r>
      <w:r w:rsidR="0080052B" w:rsidRPr="001F1EAA">
        <w:rPr>
          <w:sz w:val="23"/>
          <w:szCs w:val="23"/>
        </w:rPr>
        <w:t>captados por el Estudio sobre la Demografía de los Negocios</w:t>
      </w:r>
      <w:r w:rsidR="001F1EAA">
        <w:rPr>
          <w:sz w:val="23"/>
          <w:szCs w:val="23"/>
        </w:rPr>
        <w:t xml:space="preserve"> (EDN) </w:t>
      </w:r>
      <w:r w:rsidR="0080052B" w:rsidRPr="001F1EAA">
        <w:rPr>
          <w:sz w:val="23"/>
          <w:szCs w:val="23"/>
        </w:rPr>
        <w:t>202</w:t>
      </w:r>
      <w:r w:rsidR="00A250C4" w:rsidRPr="001F1EAA">
        <w:rPr>
          <w:sz w:val="23"/>
          <w:szCs w:val="23"/>
        </w:rPr>
        <w:t>1</w:t>
      </w:r>
      <w:r w:rsidR="0080052B" w:rsidRPr="001F1EAA">
        <w:rPr>
          <w:sz w:val="23"/>
          <w:szCs w:val="23"/>
        </w:rPr>
        <w:t>, realizado por el I</w:t>
      </w:r>
      <w:r>
        <w:rPr>
          <w:sz w:val="23"/>
          <w:szCs w:val="23"/>
        </w:rPr>
        <w:t>NEGI</w:t>
      </w:r>
      <w:r w:rsidR="0080052B" w:rsidRPr="001F1EAA">
        <w:rPr>
          <w:sz w:val="23"/>
          <w:szCs w:val="23"/>
        </w:rPr>
        <w:t xml:space="preserve"> </w:t>
      </w:r>
      <w:r w:rsidR="00A250C4" w:rsidRPr="001F1EAA">
        <w:rPr>
          <w:sz w:val="23"/>
          <w:szCs w:val="23"/>
        </w:rPr>
        <w:t xml:space="preserve">para ofrecer a los usuarios </w:t>
      </w:r>
      <w:r w:rsidR="00A66703" w:rsidRPr="001F1EAA">
        <w:rPr>
          <w:sz w:val="23"/>
          <w:szCs w:val="23"/>
        </w:rPr>
        <w:t>un</w:t>
      </w:r>
      <w:r w:rsidR="00A250C4" w:rsidRPr="001F1EAA">
        <w:rPr>
          <w:sz w:val="23"/>
          <w:szCs w:val="23"/>
        </w:rPr>
        <w:t xml:space="preserve"> marco de comparación entre los hallazgos del EDN 2020 y los del EDN 2021 </w:t>
      </w:r>
      <w:r w:rsidR="009E0BEC">
        <w:rPr>
          <w:sz w:val="23"/>
          <w:szCs w:val="23"/>
        </w:rPr>
        <w:t>con</w:t>
      </w:r>
      <w:r w:rsidR="00A250C4" w:rsidRPr="001F1EAA">
        <w:rPr>
          <w:sz w:val="23"/>
          <w:szCs w:val="23"/>
        </w:rPr>
        <w:t xml:space="preserve"> relación </w:t>
      </w:r>
      <w:r w:rsidR="009E0BEC">
        <w:rPr>
          <w:sz w:val="23"/>
          <w:szCs w:val="23"/>
        </w:rPr>
        <w:t>al</w:t>
      </w:r>
      <w:r w:rsidR="0080052B" w:rsidRPr="001F1EAA">
        <w:rPr>
          <w:sz w:val="23"/>
          <w:szCs w:val="23"/>
        </w:rPr>
        <w:t xml:space="preserve"> impacto de la contingencia sanitaria en los negocios micro, pequeños y medianos (MiPyME) del país</w:t>
      </w:r>
      <w:r w:rsidR="00A250C4" w:rsidRPr="001F1EAA">
        <w:rPr>
          <w:sz w:val="23"/>
          <w:szCs w:val="23"/>
        </w:rPr>
        <w:t>; así como para la evaluación de las políticas públicas y privadas implementadas para impulsar la recuperación económica de este sector de los negocios</w:t>
      </w:r>
      <w:r w:rsidR="00FE27BE" w:rsidRPr="001F1EAA">
        <w:rPr>
          <w:rStyle w:val="Refdenotaalpie"/>
          <w:sz w:val="23"/>
          <w:szCs w:val="23"/>
        </w:rPr>
        <w:footnoteReference w:id="1"/>
      </w:r>
      <w:r w:rsidR="0080052B" w:rsidRPr="001F1EAA">
        <w:rPr>
          <w:sz w:val="23"/>
          <w:szCs w:val="23"/>
        </w:rPr>
        <w:t>.</w:t>
      </w:r>
    </w:p>
    <w:p w14:paraId="382A8727" w14:textId="77777777" w:rsidR="00271571" w:rsidRDefault="00A250C4" w:rsidP="00271571">
      <w:pPr>
        <w:pStyle w:val="Default"/>
        <w:spacing w:before="240"/>
        <w:ind w:right="-126"/>
        <w:jc w:val="both"/>
        <w:rPr>
          <w:sz w:val="23"/>
          <w:szCs w:val="23"/>
        </w:rPr>
      </w:pPr>
      <w:r w:rsidRPr="001F1EAA">
        <w:rPr>
          <w:sz w:val="23"/>
          <w:szCs w:val="23"/>
        </w:rPr>
        <w:t>El Directorio se caracteriza por ser una herramienta de fácil acceso y consulta de los datos de identificación, ubicación, contacto, actividad económica y tamaño según estrato de personal ocupado</w:t>
      </w:r>
      <w:r w:rsidR="00A56D76" w:rsidRPr="001F1EAA">
        <w:rPr>
          <w:sz w:val="23"/>
          <w:szCs w:val="23"/>
        </w:rPr>
        <w:t xml:space="preserve"> de los negocios ubicados y activos en el territorio</w:t>
      </w:r>
      <w:r w:rsidR="00EB29BE">
        <w:rPr>
          <w:sz w:val="23"/>
          <w:szCs w:val="23"/>
        </w:rPr>
        <w:t xml:space="preserve"> </w:t>
      </w:r>
      <w:r w:rsidR="00A56D76" w:rsidRPr="001F1EAA">
        <w:rPr>
          <w:sz w:val="23"/>
          <w:szCs w:val="23"/>
        </w:rPr>
        <w:t>nacional</w:t>
      </w:r>
      <w:r w:rsidRPr="001F1EAA">
        <w:rPr>
          <w:sz w:val="23"/>
          <w:szCs w:val="23"/>
        </w:rPr>
        <w:t xml:space="preserve">. </w:t>
      </w:r>
    </w:p>
    <w:p w14:paraId="29ACDA8B" w14:textId="528FBD02" w:rsidR="006F4E9A" w:rsidRPr="001F1EAA" w:rsidRDefault="00271571" w:rsidP="00271571">
      <w:pPr>
        <w:pStyle w:val="Default"/>
        <w:spacing w:before="240"/>
        <w:ind w:right="-126"/>
        <w:jc w:val="both"/>
        <w:rPr>
          <w:sz w:val="23"/>
          <w:szCs w:val="23"/>
        </w:rPr>
      </w:pPr>
      <w:r>
        <w:rPr>
          <w:sz w:val="23"/>
          <w:szCs w:val="23"/>
        </w:rPr>
        <w:t>L</w:t>
      </w:r>
      <w:r w:rsidR="00A56D76" w:rsidRPr="001F1EAA">
        <w:rPr>
          <w:sz w:val="23"/>
          <w:szCs w:val="23"/>
        </w:rPr>
        <w:t>a información se presenta en las fichas técnicas de cada negocio que e</w:t>
      </w:r>
      <w:r w:rsidR="00A250C4" w:rsidRPr="001F1EAA">
        <w:rPr>
          <w:sz w:val="23"/>
          <w:szCs w:val="23"/>
        </w:rPr>
        <w:t xml:space="preserve">l DENUE </w:t>
      </w:r>
      <w:r w:rsidR="00A56D76" w:rsidRPr="001F1EAA">
        <w:rPr>
          <w:sz w:val="23"/>
          <w:szCs w:val="23"/>
        </w:rPr>
        <w:t xml:space="preserve">ofrece a los usuarios para su consulta </w:t>
      </w:r>
      <w:r w:rsidR="00A250C4" w:rsidRPr="001F1EAA">
        <w:rPr>
          <w:sz w:val="23"/>
          <w:szCs w:val="23"/>
        </w:rPr>
        <w:t>en</w:t>
      </w:r>
      <w:r w:rsidR="00A56D76" w:rsidRPr="001F1EAA">
        <w:rPr>
          <w:sz w:val="23"/>
          <w:szCs w:val="23"/>
        </w:rPr>
        <w:t xml:space="preserve"> el sistema </w:t>
      </w:r>
      <w:r w:rsidR="00EB29BE">
        <w:rPr>
          <w:sz w:val="23"/>
          <w:szCs w:val="23"/>
        </w:rPr>
        <w:t>que se encuentra</w:t>
      </w:r>
      <w:r w:rsidR="00A56D76" w:rsidRPr="001F1EAA">
        <w:rPr>
          <w:sz w:val="23"/>
          <w:szCs w:val="23"/>
        </w:rPr>
        <w:t xml:space="preserve"> </w:t>
      </w:r>
      <w:r w:rsidR="009E0BEC">
        <w:rPr>
          <w:sz w:val="23"/>
          <w:szCs w:val="23"/>
        </w:rPr>
        <w:t>disponible en</w:t>
      </w:r>
      <w:r w:rsidR="00EB29BE">
        <w:rPr>
          <w:sz w:val="23"/>
          <w:szCs w:val="23"/>
        </w:rPr>
        <w:t xml:space="preserve"> </w:t>
      </w:r>
      <w:hyperlink r:id="rId8" w:history="1">
        <w:r w:rsidR="00EC43F2" w:rsidRPr="001F1EAA">
          <w:rPr>
            <w:rStyle w:val="Hipervnculo"/>
            <w:sz w:val="23"/>
            <w:szCs w:val="23"/>
          </w:rPr>
          <w:t>https://www.inegi.org.mx/app/mapa/denue/default.aspx</w:t>
        </w:r>
      </w:hyperlink>
      <w:r w:rsidR="00A56D76" w:rsidRPr="001F1EAA">
        <w:rPr>
          <w:sz w:val="23"/>
          <w:szCs w:val="23"/>
        </w:rPr>
        <w:t xml:space="preserve">. Desde </w:t>
      </w:r>
      <w:r w:rsidR="00483C25" w:rsidRPr="001F1EAA">
        <w:rPr>
          <w:sz w:val="23"/>
          <w:szCs w:val="23"/>
        </w:rPr>
        <w:t>ahí</w:t>
      </w:r>
      <w:r w:rsidR="00A56D76" w:rsidRPr="001F1EAA">
        <w:rPr>
          <w:sz w:val="23"/>
          <w:szCs w:val="23"/>
        </w:rPr>
        <w:t xml:space="preserve"> los usuarios pueden consultar y descargar la información completa o parcial del directorio </w:t>
      </w:r>
      <w:r w:rsidR="00E35577" w:rsidRPr="001F1EAA">
        <w:rPr>
          <w:sz w:val="23"/>
          <w:szCs w:val="23"/>
        </w:rPr>
        <w:t>y de</w:t>
      </w:r>
      <w:r w:rsidR="00B84BA6" w:rsidRPr="001F1EAA">
        <w:rPr>
          <w:sz w:val="23"/>
          <w:szCs w:val="23"/>
        </w:rPr>
        <w:t xml:space="preserve"> cada establecimiento</w:t>
      </w:r>
      <w:r w:rsidR="00EC43F2" w:rsidRPr="001F1EAA">
        <w:rPr>
          <w:sz w:val="23"/>
          <w:szCs w:val="23"/>
        </w:rPr>
        <w:t>,</w:t>
      </w:r>
      <w:r w:rsidR="00B84BA6" w:rsidRPr="001F1EAA">
        <w:rPr>
          <w:sz w:val="23"/>
          <w:szCs w:val="23"/>
        </w:rPr>
        <w:t xml:space="preserve"> </w:t>
      </w:r>
      <w:r w:rsidR="00114907" w:rsidRPr="001F1EAA">
        <w:rPr>
          <w:sz w:val="23"/>
          <w:szCs w:val="23"/>
        </w:rPr>
        <w:t xml:space="preserve">tanto en archivo imprimible como en la cartografía digital, características que hacen de </w:t>
      </w:r>
      <w:r w:rsidR="00842054" w:rsidRPr="001F1EAA">
        <w:rPr>
          <w:sz w:val="23"/>
          <w:szCs w:val="23"/>
        </w:rPr>
        <w:t>este producto</w:t>
      </w:r>
      <w:r w:rsidR="00B84BA6" w:rsidRPr="001F1EAA">
        <w:rPr>
          <w:sz w:val="23"/>
          <w:szCs w:val="23"/>
        </w:rPr>
        <w:t xml:space="preserve"> </w:t>
      </w:r>
      <w:r w:rsidR="00EC43F2" w:rsidRPr="001F1EAA">
        <w:rPr>
          <w:sz w:val="23"/>
          <w:szCs w:val="23"/>
        </w:rPr>
        <w:t xml:space="preserve">estadístico </w:t>
      </w:r>
      <w:r w:rsidR="00B84BA6" w:rsidRPr="001F1EAA">
        <w:rPr>
          <w:sz w:val="23"/>
          <w:szCs w:val="23"/>
        </w:rPr>
        <w:t xml:space="preserve">una herramienta </w:t>
      </w:r>
      <w:r w:rsidR="00114907" w:rsidRPr="001F1EAA">
        <w:rPr>
          <w:sz w:val="23"/>
          <w:szCs w:val="23"/>
        </w:rPr>
        <w:t>sumamente útil</w:t>
      </w:r>
      <w:r w:rsidR="00B84BA6" w:rsidRPr="001F1EAA">
        <w:rPr>
          <w:sz w:val="23"/>
          <w:szCs w:val="23"/>
        </w:rPr>
        <w:t xml:space="preserve"> para la toma de decisiones </w:t>
      </w:r>
      <w:r w:rsidR="00EC43F2" w:rsidRPr="001F1EAA">
        <w:rPr>
          <w:sz w:val="23"/>
          <w:szCs w:val="23"/>
        </w:rPr>
        <w:t>en el sector público</w:t>
      </w:r>
      <w:r w:rsidR="00EA52E7">
        <w:rPr>
          <w:sz w:val="23"/>
          <w:szCs w:val="23"/>
        </w:rPr>
        <w:t>,</w:t>
      </w:r>
      <w:r w:rsidR="00EC43F2" w:rsidRPr="001F1EAA">
        <w:rPr>
          <w:sz w:val="23"/>
          <w:szCs w:val="23"/>
        </w:rPr>
        <w:t xml:space="preserve"> privado y social</w:t>
      </w:r>
      <w:r w:rsidR="00EB29BE">
        <w:rPr>
          <w:sz w:val="23"/>
          <w:szCs w:val="23"/>
        </w:rPr>
        <w:t>.</w:t>
      </w:r>
    </w:p>
    <w:p w14:paraId="73B0B2DC" w14:textId="77777777" w:rsidR="007948E4" w:rsidRDefault="00A66703" w:rsidP="00271571">
      <w:pPr>
        <w:pStyle w:val="Default"/>
        <w:spacing w:before="240"/>
        <w:ind w:right="-126"/>
        <w:jc w:val="both"/>
        <w:rPr>
          <w:sz w:val="23"/>
          <w:szCs w:val="23"/>
        </w:rPr>
      </w:pPr>
      <w:r w:rsidRPr="001F1EAA">
        <w:rPr>
          <w:sz w:val="23"/>
          <w:szCs w:val="23"/>
        </w:rPr>
        <w:t>E</w:t>
      </w:r>
      <w:r w:rsidR="00A56D76" w:rsidRPr="001F1EAA">
        <w:rPr>
          <w:sz w:val="23"/>
          <w:szCs w:val="23"/>
        </w:rPr>
        <w:t>sta edición mantiene la</w:t>
      </w:r>
      <w:r w:rsidR="006F4E9A" w:rsidRPr="001F1EAA">
        <w:rPr>
          <w:sz w:val="23"/>
          <w:szCs w:val="23"/>
        </w:rPr>
        <w:t xml:space="preserve"> capa </w:t>
      </w:r>
      <w:r w:rsidR="00A56D76" w:rsidRPr="001F1EAA">
        <w:rPr>
          <w:sz w:val="23"/>
          <w:szCs w:val="23"/>
        </w:rPr>
        <w:t xml:space="preserve">de información </w:t>
      </w:r>
      <w:r w:rsidR="006F4E9A" w:rsidRPr="001F1EAA">
        <w:rPr>
          <w:sz w:val="23"/>
          <w:szCs w:val="23"/>
        </w:rPr>
        <w:t xml:space="preserve">que permite a los usuarios identificar los cambios entre el marco </w:t>
      </w:r>
      <w:r w:rsidR="00E004A7" w:rsidRPr="001F1EAA">
        <w:rPr>
          <w:sz w:val="23"/>
          <w:szCs w:val="23"/>
        </w:rPr>
        <w:t xml:space="preserve">geoestadístico </w:t>
      </w:r>
      <w:r w:rsidR="006F4E9A" w:rsidRPr="001F1EAA">
        <w:rPr>
          <w:sz w:val="23"/>
          <w:szCs w:val="23"/>
        </w:rPr>
        <w:t xml:space="preserve">del cierre de los Censos Económicos 2019 y el </w:t>
      </w:r>
      <w:r w:rsidR="00E004A7" w:rsidRPr="001F1EAA">
        <w:rPr>
          <w:sz w:val="23"/>
          <w:szCs w:val="23"/>
        </w:rPr>
        <w:t>correspondiente a</w:t>
      </w:r>
      <w:r w:rsidR="006F4E9A" w:rsidRPr="001F1EAA">
        <w:rPr>
          <w:sz w:val="23"/>
          <w:szCs w:val="23"/>
        </w:rPr>
        <w:t>l cierre del Censo de Población y Vivienda 2020</w:t>
      </w:r>
      <w:r w:rsidR="00FC302C" w:rsidRPr="001F1EAA">
        <w:rPr>
          <w:sz w:val="23"/>
          <w:szCs w:val="23"/>
        </w:rPr>
        <w:t xml:space="preserve">. </w:t>
      </w:r>
    </w:p>
    <w:p w14:paraId="0B94848F" w14:textId="50053AE1" w:rsidR="006F4E9A" w:rsidRPr="001F1EAA" w:rsidRDefault="009E0BEC" w:rsidP="00271571">
      <w:pPr>
        <w:pStyle w:val="Default"/>
        <w:spacing w:before="240"/>
        <w:ind w:right="-126"/>
        <w:jc w:val="both"/>
        <w:rPr>
          <w:sz w:val="23"/>
          <w:szCs w:val="23"/>
        </w:rPr>
      </w:pPr>
      <w:r>
        <w:rPr>
          <w:sz w:val="23"/>
          <w:szCs w:val="23"/>
        </w:rPr>
        <w:t>Adicionalmente,</w:t>
      </w:r>
      <w:r w:rsidR="00A56D76" w:rsidRPr="001F1EAA">
        <w:rPr>
          <w:sz w:val="23"/>
          <w:szCs w:val="23"/>
        </w:rPr>
        <w:t xml:space="preserve"> </w:t>
      </w:r>
      <w:r w:rsidR="00EB394B" w:rsidRPr="001F1EAA">
        <w:rPr>
          <w:sz w:val="23"/>
          <w:szCs w:val="23"/>
        </w:rPr>
        <w:t>c</w:t>
      </w:r>
      <w:r w:rsidR="00AF670E" w:rsidRPr="001F1EAA">
        <w:rPr>
          <w:sz w:val="23"/>
          <w:szCs w:val="23"/>
        </w:rPr>
        <w:t>onsiderando que contin</w:t>
      </w:r>
      <w:r w:rsidR="00EB29BE">
        <w:rPr>
          <w:sz w:val="23"/>
          <w:szCs w:val="23"/>
        </w:rPr>
        <w:t>ú</w:t>
      </w:r>
      <w:r w:rsidR="00AF670E" w:rsidRPr="001F1EAA">
        <w:rPr>
          <w:sz w:val="23"/>
          <w:szCs w:val="23"/>
        </w:rPr>
        <w:t xml:space="preserve">a la semaforización de la actividad económica </w:t>
      </w:r>
      <w:r w:rsidR="00A56D76" w:rsidRPr="001F1EAA">
        <w:rPr>
          <w:sz w:val="23"/>
          <w:szCs w:val="23"/>
        </w:rPr>
        <w:t>y aún no se da por concluida la pandemia</w:t>
      </w:r>
      <w:r w:rsidR="00EB394B" w:rsidRPr="001F1EAA">
        <w:rPr>
          <w:sz w:val="23"/>
          <w:szCs w:val="23"/>
        </w:rPr>
        <w:t xml:space="preserve">, se </w:t>
      </w:r>
      <w:r w:rsidR="006F4E9A" w:rsidRPr="001F1EAA">
        <w:rPr>
          <w:sz w:val="23"/>
          <w:szCs w:val="23"/>
        </w:rPr>
        <w:t xml:space="preserve">mantiene la capa de información </w:t>
      </w:r>
      <w:r w:rsidR="006F4E9A" w:rsidRPr="001F1EAA">
        <w:rPr>
          <w:i/>
          <w:iCs/>
          <w:sz w:val="23"/>
          <w:szCs w:val="23"/>
        </w:rPr>
        <w:t>COVID-19</w:t>
      </w:r>
      <w:r w:rsidR="00EB394B" w:rsidRPr="001F1EAA">
        <w:rPr>
          <w:i/>
          <w:iCs/>
          <w:sz w:val="23"/>
          <w:szCs w:val="23"/>
        </w:rPr>
        <w:t>,</w:t>
      </w:r>
      <w:r w:rsidR="006F4E9A" w:rsidRPr="001F1EAA">
        <w:rPr>
          <w:sz w:val="23"/>
          <w:szCs w:val="23"/>
        </w:rPr>
        <w:t xml:space="preserve"> </w:t>
      </w:r>
      <w:r w:rsidR="00EB394B" w:rsidRPr="001F1EAA">
        <w:rPr>
          <w:sz w:val="23"/>
          <w:szCs w:val="23"/>
        </w:rPr>
        <w:t>─</w:t>
      </w:r>
      <w:r w:rsidR="00EA52E7">
        <w:rPr>
          <w:sz w:val="23"/>
          <w:szCs w:val="23"/>
        </w:rPr>
        <w:t xml:space="preserve"> incorporada</w:t>
      </w:r>
      <w:r w:rsidR="00B10E1A" w:rsidRPr="001F1EAA">
        <w:rPr>
          <w:sz w:val="23"/>
          <w:szCs w:val="23"/>
        </w:rPr>
        <w:t xml:space="preserve"> desde la versión de abril de 2020</w:t>
      </w:r>
      <w:r w:rsidR="00EB394B" w:rsidRPr="001F1EAA">
        <w:rPr>
          <w:sz w:val="23"/>
          <w:szCs w:val="23"/>
        </w:rPr>
        <w:t>─</w:t>
      </w:r>
      <w:r w:rsidR="00B10E1A" w:rsidRPr="001F1EAA">
        <w:rPr>
          <w:sz w:val="23"/>
          <w:szCs w:val="23"/>
        </w:rPr>
        <w:t xml:space="preserve">, </w:t>
      </w:r>
      <w:r w:rsidR="006F4E9A" w:rsidRPr="001F1EAA">
        <w:rPr>
          <w:sz w:val="23"/>
          <w:szCs w:val="23"/>
        </w:rPr>
        <w:t xml:space="preserve">con </w:t>
      </w:r>
      <w:r w:rsidR="00EB394B" w:rsidRPr="001F1EAA">
        <w:rPr>
          <w:sz w:val="23"/>
          <w:szCs w:val="23"/>
        </w:rPr>
        <w:t xml:space="preserve">los </w:t>
      </w:r>
      <w:r w:rsidR="001D6F7A" w:rsidRPr="001F1EAA">
        <w:rPr>
          <w:sz w:val="23"/>
          <w:szCs w:val="23"/>
        </w:rPr>
        <w:t>datos</w:t>
      </w:r>
      <w:r w:rsidR="006F4E9A" w:rsidRPr="001F1EAA">
        <w:rPr>
          <w:sz w:val="23"/>
          <w:szCs w:val="23"/>
        </w:rPr>
        <w:t xml:space="preserve"> de los establecimientos que realizan actividades esenciales</w:t>
      </w:r>
      <w:r w:rsidR="00E35577" w:rsidRPr="001F1EAA">
        <w:rPr>
          <w:sz w:val="23"/>
          <w:szCs w:val="23"/>
        </w:rPr>
        <w:t xml:space="preserve"> (incluye</w:t>
      </w:r>
      <w:r w:rsidR="00EA52E7">
        <w:rPr>
          <w:sz w:val="23"/>
          <w:szCs w:val="23"/>
        </w:rPr>
        <w:t>ndo</w:t>
      </w:r>
      <w:r w:rsidR="00E35577" w:rsidRPr="001F1EAA">
        <w:rPr>
          <w:sz w:val="23"/>
          <w:szCs w:val="23"/>
        </w:rPr>
        <w:t xml:space="preserve"> las actividades del sector educativo)</w:t>
      </w:r>
      <w:r w:rsidR="00EB394B" w:rsidRPr="001F1EAA">
        <w:rPr>
          <w:sz w:val="23"/>
          <w:szCs w:val="23"/>
        </w:rPr>
        <w:t xml:space="preserve"> y no esenciales</w:t>
      </w:r>
      <w:r w:rsidR="006F4E9A" w:rsidRPr="001F1EAA">
        <w:rPr>
          <w:sz w:val="23"/>
          <w:szCs w:val="23"/>
        </w:rPr>
        <w:t>.</w:t>
      </w:r>
      <w:r w:rsidR="009F0FCE" w:rsidRPr="001F1EAA">
        <w:rPr>
          <w:sz w:val="23"/>
          <w:szCs w:val="23"/>
        </w:rPr>
        <w:t xml:space="preserve"> </w:t>
      </w:r>
      <w:r w:rsidR="00A56D76" w:rsidRPr="001F1EAA">
        <w:rPr>
          <w:sz w:val="23"/>
          <w:szCs w:val="23"/>
        </w:rPr>
        <w:t xml:space="preserve">Es importante resaltar que estas </w:t>
      </w:r>
      <w:r w:rsidR="009F0FCE" w:rsidRPr="001F1EAA">
        <w:rPr>
          <w:sz w:val="23"/>
          <w:szCs w:val="23"/>
        </w:rPr>
        <w:t xml:space="preserve">capas de información </w:t>
      </w:r>
      <w:r w:rsidR="00EA52E7">
        <w:rPr>
          <w:sz w:val="23"/>
          <w:szCs w:val="23"/>
        </w:rPr>
        <w:t xml:space="preserve">pueden </w:t>
      </w:r>
      <w:r w:rsidR="00EB29BE">
        <w:rPr>
          <w:sz w:val="23"/>
          <w:szCs w:val="23"/>
        </w:rPr>
        <w:t>utilizarse a conveniencia</w:t>
      </w:r>
      <w:r w:rsidR="009F0FCE" w:rsidRPr="001F1EAA">
        <w:rPr>
          <w:sz w:val="23"/>
          <w:szCs w:val="23"/>
        </w:rPr>
        <w:t xml:space="preserve"> </w:t>
      </w:r>
      <w:r w:rsidR="00EB29BE">
        <w:rPr>
          <w:sz w:val="23"/>
          <w:szCs w:val="23"/>
        </w:rPr>
        <w:t>d</w:t>
      </w:r>
      <w:r w:rsidR="009F0FCE" w:rsidRPr="001F1EAA">
        <w:rPr>
          <w:sz w:val="23"/>
          <w:szCs w:val="23"/>
        </w:rPr>
        <w:t>e</w:t>
      </w:r>
      <w:r w:rsidR="00EB29BE">
        <w:rPr>
          <w:sz w:val="23"/>
          <w:szCs w:val="23"/>
        </w:rPr>
        <w:t xml:space="preserve"> </w:t>
      </w:r>
      <w:r w:rsidR="009F0FCE" w:rsidRPr="001F1EAA">
        <w:rPr>
          <w:sz w:val="23"/>
          <w:szCs w:val="23"/>
        </w:rPr>
        <w:t>l</w:t>
      </w:r>
      <w:r w:rsidR="00EB29BE">
        <w:rPr>
          <w:sz w:val="23"/>
          <w:szCs w:val="23"/>
        </w:rPr>
        <w:t>os</w:t>
      </w:r>
      <w:r w:rsidR="009F0FCE" w:rsidRPr="001F1EAA">
        <w:rPr>
          <w:sz w:val="23"/>
          <w:szCs w:val="23"/>
        </w:rPr>
        <w:t xml:space="preserve"> usuario</w:t>
      </w:r>
      <w:r w:rsidR="00EB29BE">
        <w:rPr>
          <w:sz w:val="23"/>
          <w:szCs w:val="23"/>
        </w:rPr>
        <w:t>s, ya que el sistema permite activarlas o desactivarlas según l</w:t>
      </w:r>
      <w:r w:rsidR="00957EE7">
        <w:rPr>
          <w:sz w:val="23"/>
          <w:szCs w:val="23"/>
        </w:rPr>
        <w:t>as características de la</w:t>
      </w:r>
      <w:r w:rsidR="006E177B">
        <w:rPr>
          <w:sz w:val="23"/>
          <w:szCs w:val="23"/>
        </w:rPr>
        <w:t>s</w:t>
      </w:r>
      <w:r w:rsidR="00957EE7">
        <w:rPr>
          <w:sz w:val="23"/>
          <w:szCs w:val="23"/>
        </w:rPr>
        <w:t xml:space="preserve"> consulta</w:t>
      </w:r>
      <w:r w:rsidR="006E177B">
        <w:rPr>
          <w:sz w:val="23"/>
          <w:szCs w:val="23"/>
        </w:rPr>
        <w:t>s</w:t>
      </w:r>
      <w:r w:rsidR="009F0FCE" w:rsidRPr="001F1EAA">
        <w:rPr>
          <w:sz w:val="23"/>
          <w:szCs w:val="23"/>
        </w:rPr>
        <w:t>.</w:t>
      </w:r>
    </w:p>
    <w:p w14:paraId="05544B16" w14:textId="77777777" w:rsidR="00E35577" w:rsidRDefault="00E35577" w:rsidP="00271571">
      <w:pPr>
        <w:pStyle w:val="Default"/>
        <w:spacing w:before="240"/>
        <w:ind w:right="-126"/>
        <w:jc w:val="both"/>
        <w:rPr>
          <w:sz w:val="23"/>
          <w:szCs w:val="23"/>
        </w:rPr>
      </w:pPr>
    </w:p>
    <w:p w14:paraId="11C60DFA" w14:textId="73311270" w:rsidR="00B43570" w:rsidRPr="00CF10BB" w:rsidRDefault="006E177B" w:rsidP="00271571">
      <w:pPr>
        <w:pStyle w:val="Default"/>
        <w:spacing w:before="240"/>
        <w:ind w:right="-126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Conviene destacar que e</w:t>
      </w:r>
      <w:r w:rsidR="00E011D7">
        <w:rPr>
          <w:sz w:val="23"/>
          <w:szCs w:val="23"/>
        </w:rPr>
        <w:t>sta edición del Directorio será la última que</w:t>
      </w:r>
      <w:r>
        <w:rPr>
          <w:sz w:val="23"/>
          <w:szCs w:val="23"/>
        </w:rPr>
        <w:t xml:space="preserve"> incorpore</w:t>
      </w:r>
      <w:r w:rsidR="00C3051B" w:rsidRPr="00CF10BB">
        <w:rPr>
          <w:sz w:val="23"/>
          <w:szCs w:val="23"/>
        </w:rPr>
        <w:t xml:space="preserve"> el número </w:t>
      </w:r>
      <w:r w:rsidR="00B203F7" w:rsidRPr="00CF10BB">
        <w:rPr>
          <w:sz w:val="23"/>
          <w:szCs w:val="23"/>
        </w:rPr>
        <w:t xml:space="preserve">de identificación del DENUE (ID o </w:t>
      </w:r>
      <w:proofErr w:type="spellStart"/>
      <w:r w:rsidR="00B203F7" w:rsidRPr="00CF10BB">
        <w:rPr>
          <w:sz w:val="23"/>
          <w:szCs w:val="23"/>
        </w:rPr>
        <w:t>D</w:t>
      </w:r>
      <w:r w:rsidR="00CF10BB">
        <w:rPr>
          <w:sz w:val="23"/>
          <w:szCs w:val="23"/>
        </w:rPr>
        <w:t>_</w:t>
      </w:r>
      <w:r w:rsidR="00B203F7" w:rsidRPr="00CF10BB">
        <w:rPr>
          <w:sz w:val="23"/>
          <w:szCs w:val="23"/>
        </w:rPr>
        <w:t>Llave</w:t>
      </w:r>
      <w:proofErr w:type="spellEnd"/>
      <w:r w:rsidR="00B203F7" w:rsidRPr="00CF10BB">
        <w:rPr>
          <w:sz w:val="23"/>
          <w:szCs w:val="23"/>
        </w:rPr>
        <w:t>)</w:t>
      </w:r>
      <w:r w:rsidR="00B203F7" w:rsidRPr="00CF10BB">
        <w:rPr>
          <w:rStyle w:val="Refdenotaalpie"/>
          <w:sz w:val="23"/>
          <w:szCs w:val="23"/>
        </w:rPr>
        <w:footnoteReference w:id="2"/>
      </w:r>
      <w:r w:rsidR="00B8374F">
        <w:rPr>
          <w:sz w:val="23"/>
          <w:szCs w:val="23"/>
        </w:rPr>
        <w:t>, y a partir de mayo de 2022 sólo se publicará</w:t>
      </w:r>
      <w:r w:rsidR="00B203F7" w:rsidRPr="00CF10BB">
        <w:rPr>
          <w:sz w:val="23"/>
          <w:szCs w:val="23"/>
        </w:rPr>
        <w:t xml:space="preserve"> la </w:t>
      </w:r>
      <w:r w:rsidR="007C6EE3">
        <w:t>Clave Estadística Empresarial (</w:t>
      </w:r>
      <w:r w:rsidR="00B203F7" w:rsidRPr="00CF10BB">
        <w:rPr>
          <w:sz w:val="23"/>
          <w:szCs w:val="23"/>
        </w:rPr>
        <w:t>CLEE</w:t>
      </w:r>
      <w:r w:rsidR="007C6EE3">
        <w:rPr>
          <w:sz w:val="23"/>
          <w:szCs w:val="23"/>
        </w:rPr>
        <w:t xml:space="preserve">) </w:t>
      </w:r>
      <w:r w:rsidR="007C6EE3" w:rsidRPr="00CF10BB">
        <w:rPr>
          <w:sz w:val="23"/>
          <w:szCs w:val="23"/>
        </w:rPr>
        <w:t>─tanto en la ficha técnica como en la base de datos─</w:t>
      </w:r>
      <w:r w:rsidR="00756813" w:rsidRPr="00CF10BB">
        <w:rPr>
          <w:sz w:val="23"/>
          <w:szCs w:val="23"/>
        </w:rPr>
        <w:t>,</w:t>
      </w:r>
      <w:r w:rsidR="00B203F7" w:rsidRPr="00CF10BB">
        <w:rPr>
          <w:sz w:val="23"/>
          <w:szCs w:val="23"/>
        </w:rPr>
        <w:t xml:space="preserve"> para </w:t>
      </w:r>
      <w:r w:rsidR="00B8374F">
        <w:rPr>
          <w:sz w:val="23"/>
          <w:szCs w:val="23"/>
        </w:rPr>
        <w:t>que</w:t>
      </w:r>
      <w:r w:rsidR="00756813" w:rsidRPr="00CF10BB">
        <w:rPr>
          <w:sz w:val="23"/>
          <w:szCs w:val="23"/>
        </w:rPr>
        <w:t xml:space="preserve"> los usuarios </w:t>
      </w:r>
      <w:r w:rsidR="00B8374F">
        <w:rPr>
          <w:sz w:val="23"/>
          <w:szCs w:val="23"/>
        </w:rPr>
        <w:t>puedan identificar</w:t>
      </w:r>
      <w:r w:rsidR="00B203F7" w:rsidRPr="00CF10BB">
        <w:rPr>
          <w:sz w:val="23"/>
          <w:szCs w:val="23"/>
        </w:rPr>
        <w:t xml:space="preserve"> los registros entre las diferentes versiones del </w:t>
      </w:r>
      <w:r w:rsidR="00EB394B">
        <w:rPr>
          <w:sz w:val="23"/>
          <w:szCs w:val="23"/>
        </w:rPr>
        <w:t>Directorio</w:t>
      </w:r>
      <w:r w:rsidR="00B203F7" w:rsidRPr="00CF10BB">
        <w:rPr>
          <w:sz w:val="23"/>
          <w:szCs w:val="23"/>
        </w:rPr>
        <w:t>.</w:t>
      </w:r>
      <w:r w:rsidR="00483C25">
        <w:rPr>
          <w:sz w:val="23"/>
          <w:szCs w:val="23"/>
        </w:rPr>
        <w:t xml:space="preserve"> </w:t>
      </w:r>
      <w:r w:rsidR="005773F2" w:rsidRPr="00CF10BB">
        <w:rPr>
          <w:sz w:val="23"/>
          <w:szCs w:val="23"/>
        </w:rPr>
        <w:t xml:space="preserve"> </w:t>
      </w:r>
    </w:p>
    <w:p w14:paraId="72113D2A" w14:textId="7087976D" w:rsidR="00A73D4E" w:rsidRDefault="00C210F9" w:rsidP="00271571">
      <w:pPr>
        <w:pStyle w:val="Default"/>
        <w:spacing w:before="240"/>
        <w:ind w:right="-126"/>
        <w:jc w:val="both"/>
        <w:rPr>
          <w:sz w:val="23"/>
          <w:szCs w:val="23"/>
        </w:rPr>
      </w:pPr>
      <w:r>
        <w:rPr>
          <w:sz w:val="23"/>
          <w:szCs w:val="23"/>
        </w:rPr>
        <w:t>La actualización continua d</w:t>
      </w:r>
      <w:r w:rsidR="004C387B" w:rsidRPr="00CF10BB">
        <w:rPr>
          <w:sz w:val="23"/>
          <w:szCs w:val="23"/>
        </w:rPr>
        <w:t>e</w:t>
      </w:r>
      <w:r w:rsidR="00C37424" w:rsidRPr="00CF10BB">
        <w:rPr>
          <w:sz w:val="23"/>
          <w:szCs w:val="23"/>
        </w:rPr>
        <w:t xml:space="preserve">l </w:t>
      </w:r>
      <w:r w:rsidR="00EB394B">
        <w:rPr>
          <w:sz w:val="23"/>
          <w:szCs w:val="23"/>
        </w:rPr>
        <w:t>DENUE</w:t>
      </w:r>
      <w:r w:rsidR="00915C9C">
        <w:rPr>
          <w:sz w:val="23"/>
          <w:szCs w:val="23"/>
        </w:rPr>
        <w:t xml:space="preserve"> </w:t>
      </w:r>
      <w:r w:rsidR="004C387B" w:rsidRPr="00CF10BB">
        <w:rPr>
          <w:sz w:val="23"/>
          <w:szCs w:val="23"/>
        </w:rPr>
        <w:t xml:space="preserve">permite </w:t>
      </w:r>
      <w:r w:rsidR="00915C9C">
        <w:rPr>
          <w:sz w:val="23"/>
          <w:szCs w:val="23"/>
        </w:rPr>
        <w:t xml:space="preserve">a los negocios </w:t>
      </w:r>
      <w:r w:rsidR="007948E4">
        <w:rPr>
          <w:sz w:val="23"/>
          <w:szCs w:val="23"/>
        </w:rPr>
        <w:t>renova</w:t>
      </w:r>
      <w:r w:rsidR="009F0FCE">
        <w:rPr>
          <w:sz w:val="23"/>
          <w:szCs w:val="23"/>
        </w:rPr>
        <w:t xml:space="preserve">r y </w:t>
      </w:r>
      <w:r w:rsidR="00915C9C">
        <w:rPr>
          <w:sz w:val="23"/>
          <w:szCs w:val="23"/>
        </w:rPr>
        <w:t>complementar</w:t>
      </w:r>
      <w:r w:rsidR="00FA0736" w:rsidRPr="00CF10BB">
        <w:rPr>
          <w:sz w:val="23"/>
          <w:szCs w:val="23"/>
        </w:rPr>
        <w:t xml:space="preserve"> </w:t>
      </w:r>
      <w:r w:rsidR="009F0FCE">
        <w:rPr>
          <w:sz w:val="23"/>
          <w:szCs w:val="23"/>
        </w:rPr>
        <w:t>directamente los</w:t>
      </w:r>
      <w:r w:rsidR="00915C9C">
        <w:rPr>
          <w:sz w:val="23"/>
          <w:szCs w:val="23"/>
        </w:rPr>
        <w:t xml:space="preserve"> datos </w:t>
      </w:r>
      <w:r w:rsidR="009F0FCE">
        <w:rPr>
          <w:sz w:val="23"/>
          <w:szCs w:val="23"/>
        </w:rPr>
        <w:t>de sus</w:t>
      </w:r>
      <w:r w:rsidR="00DF2B7D" w:rsidRPr="00DF2B7D">
        <w:rPr>
          <w:sz w:val="23"/>
          <w:szCs w:val="23"/>
        </w:rPr>
        <w:t xml:space="preserve"> principales productos </w:t>
      </w:r>
      <w:r w:rsidR="00C37424">
        <w:rPr>
          <w:sz w:val="23"/>
          <w:szCs w:val="23"/>
        </w:rPr>
        <w:t>o</w:t>
      </w:r>
      <w:r w:rsidR="00DF2B7D" w:rsidRPr="00DF2B7D">
        <w:rPr>
          <w:sz w:val="23"/>
          <w:szCs w:val="23"/>
        </w:rPr>
        <w:t xml:space="preserve"> servicios, sus ventajas competitivas, </w:t>
      </w:r>
      <w:r w:rsidR="00C37424">
        <w:rPr>
          <w:sz w:val="23"/>
          <w:szCs w:val="23"/>
        </w:rPr>
        <w:t xml:space="preserve">sus </w:t>
      </w:r>
      <w:r w:rsidR="00DF2B7D" w:rsidRPr="00DF2B7D">
        <w:rPr>
          <w:sz w:val="23"/>
          <w:szCs w:val="23"/>
        </w:rPr>
        <w:t>redes sociales</w:t>
      </w:r>
      <w:r w:rsidR="00C37424">
        <w:rPr>
          <w:sz w:val="23"/>
          <w:szCs w:val="23"/>
        </w:rPr>
        <w:t xml:space="preserve"> y sus </w:t>
      </w:r>
      <w:r w:rsidR="005C08F9">
        <w:rPr>
          <w:sz w:val="23"/>
          <w:szCs w:val="23"/>
        </w:rPr>
        <w:t>datos</w:t>
      </w:r>
      <w:r w:rsidR="00C37424">
        <w:rPr>
          <w:sz w:val="23"/>
          <w:szCs w:val="23"/>
        </w:rPr>
        <w:t xml:space="preserve"> de contacto</w:t>
      </w:r>
      <w:r w:rsidR="00B8374F">
        <w:rPr>
          <w:sz w:val="23"/>
          <w:szCs w:val="23"/>
        </w:rPr>
        <w:t>, lo cual</w:t>
      </w:r>
      <w:r w:rsidR="007C6EE3">
        <w:rPr>
          <w:sz w:val="23"/>
          <w:szCs w:val="23"/>
        </w:rPr>
        <w:t xml:space="preserve"> es posible</w:t>
      </w:r>
      <w:r w:rsidR="007C6EE3" w:rsidRPr="00CF10BB">
        <w:rPr>
          <w:sz w:val="23"/>
          <w:szCs w:val="23"/>
        </w:rPr>
        <w:t xml:space="preserve"> mediante la herramienta interactiva de su sistema de consulta</w:t>
      </w:r>
      <w:r w:rsidR="007948E4">
        <w:rPr>
          <w:sz w:val="23"/>
          <w:szCs w:val="23"/>
        </w:rPr>
        <w:t>.</w:t>
      </w:r>
      <w:r w:rsidR="00875DE7">
        <w:rPr>
          <w:sz w:val="23"/>
          <w:szCs w:val="23"/>
        </w:rPr>
        <w:t xml:space="preserve"> </w:t>
      </w:r>
      <w:r w:rsidR="00271571">
        <w:rPr>
          <w:sz w:val="23"/>
          <w:szCs w:val="23"/>
        </w:rPr>
        <w:t>Lo anterior</w:t>
      </w:r>
      <w:r w:rsidR="00B8374F">
        <w:rPr>
          <w:sz w:val="23"/>
          <w:szCs w:val="23"/>
        </w:rPr>
        <w:t xml:space="preserve"> </w:t>
      </w:r>
      <w:r w:rsidR="00875DE7">
        <w:rPr>
          <w:sz w:val="23"/>
          <w:szCs w:val="23"/>
        </w:rPr>
        <w:t xml:space="preserve">facilita </w:t>
      </w:r>
      <w:r w:rsidR="007C6EE3">
        <w:rPr>
          <w:sz w:val="23"/>
          <w:szCs w:val="23"/>
        </w:rPr>
        <w:t>la</w:t>
      </w:r>
      <w:r w:rsidR="00483C25">
        <w:rPr>
          <w:sz w:val="23"/>
          <w:szCs w:val="23"/>
        </w:rPr>
        <w:t xml:space="preserve"> </w:t>
      </w:r>
      <w:r w:rsidR="00B8374F">
        <w:rPr>
          <w:sz w:val="23"/>
          <w:szCs w:val="23"/>
        </w:rPr>
        <w:t xml:space="preserve">difusión </w:t>
      </w:r>
      <w:r w:rsidR="007C6EE3">
        <w:rPr>
          <w:sz w:val="23"/>
          <w:szCs w:val="23"/>
        </w:rPr>
        <w:t>de los</w:t>
      </w:r>
      <w:r w:rsidR="00483C25">
        <w:rPr>
          <w:sz w:val="23"/>
          <w:szCs w:val="23"/>
        </w:rPr>
        <w:t xml:space="preserve"> datos</w:t>
      </w:r>
      <w:r w:rsidR="00A66703">
        <w:rPr>
          <w:sz w:val="23"/>
          <w:szCs w:val="23"/>
        </w:rPr>
        <w:t xml:space="preserve"> vigentes de ubicación, contacto y actividad</w:t>
      </w:r>
      <w:r w:rsidR="00271571">
        <w:rPr>
          <w:sz w:val="23"/>
          <w:szCs w:val="23"/>
        </w:rPr>
        <w:t xml:space="preserve">, útiles </w:t>
      </w:r>
      <w:r w:rsidR="00483C25">
        <w:rPr>
          <w:sz w:val="23"/>
          <w:szCs w:val="23"/>
        </w:rPr>
        <w:t xml:space="preserve">para aquellos negocios que </w:t>
      </w:r>
      <w:r w:rsidR="00B8374F">
        <w:rPr>
          <w:sz w:val="23"/>
          <w:szCs w:val="23"/>
        </w:rPr>
        <w:t>se</w:t>
      </w:r>
      <w:r w:rsidR="00483C25">
        <w:rPr>
          <w:sz w:val="23"/>
          <w:szCs w:val="23"/>
        </w:rPr>
        <w:t xml:space="preserve"> </w:t>
      </w:r>
      <w:r w:rsidR="00B8374F">
        <w:rPr>
          <w:sz w:val="23"/>
          <w:szCs w:val="23"/>
        </w:rPr>
        <w:t xml:space="preserve">dan a conocer </w:t>
      </w:r>
      <w:r w:rsidR="00483C25">
        <w:rPr>
          <w:sz w:val="23"/>
          <w:szCs w:val="23"/>
        </w:rPr>
        <w:t xml:space="preserve">a través de </w:t>
      </w:r>
      <w:r w:rsidR="00271571">
        <w:rPr>
          <w:sz w:val="23"/>
          <w:szCs w:val="23"/>
        </w:rPr>
        <w:t>i</w:t>
      </w:r>
      <w:r w:rsidR="00483C25">
        <w:rPr>
          <w:sz w:val="23"/>
          <w:szCs w:val="23"/>
        </w:rPr>
        <w:t>nternet</w:t>
      </w:r>
      <w:r w:rsidR="00A66703">
        <w:rPr>
          <w:sz w:val="23"/>
          <w:szCs w:val="23"/>
        </w:rPr>
        <w:t xml:space="preserve"> en esta coyuntura en l</w:t>
      </w:r>
      <w:r w:rsidR="00B8374F">
        <w:rPr>
          <w:sz w:val="23"/>
          <w:szCs w:val="23"/>
        </w:rPr>
        <w:t>a cual</w:t>
      </w:r>
      <w:r w:rsidR="00A66703">
        <w:rPr>
          <w:sz w:val="23"/>
          <w:szCs w:val="23"/>
        </w:rPr>
        <w:t xml:space="preserve"> la presencia digital </w:t>
      </w:r>
      <w:r w:rsidR="00B8374F">
        <w:rPr>
          <w:sz w:val="23"/>
          <w:szCs w:val="23"/>
        </w:rPr>
        <w:t>adquiere gran relevancia.</w:t>
      </w:r>
    </w:p>
    <w:p w14:paraId="26AFAEC1" w14:textId="0BC12BFB" w:rsidR="00EE013B" w:rsidRDefault="00526280" w:rsidP="00271571">
      <w:pPr>
        <w:pStyle w:val="Default"/>
        <w:spacing w:before="240"/>
        <w:ind w:right="-126"/>
        <w:jc w:val="both"/>
        <w:rPr>
          <w:sz w:val="23"/>
          <w:szCs w:val="23"/>
        </w:rPr>
      </w:pPr>
      <w:r>
        <w:rPr>
          <w:sz w:val="23"/>
          <w:szCs w:val="23"/>
        </w:rPr>
        <w:t>E</w:t>
      </w:r>
      <w:r w:rsidR="0018451B">
        <w:rPr>
          <w:sz w:val="23"/>
          <w:szCs w:val="23"/>
        </w:rPr>
        <w:t>n</w:t>
      </w:r>
      <w:r w:rsidR="00553899">
        <w:rPr>
          <w:sz w:val="23"/>
          <w:szCs w:val="23"/>
        </w:rPr>
        <w:t xml:space="preserve"> </w:t>
      </w:r>
      <w:r w:rsidR="007948E4">
        <w:rPr>
          <w:sz w:val="23"/>
          <w:szCs w:val="23"/>
        </w:rPr>
        <w:t>j</w:t>
      </w:r>
      <w:r w:rsidR="00CF3BF1" w:rsidRPr="00CF3BF1">
        <w:rPr>
          <w:sz w:val="23"/>
          <w:szCs w:val="23"/>
        </w:rPr>
        <w:t>ulio</w:t>
      </w:r>
      <w:r w:rsidR="00553899">
        <w:rPr>
          <w:sz w:val="23"/>
          <w:szCs w:val="23"/>
        </w:rPr>
        <w:t xml:space="preserve"> de</w:t>
      </w:r>
      <w:r w:rsidR="00CF3BF1" w:rsidRPr="00CF3BF1">
        <w:rPr>
          <w:sz w:val="23"/>
          <w:szCs w:val="23"/>
        </w:rPr>
        <w:t xml:space="preserve"> 20</w:t>
      </w:r>
      <w:r w:rsidR="0018451B">
        <w:rPr>
          <w:sz w:val="23"/>
          <w:szCs w:val="23"/>
        </w:rPr>
        <w:t>10</w:t>
      </w:r>
      <w:r w:rsidR="007948E4">
        <w:rPr>
          <w:sz w:val="23"/>
          <w:szCs w:val="23"/>
        </w:rPr>
        <w:t>,</w:t>
      </w:r>
      <w:r>
        <w:rPr>
          <w:sz w:val="23"/>
          <w:szCs w:val="23"/>
        </w:rPr>
        <w:t xml:space="preserve"> la primera versión del DENUE ofreció información de </w:t>
      </w:r>
      <w:r w:rsidR="00CF3BF1" w:rsidRPr="00CF3BF1">
        <w:rPr>
          <w:sz w:val="23"/>
          <w:szCs w:val="23"/>
        </w:rPr>
        <w:t xml:space="preserve">4 331 202 negocios que se encontraron activos </w:t>
      </w:r>
      <w:r w:rsidR="007948E4">
        <w:rPr>
          <w:sz w:val="23"/>
          <w:szCs w:val="23"/>
        </w:rPr>
        <w:t>durante</w:t>
      </w:r>
      <w:r w:rsidR="00CF3BF1" w:rsidRPr="00CF3BF1">
        <w:rPr>
          <w:sz w:val="23"/>
          <w:szCs w:val="23"/>
        </w:rPr>
        <w:t xml:space="preserve"> 2009</w:t>
      </w:r>
      <w:r w:rsidR="007948E4">
        <w:rPr>
          <w:sz w:val="23"/>
          <w:szCs w:val="23"/>
        </w:rPr>
        <w:t xml:space="preserve">. </w:t>
      </w:r>
      <w:r w:rsidR="00271571">
        <w:rPr>
          <w:sz w:val="23"/>
          <w:szCs w:val="23"/>
        </w:rPr>
        <w:t>E</w:t>
      </w:r>
      <w:r w:rsidR="00553899">
        <w:rPr>
          <w:sz w:val="23"/>
          <w:szCs w:val="23"/>
        </w:rPr>
        <w:t xml:space="preserve">l </w:t>
      </w:r>
      <w:r w:rsidR="00CF3BF1">
        <w:rPr>
          <w:sz w:val="23"/>
          <w:szCs w:val="23"/>
        </w:rPr>
        <w:t xml:space="preserve">DENUE </w:t>
      </w:r>
      <w:r w:rsidR="00AE176C">
        <w:rPr>
          <w:sz w:val="23"/>
          <w:szCs w:val="23"/>
        </w:rPr>
        <w:t xml:space="preserve">Interactivo </w:t>
      </w:r>
      <w:r w:rsidR="00C210F9">
        <w:rPr>
          <w:sz w:val="23"/>
          <w:szCs w:val="23"/>
        </w:rPr>
        <w:t>11</w:t>
      </w:r>
      <w:r w:rsidR="00410997">
        <w:rPr>
          <w:sz w:val="23"/>
          <w:szCs w:val="23"/>
        </w:rPr>
        <w:t>/2021</w:t>
      </w:r>
      <w:r w:rsidR="0087473D">
        <w:rPr>
          <w:sz w:val="23"/>
          <w:szCs w:val="23"/>
        </w:rPr>
        <w:t xml:space="preserve"> </w:t>
      </w:r>
      <w:r>
        <w:rPr>
          <w:sz w:val="23"/>
          <w:szCs w:val="23"/>
        </w:rPr>
        <w:t>proporciona</w:t>
      </w:r>
      <w:r w:rsidR="00553899">
        <w:rPr>
          <w:sz w:val="23"/>
          <w:szCs w:val="23"/>
        </w:rPr>
        <w:t xml:space="preserve"> </w:t>
      </w:r>
      <w:r>
        <w:rPr>
          <w:sz w:val="23"/>
          <w:szCs w:val="23"/>
        </w:rPr>
        <w:t>los datos de</w:t>
      </w:r>
      <w:r w:rsidR="007948E4">
        <w:rPr>
          <w:sz w:val="23"/>
          <w:szCs w:val="23"/>
        </w:rPr>
        <w:t xml:space="preserve"> </w:t>
      </w:r>
      <w:r w:rsidR="00963AE6" w:rsidRPr="00963AE6">
        <w:rPr>
          <w:sz w:val="23"/>
          <w:szCs w:val="23"/>
        </w:rPr>
        <w:t>5</w:t>
      </w:r>
      <w:r w:rsidR="00963AE6">
        <w:rPr>
          <w:sz w:val="23"/>
          <w:szCs w:val="23"/>
        </w:rPr>
        <w:t xml:space="preserve"> </w:t>
      </w:r>
      <w:r w:rsidR="00C210F9" w:rsidRPr="00E011D7">
        <w:rPr>
          <w:sz w:val="23"/>
          <w:szCs w:val="23"/>
        </w:rPr>
        <w:t>529</w:t>
      </w:r>
      <w:r w:rsidR="00C210F9">
        <w:rPr>
          <w:sz w:val="23"/>
          <w:szCs w:val="23"/>
        </w:rPr>
        <w:t xml:space="preserve"> </w:t>
      </w:r>
      <w:r w:rsidR="00C210F9" w:rsidRPr="00E011D7">
        <w:rPr>
          <w:sz w:val="23"/>
          <w:szCs w:val="23"/>
        </w:rPr>
        <w:t>201</w:t>
      </w:r>
      <w:r w:rsidR="00963AE6">
        <w:rPr>
          <w:sz w:val="23"/>
          <w:szCs w:val="23"/>
        </w:rPr>
        <w:t xml:space="preserve"> </w:t>
      </w:r>
      <w:r w:rsidR="0018451B">
        <w:rPr>
          <w:sz w:val="23"/>
          <w:szCs w:val="23"/>
        </w:rPr>
        <w:t>negocios</w:t>
      </w:r>
      <w:r w:rsidR="00E4402F">
        <w:rPr>
          <w:sz w:val="23"/>
          <w:szCs w:val="23"/>
        </w:rPr>
        <w:t>,</w:t>
      </w:r>
      <w:r w:rsidR="007948E4">
        <w:rPr>
          <w:sz w:val="23"/>
          <w:szCs w:val="23"/>
        </w:rPr>
        <w:t xml:space="preserve"> de los </w:t>
      </w:r>
      <w:r w:rsidR="001844AE">
        <w:rPr>
          <w:sz w:val="23"/>
          <w:szCs w:val="23"/>
        </w:rPr>
        <w:t>que</w:t>
      </w:r>
      <w:r w:rsidR="00D13682">
        <w:rPr>
          <w:sz w:val="23"/>
          <w:szCs w:val="23"/>
        </w:rPr>
        <w:t xml:space="preserve"> predominan los del sector terciario que realizan actividades de comercio y servicios</w:t>
      </w:r>
      <w:r w:rsidR="007948E4">
        <w:rPr>
          <w:sz w:val="23"/>
          <w:szCs w:val="23"/>
        </w:rPr>
        <w:t>. E</w:t>
      </w:r>
      <w:r w:rsidR="00AA0FE9">
        <w:rPr>
          <w:sz w:val="23"/>
          <w:szCs w:val="23"/>
        </w:rPr>
        <w:t xml:space="preserve">l </w:t>
      </w:r>
      <w:r w:rsidR="007948E4">
        <w:rPr>
          <w:sz w:val="23"/>
          <w:szCs w:val="23"/>
        </w:rPr>
        <w:t>e</w:t>
      </w:r>
      <w:r w:rsidR="00AA0FE9">
        <w:rPr>
          <w:sz w:val="23"/>
          <w:szCs w:val="23"/>
        </w:rPr>
        <w:t>stado de México</w:t>
      </w:r>
      <w:r w:rsidR="00405919">
        <w:rPr>
          <w:sz w:val="23"/>
          <w:szCs w:val="23"/>
        </w:rPr>
        <w:t xml:space="preserve"> y</w:t>
      </w:r>
      <w:r w:rsidR="00AA0FE9">
        <w:rPr>
          <w:sz w:val="23"/>
          <w:szCs w:val="23"/>
        </w:rPr>
        <w:t xml:space="preserve"> </w:t>
      </w:r>
      <w:r w:rsidR="00A66703">
        <w:rPr>
          <w:sz w:val="23"/>
          <w:szCs w:val="23"/>
        </w:rPr>
        <w:t xml:space="preserve">la </w:t>
      </w:r>
      <w:r w:rsidR="00AA0FE9">
        <w:rPr>
          <w:sz w:val="23"/>
          <w:szCs w:val="23"/>
        </w:rPr>
        <w:t>Ciudad de Méx</w:t>
      </w:r>
      <w:r w:rsidR="007948E4">
        <w:rPr>
          <w:sz w:val="23"/>
          <w:szCs w:val="23"/>
        </w:rPr>
        <w:t xml:space="preserve">ico encabezan la lista </w:t>
      </w:r>
      <w:r w:rsidR="001844AE">
        <w:rPr>
          <w:sz w:val="23"/>
          <w:szCs w:val="23"/>
        </w:rPr>
        <w:t xml:space="preserve">en la distribución de los </w:t>
      </w:r>
      <w:r w:rsidR="007948E4">
        <w:rPr>
          <w:sz w:val="23"/>
          <w:szCs w:val="23"/>
        </w:rPr>
        <w:t>establecimientos</w:t>
      </w:r>
    </w:p>
    <w:p w14:paraId="0DCBA1D0" w14:textId="77777777" w:rsidR="00EE013B" w:rsidRDefault="00EE013B" w:rsidP="00271571">
      <w:pPr>
        <w:pStyle w:val="Default"/>
        <w:ind w:right="-126"/>
        <w:rPr>
          <w:sz w:val="23"/>
          <w:szCs w:val="23"/>
        </w:rPr>
      </w:pPr>
    </w:p>
    <w:p w14:paraId="7D1F3B4A" w14:textId="45F07E63" w:rsidR="007948E4" w:rsidRDefault="00357264" w:rsidP="007948E4">
      <w:pPr>
        <w:pStyle w:val="Default"/>
        <w:spacing w:before="0"/>
        <w:ind w:left="284" w:right="301"/>
        <w:jc w:val="both"/>
        <w:rPr>
          <w:b/>
          <w:sz w:val="22"/>
          <w:szCs w:val="22"/>
        </w:rPr>
      </w:pPr>
      <w:r w:rsidRPr="007948E4">
        <w:rPr>
          <w:b/>
          <w:sz w:val="22"/>
          <w:szCs w:val="22"/>
        </w:rPr>
        <w:t xml:space="preserve">Distribución porcentual de los negocios </w:t>
      </w:r>
      <w:r w:rsidR="00FC302C" w:rsidRPr="007948E4">
        <w:rPr>
          <w:b/>
          <w:sz w:val="22"/>
          <w:szCs w:val="22"/>
        </w:rPr>
        <w:t>en el DENUE según</w:t>
      </w:r>
      <w:r w:rsidRPr="007948E4">
        <w:rPr>
          <w:b/>
          <w:sz w:val="22"/>
          <w:szCs w:val="22"/>
        </w:rPr>
        <w:t xml:space="preserve"> gran sector </w:t>
      </w:r>
    </w:p>
    <w:p w14:paraId="28648D79" w14:textId="172838FF" w:rsidR="009F22EB" w:rsidRPr="007948E4" w:rsidRDefault="00357264" w:rsidP="007948E4">
      <w:pPr>
        <w:pStyle w:val="Default"/>
        <w:spacing w:before="0"/>
        <w:ind w:left="284" w:right="301"/>
        <w:jc w:val="both"/>
        <w:rPr>
          <w:b/>
          <w:sz w:val="22"/>
          <w:szCs w:val="22"/>
        </w:rPr>
      </w:pPr>
      <w:r w:rsidRPr="007948E4">
        <w:rPr>
          <w:b/>
          <w:sz w:val="22"/>
          <w:szCs w:val="22"/>
        </w:rPr>
        <w:t xml:space="preserve">de actividad </w:t>
      </w:r>
      <w:r w:rsidR="00FC302C" w:rsidRPr="007948E4">
        <w:rPr>
          <w:b/>
          <w:sz w:val="22"/>
          <w:szCs w:val="22"/>
        </w:rPr>
        <w:t>y edición del Directorio.</w:t>
      </w:r>
    </w:p>
    <w:p w14:paraId="556DC4ED" w14:textId="19713E02" w:rsidR="009F22EB" w:rsidRDefault="009F22EB" w:rsidP="00FC302C">
      <w:pPr>
        <w:pStyle w:val="Default"/>
        <w:jc w:val="both"/>
        <w:rPr>
          <w:sz w:val="22"/>
          <w:szCs w:val="22"/>
        </w:rPr>
      </w:pPr>
      <w:r w:rsidRPr="00647AA3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E1F9F" wp14:editId="0EB364FD">
                <wp:simplePos x="0" y="0"/>
                <wp:positionH relativeFrom="margin">
                  <wp:posOffset>3322320</wp:posOffset>
                </wp:positionH>
                <wp:positionV relativeFrom="paragraph">
                  <wp:posOffset>123190</wp:posOffset>
                </wp:positionV>
                <wp:extent cx="2933700" cy="592500"/>
                <wp:effectExtent l="0" t="0" r="0" b="0"/>
                <wp:wrapNone/>
                <wp:docPr id="8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592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7B490B" w14:textId="77777777" w:rsidR="009E6D80" w:rsidRPr="007948E4" w:rsidRDefault="009F22EB" w:rsidP="009F22EB">
                            <w:pPr>
                              <w:spacing w:before="0"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7948E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DENUE Interactivo 11/2021</w:t>
                            </w:r>
                          </w:p>
                          <w:p w14:paraId="57170780" w14:textId="2E3DF8B7" w:rsidR="00357264" w:rsidRPr="007948E4" w:rsidRDefault="00357264" w:rsidP="009F22EB">
                            <w:pPr>
                              <w:spacing w:before="0"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948E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5 5</w:t>
                            </w:r>
                            <w:r w:rsidR="00E6119D" w:rsidRPr="007948E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29</w:t>
                            </w:r>
                            <w:r w:rsidRPr="007948E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6119D" w:rsidRPr="007948E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201</w:t>
                            </w:r>
                            <w:r w:rsidRPr="007948E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unidades económicas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E1F9F" id="24 Rectángulo" o:spid="_x0000_s1026" style="position:absolute;left:0;text-align:left;margin-left:261.6pt;margin-top:9.7pt;width:231pt;height:46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" filled="f" stroked="f">
                <v:textbox>
                  <w:txbxContent>
                    <w:p w14:paraId="1A7B490B" w14:textId="77777777" w:rsidR="009E6D80" w:rsidRPr="007948E4" w:rsidRDefault="009F22EB" w:rsidP="009F22EB">
                      <w:pPr>
                        <w:spacing w:before="0" w:after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7948E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DENUE Interactivo 11/2021</w:t>
                      </w:r>
                    </w:p>
                    <w:p w14:paraId="57170780" w14:textId="2E3DF8B7" w:rsidR="00357264" w:rsidRPr="007948E4" w:rsidRDefault="00357264" w:rsidP="009F22EB">
                      <w:pPr>
                        <w:spacing w:before="0" w:after="0"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7948E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5 5</w:t>
                      </w:r>
                      <w:r w:rsidR="00E6119D" w:rsidRPr="007948E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29</w:t>
                      </w:r>
                      <w:r w:rsidRPr="007948E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E6119D" w:rsidRPr="007948E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201</w:t>
                      </w:r>
                      <w:r w:rsidRPr="007948E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unidades económicas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47AA3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F76057" wp14:editId="1335FE80">
                <wp:simplePos x="0" y="0"/>
                <wp:positionH relativeFrom="margin">
                  <wp:posOffset>53340</wp:posOffset>
                </wp:positionH>
                <wp:positionV relativeFrom="paragraph">
                  <wp:posOffset>123190</wp:posOffset>
                </wp:positionV>
                <wp:extent cx="3131820" cy="601980"/>
                <wp:effectExtent l="0" t="0" r="0" b="0"/>
                <wp:wrapNone/>
                <wp:docPr id="5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601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47DC3A" w14:textId="01606B4E" w:rsidR="009F22EB" w:rsidRPr="007948E4" w:rsidRDefault="009F22EB" w:rsidP="009F22EB">
                            <w:pPr>
                              <w:spacing w:before="0"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7948E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DENUE </w:t>
                            </w:r>
                            <w:r w:rsidR="0027157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j</w:t>
                            </w:r>
                            <w:r w:rsidRPr="007948E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ulio 2010</w:t>
                            </w:r>
                          </w:p>
                          <w:p w14:paraId="4FEFA8C6" w14:textId="56D56D18" w:rsidR="00357264" w:rsidRPr="007948E4" w:rsidRDefault="00357264" w:rsidP="009F22EB">
                            <w:pPr>
                              <w:spacing w:before="0" w:after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7948E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4 331 202 unidades económicas</w:t>
                            </w:r>
                            <w:r w:rsidR="00E6119D" w:rsidRPr="007948E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76057" id="_x0000_s1027" style="position:absolute;left:0;text-align:left;margin-left:4.2pt;margin-top:9.7pt;width:246.6pt;height:47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" filled="f" stroked="f">
                <v:textbox>
                  <w:txbxContent>
                    <w:p w14:paraId="3747DC3A" w14:textId="01606B4E" w:rsidR="009F22EB" w:rsidRPr="007948E4" w:rsidRDefault="009F22EB" w:rsidP="009F22EB">
                      <w:pPr>
                        <w:spacing w:before="0" w:after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7948E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DENUE </w:t>
                      </w:r>
                      <w:r w:rsidR="0027157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j</w:t>
                      </w:r>
                      <w:r w:rsidRPr="007948E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ulio 2010</w:t>
                      </w:r>
                    </w:p>
                    <w:p w14:paraId="4FEFA8C6" w14:textId="56D56D18" w:rsidR="00357264" w:rsidRPr="007948E4" w:rsidRDefault="00357264" w:rsidP="009F22EB">
                      <w:pPr>
                        <w:spacing w:before="0" w:after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7948E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4 331 202 unidades económicas</w:t>
                      </w:r>
                      <w:r w:rsidR="00E6119D" w:rsidRPr="007948E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22B828" w14:textId="3A9455BB" w:rsidR="009F22EB" w:rsidRDefault="009F22EB" w:rsidP="00FC302C">
      <w:pPr>
        <w:pStyle w:val="Default"/>
        <w:jc w:val="both"/>
        <w:rPr>
          <w:sz w:val="22"/>
          <w:szCs w:val="22"/>
        </w:rPr>
      </w:pPr>
    </w:p>
    <w:p w14:paraId="21882DF7" w14:textId="7F4791D9" w:rsidR="009F22EB" w:rsidRDefault="009F22EB" w:rsidP="00FC302C">
      <w:pPr>
        <w:pStyle w:val="Default"/>
        <w:jc w:val="both"/>
        <w:rPr>
          <w:sz w:val="22"/>
          <w:szCs w:val="22"/>
        </w:rPr>
      </w:pPr>
    </w:p>
    <w:p w14:paraId="48E0D255" w14:textId="008B8A16" w:rsidR="00E6119D" w:rsidRDefault="00F63FD6" w:rsidP="00F63FD6">
      <w:pPr>
        <w:rPr>
          <w:rFonts w:ascii="Arial" w:hAnsi="Arial" w:cs="Arial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26DA81E6" wp14:editId="04AEF6B9">
            <wp:extent cx="3116580" cy="2217420"/>
            <wp:effectExtent l="38100" t="0" r="45720" b="1143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D6B0AB02-A37B-4E40-91AF-73A50761E9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BC0281" wp14:editId="42E4BD33">
            <wp:extent cx="3025140" cy="2225040"/>
            <wp:effectExtent l="38100" t="0" r="41910" b="381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6B0AB02-A37B-4E40-91AF-73A50761E9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E4402F"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 wp14:anchorId="331E4F27" wp14:editId="1D11989A">
            <wp:extent cx="6141720" cy="335280"/>
            <wp:effectExtent l="0" t="0" r="0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" t="7317" r="1232" b="86113"/>
                    <a:stretch/>
                  </pic:blipFill>
                  <pic:spPr bwMode="auto">
                    <a:xfrm>
                      <a:off x="0" y="0"/>
                      <a:ext cx="614172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021EA4" w14:textId="2F5E476E" w:rsidR="00E6119D" w:rsidRDefault="00E6119D">
      <w:pPr>
        <w:rPr>
          <w:rFonts w:ascii="Arial" w:hAnsi="Arial" w:cs="Arial"/>
          <w:color w:val="000000"/>
          <w:sz w:val="23"/>
          <w:szCs w:val="23"/>
        </w:rPr>
      </w:pPr>
    </w:p>
    <w:p w14:paraId="1697F366" w14:textId="77777777" w:rsidR="007D0E34" w:rsidRDefault="007D0E34" w:rsidP="00FC302C">
      <w:pPr>
        <w:pStyle w:val="Default"/>
        <w:jc w:val="center"/>
        <w:rPr>
          <w:b/>
          <w:sz w:val="22"/>
          <w:szCs w:val="22"/>
        </w:rPr>
      </w:pPr>
    </w:p>
    <w:p w14:paraId="56AD2FF4" w14:textId="77777777" w:rsidR="007D0E34" w:rsidRDefault="007D0E34" w:rsidP="00FC302C">
      <w:pPr>
        <w:pStyle w:val="Default"/>
        <w:jc w:val="center"/>
        <w:rPr>
          <w:b/>
          <w:sz w:val="22"/>
          <w:szCs w:val="22"/>
        </w:rPr>
      </w:pPr>
    </w:p>
    <w:p w14:paraId="4F0D200E" w14:textId="4D158892" w:rsidR="00292B1E" w:rsidRPr="00742F15" w:rsidRDefault="00FC302C" w:rsidP="00FC302C">
      <w:pPr>
        <w:pStyle w:val="Default"/>
        <w:jc w:val="center"/>
        <w:rPr>
          <w:sz w:val="20"/>
          <w:szCs w:val="20"/>
        </w:rPr>
      </w:pPr>
      <w:r w:rsidRPr="00271571">
        <w:rPr>
          <w:b/>
          <w:sz w:val="22"/>
          <w:szCs w:val="22"/>
        </w:rPr>
        <w:lastRenderedPageBreak/>
        <w:t>U</w:t>
      </w:r>
      <w:r w:rsidR="00292B1E" w:rsidRPr="00271571">
        <w:rPr>
          <w:b/>
          <w:sz w:val="22"/>
          <w:szCs w:val="22"/>
        </w:rPr>
        <w:t xml:space="preserve">nidades económicas </w:t>
      </w:r>
      <w:r w:rsidRPr="00271571">
        <w:rPr>
          <w:b/>
          <w:sz w:val="22"/>
          <w:szCs w:val="22"/>
        </w:rPr>
        <w:t>en el DENUE Interactivo</w:t>
      </w:r>
      <w:r w:rsidR="00742F15" w:rsidRPr="00271571">
        <w:rPr>
          <w:b/>
          <w:sz w:val="22"/>
          <w:szCs w:val="22"/>
        </w:rPr>
        <w:t xml:space="preserve"> 11/2021 </w:t>
      </w:r>
      <w:r w:rsidRPr="00271571">
        <w:rPr>
          <w:b/>
          <w:sz w:val="22"/>
          <w:szCs w:val="22"/>
        </w:rPr>
        <w:t>por</w:t>
      </w:r>
      <w:r w:rsidR="00292B1E" w:rsidRPr="00271571">
        <w:rPr>
          <w:b/>
          <w:sz w:val="22"/>
          <w:szCs w:val="22"/>
        </w:rPr>
        <w:t xml:space="preserve"> entidad federativa</w:t>
      </w:r>
      <w:r w:rsidRPr="00742F15">
        <w:rPr>
          <w:sz w:val="20"/>
          <w:szCs w:val="20"/>
        </w:rPr>
        <w:t>.</w:t>
      </w:r>
    </w:p>
    <w:p w14:paraId="0DE9206E" w14:textId="7A0E6D64" w:rsidR="00E15317" w:rsidRDefault="00AA0FE9" w:rsidP="00FC302C">
      <w:pPr>
        <w:pStyle w:val="Default"/>
        <w:ind w:right="15"/>
        <w:jc w:val="center"/>
        <w:rPr>
          <w:noProof/>
          <w:sz w:val="23"/>
          <w:szCs w:val="23"/>
        </w:rPr>
      </w:pPr>
      <w:r>
        <w:rPr>
          <w:noProof/>
        </w:rPr>
        <w:drawing>
          <wp:inline distT="0" distB="0" distL="0" distR="0" wp14:anchorId="7ABF7C8A" wp14:editId="4B7DF824">
            <wp:extent cx="5934075" cy="7153275"/>
            <wp:effectExtent l="0" t="0" r="9525" b="952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9AF44919-87D7-41F3-A17B-2BFB9B8559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6D4F568" w14:textId="77777777" w:rsidR="00271571" w:rsidRDefault="009574FE" w:rsidP="00271571">
      <w:pPr>
        <w:jc w:val="center"/>
        <w:rPr>
          <w:rFonts w:ascii="Arial" w:hAnsi="Arial" w:cs="Arial"/>
          <w:b/>
        </w:rPr>
      </w:pPr>
      <w:r w:rsidRPr="0099258B">
        <w:rPr>
          <w:rFonts w:ascii="Arial" w:hAnsi="Arial" w:cs="Arial"/>
          <w:b/>
        </w:rPr>
        <w:t>-</w:t>
      </w:r>
      <w:proofErr w:type="spellStart"/>
      <w:r w:rsidRPr="0099258B">
        <w:rPr>
          <w:rFonts w:ascii="Arial" w:hAnsi="Arial" w:cs="Arial"/>
          <w:b/>
        </w:rPr>
        <w:t>oOo</w:t>
      </w:r>
      <w:proofErr w:type="spellEnd"/>
      <w:r w:rsidR="007948E4">
        <w:rPr>
          <w:rFonts w:ascii="Arial" w:hAnsi="Arial" w:cs="Arial"/>
          <w:b/>
        </w:rPr>
        <w:t>-</w:t>
      </w:r>
    </w:p>
    <w:p w14:paraId="3B666249" w14:textId="7FD21943" w:rsidR="00894E98" w:rsidRPr="007D0E34" w:rsidRDefault="009574FE" w:rsidP="007D0E34">
      <w:pPr>
        <w:jc w:val="center"/>
        <w:rPr>
          <w:sz w:val="23"/>
          <w:szCs w:val="23"/>
        </w:rPr>
      </w:pPr>
      <w:r w:rsidRPr="008F0992">
        <w:rPr>
          <w:noProof/>
          <w:lang w:eastAsia="es-MX"/>
        </w:rPr>
        <w:drawing>
          <wp:inline distT="0" distB="0" distL="0" distR="0" wp14:anchorId="4293711B" wp14:editId="7075FE85">
            <wp:extent cx="241401" cy="244393"/>
            <wp:effectExtent l="0" t="0" r="6350" b="3810"/>
            <wp:docPr id="4" name="Imagen 4" descr="C:\Users\saladeprensa\Desktop\NVOS LOGOS\F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66" cy="25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62E1CBAE" wp14:editId="0A251206">
            <wp:extent cx="249352" cy="247650"/>
            <wp:effectExtent l="0" t="0" r="0" b="0"/>
            <wp:docPr id="31" name="Imagen 31" descr="C:\Users\saladeprensa\Desktop\NVOS LOGOS\I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62" cy="34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0D232265" wp14:editId="3BC0DE5C">
            <wp:extent cx="246462" cy="248623"/>
            <wp:effectExtent l="0" t="0" r="1270" b="0"/>
            <wp:docPr id="11" name="Imagen 11" descr="C:\Users\saladeprensa\Desktop\NVOS LOGOS\T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92" cy="26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35056EE6" wp14:editId="7F995C4A">
            <wp:extent cx="241401" cy="245382"/>
            <wp:effectExtent l="0" t="0" r="6350" b="2540"/>
            <wp:docPr id="32" name="Imagen 32" descr="C:\Users\saladeprensa\Desktop\NVOS LOGOS\Y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95" cy="28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8F0992">
        <w:rPr>
          <w:noProof/>
          <w:sz w:val="14"/>
          <w:szCs w:val="18"/>
          <w:lang w:eastAsia="es-MX"/>
        </w:rPr>
        <w:drawing>
          <wp:inline distT="0" distB="0" distL="0" distR="0" wp14:anchorId="32FA6B56" wp14:editId="22FD1FE5">
            <wp:extent cx="2019300" cy="277901"/>
            <wp:effectExtent l="0" t="0" r="0" b="8255"/>
            <wp:docPr id="2" name="Imagen 2" descr="Icon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147" cy="31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4E98" w:rsidRPr="007D0E34" w:rsidSect="00271571">
      <w:headerReference w:type="default" r:id="rId23"/>
      <w:footerReference w:type="default" r:id="rId24"/>
      <w:pgSz w:w="12240" w:h="15840"/>
      <w:pgMar w:top="1440" w:right="1080" w:bottom="1276" w:left="1080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2CE6F" w14:textId="77777777" w:rsidR="008E3B8C" w:rsidRDefault="008E3B8C" w:rsidP="00042CD7">
      <w:pPr>
        <w:spacing w:before="0" w:after="0" w:line="240" w:lineRule="auto"/>
      </w:pPr>
      <w:r>
        <w:separator/>
      </w:r>
    </w:p>
  </w:endnote>
  <w:endnote w:type="continuationSeparator" w:id="0">
    <w:p w14:paraId="4E233BD3" w14:textId="77777777" w:rsidR="008E3B8C" w:rsidRDefault="008E3B8C" w:rsidP="00042C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521218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color w:val="002060"/>
      </w:rPr>
    </w:sdtEndPr>
    <w:sdtContent>
      <w:p w14:paraId="1E1DF798" w14:textId="6B9E5809" w:rsidR="00042CD7" w:rsidRPr="0099258B" w:rsidRDefault="0099258B" w:rsidP="0099258B">
        <w:pPr>
          <w:pStyle w:val="Piedepgina"/>
          <w:jc w:val="center"/>
          <w:rPr>
            <w:rFonts w:ascii="Arial" w:hAnsi="Arial" w:cs="Arial"/>
            <w:b/>
            <w:bCs/>
            <w:color w:val="002060"/>
          </w:rPr>
        </w:pPr>
        <w:r w:rsidRPr="0099258B">
          <w:rPr>
            <w:rFonts w:ascii="Arial" w:hAnsi="Arial" w:cs="Arial"/>
            <w:b/>
            <w:bCs/>
            <w:color w:val="002060"/>
          </w:rPr>
          <w:t xml:space="preserve">COMUNICACIÓN SOCIAL </w:t>
        </w:r>
      </w:p>
    </w:sdtContent>
  </w:sdt>
  <w:p w14:paraId="7EB0505E" w14:textId="77777777" w:rsidR="00042CD7" w:rsidRDefault="00042C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37B77" w14:textId="77777777" w:rsidR="008E3B8C" w:rsidRDefault="008E3B8C" w:rsidP="00042CD7">
      <w:pPr>
        <w:spacing w:before="0" w:after="0" w:line="240" w:lineRule="auto"/>
      </w:pPr>
      <w:r>
        <w:separator/>
      </w:r>
    </w:p>
  </w:footnote>
  <w:footnote w:type="continuationSeparator" w:id="0">
    <w:p w14:paraId="064C7548" w14:textId="77777777" w:rsidR="008E3B8C" w:rsidRDefault="008E3B8C" w:rsidP="00042CD7">
      <w:pPr>
        <w:spacing w:before="0" w:after="0" w:line="240" w:lineRule="auto"/>
      </w:pPr>
      <w:r>
        <w:continuationSeparator/>
      </w:r>
    </w:p>
  </w:footnote>
  <w:footnote w:id="1">
    <w:p w14:paraId="3EF8A0EF" w14:textId="2CF72328" w:rsidR="00FE27BE" w:rsidRPr="00345E44" w:rsidRDefault="00FE27BE" w:rsidP="00915C9C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345E44">
        <w:rPr>
          <w:rStyle w:val="Refdenotaalpie"/>
          <w:rFonts w:ascii="Arial" w:hAnsi="Arial" w:cs="Arial"/>
          <w:sz w:val="16"/>
          <w:szCs w:val="16"/>
        </w:rPr>
        <w:footnoteRef/>
      </w:r>
      <w:r w:rsidRPr="00345E44">
        <w:rPr>
          <w:rFonts w:ascii="Arial" w:hAnsi="Arial" w:cs="Arial"/>
          <w:sz w:val="16"/>
          <w:szCs w:val="16"/>
        </w:rPr>
        <w:t xml:space="preserve"> Los resultados </w:t>
      </w:r>
      <w:r w:rsidR="006E177B" w:rsidRPr="00345E44">
        <w:rPr>
          <w:rFonts w:ascii="Arial" w:hAnsi="Arial" w:cs="Arial"/>
          <w:sz w:val="16"/>
          <w:szCs w:val="16"/>
        </w:rPr>
        <w:t xml:space="preserve">estadísticos </w:t>
      </w:r>
      <w:r w:rsidRPr="00345E44">
        <w:rPr>
          <w:rFonts w:ascii="Arial" w:hAnsi="Arial" w:cs="Arial"/>
          <w:sz w:val="16"/>
          <w:szCs w:val="16"/>
        </w:rPr>
        <w:t>del EDN 202</w:t>
      </w:r>
      <w:r w:rsidR="00E35577" w:rsidRPr="00345E44">
        <w:rPr>
          <w:rFonts w:ascii="Arial" w:hAnsi="Arial" w:cs="Arial"/>
          <w:sz w:val="16"/>
          <w:szCs w:val="16"/>
        </w:rPr>
        <w:t>1</w:t>
      </w:r>
      <w:r w:rsidRPr="00345E44">
        <w:rPr>
          <w:rFonts w:ascii="Arial" w:hAnsi="Arial" w:cs="Arial"/>
          <w:sz w:val="16"/>
          <w:szCs w:val="16"/>
        </w:rPr>
        <w:t xml:space="preserve"> se </w:t>
      </w:r>
      <w:r w:rsidR="00E011D7" w:rsidRPr="00345E44">
        <w:rPr>
          <w:rFonts w:ascii="Arial" w:hAnsi="Arial" w:cs="Arial"/>
          <w:sz w:val="16"/>
          <w:szCs w:val="16"/>
        </w:rPr>
        <w:t>publicarán e</w:t>
      </w:r>
      <w:r w:rsidR="006E177B" w:rsidRPr="00345E44">
        <w:rPr>
          <w:rFonts w:ascii="Arial" w:hAnsi="Arial" w:cs="Arial"/>
          <w:sz w:val="16"/>
          <w:szCs w:val="16"/>
        </w:rPr>
        <w:t>n diciembre de 2021</w:t>
      </w:r>
      <w:r w:rsidR="00E011D7" w:rsidRPr="00345E44">
        <w:rPr>
          <w:rFonts w:ascii="Arial" w:hAnsi="Arial" w:cs="Arial"/>
          <w:sz w:val="16"/>
          <w:szCs w:val="16"/>
        </w:rPr>
        <w:t xml:space="preserve"> y podrán ser consultados </w:t>
      </w:r>
      <w:r w:rsidR="006E177B" w:rsidRPr="00345E44">
        <w:rPr>
          <w:rFonts w:ascii="Arial" w:hAnsi="Arial" w:cs="Arial"/>
          <w:sz w:val="16"/>
          <w:szCs w:val="16"/>
        </w:rPr>
        <w:t>también en el sitio del INEGI en Internet</w:t>
      </w:r>
      <w:r w:rsidR="006E177B" w:rsidRPr="00345E44">
        <w:rPr>
          <w:rStyle w:val="Hipervnculo"/>
          <w:rFonts w:ascii="Arial" w:hAnsi="Arial" w:cs="Arial"/>
          <w:sz w:val="16"/>
          <w:szCs w:val="16"/>
        </w:rPr>
        <w:t xml:space="preserve"> </w:t>
      </w:r>
      <w:hyperlink r:id="rId1" w:history="1">
        <w:r w:rsidR="006E177B" w:rsidRPr="00345E44">
          <w:rPr>
            <w:rStyle w:val="Hipervnculo"/>
            <w:rFonts w:ascii="Arial" w:hAnsi="Arial" w:cs="Arial"/>
            <w:sz w:val="16"/>
            <w:szCs w:val="16"/>
          </w:rPr>
          <w:t>www.inegi.org.mx</w:t>
        </w:r>
      </w:hyperlink>
      <w:r w:rsidR="006E177B" w:rsidRPr="00345E44">
        <w:rPr>
          <w:rStyle w:val="Hipervnculo"/>
          <w:rFonts w:ascii="Arial" w:hAnsi="Arial" w:cs="Arial"/>
          <w:sz w:val="16"/>
          <w:szCs w:val="16"/>
        </w:rPr>
        <w:t xml:space="preserve"> </w:t>
      </w:r>
      <w:r w:rsidR="00E011D7" w:rsidRPr="00345E44">
        <w:rPr>
          <w:rFonts w:ascii="Arial" w:hAnsi="Arial" w:cs="Arial"/>
          <w:sz w:val="16"/>
          <w:szCs w:val="16"/>
        </w:rPr>
        <w:t xml:space="preserve">  </w:t>
      </w:r>
    </w:p>
  </w:footnote>
  <w:footnote w:id="2">
    <w:p w14:paraId="1B55E561" w14:textId="51FC6BD6" w:rsidR="00B203F7" w:rsidRPr="001F1EAA" w:rsidRDefault="00B203F7" w:rsidP="00915C9C">
      <w:pPr>
        <w:pStyle w:val="Textonotapie"/>
        <w:jc w:val="both"/>
        <w:rPr>
          <w:rFonts w:ascii="Arial" w:hAnsi="Arial" w:cs="Arial"/>
        </w:rPr>
      </w:pPr>
      <w:r w:rsidRPr="001F1EAA">
        <w:rPr>
          <w:rStyle w:val="Refdenotaalpie"/>
          <w:rFonts w:ascii="Arial" w:hAnsi="Arial" w:cs="Arial"/>
        </w:rPr>
        <w:footnoteRef/>
      </w:r>
      <w:r w:rsidRPr="001F1EAA">
        <w:rPr>
          <w:rFonts w:ascii="Arial" w:hAnsi="Arial" w:cs="Arial"/>
        </w:rPr>
        <w:t xml:space="preserve"> </w:t>
      </w:r>
      <w:r w:rsidRPr="007948E4">
        <w:rPr>
          <w:rFonts w:ascii="Arial" w:hAnsi="Arial" w:cs="Arial"/>
          <w:sz w:val="16"/>
          <w:szCs w:val="16"/>
        </w:rPr>
        <w:t>Es la clave numérica de 10 dígitos asignada a cada registro de la base de datos del Directorio Estadístico Nacional de Unidades Económicas (DENUE),</w:t>
      </w:r>
      <w:r w:rsidRPr="001F1EAA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D021A" w14:textId="128A9796" w:rsidR="0099258B" w:rsidRPr="0099258B" w:rsidRDefault="0099258B" w:rsidP="00271571">
    <w:pPr>
      <w:spacing w:before="0" w:after="0" w:line="240" w:lineRule="auto"/>
      <w:ind w:left="-567" w:right="-126"/>
      <w:jc w:val="right"/>
      <w:rPr>
        <w:rFonts w:ascii="Arial" w:eastAsia="Arial" w:hAnsi="Arial" w:cs="Arial"/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C10E403" wp14:editId="321B6861">
          <wp:simplePos x="0" y="0"/>
          <wp:positionH relativeFrom="margin">
            <wp:align>left</wp:align>
          </wp:positionH>
          <wp:positionV relativeFrom="topMargin">
            <wp:posOffset>209550</wp:posOffset>
          </wp:positionV>
          <wp:extent cx="781050" cy="810260"/>
          <wp:effectExtent l="0" t="0" r="0" b="889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color w:val="002060"/>
      </w:rPr>
      <w:tab/>
    </w:r>
    <w:r>
      <w:rPr>
        <w:rFonts w:ascii="Arial" w:hAnsi="Arial"/>
        <w:b/>
        <w:color w:val="002060"/>
      </w:rPr>
      <w:tab/>
    </w:r>
    <w:r w:rsidRPr="0099258B">
      <w:rPr>
        <w:rFonts w:ascii="Arial" w:hAnsi="Arial" w:cs="Arial"/>
        <w:b/>
        <w:color w:val="002060"/>
        <w:sz w:val="24"/>
        <w:szCs w:val="24"/>
      </w:rPr>
      <w:t>COMUNICADO</w:t>
    </w:r>
    <w:r w:rsidRPr="0099258B">
      <w:rPr>
        <w:rFonts w:ascii="Arial" w:hAnsi="Arial" w:cs="Arial"/>
        <w:b/>
        <w:color w:val="002060"/>
        <w:spacing w:val="-11"/>
        <w:sz w:val="24"/>
        <w:szCs w:val="24"/>
      </w:rPr>
      <w:t xml:space="preserve"> </w:t>
    </w:r>
    <w:r w:rsidRPr="0099258B">
      <w:rPr>
        <w:rFonts w:ascii="Arial" w:hAnsi="Arial" w:cs="Arial"/>
        <w:b/>
        <w:color w:val="002060"/>
        <w:sz w:val="24"/>
        <w:szCs w:val="24"/>
      </w:rPr>
      <w:t>DE</w:t>
    </w:r>
    <w:r w:rsidRPr="0099258B">
      <w:rPr>
        <w:rFonts w:ascii="Arial" w:hAnsi="Arial" w:cs="Arial"/>
        <w:b/>
        <w:color w:val="002060"/>
        <w:spacing w:val="-11"/>
        <w:sz w:val="24"/>
        <w:szCs w:val="24"/>
      </w:rPr>
      <w:t xml:space="preserve"> P</w:t>
    </w:r>
    <w:r w:rsidRPr="0099258B">
      <w:rPr>
        <w:rFonts w:ascii="Arial" w:hAnsi="Arial" w:cs="Arial"/>
        <w:b/>
        <w:color w:val="002060"/>
        <w:spacing w:val="-1"/>
        <w:sz w:val="24"/>
        <w:szCs w:val="24"/>
      </w:rPr>
      <w:t>RENSA</w:t>
    </w:r>
    <w:r w:rsidRPr="0099258B">
      <w:rPr>
        <w:rFonts w:ascii="Arial" w:hAnsi="Arial" w:cs="Arial"/>
        <w:b/>
        <w:color w:val="002060"/>
        <w:spacing w:val="-11"/>
        <w:sz w:val="24"/>
        <w:szCs w:val="24"/>
      </w:rPr>
      <w:t xml:space="preserve"> </w:t>
    </w:r>
    <w:r w:rsidRPr="0099258B">
      <w:rPr>
        <w:rFonts w:ascii="Arial" w:hAnsi="Arial" w:cs="Arial"/>
        <w:b/>
        <w:color w:val="002060"/>
        <w:sz w:val="24"/>
        <w:szCs w:val="24"/>
      </w:rPr>
      <w:t xml:space="preserve">NÚM. </w:t>
    </w:r>
    <w:r w:rsidR="00345E44" w:rsidRPr="00345E44">
      <w:rPr>
        <w:rFonts w:ascii="Arial" w:hAnsi="Arial" w:cs="Arial"/>
        <w:b/>
        <w:color w:val="002060"/>
        <w:sz w:val="24"/>
        <w:szCs w:val="24"/>
      </w:rPr>
      <w:t>649</w:t>
    </w:r>
    <w:r w:rsidRPr="0099258B">
      <w:rPr>
        <w:rFonts w:ascii="Arial" w:hAnsi="Arial" w:cs="Arial"/>
        <w:b/>
        <w:color w:val="002060"/>
        <w:sz w:val="24"/>
        <w:szCs w:val="24"/>
      </w:rPr>
      <w:t>/</w:t>
    </w:r>
    <w:r w:rsidR="007D3662">
      <w:rPr>
        <w:rFonts w:ascii="Arial" w:hAnsi="Arial" w:cs="Arial"/>
        <w:b/>
        <w:color w:val="002060"/>
        <w:sz w:val="24"/>
        <w:szCs w:val="24"/>
      </w:rPr>
      <w:t>2</w:t>
    </w:r>
    <w:r w:rsidR="00B43570">
      <w:rPr>
        <w:rFonts w:ascii="Arial" w:hAnsi="Arial" w:cs="Arial"/>
        <w:b/>
        <w:color w:val="002060"/>
        <w:sz w:val="24"/>
        <w:szCs w:val="24"/>
      </w:rPr>
      <w:t>1</w:t>
    </w:r>
    <w:r w:rsidRPr="0099258B">
      <w:rPr>
        <w:rFonts w:ascii="Arial" w:hAnsi="Arial" w:cs="Arial"/>
        <w:b/>
        <w:color w:val="002060"/>
        <w:spacing w:val="-11"/>
        <w:sz w:val="24"/>
        <w:szCs w:val="24"/>
      </w:rPr>
      <w:t xml:space="preserve"> </w:t>
    </w:r>
  </w:p>
  <w:p w14:paraId="52F6845F" w14:textId="0EB083B6" w:rsidR="0099258B" w:rsidRPr="0099258B" w:rsidRDefault="002B7054" w:rsidP="00271571">
    <w:pPr>
      <w:spacing w:before="0" w:after="0" w:line="240" w:lineRule="auto"/>
      <w:ind w:right="-126"/>
      <w:jc w:val="right"/>
      <w:rPr>
        <w:rFonts w:ascii="Arial" w:eastAsia="Arial" w:hAnsi="Arial" w:cs="Arial"/>
        <w:sz w:val="24"/>
        <w:szCs w:val="24"/>
      </w:rPr>
    </w:pPr>
    <w:r>
      <w:rPr>
        <w:rFonts w:ascii="Arial" w:hAnsi="Arial" w:cs="Arial"/>
        <w:b/>
        <w:color w:val="002060"/>
        <w:sz w:val="24"/>
        <w:szCs w:val="24"/>
      </w:rPr>
      <w:t>18</w:t>
    </w:r>
    <w:r w:rsidR="0099258B" w:rsidRPr="0099258B">
      <w:rPr>
        <w:rFonts w:ascii="Arial" w:hAnsi="Arial" w:cs="Arial"/>
        <w:b/>
        <w:color w:val="002060"/>
        <w:sz w:val="24"/>
        <w:szCs w:val="24"/>
      </w:rPr>
      <w:t xml:space="preserve"> DE </w:t>
    </w:r>
    <w:r>
      <w:rPr>
        <w:rFonts w:ascii="Arial" w:hAnsi="Arial" w:cs="Arial"/>
        <w:b/>
        <w:color w:val="002060"/>
        <w:sz w:val="24"/>
        <w:szCs w:val="24"/>
      </w:rPr>
      <w:t>NOVIEMBRE</w:t>
    </w:r>
    <w:r w:rsidR="0099258B" w:rsidRPr="0099258B">
      <w:rPr>
        <w:rFonts w:ascii="Arial" w:hAnsi="Arial" w:cs="Arial"/>
        <w:b/>
        <w:color w:val="002060"/>
        <w:spacing w:val="-6"/>
        <w:sz w:val="24"/>
        <w:szCs w:val="24"/>
      </w:rPr>
      <w:t xml:space="preserve"> </w:t>
    </w:r>
    <w:r w:rsidR="0099258B" w:rsidRPr="0099258B">
      <w:rPr>
        <w:rFonts w:ascii="Arial" w:hAnsi="Arial" w:cs="Arial"/>
        <w:b/>
        <w:color w:val="002060"/>
        <w:sz w:val="24"/>
        <w:szCs w:val="24"/>
      </w:rPr>
      <w:t>DE</w:t>
    </w:r>
    <w:r w:rsidR="0099258B" w:rsidRPr="0099258B">
      <w:rPr>
        <w:rFonts w:ascii="Arial" w:hAnsi="Arial" w:cs="Arial"/>
        <w:b/>
        <w:color w:val="002060"/>
        <w:spacing w:val="-5"/>
        <w:sz w:val="24"/>
        <w:szCs w:val="24"/>
      </w:rPr>
      <w:t xml:space="preserve"> </w:t>
    </w:r>
    <w:r w:rsidR="0099258B" w:rsidRPr="0099258B">
      <w:rPr>
        <w:rFonts w:ascii="Arial" w:hAnsi="Arial" w:cs="Arial"/>
        <w:b/>
        <w:color w:val="002060"/>
        <w:sz w:val="24"/>
        <w:szCs w:val="24"/>
      </w:rPr>
      <w:t>20</w:t>
    </w:r>
    <w:r w:rsidR="007D3662">
      <w:rPr>
        <w:rFonts w:ascii="Arial" w:hAnsi="Arial" w:cs="Arial"/>
        <w:b/>
        <w:color w:val="002060"/>
        <w:sz w:val="24"/>
        <w:szCs w:val="24"/>
      </w:rPr>
      <w:t>2</w:t>
    </w:r>
    <w:r w:rsidR="00B43570">
      <w:rPr>
        <w:rFonts w:ascii="Arial" w:hAnsi="Arial" w:cs="Arial"/>
        <w:b/>
        <w:color w:val="002060"/>
        <w:sz w:val="24"/>
        <w:szCs w:val="24"/>
      </w:rPr>
      <w:t>1</w:t>
    </w:r>
  </w:p>
  <w:p w14:paraId="5641240D" w14:textId="70573EF5" w:rsidR="0099258B" w:rsidRPr="0099258B" w:rsidRDefault="0099258B" w:rsidP="00271571">
    <w:pPr>
      <w:spacing w:before="0" w:after="0" w:line="240" w:lineRule="auto"/>
      <w:ind w:right="-126"/>
      <w:jc w:val="right"/>
      <w:rPr>
        <w:rFonts w:ascii="Arial" w:eastAsia="Arial" w:hAnsi="Arial" w:cs="Arial"/>
        <w:sz w:val="24"/>
        <w:szCs w:val="24"/>
      </w:rPr>
    </w:pPr>
    <w:r w:rsidRPr="0099258B">
      <w:rPr>
        <w:rFonts w:ascii="Arial" w:hAnsi="Arial" w:cs="Arial"/>
        <w:b/>
        <w:color w:val="002060"/>
        <w:sz w:val="24"/>
        <w:szCs w:val="24"/>
      </w:rPr>
      <w:t>PÁGINA</w:t>
    </w:r>
    <w:r w:rsidRPr="0099258B">
      <w:rPr>
        <w:rFonts w:ascii="Arial" w:hAnsi="Arial" w:cs="Arial"/>
        <w:b/>
        <w:color w:val="002060"/>
        <w:spacing w:val="-13"/>
        <w:sz w:val="24"/>
        <w:szCs w:val="24"/>
      </w:rPr>
      <w:t xml:space="preserve"> </w:t>
    </w:r>
    <w:r w:rsidRPr="0099258B">
      <w:rPr>
        <w:rFonts w:ascii="Arial" w:hAnsi="Arial" w:cs="Arial"/>
        <w:sz w:val="24"/>
        <w:szCs w:val="24"/>
      </w:rPr>
      <w:fldChar w:fldCharType="begin"/>
    </w:r>
    <w:r w:rsidRPr="0099258B">
      <w:rPr>
        <w:rFonts w:ascii="Arial" w:hAnsi="Arial" w:cs="Arial"/>
        <w:b/>
        <w:color w:val="002060"/>
        <w:sz w:val="24"/>
        <w:szCs w:val="24"/>
      </w:rPr>
      <w:instrText xml:space="preserve"> PAGE </w:instrText>
    </w:r>
    <w:r w:rsidRPr="0099258B">
      <w:rPr>
        <w:rFonts w:ascii="Arial" w:hAnsi="Arial" w:cs="Arial"/>
        <w:sz w:val="24"/>
        <w:szCs w:val="24"/>
      </w:rPr>
      <w:fldChar w:fldCharType="separate"/>
    </w:r>
    <w:r w:rsidR="00874834">
      <w:rPr>
        <w:rFonts w:ascii="Arial" w:hAnsi="Arial" w:cs="Arial"/>
        <w:b/>
        <w:noProof/>
        <w:color w:val="002060"/>
        <w:sz w:val="24"/>
        <w:szCs w:val="24"/>
      </w:rPr>
      <w:t>1</w:t>
    </w:r>
    <w:r w:rsidRPr="0099258B">
      <w:rPr>
        <w:rFonts w:ascii="Arial" w:hAnsi="Arial" w:cs="Arial"/>
        <w:sz w:val="24"/>
        <w:szCs w:val="24"/>
      </w:rPr>
      <w:fldChar w:fldCharType="end"/>
    </w:r>
    <w:r w:rsidRPr="0099258B">
      <w:rPr>
        <w:rFonts w:ascii="Arial" w:hAnsi="Arial" w:cs="Arial"/>
        <w:b/>
        <w:color w:val="002060"/>
        <w:sz w:val="24"/>
        <w:szCs w:val="24"/>
      </w:rPr>
      <w:t>/</w:t>
    </w:r>
    <w:r w:rsidR="00271571">
      <w:rPr>
        <w:rFonts w:ascii="Arial" w:hAnsi="Arial" w:cs="Arial"/>
        <w:b/>
        <w:color w:val="002060"/>
        <w:sz w:val="24"/>
        <w:szCs w:val="24"/>
      </w:rPr>
      <w:t>3</w:t>
    </w:r>
  </w:p>
  <w:p w14:paraId="77299F4C" w14:textId="16434EC4" w:rsidR="0099258B" w:rsidRDefault="00271571" w:rsidP="00271571">
    <w:pPr>
      <w:pStyle w:val="Encabezado"/>
      <w:tabs>
        <w:tab w:val="clear" w:pos="4419"/>
        <w:tab w:val="clear" w:pos="8838"/>
        <w:tab w:val="left" w:pos="31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92B69"/>
    <w:multiLevelType w:val="hybridMultilevel"/>
    <w:tmpl w:val="07523A64"/>
    <w:lvl w:ilvl="0" w:tplc="080A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" w15:restartNumberingAfterBreak="0">
    <w:nsid w:val="6AD77C9A"/>
    <w:multiLevelType w:val="hybridMultilevel"/>
    <w:tmpl w:val="AFEC60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D5C53"/>
    <w:multiLevelType w:val="hybridMultilevel"/>
    <w:tmpl w:val="5C84A336"/>
    <w:lvl w:ilvl="0" w:tplc="080A0001">
      <w:start w:val="1"/>
      <w:numFmt w:val="bullet"/>
      <w:lvlText w:val=""/>
      <w:lvlJc w:val="left"/>
      <w:pPr>
        <w:ind w:left="-37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-29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-22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-15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</w:abstractNum>
  <w:abstractNum w:abstractNumId="3" w15:restartNumberingAfterBreak="0">
    <w:nsid w:val="6EF90A8D"/>
    <w:multiLevelType w:val="hybridMultilevel"/>
    <w:tmpl w:val="FCFCE6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2D"/>
    <w:rsid w:val="00006746"/>
    <w:rsid w:val="00010173"/>
    <w:rsid w:val="000324BE"/>
    <w:rsid w:val="00042CD7"/>
    <w:rsid w:val="00043F3E"/>
    <w:rsid w:val="0004638F"/>
    <w:rsid w:val="00064944"/>
    <w:rsid w:val="00084981"/>
    <w:rsid w:val="000922D3"/>
    <w:rsid w:val="000A466D"/>
    <w:rsid w:val="000F1F1E"/>
    <w:rsid w:val="0010052F"/>
    <w:rsid w:val="00102421"/>
    <w:rsid w:val="00106193"/>
    <w:rsid w:val="001107C5"/>
    <w:rsid w:val="00112B6B"/>
    <w:rsid w:val="00113FC8"/>
    <w:rsid w:val="00114907"/>
    <w:rsid w:val="00130435"/>
    <w:rsid w:val="00132838"/>
    <w:rsid w:val="00174BFF"/>
    <w:rsid w:val="001844AE"/>
    <w:rsid w:val="0018451B"/>
    <w:rsid w:val="001B04B5"/>
    <w:rsid w:val="001D5688"/>
    <w:rsid w:val="001D6F7A"/>
    <w:rsid w:val="001F0863"/>
    <w:rsid w:val="001F1EAA"/>
    <w:rsid w:val="00205AFB"/>
    <w:rsid w:val="00271571"/>
    <w:rsid w:val="00292B1E"/>
    <w:rsid w:val="002B7054"/>
    <w:rsid w:val="003406A2"/>
    <w:rsid w:val="00345E44"/>
    <w:rsid w:val="00350617"/>
    <w:rsid w:val="00357264"/>
    <w:rsid w:val="00364BAF"/>
    <w:rsid w:val="00381F24"/>
    <w:rsid w:val="00382F79"/>
    <w:rsid w:val="003B0152"/>
    <w:rsid w:val="003B5580"/>
    <w:rsid w:val="003B7476"/>
    <w:rsid w:val="003D6D04"/>
    <w:rsid w:val="00405919"/>
    <w:rsid w:val="00410997"/>
    <w:rsid w:val="0042105C"/>
    <w:rsid w:val="004211DC"/>
    <w:rsid w:val="004239B3"/>
    <w:rsid w:val="004254D2"/>
    <w:rsid w:val="00441346"/>
    <w:rsid w:val="00450284"/>
    <w:rsid w:val="00464148"/>
    <w:rsid w:val="00470C8D"/>
    <w:rsid w:val="00483C25"/>
    <w:rsid w:val="00495448"/>
    <w:rsid w:val="00496BBE"/>
    <w:rsid w:val="004C387B"/>
    <w:rsid w:val="004C3FA5"/>
    <w:rsid w:val="004C52B5"/>
    <w:rsid w:val="004E101A"/>
    <w:rsid w:val="004F43E8"/>
    <w:rsid w:val="0051155E"/>
    <w:rsid w:val="00523433"/>
    <w:rsid w:val="00526280"/>
    <w:rsid w:val="00532462"/>
    <w:rsid w:val="00546B8E"/>
    <w:rsid w:val="00553899"/>
    <w:rsid w:val="00573BD9"/>
    <w:rsid w:val="005773F2"/>
    <w:rsid w:val="00580EC5"/>
    <w:rsid w:val="0059222A"/>
    <w:rsid w:val="005B6797"/>
    <w:rsid w:val="005C08F9"/>
    <w:rsid w:val="005E6159"/>
    <w:rsid w:val="00611212"/>
    <w:rsid w:val="00635853"/>
    <w:rsid w:val="00647AA3"/>
    <w:rsid w:val="00663EE5"/>
    <w:rsid w:val="00667B7F"/>
    <w:rsid w:val="00692B1A"/>
    <w:rsid w:val="006A4CF9"/>
    <w:rsid w:val="006A7247"/>
    <w:rsid w:val="006C2854"/>
    <w:rsid w:val="006D68B9"/>
    <w:rsid w:val="006E177B"/>
    <w:rsid w:val="006E2737"/>
    <w:rsid w:val="006F4E8D"/>
    <w:rsid w:val="006F4E9A"/>
    <w:rsid w:val="00703381"/>
    <w:rsid w:val="00713C2D"/>
    <w:rsid w:val="00742F15"/>
    <w:rsid w:val="00746C8C"/>
    <w:rsid w:val="00750138"/>
    <w:rsid w:val="00756813"/>
    <w:rsid w:val="0076017B"/>
    <w:rsid w:val="00765DD6"/>
    <w:rsid w:val="00787A83"/>
    <w:rsid w:val="007948E4"/>
    <w:rsid w:val="007A45F6"/>
    <w:rsid w:val="007A76F2"/>
    <w:rsid w:val="007B1CB5"/>
    <w:rsid w:val="007C6EE3"/>
    <w:rsid w:val="007D0E34"/>
    <w:rsid w:val="007D3662"/>
    <w:rsid w:val="007E7BE5"/>
    <w:rsid w:val="007F1A91"/>
    <w:rsid w:val="0080052B"/>
    <w:rsid w:val="00813A7A"/>
    <w:rsid w:val="00824F81"/>
    <w:rsid w:val="0083481F"/>
    <w:rsid w:val="00842054"/>
    <w:rsid w:val="00843002"/>
    <w:rsid w:val="00843A52"/>
    <w:rsid w:val="008566E6"/>
    <w:rsid w:val="00861630"/>
    <w:rsid w:val="0087473D"/>
    <w:rsid w:val="00874834"/>
    <w:rsid w:val="00875DE7"/>
    <w:rsid w:val="00881A79"/>
    <w:rsid w:val="00892CF2"/>
    <w:rsid w:val="00892F45"/>
    <w:rsid w:val="00894E98"/>
    <w:rsid w:val="008A05D1"/>
    <w:rsid w:val="008B7CF5"/>
    <w:rsid w:val="008C10AD"/>
    <w:rsid w:val="008E3B8C"/>
    <w:rsid w:val="00915C9C"/>
    <w:rsid w:val="00915D6E"/>
    <w:rsid w:val="00926845"/>
    <w:rsid w:val="009273AF"/>
    <w:rsid w:val="009574FE"/>
    <w:rsid w:val="00957EE7"/>
    <w:rsid w:val="009614F1"/>
    <w:rsid w:val="00963AE6"/>
    <w:rsid w:val="0099258B"/>
    <w:rsid w:val="009C6A80"/>
    <w:rsid w:val="009D64A0"/>
    <w:rsid w:val="009E000F"/>
    <w:rsid w:val="009E0BEC"/>
    <w:rsid w:val="009E3DD7"/>
    <w:rsid w:val="009E6AD8"/>
    <w:rsid w:val="009E6D80"/>
    <w:rsid w:val="009F0FCE"/>
    <w:rsid w:val="009F1CA2"/>
    <w:rsid w:val="009F22EB"/>
    <w:rsid w:val="009F3357"/>
    <w:rsid w:val="009F59F7"/>
    <w:rsid w:val="009F6DEB"/>
    <w:rsid w:val="00A00700"/>
    <w:rsid w:val="00A05639"/>
    <w:rsid w:val="00A16CC5"/>
    <w:rsid w:val="00A24535"/>
    <w:rsid w:val="00A250C4"/>
    <w:rsid w:val="00A37782"/>
    <w:rsid w:val="00A5290C"/>
    <w:rsid w:val="00A56D76"/>
    <w:rsid w:val="00A66703"/>
    <w:rsid w:val="00A73D4E"/>
    <w:rsid w:val="00A82B4C"/>
    <w:rsid w:val="00A96C67"/>
    <w:rsid w:val="00AA0FE9"/>
    <w:rsid w:val="00AA5538"/>
    <w:rsid w:val="00AB52AC"/>
    <w:rsid w:val="00AB7413"/>
    <w:rsid w:val="00AC4E91"/>
    <w:rsid w:val="00AE176C"/>
    <w:rsid w:val="00AF670E"/>
    <w:rsid w:val="00AF6971"/>
    <w:rsid w:val="00B0514C"/>
    <w:rsid w:val="00B10E1A"/>
    <w:rsid w:val="00B12957"/>
    <w:rsid w:val="00B167F2"/>
    <w:rsid w:val="00B203F7"/>
    <w:rsid w:val="00B26612"/>
    <w:rsid w:val="00B268A5"/>
    <w:rsid w:val="00B406D7"/>
    <w:rsid w:val="00B43570"/>
    <w:rsid w:val="00B810B8"/>
    <w:rsid w:val="00B8374F"/>
    <w:rsid w:val="00B84BA6"/>
    <w:rsid w:val="00B87211"/>
    <w:rsid w:val="00B87BD2"/>
    <w:rsid w:val="00BC5445"/>
    <w:rsid w:val="00BE5847"/>
    <w:rsid w:val="00BE6024"/>
    <w:rsid w:val="00C210F9"/>
    <w:rsid w:val="00C26102"/>
    <w:rsid w:val="00C3051B"/>
    <w:rsid w:val="00C37424"/>
    <w:rsid w:val="00C60D28"/>
    <w:rsid w:val="00C659F6"/>
    <w:rsid w:val="00C707E8"/>
    <w:rsid w:val="00C757FC"/>
    <w:rsid w:val="00CA50A5"/>
    <w:rsid w:val="00CA7BA3"/>
    <w:rsid w:val="00CC5575"/>
    <w:rsid w:val="00CF10BB"/>
    <w:rsid w:val="00CF3ADF"/>
    <w:rsid w:val="00CF3BF1"/>
    <w:rsid w:val="00D13682"/>
    <w:rsid w:val="00D23D2E"/>
    <w:rsid w:val="00D54C7E"/>
    <w:rsid w:val="00D55E5B"/>
    <w:rsid w:val="00D70342"/>
    <w:rsid w:val="00D72E70"/>
    <w:rsid w:val="00D73DA8"/>
    <w:rsid w:val="00D75B5B"/>
    <w:rsid w:val="00D971BD"/>
    <w:rsid w:val="00DB5019"/>
    <w:rsid w:val="00DB729D"/>
    <w:rsid w:val="00DD5AA3"/>
    <w:rsid w:val="00DF2B7D"/>
    <w:rsid w:val="00DF76F0"/>
    <w:rsid w:val="00E004A7"/>
    <w:rsid w:val="00E011D7"/>
    <w:rsid w:val="00E03AA8"/>
    <w:rsid w:val="00E06163"/>
    <w:rsid w:val="00E13994"/>
    <w:rsid w:val="00E15317"/>
    <w:rsid w:val="00E35577"/>
    <w:rsid w:val="00E429CF"/>
    <w:rsid w:val="00E4402F"/>
    <w:rsid w:val="00E6119D"/>
    <w:rsid w:val="00E74E4C"/>
    <w:rsid w:val="00E95341"/>
    <w:rsid w:val="00EA1E1D"/>
    <w:rsid w:val="00EA52E7"/>
    <w:rsid w:val="00EA6792"/>
    <w:rsid w:val="00EB2440"/>
    <w:rsid w:val="00EB29BE"/>
    <w:rsid w:val="00EB394B"/>
    <w:rsid w:val="00EC43F2"/>
    <w:rsid w:val="00ED5D57"/>
    <w:rsid w:val="00EE013B"/>
    <w:rsid w:val="00EE3282"/>
    <w:rsid w:val="00EF011F"/>
    <w:rsid w:val="00F134DC"/>
    <w:rsid w:val="00F24210"/>
    <w:rsid w:val="00F63FD6"/>
    <w:rsid w:val="00F7380C"/>
    <w:rsid w:val="00FA0736"/>
    <w:rsid w:val="00FB31FE"/>
    <w:rsid w:val="00FC302C"/>
    <w:rsid w:val="00FD79EB"/>
    <w:rsid w:val="00FE27BE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D3895"/>
  <w15:chartTrackingRefBased/>
  <w15:docId w15:val="{1C3D9009-E1CF-4A3E-8E76-F7D2F0F5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MX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381"/>
  </w:style>
  <w:style w:type="paragraph" w:styleId="Ttulo1">
    <w:name w:val="heading 1"/>
    <w:basedOn w:val="Normal"/>
    <w:next w:val="Normal"/>
    <w:link w:val="Ttulo1Car"/>
    <w:uiPriority w:val="9"/>
    <w:qFormat/>
    <w:rsid w:val="00703381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3381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3381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3381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3381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3381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3381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338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338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13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32838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AE176C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03381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3381"/>
    <w:rPr>
      <w:caps/>
      <w:spacing w:val="15"/>
      <w:shd w:val="clear" w:color="auto" w:fill="DEEAF6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3381"/>
    <w:rPr>
      <w:caps/>
      <w:color w:val="1F4D78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3381"/>
    <w:rPr>
      <w:caps/>
      <w:color w:val="2E74B5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3381"/>
    <w:rPr>
      <w:caps/>
      <w:color w:val="2E74B5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3381"/>
    <w:rPr>
      <w:caps/>
      <w:color w:val="2E74B5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3381"/>
    <w:rPr>
      <w:caps/>
      <w:color w:val="2E74B5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3381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3381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3381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03381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03381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0338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03381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703381"/>
    <w:rPr>
      <w:b/>
      <w:bCs/>
    </w:rPr>
  </w:style>
  <w:style w:type="character" w:styleId="nfasis">
    <w:name w:val="Emphasis"/>
    <w:uiPriority w:val="20"/>
    <w:qFormat/>
    <w:rsid w:val="00703381"/>
    <w:rPr>
      <w:caps/>
      <w:color w:val="1F4D78" w:themeColor="accent1" w:themeShade="7F"/>
      <w:spacing w:val="5"/>
    </w:rPr>
  </w:style>
  <w:style w:type="paragraph" w:styleId="Sinespaciado">
    <w:name w:val="No Spacing"/>
    <w:uiPriority w:val="1"/>
    <w:qFormat/>
    <w:rsid w:val="0070338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03381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03381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3381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3381"/>
    <w:rPr>
      <w:color w:val="5B9BD5" w:themeColor="accent1"/>
      <w:sz w:val="24"/>
      <w:szCs w:val="24"/>
    </w:rPr>
  </w:style>
  <w:style w:type="character" w:styleId="nfasissutil">
    <w:name w:val="Subtle Emphasis"/>
    <w:uiPriority w:val="19"/>
    <w:qFormat/>
    <w:rsid w:val="00703381"/>
    <w:rPr>
      <w:i/>
      <w:iCs/>
      <w:color w:val="1F4D78" w:themeColor="accent1" w:themeShade="7F"/>
    </w:rPr>
  </w:style>
  <w:style w:type="character" w:styleId="nfasisintenso">
    <w:name w:val="Intense Emphasis"/>
    <w:uiPriority w:val="21"/>
    <w:qFormat/>
    <w:rsid w:val="00703381"/>
    <w:rPr>
      <w:b/>
      <w:bCs/>
      <w:caps/>
      <w:color w:val="1F4D78" w:themeColor="accent1" w:themeShade="7F"/>
      <w:spacing w:val="10"/>
    </w:rPr>
  </w:style>
  <w:style w:type="character" w:styleId="Referenciasutil">
    <w:name w:val="Subtle Reference"/>
    <w:uiPriority w:val="31"/>
    <w:qFormat/>
    <w:rsid w:val="00703381"/>
    <w:rPr>
      <w:b/>
      <w:bCs/>
      <w:color w:val="5B9BD5" w:themeColor="accent1"/>
    </w:rPr>
  </w:style>
  <w:style w:type="character" w:styleId="Referenciaintensa">
    <w:name w:val="Intense Reference"/>
    <w:uiPriority w:val="32"/>
    <w:qFormat/>
    <w:rsid w:val="00703381"/>
    <w:rPr>
      <w:b/>
      <w:bCs/>
      <w:i/>
      <w:iCs/>
      <w:caps/>
      <w:color w:val="5B9BD5" w:themeColor="accent1"/>
    </w:rPr>
  </w:style>
  <w:style w:type="character" w:styleId="Ttulodellibro">
    <w:name w:val="Book Title"/>
    <w:uiPriority w:val="33"/>
    <w:qFormat/>
    <w:rsid w:val="00703381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3381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6D0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D0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  <w:style w:type="paragraph" w:styleId="Prrafodelista">
    <w:name w:val="List Paragraph"/>
    <w:basedOn w:val="Normal"/>
    <w:uiPriority w:val="34"/>
    <w:qFormat/>
    <w:rsid w:val="004C387B"/>
    <w:pPr>
      <w:spacing w:before="0" w:after="160" w:line="259" w:lineRule="auto"/>
      <w:ind w:left="708"/>
    </w:pPr>
    <w:rPr>
      <w:rFonts w:cs="Times New Roman"/>
      <w:sz w:val="22"/>
      <w:szCs w:val="22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06193"/>
    <w:pPr>
      <w:spacing w:before="0"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6193"/>
  </w:style>
  <w:style w:type="character" w:styleId="Refdenotaalpie">
    <w:name w:val="footnote reference"/>
    <w:basedOn w:val="Fuentedeprrafopredeter"/>
    <w:uiPriority w:val="99"/>
    <w:semiHidden/>
    <w:unhideWhenUsed/>
    <w:rsid w:val="0010619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4954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9544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44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4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448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A056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35577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1F1EAA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app/mapa/denue/default.aspx" TargetMode="External"/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negi.org.mx/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https://twitter.com/INEGI_INFORM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hyperlink" Target="https://www.youtube.com/user/INEGIInform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2.jpeg"/><Relationship Id="rId22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egi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hellsea.becerra\Downloads\NUMERALIA%20DENUE%2005%202021_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hellsea.becerra\Downloads\NUMERALIA%20DENUE%2005%202021_r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hellsea.becerra\AppData\Local\Microsoft\Windows\INetCache\Content.Outlook\L7YXORVT\Conteos_DENUE_11_20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4589314194577357E-2"/>
          <c:y val="0.12147732781322468"/>
          <c:w val="0.91287878787878773"/>
          <c:h val="0.8723044706766063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935-44BF-861B-D26E64F911C4}"/>
              </c:ext>
            </c:extLst>
          </c:dPt>
          <c:dPt>
            <c:idx val="1"/>
            <c:bubble3D val="0"/>
            <c:spPr>
              <a:solidFill>
                <a:srgbClr val="2E75B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935-44BF-861B-D26E64F911C4}"/>
              </c:ext>
            </c:extLst>
          </c:dPt>
          <c:dPt>
            <c:idx val="2"/>
            <c:bubble3D val="0"/>
            <c:spPr>
              <a:solidFill>
                <a:srgbClr val="FF33CC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935-44BF-861B-D26E64F911C4}"/>
              </c:ext>
            </c:extLst>
          </c:dPt>
          <c:dPt>
            <c:idx val="3"/>
            <c:bubble3D val="0"/>
            <c:spPr>
              <a:solidFill>
                <a:srgbClr val="F4B18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935-44BF-861B-D26E64F911C4}"/>
              </c:ext>
            </c:extLst>
          </c:dPt>
          <c:dLbls>
            <c:dLbl>
              <c:idx val="0"/>
              <c:layout>
                <c:manualLayout>
                  <c:x val="-0.1720761787306708"/>
                  <c:y val="7.2564160464979266E-2"/>
                </c:manualLayout>
              </c:layout>
              <c:tx>
                <c:rich>
                  <a:bodyPr/>
                  <a:lstStyle/>
                  <a:p>
                    <a:fld id="{E8171050-F013-4C53-8A46-B6D806D2867B}" type="PERCENTAGE">
                      <a:rPr lang="en-US" sz="1400" baseline="0"/>
                      <a:pPr/>
                      <a:t>[PORCENTAJE]</a:t>
                    </a:fld>
                    <a:endParaRPr lang="es-MX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078715919085313"/>
                      <c:h val="0.2605030403537866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935-44BF-861B-D26E64F911C4}"/>
                </c:ext>
              </c:extLst>
            </c:dLbl>
            <c:dLbl>
              <c:idx val="1"/>
              <c:layout>
                <c:manualLayout>
                  <c:x val="-0.24244920192392228"/>
                  <c:y val="-0.21160685821094327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40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B0D0E86E-E552-4520-8AB4-266805F40299}" type="PERCENTAGE"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1400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[PORCENTAJE]</a:t>
                    </a:fld>
                    <a:endParaRPr lang="es-MX"/>
                  </a:p>
                </c:rich>
              </c:tx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935-44BF-861B-D26E64F911C4}"/>
                </c:ext>
              </c:extLst>
            </c:dLbl>
            <c:dLbl>
              <c:idx val="2"/>
              <c:layout>
                <c:manualLayout>
                  <c:x val="0.19314194577352473"/>
                  <c:y val="-7.7973499984714895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400" b="1" i="0" u="none" strike="noStrike" kern="1200" baseline="0">
                        <a:solidFill>
                          <a:schemeClr val="bg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3316A8BF-AA36-4F65-9977-5B4DB52AE8C4}" type="PERCENTAGE"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1400">
                          <a:solidFill>
                            <a:schemeClr val="bg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[PORCENTAJE]</a:t>
                    </a:fld>
                    <a:endParaRPr lang="es-MX"/>
                  </a:p>
                </c:rich>
              </c:tx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935-44BF-861B-D26E64F911C4}"/>
                </c:ext>
              </c:extLst>
            </c:dLbl>
            <c:dLbl>
              <c:idx val="3"/>
              <c:layout>
                <c:manualLayout>
                  <c:x val="3.2491914763952662E-2"/>
                  <c:y val="-3.9903718502848837E-2"/>
                </c:manualLayout>
              </c:layout>
              <c:tx>
                <c:rich>
                  <a:bodyPr/>
                  <a:lstStyle/>
                  <a:p>
                    <a:fld id="{0B21B29D-0FA2-45C3-819E-46DA360E8FA3}" type="PERCENTAGE">
                      <a:rPr lang="en-US" baseline="0"/>
                      <a:pPr/>
                      <a:t>[PORCENTAJE]</a:t>
                    </a:fld>
                    <a:endParaRPr lang="es-MX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935-44BF-861B-D26E64F911C4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SECTOR!$B$25:$B$28</c:f>
              <c:strCache>
                <c:ptCount val="4"/>
                <c:pt idx="0">
                  <c:v>Manufacturas </c:v>
                </c:pt>
                <c:pt idx="1">
                  <c:v>Comercio</c:v>
                </c:pt>
                <c:pt idx="2">
                  <c:v>Servicios </c:v>
                </c:pt>
                <c:pt idx="3">
                  <c:v>Resto de sectores </c:v>
                </c:pt>
              </c:strCache>
            </c:strRef>
          </c:cat>
          <c:val>
            <c:numRef>
              <c:f>SECTOR!$C$25:$C$28</c:f>
              <c:numCache>
                <c:formatCode>0%</c:formatCode>
                <c:ptCount val="4"/>
                <c:pt idx="0">
                  <c:v>0.11</c:v>
                </c:pt>
                <c:pt idx="1">
                  <c:v>0.47</c:v>
                </c:pt>
                <c:pt idx="2">
                  <c:v>0.39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935-44BF-861B-D26E64F911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4589314194577357E-2"/>
          <c:y val="0.12147732781322468"/>
          <c:w val="0.91287878787878773"/>
          <c:h val="0.8723044706766063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A4C-4427-AB36-B07A85EC55EA}"/>
              </c:ext>
            </c:extLst>
          </c:dPt>
          <c:dPt>
            <c:idx val="1"/>
            <c:bubble3D val="0"/>
            <c:spPr>
              <a:solidFill>
                <a:srgbClr val="2E75B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A4C-4427-AB36-B07A85EC55EA}"/>
              </c:ext>
            </c:extLst>
          </c:dPt>
          <c:dPt>
            <c:idx val="2"/>
            <c:bubble3D val="0"/>
            <c:spPr>
              <a:solidFill>
                <a:srgbClr val="FF33CC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A4C-4427-AB36-B07A85EC55EA}"/>
              </c:ext>
            </c:extLst>
          </c:dPt>
          <c:dPt>
            <c:idx val="3"/>
            <c:bubble3D val="0"/>
            <c:spPr>
              <a:solidFill>
                <a:srgbClr val="F4B18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A4C-4427-AB36-B07A85EC55EA}"/>
              </c:ext>
            </c:extLst>
          </c:dPt>
          <c:dLbls>
            <c:dLbl>
              <c:idx val="0"/>
              <c:layout>
                <c:manualLayout>
                  <c:x val="-0.1720761787306708"/>
                  <c:y val="7.2564160464979266E-2"/>
                </c:manualLayout>
              </c:layout>
              <c:tx>
                <c:rich>
                  <a:bodyPr/>
                  <a:lstStyle/>
                  <a:p>
                    <a:fld id="{E8171050-F013-4C53-8A46-B6D806D2867B}" type="PERCENTAGE">
                      <a:rPr lang="en-US" sz="1400" baseline="0"/>
                      <a:pPr/>
                      <a:t>[PORCENTAJE]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078715919085313"/>
                      <c:h val="0.2605030403537866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A4C-4427-AB36-B07A85EC55EA}"/>
                </c:ext>
              </c:extLst>
            </c:dLbl>
            <c:dLbl>
              <c:idx val="1"/>
              <c:layout>
                <c:manualLayout>
                  <c:x val="-0.24244920192392228"/>
                  <c:y val="-0.21160685821094327"/>
                </c:manualLayout>
              </c:layout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A4C-4427-AB36-B07A85EC55EA}"/>
                </c:ext>
              </c:extLst>
            </c:dLbl>
            <c:dLbl>
              <c:idx val="2"/>
              <c:layout>
                <c:manualLayout>
                  <c:x val="0.19314194577352473"/>
                  <c:y val="-7.7973499984714895E-2"/>
                </c:manualLayout>
              </c:layout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A4C-4427-AB36-B07A85EC55EA}"/>
                </c:ext>
              </c:extLst>
            </c:dLbl>
            <c:dLbl>
              <c:idx val="3"/>
              <c:layout>
                <c:manualLayout>
                  <c:x val="3.2491914763952662E-2"/>
                  <c:y val="-3.990371850284883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A4C-4427-AB36-B07A85EC55EA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SECTOR!$B$25:$B$28</c:f>
              <c:strCache>
                <c:ptCount val="4"/>
                <c:pt idx="0">
                  <c:v>Manufacturas </c:v>
                </c:pt>
                <c:pt idx="1">
                  <c:v>Comercio</c:v>
                </c:pt>
                <c:pt idx="2">
                  <c:v>Servicios </c:v>
                </c:pt>
                <c:pt idx="3">
                  <c:v>Resto de sectores </c:v>
                </c:pt>
              </c:strCache>
            </c:strRef>
          </c:cat>
          <c:val>
            <c:numRef>
              <c:f>SECTOR!$C$25:$C$28</c:f>
              <c:numCache>
                <c:formatCode>#,##0</c:formatCode>
                <c:ptCount val="4"/>
                <c:pt idx="0">
                  <c:v>608476</c:v>
                </c:pt>
                <c:pt idx="1">
                  <c:v>2403696</c:v>
                </c:pt>
                <c:pt idx="2">
                  <c:v>2247960</c:v>
                </c:pt>
                <c:pt idx="3">
                  <c:v>269069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A4C-4427-AB36-B07A85EC55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'Establecimientos por Entidad'!$C$1</c:f>
              <c:strCache>
                <c:ptCount val="1"/>
                <c:pt idx="0">
                  <c:v>REGISTROS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'Establecimientos por Entidad'!$B$2:$B$33</c:f>
              <c:strCache>
                <c:ptCount val="32"/>
                <c:pt idx="0">
                  <c:v>México</c:v>
                </c:pt>
                <c:pt idx="1">
                  <c:v>Ciudad de México</c:v>
                </c:pt>
                <c:pt idx="2">
                  <c:v>Jalisco</c:v>
                </c:pt>
                <c:pt idx="3">
                  <c:v>Puebla</c:v>
                </c:pt>
                <c:pt idx="4">
                  <c:v>Veracruz de Ignacio de la Llave</c:v>
                </c:pt>
                <c:pt idx="5">
                  <c:v>Guanajuato</c:v>
                </c:pt>
                <c:pt idx="6">
                  <c:v>Michoacán de Ocampo</c:v>
                </c:pt>
                <c:pt idx="7">
                  <c:v>Oaxaca</c:v>
                </c:pt>
                <c:pt idx="8">
                  <c:v>Chiapas</c:v>
                </c:pt>
                <c:pt idx="9">
                  <c:v>Nuevo León</c:v>
                </c:pt>
                <c:pt idx="10">
                  <c:v>Guerrero</c:v>
                </c:pt>
                <c:pt idx="11">
                  <c:v>Hidalgo</c:v>
                </c:pt>
                <c:pt idx="12">
                  <c:v>Tamaulipas</c:v>
                </c:pt>
                <c:pt idx="13">
                  <c:v>Yucatán</c:v>
                </c:pt>
                <c:pt idx="14">
                  <c:v>Chihuahua</c:v>
                </c:pt>
                <c:pt idx="15">
                  <c:v>Baja California</c:v>
                </c:pt>
                <c:pt idx="16">
                  <c:v>Sinaloa</c:v>
                </c:pt>
                <c:pt idx="17">
                  <c:v>Sonora</c:v>
                </c:pt>
                <c:pt idx="18">
                  <c:v>Coahuila de Zaragoza</c:v>
                </c:pt>
                <c:pt idx="19">
                  <c:v>San Luis Potosí</c:v>
                </c:pt>
                <c:pt idx="20">
                  <c:v>Morelos</c:v>
                </c:pt>
                <c:pt idx="21">
                  <c:v>Querétaro</c:v>
                </c:pt>
                <c:pt idx="22">
                  <c:v>Tabasco</c:v>
                </c:pt>
                <c:pt idx="23">
                  <c:v>Tlaxcala</c:v>
                </c:pt>
                <c:pt idx="24">
                  <c:v>Zacatecas</c:v>
                </c:pt>
                <c:pt idx="25">
                  <c:v>Durango</c:v>
                </c:pt>
                <c:pt idx="26">
                  <c:v>Quintana Roo</c:v>
                </c:pt>
                <c:pt idx="27">
                  <c:v>Nayarit</c:v>
                </c:pt>
                <c:pt idx="28">
                  <c:v>Aguascalientes</c:v>
                </c:pt>
                <c:pt idx="29">
                  <c:v>Campeche</c:v>
                </c:pt>
                <c:pt idx="30">
                  <c:v>Colima</c:v>
                </c:pt>
                <c:pt idx="31">
                  <c:v>Baja California Sur</c:v>
                </c:pt>
              </c:strCache>
            </c:strRef>
          </c:cat>
          <c:val>
            <c:numRef>
              <c:f>'Establecimientos por Entidad'!$C$2:$C$33</c:f>
              <c:numCache>
                <c:formatCode>#,##0</c:formatCode>
                <c:ptCount val="32"/>
                <c:pt idx="0">
                  <c:v>700460</c:v>
                </c:pt>
                <c:pt idx="1">
                  <c:v>474332</c:v>
                </c:pt>
                <c:pt idx="2">
                  <c:v>378100</c:v>
                </c:pt>
                <c:pt idx="3">
                  <c:v>343597</c:v>
                </c:pt>
                <c:pt idx="4">
                  <c:v>326741</c:v>
                </c:pt>
                <c:pt idx="5">
                  <c:v>272559</c:v>
                </c:pt>
                <c:pt idx="6">
                  <c:v>260229</c:v>
                </c:pt>
                <c:pt idx="7">
                  <c:v>250852</c:v>
                </c:pt>
                <c:pt idx="8">
                  <c:v>218851</c:v>
                </c:pt>
                <c:pt idx="9">
                  <c:v>186120</c:v>
                </c:pt>
                <c:pt idx="10">
                  <c:v>169784</c:v>
                </c:pt>
                <c:pt idx="11">
                  <c:v>139270</c:v>
                </c:pt>
                <c:pt idx="12">
                  <c:v>132950</c:v>
                </c:pt>
                <c:pt idx="13">
                  <c:v>130390</c:v>
                </c:pt>
                <c:pt idx="14">
                  <c:v>128182</c:v>
                </c:pt>
                <c:pt idx="15">
                  <c:v>125979</c:v>
                </c:pt>
                <c:pt idx="16">
                  <c:v>123641</c:v>
                </c:pt>
                <c:pt idx="17">
                  <c:v>118970</c:v>
                </c:pt>
                <c:pt idx="18">
                  <c:v>114487</c:v>
                </c:pt>
                <c:pt idx="19">
                  <c:v>113405</c:v>
                </c:pt>
                <c:pt idx="20">
                  <c:v>111433</c:v>
                </c:pt>
                <c:pt idx="21">
                  <c:v>94380</c:v>
                </c:pt>
                <c:pt idx="22">
                  <c:v>85958</c:v>
                </c:pt>
                <c:pt idx="23">
                  <c:v>82497</c:v>
                </c:pt>
                <c:pt idx="24">
                  <c:v>69306</c:v>
                </c:pt>
                <c:pt idx="25">
                  <c:v>66752</c:v>
                </c:pt>
                <c:pt idx="26">
                  <c:v>66311</c:v>
                </c:pt>
                <c:pt idx="27">
                  <c:v>66147</c:v>
                </c:pt>
                <c:pt idx="28">
                  <c:v>61656</c:v>
                </c:pt>
                <c:pt idx="29">
                  <c:v>41613</c:v>
                </c:pt>
                <c:pt idx="30">
                  <c:v>38502</c:v>
                </c:pt>
                <c:pt idx="31">
                  <c:v>35747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EF-42F7-B7A5-1E368F082B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691615"/>
        <c:axId val="3694943"/>
      </c:barChart>
      <c:catAx>
        <c:axId val="3691615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694943"/>
        <c:crosses val="autoZero"/>
        <c:auto val="1"/>
        <c:lblAlgn val="ctr"/>
        <c:lblOffset val="100"/>
        <c:noMultiLvlLbl val="0"/>
      </c:catAx>
      <c:valAx>
        <c:axId val="3694943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6916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E2D4F-949E-4FC3-8E5B-F371B4FD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676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Actualización del Directorio Estadístico Nacional de Unidades Económicas (DENUE INTERACTIVO 11/2021)</vt:lpstr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Actualización del Directorio Estadístico Nacional de Unidades Económicas (DENUE INTERACTIVO 11/2021)</dc:title>
  <dc:subject/>
  <dc:creator>INEGI</dc:creator>
  <cp:keywords/>
  <dc:description/>
  <cp:lastModifiedBy>GUILLEN MEDINA MOISES</cp:lastModifiedBy>
  <cp:revision>6</cp:revision>
  <cp:lastPrinted>2019-11-12T18:08:00Z</cp:lastPrinted>
  <dcterms:created xsi:type="dcterms:W3CDTF">2021-11-17T19:32:00Z</dcterms:created>
  <dcterms:modified xsi:type="dcterms:W3CDTF">2021-11-17T21:55:00Z</dcterms:modified>
</cp:coreProperties>
</file>