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9E2D5" w14:textId="60B8365D" w:rsidR="00CD0428" w:rsidRDefault="00434A56" w:rsidP="00434A56">
      <w:pPr>
        <w:ind w:left="-284"/>
        <w:jc w:val="center"/>
        <w:rPr>
          <w:b/>
          <w:sz w:val="24"/>
          <w:szCs w:val="24"/>
        </w:rPr>
      </w:pPr>
      <w:r>
        <w:rPr>
          <w:b/>
          <w:sz w:val="24"/>
          <w:szCs w:val="24"/>
        </w:rPr>
        <w:t xml:space="preserve">EL INEGI PRESENTA RESULTADOS DE LA </w:t>
      </w:r>
      <w:r w:rsidR="00CD0428" w:rsidRPr="00DC4F0B">
        <w:rPr>
          <w:b/>
          <w:sz w:val="24"/>
          <w:szCs w:val="24"/>
        </w:rPr>
        <w:t>ENCUESTA SOBRE EL IMPACTO GENERADO POR COVID-19 EN LAS EMPRESAS (ECOVID-IE</w:t>
      </w:r>
      <w:r>
        <w:rPr>
          <w:b/>
          <w:sz w:val="24"/>
          <w:szCs w:val="24"/>
        </w:rPr>
        <w:t>)</w:t>
      </w:r>
      <w:r w:rsidR="004D3395">
        <w:rPr>
          <w:b/>
          <w:sz w:val="24"/>
          <w:szCs w:val="24"/>
        </w:rPr>
        <w:t>,</w:t>
      </w:r>
      <w:r>
        <w:rPr>
          <w:b/>
          <w:sz w:val="24"/>
          <w:szCs w:val="24"/>
        </w:rPr>
        <w:t xml:space="preserve"> TERCERA EDICIÓN</w:t>
      </w:r>
    </w:p>
    <w:p w14:paraId="1ED8610F" w14:textId="6E10473A" w:rsidR="00434A56" w:rsidRDefault="00434A56" w:rsidP="00434A56">
      <w:pPr>
        <w:ind w:left="-284"/>
        <w:jc w:val="center"/>
        <w:rPr>
          <w:b/>
          <w:sz w:val="24"/>
          <w:szCs w:val="24"/>
        </w:rPr>
      </w:pPr>
    </w:p>
    <w:p w14:paraId="0189608E" w14:textId="78CFF4A2" w:rsidR="00434A56" w:rsidRPr="00434A56" w:rsidRDefault="00434A56" w:rsidP="00F23527">
      <w:pPr>
        <w:pStyle w:val="Prrafodelista"/>
        <w:numPr>
          <w:ilvl w:val="0"/>
          <w:numId w:val="11"/>
        </w:numPr>
        <w:ind w:left="284" w:right="425" w:hanging="284"/>
        <w:jc w:val="both"/>
        <w:rPr>
          <w:sz w:val="24"/>
          <w:szCs w:val="24"/>
        </w:rPr>
      </w:pPr>
      <w:r>
        <w:rPr>
          <w:sz w:val="24"/>
          <w:szCs w:val="24"/>
        </w:rPr>
        <w:t>La ECOVID-IE</w:t>
      </w:r>
      <w:r w:rsidRPr="00434A56">
        <w:rPr>
          <w:sz w:val="24"/>
          <w:szCs w:val="24"/>
        </w:rPr>
        <w:t xml:space="preserve"> estima que, de 1</w:t>
      </w:r>
      <w:r w:rsidR="008D6193">
        <w:rPr>
          <w:sz w:val="24"/>
          <w:szCs w:val="24"/>
        </w:rPr>
        <w:t xml:space="preserve"> </w:t>
      </w:r>
      <w:r w:rsidRPr="00434A56">
        <w:rPr>
          <w:sz w:val="24"/>
          <w:szCs w:val="24"/>
        </w:rPr>
        <w:t>873</w:t>
      </w:r>
      <w:r w:rsidR="008D6193">
        <w:rPr>
          <w:sz w:val="24"/>
          <w:szCs w:val="24"/>
        </w:rPr>
        <w:t xml:space="preserve"> </w:t>
      </w:r>
      <w:r w:rsidRPr="00434A56">
        <w:rPr>
          <w:sz w:val="24"/>
          <w:szCs w:val="24"/>
        </w:rPr>
        <w:t xml:space="preserve">564 empresas en el país, 85.5% indicó haber tenido alguna afectación a causa de la </w:t>
      </w:r>
      <w:r w:rsidR="00470293">
        <w:rPr>
          <w:sz w:val="24"/>
          <w:szCs w:val="24"/>
        </w:rPr>
        <w:t>pandemia.</w:t>
      </w:r>
      <w:r w:rsidR="00604CE7">
        <w:rPr>
          <w:sz w:val="24"/>
          <w:szCs w:val="24"/>
        </w:rPr>
        <w:t xml:space="preserve"> </w:t>
      </w:r>
      <w:r w:rsidR="00470293">
        <w:rPr>
          <w:sz w:val="24"/>
          <w:szCs w:val="24"/>
        </w:rPr>
        <w:t>En la segunda edición</w:t>
      </w:r>
      <w:r w:rsidR="0044079F">
        <w:rPr>
          <w:sz w:val="24"/>
          <w:szCs w:val="24"/>
        </w:rPr>
        <w:t>,</w:t>
      </w:r>
      <w:r w:rsidR="00470293">
        <w:rPr>
          <w:sz w:val="24"/>
          <w:szCs w:val="24"/>
        </w:rPr>
        <w:t xml:space="preserve"> la proporción fue de </w:t>
      </w:r>
      <w:r w:rsidRPr="00434A56">
        <w:rPr>
          <w:sz w:val="24"/>
          <w:szCs w:val="24"/>
        </w:rPr>
        <w:t xml:space="preserve">86.6% </w:t>
      </w:r>
      <w:r w:rsidR="00470293">
        <w:rPr>
          <w:sz w:val="24"/>
          <w:szCs w:val="24"/>
        </w:rPr>
        <w:t>y en la primera, de 93.2 por ciento</w:t>
      </w:r>
    </w:p>
    <w:p w14:paraId="45307B20" w14:textId="2C8A39E6" w:rsidR="00434A56" w:rsidRPr="00470293" w:rsidRDefault="00470293" w:rsidP="00F23527">
      <w:pPr>
        <w:pStyle w:val="Prrafodelista"/>
        <w:numPr>
          <w:ilvl w:val="0"/>
          <w:numId w:val="11"/>
        </w:numPr>
        <w:ind w:left="284" w:right="425" w:hanging="284"/>
        <w:jc w:val="both"/>
        <w:rPr>
          <w:sz w:val="24"/>
          <w:szCs w:val="24"/>
        </w:rPr>
      </w:pPr>
      <w:r w:rsidRPr="00470293">
        <w:rPr>
          <w:sz w:val="24"/>
          <w:szCs w:val="24"/>
        </w:rPr>
        <w:t>L</w:t>
      </w:r>
      <w:r w:rsidR="00434A56" w:rsidRPr="00470293">
        <w:rPr>
          <w:sz w:val="24"/>
          <w:szCs w:val="24"/>
        </w:rPr>
        <w:t xml:space="preserve">a disminución de los ingresos </w:t>
      </w:r>
      <w:r w:rsidRPr="00470293">
        <w:rPr>
          <w:sz w:val="24"/>
          <w:szCs w:val="24"/>
        </w:rPr>
        <w:t>fue</w:t>
      </w:r>
      <w:r w:rsidR="00434A56" w:rsidRPr="00470293">
        <w:rPr>
          <w:sz w:val="24"/>
          <w:szCs w:val="24"/>
        </w:rPr>
        <w:t xml:space="preserve"> el principal tipo de afectación </w:t>
      </w:r>
      <w:r w:rsidR="00E51911">
        <w:rPr>
          <w:sz w:val="24"/>
          <w:szCs w:val="24"/>
        </w:rPr>
        <w:t>reportado por</w:t>
      </w:r>
      <w:r w:rsidR="00434A56" w:rsidRPr="00470293">
        <w:rPr>
          <w:sz w:val="24"/>
          <w:szCs w:val="24"/>
        </w:rPr>
        <w:t xml:space="preserve"> 73.8% de las empresas</w:t>
      </w:r>
      <w:r w:rsidRPr="00470293">
        <w:rPr>
          <w:sz w:val="24"/>
          <w:szCs w:val="24"/>
        </w:rPr>
        <w:t xml:space="preserve">; </w:t>
      </w:r>
      <w:r w:rsidR="00434A56" w:rsidRPr="00470293">
        <w:rPr>
          <w:sz w:val="24"/>
          <w:szCs w:val="24"/>
        </w:rPr>
        <w:t>le siguen la baja en la demanda</w:t>
      </w:r>
      <w:r w:rsidR="00604CE7">
        <w:rPr>
          <w:sz w:val="24"/>
          <w:szCs w:val="24"/>
        </w:rPr>
        <w:t xml:space="preserve"> </w:t>
      </w:r>
      <w:r>
        <w:rPr>
          <w:sz w:val="24"/>
          <w:szCs w:val="24"/>
        </w:rPr>
        <w:t>con 50.2%</w:t>
      </w:r>
      <w:r w:rsidR="00E51911">
        <w:rPr>
          <w:sz w:val="24"/>
          <w:szCs w:val="24"/>
        </w:rPr>
        <w:t xml:space="preserve"> </w:t>
      </w:r>
      <w:r w:rsidR="00434A56" w:rsidRPr="00470293">
        <w:rPr>
          <w:sz w:val="24"/>
          <w:szCs w:val="24"/>
        </w:rPr>
        <w:t>y la escasez de los insumos y/o productos</w:t>
      </w:r>
      <w:r>
        <w:rPr>
          <w:sz w:val="24"/>
          <w:szCs w:val="24"/>
        </w:rPr>
        <w:t xml:space="preserve"> con 29.2 por ciento</w:t>
      </w:r>
      <w:r w:rsidR="00434A56" w:rsidRPr="00470293">
        <w:rPr>
          <w:sz w:val="24"/>
          <w:szCs w:val="24"/>
        </w:rPr>
        <w:t xml:space="preserve"> </w:t>
      </w:r>
    </w:p>
    <w:p w14:paraId="69C441A9" w14:textId="4F8918AD" w:rsidR="00434A56" w:rsidRPr="00434A56" w:rsidRDefault="00E51911" w:rsidP="00F23527">
      <w:pPr>
        <w:pStyle w:val="Prrafodelista"/>
        <w:numPr>
          <w:ilvl w:val="0"/>
          <w:numId w:val="11"/>
        </w:numPr>
        <w:ind w:left="284" w:right="425" w:hanging="284"/>
        <w:jc w:val="both"/>
        <w:rPr>
          <w:sz w:val="24"/>
          <w:szCs w:val="24"/>
        </w:rPr>
      </w:pPr>
      <w:r>
        <w:rPr>
          <w:sz w:val="24"/>
          <w:szCs w:val="24"/>
        </w:rPr>
        <w:t>16.6% de l</w:t>
      </w:r>
      <w:r w:rsidR="00470293">
        <w:rPr>
          <w:sz w:val="24"/>
          <w:szCs w:val="24"/>
        </w:rPr>
        <w:t xml:space="preserve">as </w:t>
      </w:r>
      <w:r w:rsidR="00434A56" w:rsidRPr="00434A56">
        <w:rPr>
          <w:sz w:val="24"/>
          <w:szCs w:val="24"/>
        </w:rPr>
        <w:t>empresas aplicaron cierres temporales o paros técnicos</w:t>
      </w:r>
      <w:r>
        <w:rPr>
          <w:sz w:val="24"/>
          <w:szCs w:val="24"/>
        </w:rPr>
        <w:t>; en</w:t>
      </w:r>
      <w:r w:rsidR="00F23527">
        <w:rPr>
          <w:sz w:val="24"/>
          <w:szCs w:val="24"/>
        </w:rPr>
        <w:t xml:space="preserve"> la segunda edición la proporción fue de </w:t>
      </w:r>
      <w:r w:rsidR="00434A56" w:rsidRPr="00434A56">
        <w:rPr>
          <w:sz w:val="24"/>
          <w:szCs w:val="24"/>
        </w:rPr>
        <w:t>23.1%</w:t>
      </w:r>
      <w:r w:rsidR="00F23527">
        <w:rPr>
          <w:sz w:val="24"/>
          <w:szCs w:val="24"/>
        </w:rPr>
        <w:t xml:space="preserve"> y </w:t>
      </w:r>
      <w:r>
        <w:rPr>
          <w:sz w:val="24"/>
        </w:rPr>
        <w:t>en la primera</w:t>
      </w:r>
      <w:r w:rsidR="0044079F">
        <w:rPr>
          <w:sz w:val="24"/>
        </w:rPr>
        <w:t>,</w:t>
      </w:r>
      <w:r>
        <w:rPr>
          <w:sz w:val="24"/>
        </w:rPr>
        <w:t xml:space="preserve"> de 59.6 por ciento.</w:t>
      </w:r>
    </w:p>
    <w:p w14:paraId="6357E731" w14:textId="77777777" w:rsidR="00434A56" w:rsidRPr="00E51911" w:rsidRDefault="00434A56" w:rsidP="00E51911">
      <w:pPr>
        <w:pStyle w:val="Prrafodelista"/>
        <w:ind w:left="436" w:firstLine="0"/>
        <w:jc w:val="both"/>
        <w:rPr>
          <w:bCs/>
          <w:sz w:val="24"/>
          <w:szCs w:val="24"/>
        </w:rPr>
      </w:pPr>
    </w:p>
    <w:p w14:paraId="28C204AC" w14:textId="343822AA" w:rsidR="00CD0428" w:rsidRPr="00DC4F0B" w:rsidRDefault="00F23527" w:rsidP="00F23527">
      <w:pPr>
        <w:ind w:left="-284"/>
        <w:jc w:val="both"/>
        <w:rPr>
          <w:sz w:val="24"/>
          <w:szCs w:val="24"/>
        </w:rPr>
      </w:pPr>
      <w:r w:rsidRPr="00F23527">
        <w:rPr>
          <w:sz w:val="24"/>
          <w:szCs w:val="24"/>
        </w:rPr>
        <w:t>El I</w:t>
      </w:r>
      <w:r>
        <w:rPr>
          <w:sz w:val="24"/>
          <w:szCs w:val="24"/>
        </w:rPr>
        <w:t>NEGI</w:t>
      </w:r>
      <w:r w:rsidRPr="00F23527">
        <w:rPr>
          <w:sz w:val="24"/>
          <w:szCs w:val="24"/>
        </w:rPr>
        <w:t xml:space="preserve"> </w:t>
      </w:r>
      <w:r>
        <w:rPr>
          <w:sz w:val="24"/>
          <w:szCs w:val="24"/>
        </w:rPr>
        <w:t>p</w:t>
      </w:r>
      <w:r w:rsidRPr="00F23527">
        <w:rPr>
          <w:sz w:val="24"/>
          <w:szCs w:val="24"/>
        </w:rPr>
        <w:t xml:space="preserve">resenta </w:t>
      </w:r>
      <w:r>
        <w:rPr>
          <w:sz w:val="24"/>
          <w:szCs w:val="24"/>
        </w:rPr>
        <w:t>los r</w:t>
      </w:r>
      <w:r w:rsidRPr="00F23527">
        <w:rPr>
          <w:sz w:val="24"/>
          <w:szCs w:val="24"/>
        </w:rPr>
        <w:t xml:space="preserve">esultados </w:t>
      </w:r>
      <w:r>
        <w:rPr>
          <w:sz w:val="24"/>
          <w:szCs w:val="24"/>
        </w:rPr>
        <w:t>d</w:t>
      </w:r>
      <w:r w:rsidRPr="00F23527">
        <w:rPr>
          <w:sz w:val="24"/>
          <w:szCs w:val="24"/>
        </w:rPr>
        <w:t xml:space="preserve">e </w:t>
      </w:r>
      <w:r>
        <w:rPr>
          <w:sz w:val="24"/>
          <w:szCs w:val="24"/>
        </w:rPr>
        <w:t>l</w:t>
      </w:r>
      <w:r w:rsidRPr="00F23527">
        <w:rPr>
          <w:sz w:val="24"/>
          <w:szCs w:val="24"/>
        </w:rPr>
        <w:t xml:space="preserve">a </w:t>
      </w:r>
      <w:r>
        <w:rPr>
          <w:sz w:val="24"/>
          <w:szCs w:val="24"/>
        </w:rPr>
        <w:t xml:space="preserve">tercera edición de la </w:t>
      </w:r>
      <w:r w:rsidRPr="00F23527">
        <w:rPr>
          <w:sz w:val="24"/>
          <w:szCs w:val="24"/>
        </w:rPr>
        <w:t xml:space="preserve">Encuesta </w:t>
      </w:r>
      <w:r>
        <w:rPr>
          <w:sz w:val="24"/>
          <w:szCs w:val="24"/>
        </w:rPr>
        <w:t>s</w:t>
      </w:r>
      <w:r w:rsidRPr="00F23527">
        <w:rPr>
          <w:sz w:val="24"/>
          <w:szCs w:val="24"/>
        </w:rPr>
        <w:t xml:space="preserve">obre </w:t>
      </w:r>
      <w:r>
        <w:rPr>
          <w:sz w:val="24"/>
          <w:szCs w:val="24"/>
        </w:rPr>
        <w:t>e</w:t>
      </w:r>
      <w:r w:rsidRPr="00F23527">
        <w:rPr>
          <w:sz w:val="24"/>
          <w:szCs w:val="24"/>
        </w:rPr>
        <w:t xml:space="preserve">l </w:t>
      </w:r>
      <w:r>
        <w:rPr>
          <w:sz w:val="24"/>
          <w:szCs w:val="24"/>
        </w:rPr>
        <w:t>i</w:t>
      </w:r>
      <w:r w:rsidRPr="00F23527">
        <w:rPr>
          <w:sz w:val="24"/>
          <w:szCs w:val="24"/>
        </w:rPr>
        <w:t xml:space="preserve">mpacto </w:t>
      </w:r>
      <w:r>
        <w:rPr>
          <w:sz w:val="24"/>
          <w:szCs w:val="24"/>
        </w:rPr>
        <w:t>g</w:t>
      </w:r>
      <w:r w:rsidRPr="00F23527">
        <w:rPr>
          <w:sz w:val="24"/>
          <w:szCs w:val="24"/>
        </w:rPr>
        <w:t xml:space="preserve">enerado </w:t>
      </w:r>
      <w:r>
        <w:rPr>
          <w:sz w:val="24"/>
          <w:szCs w:val="24"/>
        </w:rPr>
        <w:t>p</w:t>
      </w:r>
      <w:r w:rsidRPr="00F23527">
        <w:rPr>
          <w:sz w:val="24"/>
          <w:szCs w:val="24"/>
        </w:rPr>
        <w:t>or C</w:t>
      </w:r>
      <w:r>
        <w:rPr>
          <w:sz w:val="24"/>
          <w:szCs w:val="24"/>
        </w:rPr>
        <w:t>OVID</w:t>
      </w:r>
      <w:r w:rsidRPr="00F23527">
        <w:rPr>
          <w:sz w:val="24"/>
          <w:szCs w:val="24"/>
        </w:rPr>
        <w:t xml:space="preserve">-19 </w:t>
      </w:r>
      <w:r>
        <w:rPr>
          <w:sz w:val="24"/>
          <w:szCs w:val="24"/>
        </w:rPr>
        <w:t>e</w:t>
      </w:r>
      <w:r w:rsidRPr="00F23527">
        <w:rPr>
          <w:sz w:val="24"/>
          <w:szCs w:val="24"/>
        </w:rPr>
        <w:t xml:space="preserve">n </w:t>
      </w:r>
      <w:r>
        <w:rPr>
          <w:sz w:val="24"/>
          <w:szCs w:val="24"/>
        </w:rPr>
        <w:t>l</w:t>
      </w:r>
      <w:r w:rsidRPr="00F23527">
        <w:rPr>
          <w:sz w:val="24"/>
          <w:szCs w:val="24"/>
        </w:rPr>
        <w:t xml:space="preserve">as </w:t>
      </w:r>
      <w:r>
        <w:rPr>
          <w:sz w:val="24"/>
          <w:szCs w:val="24"/>
        </w:rPr>
        <w:t>e</w:t>
      </w:r>
      <w:r w:rsidRPr="00F23527">
        <w:rPr>
          <w:sz w:val="24"/>
          <w:szCs w:val="24"/>
        </w:rPr>
        <w:t>mpresas (ECOVID-IE)</w:t>
      </w:r>
      <w:r>
        <w:rPr>
          <w:sz w:val="24"/>
          <w:szCs w:val="24"/>
        </w:rPr>
        <w:t xml:space="preserve"> que tiene como o</w:t>
      </w:r>
      <w:r w:rsidR="00CD0428" w:rsidRPr="00DC4F0B">
        <w:rPr>
          <w:sz w:val="24"/>
          <w:szCs w:val="24"/>
        </w:rPr>
        <w:t>bjetivo conocer la situación actual y afectaciones de las empresas por la contingencia originada por COVID-19</w:t>
      </w:r>
      <w:r w:rsidR="008D6193">
        <w:rPr>
          <w:sz w:val="24"/>
          <w:szCs w:val="24"/>
        </w:rPr>
        <w:t>.</w:t>
      </w:r>
    </w:p>
    <w:p w14:paraId="363A12D3" w14:textId="77777777" w:rsidR="00CD0428" w:rsidRPr="00DC4F0B" w:rsidRDefault="00CD0428" w:rsidP="00DC4F0B">
      <w:pPr>
        <w:pStyle w:val="Textoindependiente"/>
        <w:ind w:left="-284"/>
        <w:jc w:val="both"/>
      </w:pPr>
    </w:p>
    <w:p w14:paraId="6CF10869" w14:textId="7F8A3EF9" w:rsidR="00CD0428" w:rsidRPr="00DC4F0B" w:rsidRDefault="00CD0428" w:rsidP="008D6193">
      <w:pPr>
        <w:ind w:left="-284"/>
        <w:jc w:val="both"/>
        <w:rPr>
          <w:sz w:val="24"/>
          <w:szCs w:val="24"/>
        </w:rPr>
      </w:pPr>
      <w:r w:rsidRPr="00DC4F0B">
        <w:rPr>
          <w:sz w:val="24"/>
          <w:szCs w:val="24"/>
        </w:rPr>
        <w:t>Las estimaciones de la ECOVID-IE tercer</w:t>
      </w:r>
      <w:r w:rsidR="004D3395">
        <w:rPr>
          <w:sz w:val="24"/>
          <w:szCs w:val="24"/>
        </w:rPr>
        <w:t>a</w:t>
      </w:r>
      <w:r w:rsidRPr="00DC4F0B">
        <w:rPr>
          <w:sz w:val="24"/>
          <w:szCs w:val="24"/>
        </w:rPr>
        <w:t xml:space="preserve"> </w:t>
      </w:r>
      <w:r w:rsidR="008D6193">
        <w:rPr>
          <w:sz w:val="24"/>
          <w:szCs w:val="24"/>
        </w:rPr>
        <w:t>edición</w:t>
      </w:r>
      <w:r w:rsidR="008D6193" w:rsidRPr="008D6193">
        <w:rPr>
          <w:sz w:val="24"/>
          <w:szCs w:val="24"/>
        </w:rPr>
        <w:t xml:space="preserve"> </w:t>
      </w:r>
      <w:r w:rsidR="008D6193" w:rsidRPr="00DC4F0B">
        <w:rPr>
          <w:sz w:val="24"/>
          <w:szCs w:val="24"/>
        </w:rPr>
        <w:t>da</w:t>
      </w:r>
      <w:r w:rsidR="008D6193">
        <w:rPr>
          <w:sz w:val="24"/>
          <w:szCs w:val="24"/>
        </w:rPr>
        <w:t>n</w:t>
      </w:r>
      <w:r w:rsidR="008D6193" w:rsidRPr="00DC4F0B">
        <w:rPr>
          <w:sz w:val="24"/>
          <w:szCs w:val="24"/>
        </w:rPr>
        <w:t xml:space="preserve"> continuidad al análisis de las unidades económicas que se captaron en </w:t>
      </w:r>
      <w:r w:rsidR="00604CE7">
        <w:rPr>
          <w:sz w:val="24"/>
          <w:szCs w:val="24"/>
        </w:rPr>
        <w:t>la</w:t>
      </w:r>
      <w:r w:rsidR="008D6193" w:rsidRPr="00DC4F0B">
        <w:rPr>
          <w:sz w:val="24"/>
          <w:szCs w:val="24"/>
        </w:rPr>
        <w:t xml:space="preserve"> primer</w:t>
      </w:r>
      <w:r w:rsidR="00604CE7">
        <w:rPr>
          <w:sz w:val="24"/>
          <w:szCs w:val="24"/>
        </w:rPr>
        <w:t>a</w:t>
      </w:r>
      <w:r w:rsidR="008D6193" w:rsidRPr="00DC4F0B">
        <w:rPr>
          <w:sz w:val="24"/>
          <w:szCs w:val="24"/>
        </w:rPr>
        <w:t xml:space="preserve"> y segund</w:t>
      </w:r>
      <w:r w:rsidR="00604CE7">
        <w:rPr>
          <w:sz w:val="24"/>
          <w:szCs w:val="24"/>
        </w:rPr>
        <w:t>a edición</w:t>
      </w:r>
      <w:r w:rsidR="008D6193" w:rsidRPr="00DC4F0B">
        <w:rPr>
          <w:sz w:val="24"/>
          <w:szCs w:val="24"/>
        </w:rPr>
        <w:t xml:space="preserve"> </w:t>
      </w:r>
      <w:r w:rsidR="008D6193">
        <w:rPr>
          <w:sz w:val="24"/>
          <w:szCs w:val="24"/>
        </w:rPr>
        <w:t>durante</w:t>
      </w:r>
      <w:r w:rsidR="008D6193" w:rsidRPr="00DC4F0B">
        <w:rPr>
          <w:sz w:val="24"/>
          <w:szCs w:val="24"/>
        </w:rPr>
        <w:t xml:space="preserve"> 2020</w:t>
      </w:r>
      <w:r w:rsidR="008D6193">
        <w:rPr>
          <w:sz w:val="24"/>
          <w:szCs w:val="24"/>
        </w:rPr>
        <w:t xml:space="preserve"> y </w:t>
      </w:r>
      <w:r w:rsidRPr="00DC4F0B">
        <w:rPr>
          <w:sz w:val="24"/>
          <w:szCs w:val="24"/>
        </w:rPr>
        <w:t xml:space="preserve">permiten caracterizar el </w:t>
      </w:r>
      <w:r w:rsidR="00604CE7">
        <w:rPr>
          <w:sz w:val="24"/>
          <w:szCs w:val="24"/>
        </w:rPr>
        <w:t>impacto</w:t>
      </w:r>
      <w:r w:rsidRPr="00DC4F0B">
        <w:rPr>
          <w:sz w:val="24"/>
          <w:szCs w:val="24"/>
        </w:rPr>
        <w:t xml:space="preserve"> de </w:t>
      </w:r>
      <w:r w:rsidR="00604CE7">
        <w:rPr>
          <w:sz w:val="24"/>
          <w:szCs w:val="24"/>
        </w:rPr>
        <w:t>l</w:t>
      </w:r>
      <w:r w:rsidRPr="00DC4F0B">
        <w:rPr>
          <w:sz w:val="24"/>
          <w:szCs w:val="24"/>
        </w:rPr>
        <w:t>a pandemia en los sectores económicos de las empresas grandes y las</w:t>
      </w:r>
      <w:r w:rsidRPr="008D6193">
        <w:rPr>
          <w:sz w:val="24"/>
          <w:szCs w:val="24"/>
        </w:rPr>
        <w:t xml:space="preserve"> </w:t>
      </w:r>
      <w:proofErr w:type="spellStart"/>
      <w:r w:rsidR="00F23527" w:rsidRPr="008D6193">
        <w:rPr>
          <w:sz w:val="24"/>
          <w:szCs w:val="24"/>
        </w:rPr>
        <w:t>mipymes</w:t>
      </w:r>
      <w:proofErr w:type="spellEnd"/>
      <w:r w:rsidRPr="00DC4F0B">
        <w:rPr>
          <w:sz w:val="24"/>
          <w:szCs w:val="24"/>
        </w:rPr>
        <w:t xml:space="preserve"> del país.</w:t>
      </w:r>
    </w:p>
    <w:p w14:paraId="75DC833A" w14:textId="77777777" w:rsidR="00CD0428" w:rsidRPr="00DC4F0B" w:rsidRDefault="00CD0428" w:rsidP="00DC4F0B">
      <w:pPr>
        <w:pStyle w:val="Textoindependiente"/>
        <w:ind w:left="-284"/>
        <w:jc w:val="both"/>
      </w:pPr>
    </w:p>
    <w:p w14:paraId="27A3353E" w14:textId="790CB771" w:rsidR="00CD0428" w:rsidRPr="00DC4F0B" w:rsidRDefault="00CD0428" w:rsidP="00DC4F0B">
      <w:pPr>
        <w:pStyle w:val="Textoindependiente"/>
        <w:ind w:left="-284"/>
        <w:jc w:val="both"/>
      </w:pPr>
      <w:r w:rsidRPr="00DC4F0B">
        <w:t xml:space="preserve">La captación de la información </w:t>
      </w:r>
      <w:r w:rsidR="00604CE7">
        <w:t>de la tercera edición</w:t>
      </w:r>
      <w:r w:rsidRPr="00DC4F0B">
        <w:t xml:space="preserve"> se llevó a cabo del 1º </w:t>
      </w:r>
      <w:r w:rsidRPr="00DC4F0B">
        <w:rPr>
          <w:rFonts w:eastAsia="Times New Roman"/>
          <w:color w:val="000000"/>
        </w:rPr>
        <w:t xml:space="preserve">al 31 de marzo </w:t>
      </w:r>
      <w:r w:rsidRPr="00DC4F0B">
        <w:t>de 2021, con un tamaño de muestra de 5</w:t>
      </w:r>
      <w:r w:rsidR="00D5761E">
        <w:t xml:space="preserve"> </w:t>
      </w:r>
      <w:r w:rsidRPr="00DC4F0B">
        <w:t>969 empresas.</w:t>
      </w:r>
    </w:p>
    <w:p w14:paraId="4BF641E3" w14:textId="414A8652" w:rsidR="00CD0428" w:rsidRPr="00DC4F0B" w:rsidRDefault="00CD0428" w:rsidP="00DC4F0B">
      <w:pPr>
        <w:pStyle w:val="Textoindependiente"/>
        <w:ind w:left="-284"/>
        <w:jc w:val="both"/>
      </w:pPr>
    </w:p>
    <w:p w14:paraId="6DF8C10B" w14:textId="4345A25B" w:rsidR="00CD0428" w:rsidRPr="00DC4F0B" w:rsidRDefault="00CD0428" w:rsidP="00DC4F0B">
      <w:pPr>
        <w:ind w:left="-284"/>
        <w:jc w:val="both"/>
        <w:rPr>
          <w:b/>
          <w:bCs/>
          <w:sz w:val="24"/>
          <w:szCs w:val="24"/>
        </w:rPr>
      </w:pPr>
      <w:r w:rsidRPr="00DC4F0B">
        <w:rPr>
          <w:sz w:val="24"/>
          <w:szCs w:val="24"/>
        </w:rPr>
        <w:t>La ECOVID-IE tercer</w:t>
      </w:r>
      <w:r w:rsidR="00BC073F">
        <w:rPr>
          <w:sz w:val="24"/>
          <w:szCs w:val="24"/>
        </w:rPr>
        <w:t>a edición</w:t>
      </w:r>
      <w:r w:rsidRPr="00DC4F0B">
        <w:rPr>
          <w:sz w:val="24"/>
          <w:szCs w:val="24"/>
        </w:rPr>
        <w:t xml:space="preserve"> estima que, de 1</w:t>
      </w:r>
      <w:r w:rsidR="00604CE7">
        <w:rPr>
          <w:sz w:val="24"/>
          <w:szCs w:val="24"/>
        </w:rPr>
        <w:t xml:space="preserve"> </w:t>
      </w:r>
      <w:r w:rsidRPr="00DC4F0B">
        <w:rPr>
          <w:sz w:val="24"/>
          <w:szCs w:val="24"/>
        </w:rPr>
        <w:t>873</w:t>
      </w:r>
      <w:r w:rsidR="00604CE7">
        <w:rPr>
          <w:sz w:val="24"/>
          <w:szCs w:val="24"/>
        </w:rPr>
        <w:t xml:space="preserve"> </w:t>
      </w:r>
      <w:r w:rsidRPr="00DC4F0B">
        <w:rPr>
          <w:sz w:val="24"/>
          <w:szCs w:val="24"/>
        </w:rPr>
        <w:t>564 empresas en el país, 85.5% indicó haber tenido alguna afectación a causa de la pandemia</w:t>
      </w:r>
      <w:r w:rsidR="00BC073F">
        <w:rPr>
          <w:sz w:val="24"/>
          <w:szCs w:val="24"/>
        </w:rPr>
        <w:t>. S</w:t>
      </w:r>
      <w:r w:rsidRPr="00DC4F0B">
        <w:rPr>
          <w:sz w:val="24"/>
          <w:szCs w:val="24"/>
        </w:rPr>
        <w:t>e observa una disminución respecto de</w:t>
      </w:r>
      <w:r w:rsidR="00604CE7">
        <w:rPr>
          <w:sz w:val="24"/>
          <w:szCs w:val="24"/>
        </w:rPr>
        <w:t xml:space="preserve"> </w:t>
      </w:r>
      <w:r w:rsidRPr="00DC4F0B">
        <w:rPr>
          <w:sz w:val="24"/>
          <w:szCs w:val="24"/>
        </w:rPr>
        <w:t>l</w:t>
      </w:r>
      <w:r w:rsidR="00604CE7">
        <w:rPr>
          <w:sz w:val="24"/>
          <w:szCs w:val="24"/>
        </w:rPr>
        <w:t>a</w:t>
      </w:r>
      <w:r w:rsidRPr="00DC4F0B">
        <w:rPr>
          <w:sz w:val="24"/>
          <w:szCs w:val="24"/>
        </w:rPr>
        <w:t xml:space="preserve"> segund</w:t>
      </w:r>
      <w:r w:rsidR="00604CE7">
        <w:rPr>
          <w:sz w:val="24"/>
          <w:szCs w:val="24"/>
        </w:rPr>
        <w:t>a edición</w:t>
      </w:r>
      <w:r w:rsidRPr="00DC4F0B">
        <w:rPr>
          <w:sz w:val="24"/>
          <w:szCs w:val="24"/>
        </w:rPr>
        <w:t xml:space="preserve"> </w:t>
      </w:r>
      <w:r w:rsidR="00BC073F">
        <w:rPr>
          <w:sz w:val="24"/>
          <w:szCs w:val="24"/>
        </w:rPr>
        <w:t xml:space="preserve">en que </w:t>
      </w:r>
      <w:r w:rsidRPr="00DC4F0B">
        <w:rPr>
          <w:sz w:val="24"/>
          <w:szCs w:val="24"/>
        </w:rPr>
        <w:t xml:space="preserve">86.6% de las empresas </w:t>
      </w:r>
      <w:r w:rsidR="003603C9">
        <w:rPr>
          <w:sz w:val="24"/>
          <w:szCs w:val="24"/>
        </w:rPr>
        <w:t>señaló</w:t>
      </w:r>
      <w:r w:rsidRPr="00DC4F0B">
        <w:rPr>
          <w:sz w:val="24"/>
          <w:szCs w:val="24"/>
        </w:rPr>
        <w:t xml:space="preserve"> haber tenido alguna afectación</w:t>
      </w:r>
      <w:r w:rsidR="00BC073F">
        <w:rPr>
          <w:sz w:val="24"/>
          <w:szCs w:val="24"/>
        </w:rPr>
        <w:t xml:space="preserve"> y de la primera edición, cuando 93.2% </w:t>
      </w:r>
      <w:r w:rsidR="00BC073F" w:rsidRPr="00DC4F0B">
        <w:rPr>
          <w:sz w:val="24"/>
          <w:szCs w:val="24"/>
        </w:rPr>
        <w:t xml:space="preserve">de las empresas reportó </w:t>
      </w:r>
      <w:r w:rsidR="00BC073F">
        <w:rPr>
          <w:sz w:val="24"/>
          <w:szCs w:val="24"/>
        </w:rPr>
        <w:t>una o varias afectaciones.</w:t>
      </w:r>
    </w:p>
    <w:p w14:paraId="7B12A1ED" w14:textId="77777777" w:rsidR="00CD0428" w:rsidRPr="00DC4F0B" w:rsidRDefault="00CD0428" w:rsidP="00DC4F0B">
      <w:pPr>
        <w:ind w:left="-284"/>
        <w:jc w:val="center"/>
        <w:rPr>
          <w:b/>
          <w:bCs/>
          <w:sz w:val="24"/>
          <w:szCs w:val="24"/>
        </w:rPr>
      </w:pPr>
    </w:p>
    <w:p w14:paraId="319CAF69" w14:textId="285B7F3E" w:rsidR="00CD0428" w:rsidRPr="00DC4F0B" w:rsidRDefault="00CD0428" w:rsidP="00DC4F0B">
      <w:pPr>
        <w:ind w:left="-284"/>
        <w:jc w:val="both"/>
        <w:rPr>
          <w:sz w:val="24"/>
          <w:szCs w:val="24"/>
        </w:rPr>
      </w:pPr>
      <w:r w:rsidRPr="00DC4F0B">
        <w:rPr>
          <w:sz w:val="24"/>
          <w:szCs w:val="24"/>
        </w:rPr>
        <w:t xml:space="preserve">La disminución de los ingresos es el principal tipo de afectación </w:t>
      </w:r>
      <w:r w:rsidR="004D3395">
        <w:rPr>
          <w:sz w:val="24"/>
          <w:szCs w:val="24"/>
        </w:rPr>
        <w:t>reportado por</w:t>
      </w:r>
      <w:r w:rsidR="00BC073F">
        <w:rPr>
          <w:sz w:val="24"/>
          <w:szCs w:val="24"/>
        </w:rPr>
        <w:t xml:space="preserve"> </w:t>
      </w:r>
      <w:r w:rsidRPr="00DC4F0B">
        <w:rPr>
          <w:sz w:val="24"/>
          <w:szCs w:val="24"/>
        </w:rPr>
        <w:t>73.8% de las empresas</w:t>
      </w:r>
      <w:r w:rsidR="00BC073F">
        <w:rPr>
          <w:sz w:val="24"/>
          <w:szCs w:val="24"/>
        </w:rPr>
        <w:t xml:space="preserve">. </w:t>
      </w:r>
      <w:r w:rsidR="00604CE7">
        <w:rPr>
          <w:sz w:val="24"/>
          <w:szCs w:val="24"/>
        </w:rPr>
        <w:t>En</w:t>
      </w:r>
      <w:r w:rsidR="00BC073F">
        <w:rPr>
          <w:sz w:val="24"/>
          <w:szCs w:val="24"/>
        </w:rPr>
        <w:t xml:space="preserve"> </w:t>
      </w:r>
      <w:r w:rsidRPr="00DC4F0B">
        <w:rPr>
          <w:sz w:val="24"/>
          <w:szCs w:val="24"/>
        </w:rPr>
        <w:t>l</w:t>
      </w:r>
      <w:r w:rsidR="00BC073F">
        <w:rPr>
          <w:sz w:val="24"/>
          <w:szCs w:val="24"/>
        </w:rPr>
        <w:t>a</w:t>
      </w:r>
      <w:r w:rsidRPr="00DC4F0B">
        <w:rPr>
          <w:sz w:val="24"/>
          <w:szCs w:val="24"/>
        </w:rPr>
        <w:t xml:space="preserve"> segund</w:t>
      </w:r>
      <w:r w:rsidR="00BC073F">
        <w:rPr>
          <w:sz w:val="24"/>
          <w:szCs w:val="24"/>
        </w:rPr>
        <w:t>a</w:t>
      </w:r>
      <w:r w:rsidRPr="00DC4F0B">
        <w:rPr>
          <w:sz w:val="24"/>
          <w:szCs w:val="24"/>
        </w:rPr>
        <w:t xml:space="preserve"> </w:t>
      </w:r>
      <w:r w:rsidR="00BC073F">
        <w:rPr>
          <w:sz w:val="24"/>
          <w:szCs w:val="24"/>
        </w:rPr>
        <w:t>edición</w:t>
      </w:r>
      <w:r w:rsidRPr="00DC4F0B">
        <w:rPr>
          <w:sz w:val="24"/>
          <w:szCs w:val="24"/>
        </w:rPr>
        <w:t xml:space="preserve"> 79.2% de empresas </w:t>
      </w:r>
      <w:r w:rsidR="003603C9">
        <w:rPr>
          <w:sz w:val="24"/>
          <w:szCs w:val="24"/>
        </w:rPr>
        <w:t>señal</w:t>
      </w:r>
      <w:r w:rsidR="00D5761E">
        <w:rPr>
          <w:sz w:val="24"/>
          <w:szCs w:val="24"/>
        </w:rPr>
        <w:t>ó</w:t>
      </w:r>
      <w:r w:rsidRPr="00DC4F0B">
        <w:rPr>
          <w:sz w:val="24"/>
          <w:szCs w:val="24"/>
        </w:rPr>
        <w:t xml:space="preserve"> este tipo de afectación</w:t>
      </w:r>
      <w:r w:rsidR="00604CE7">
        <w:rPr>
          <w:sz w:val="24"/>
          <w:szCs w:val="24"/>
        </w:rPr>
        <w:t xml:space="preserve"> y en la </w:t>
      </w:r>
      <w:r w:rsidR="00604CE7" w:rsidRPr="00604CE7">
        <w:rPr>
          <w:sz w:val="24"/>
          <w:szCs w:val="24"/>
        </w:rPr>
        <w:t xml:space="preserve">primera, </w:t>
      </w:r>
      <w:r w:rsidR="00BC073F" w:rsidRPr="00604CE7">
        <w:rPr>
          <w:sz w:val="24"/>
          <w:szCs w:val="24"/>
        </w:rPr>
        <w:t>85.1 por ciento</w:t>
      </w:r>
      <w:r w:rsidR="00604CE7">
        <w:rPr>
          <w:sz w:val="24"/>
          <w:szCs w:val="24"/>
        </w:rPr>
        <w:t>.</w:t>
      </w:r>
    </w:p>
    <w:p w14:paraId="384B6E57" w14:textId="77777777" w:rsidR="00CD0428" w:rsidRPr="00DC4F0B" w:rsidRDefault="00CD0428" w:rsidP="00DC4F0B">
      <w:pPr>
        <w:ind w:left="-284"/>
        <w:jc w:val="both"/>
        <w:rPr>
          <w:sz w:val="24"/>
          <w:szCs w:val="24"/>
        </w:rPr>
      </w:pPr>
    </w:p>
    <w:p w14:paraId="2D4F3C55" w14:textId="592D269E" w:rsidR="00CD0428" w:rsidRPr="00DC4F0B" w:rsidRDefault="004D3395" w:rsidP="00DC4F0B">
      <w:pPr>
        <w:ind w:left="-284"/>
        <w:jc w:val="both"/>
        <w:rPr>
          <w:sz w:val="24"/>
          <w:szCs w:val="24"/>
        </w:rPr>
      </w:pPr>
      <w:r>
        <w:rPr>
          <w:sz w:val="24"/>
          <w:szCs w:val="24"/>
        </w:rPr>
        <w:t xml:space="preserve">La ECOVID-IE tercera edición arroja que </w:t>
      </w:r>
      <w:r w:rsidR="00CD0428" w:rsidRPr="00DC4F0B">
        <w:rPr>
          <w:sz w:val="24"/>
          <w:szCs w:val="24"/>
        </w:rPr>
        <w:t xml:space="preserve">50.2% de las empresas </w:t>
      </w:r>
      <w:r w:rsidR="00604CE7">
        <w:rPr>
          <w:sz w:val="24"/>
          <w:szCs w:val="24"/>
        </w:rPr>
        <w:t>result</w:t>
      </w:r>
      <w:r w:rsidR="00D5761E">
        <w:rPr>
          <w:sz w:val="24"/>
          <w:szCs w:val="24"/>
        </w:rPr>
        <w:t>ó</w:t>
      </w:r>
      <w:r w:rsidR="00604CE7">
        <w:rPr>
          <w:sz w:val="24"/>
          <w:szCs w:val="24"/>
        </w:rPr>
        <w:t xml:space="preserve"> afectado por </w:t>
      </w:r>
      <w:r w:rsidR="005D31A9">
        <w:rPr>
          <w:sz w:val="24"/>
          <w:szCs w:val="24"/>
        </w:rPr>
        <w:t>la baja en la demanda</w:t>
      </w:r>
      <w:r w:rsidR="00CD0428" w:rsidRPr="00DC4F0B">
        <w:rPr>
          <w:sz w:val="24"/>
          <w:szCs w:val="24"/>
        </w:rPr>
        <w:t xml:space="preserve"> mientras que para </w:t>
      </w:r>
      <w:r w:rsidR="00604CE7">
        <w:rPr>
          <w:sz w:val="24"/>
          <w:szCs w:val="24"/>
        </w:rPr>
        <w:t>la segunda edición la afectación fue de</w:t>
      </w:r>
      <w:r w:rsidR="00CD0428" w:rsidRPr="00DC4F0B">
        <w:rPr>
          <w:sz w:val="24"/>
          <w:szCs w:val="24"/>
        </w:rPr>
        <w:t xml:space="preserve"> 51.2% </w:t>
      </w:r>
      <w:r w:rsidR="00604CE7">
        <w:rPr>
          <w:sz w:val="24"/>
          <w:szCs w:val="24"/>
        </w:rPr>
        <w:t>y de 67.7% para la primera edición.</w:t>
      </w:r>
      <w:r w:rsidR="00CD0428" w:rsidRPr="00DC4F0B">
        <w:rPr>
          <w:sz w:val="24"/>
          <w:szCs w:val="24"/>
        </w:rPr>
        <w:t xml:space="preserve"> </w:t>
      </w:r>
    </w:p>
    <w:p w14:paraId="53CA5DEC" w14:textId="77777777" w:rsidR="00CD0428" w:rsidRPr="00DC4F0B" w:rsidRDefault="00CD0428" w:rsidP="00DC4F0B">
      <w:pPr>
        <w:ind w:left="-284"/>
        <w:jc w:val="right"/>
        <w:rPr>
          <w:b/>
          <w:bCs/>
          <w:sz w:val="24"/>
          <w:szCs w:val="24"/>
        </w:rPr>
      </w:pPr>
    </w:p>
    <w:p w14:paraId="56EC11F2" w14:textId="342F64F9" w:rsidR="00326C50" w:rsidRDefault="00CD0428" w:rsidP="00326C50">
      <w:pPr>
        <w:ind w:left="-284"/>
        <w:jc w:val="both"/>
      </w:pPr>
      <w:r w:rsidRPr="00DC4F0B">
        <w:rPr>
          <w:sz w:val="24"/>
          <w:szCs w:val="24"/>
        </w:rPr>
        <w:t>La escasez de los insumos y/o productos se posiciona en tercer lugar de importancia en l</w:t>
      </w:r>
      <w:r w:rsidR="005D31A9">
        <w:rPr>
          <w:sz w:val="24"/>
          <w:szCs w:val="24"/>
        </w:rPr>
        <w:t>a</w:t>
      </w:r>
      <w:r w:rsidRPr="00DC4F0B">
        <w:rPr>
          <w:sz w:val="24"/>
          <w:szCs w:val="24"/>
        </w:rPr>
        <w:t xml:space="preserve">s tres </w:t>
      </w:r>
      <w:r w:rsidR="005D31A9">
        <w:rPr>
          <w:sz w:val="24"/>
          <w:szCs w:val="24"/>
        </w:rPr>
        <w:t>ediciones</w:t>
      </w:r>
      <w:r w:rsidR="003603C9">
        <w:rPr>
          <w:sz w:val="24"/>
          <w:szCs w:val="24"/>
        </w:rPr>
        <w:t>,</w:t>
      </w:r>
      <w:r w:rsidR="005D31A9">
        <w:rPr>
          <w:sz w:val="24"/>
          <w:szCs w:val="24"/>
        </w:rPr>
        <w:t xml:space="preserve"> con </w:t>
      </w:r>
      <w:r w:rsidR="00355875">
        <w:rPr>
          <w:sz w:val="24"/>
          <w:szCs w:val="24"/>
        </w:rPr>
        <w:t>29.2% para la tercera, 22.8% para la segunda y 31.6% para la primera edición.</w:t>
      </w:r>
    </w:p>
    <w:p w14:paraId="376EEBA4" w14:textId="77777777" w:rsidR="00CD0428" w:rsidRPr="00DC4F0B" w:rsidRDefault="00CD0428" w:rsidP="00326C50">
      <w:pPr>
        <w:pStyle w:val="Textoindependiente"/>
        <w:jc w:val="both"/>
      </w:pPr>
    </w:p>
    <w:p w14:paraId="2CFA7181" w14:textId="25E9BD7B" w:rsidR="004D3395" w:rsidRDefault="00CD0428" w:rsidP="00DC4F0B">
      <w:pPr>
        <w:ind w:left="-284"/>
        <w:jc w:val="both"/>
        <w:rPr>
          <w:sz w:val="24"/>
          <w:szCs w:val="24"/>
        </w:rPr>
      </w:pPr>
      <w:r w:rsidRPr="00DC4F0B">
        <w:rPr>
          <w:sz w:val="24"/>
          <w:szCs w:val="24"/>
        </w:rPr>
        <w:t xml:space="preserve">La encuesta estima que </w:t>
      </w:r>
      <w:r w:rsidR="00355875" w:rsidRPr="00DC4F0B">
        <w:rPr>
          <w:sz w:val="24"/>
          <w:szCs w:val="24"/>
        </w:rPr>
        <w:t>16.6%</w:t>
      </w:r>
      <w:r w:rsidR="00355875">
        <w:rPr>
          <w:sz w:val="24"/>
          <w:szCs w:val="24"/>
        </w:rPr>
        <w:t xml:space="preserve"> de las </w:t>
      </w:r>
      <w:r w:rsidRPr="00DC4F0B">
        <w:rPr>
          <w:sz w:val="24"/>
          <w:szCs w:val="24"/>
        </w:rPr>
        <w:t>empresas aplic</w:t>
      </w:r>
      <w:r w:rsidR="00D5761E">
        <w:rPr>
          <w:sz w:val="24"/>
          <w:szCs w:val="24"/>
        </w:rPr>
        <w:t>ó</w:t>
      </w:r>
      <w:r w:rsidRPr="00DC4F0B">
        <w:rPr>
          <w:sz w:val="24"/>
          <w:szCs w:val="24"/>
        </w:rPr>
        <w:t xml:space="preserve"> cierres temporales o paros técnicos</w:t>
      </w:r>
      <w:r w:rsidR="004D3395">
        <w:rPr>
          <w:sz w:val="24"/>
          <w:szCs w:val="24"/>
        </w:rPr>
        <w:t>, proporción</w:t>
      </w:r>
      <w:r w:rsidRPr="00DC4F0B">
        <w:rPr>
          <w:sz w:val="24"/>
          <w:szCs w:val="24"/>
        </w:rPr>
        <w:t xml:space="preserve"> menor que </w:t>
      </w:r>
      <w:r w:rsidR="004D3395">
        <w:rPr>
          <w:sz w:val="24"/>
          <w:szCs w:val="24"/>
        </w:rPr>
        <w:t>la registrada</w:t>
      </w:r>
      <w:r w:rsidRPr="00DC4F0B">
        <w:rPr>
          <w:sz w:val="24"/>
          <w:szCs w:val="24"/>
        </w:rPr>
        <w:t xml:space="preserve"> </w:t>
      </w:r>
      <w:r w:rsidR="004D3395">
        <w:rPr>
          <w:sz w:val="24"/>
          <w:szCs w:val="24"/>
        </w:rPr>
        <w:t>en la segunda</w:t>
      </w:r>
      <w:r w:rsidRPr="00DC4F0B">
        <w:rPr>
          <w:sz w:val="24"/>
          <w:szCs w:val="24"/>
        </w:rPr>
        <w:t xml:space="preserve"> </w:t>
      </w:r>
      <w:r w:rsidR="004D3395">
        <w:rPr>
          <w:sz w:val="24"/>
          <w:szCs w:val="24"/>
        </w:rPr>
        <w:t>(</w:t>
      </w:r>
      <w:r w:rsidRPr="00DC4F0B">
        <w:rPr>
          <w:sz w:val="24"/>
          <w:szCs w:val="24"/>
        </w:rPr>
        <w:t>23.1%</w:t>
      </w:r>
      <w:r w:rsidR="004D3395">
        <w:rPr>
          <w:sz w:val="24"/>
          <w:szCs w:val="24"/>
        </w:rPr>
        <w:t>) y la primera edición (</w:t>
      </w:r>
      <w:r w:rsidRPr="00DC4F0B">
        <w:rPr>
          <w:sz w:val="24"/>
          <w:szCs w:val="24"/>
        </w:rPr>
        <w:t>59.6</w:t>
      </w:r>
      <w:r w:rsidR="004D3395">
        <w:rPr>
          <w:sz w:val="24"/>
          <w:szCs w:val="24"/>
        </w:rPr>
        <w:t>%).</w:t>
      </w:r>
    </w:p>
    <w:p w14:paraId="00325FD0" w14:textId="7008BDB5" w:rsidR="009F2CCE" w:rsidRDefault="009F2CCE">
      <w:pPr>
        <w:rPr>
          <w:sz w:val="24"/>
          <w:szCs w:val="24"/>
        </w:rPr>
      </w:pPr>
      <w:r>
        <w:rPr>
          <w:sz w:val="24"/>
          <w:szCs w:val="24"/>
        </w:rPr>
        <w:br w:type="page"/>
      </w:r>
    </w:p>
    <w:p w14:paraId="1A62B8B3" w14:textId="77777777" w:rsidR="003603C9" w:rsidRDefault="003603C9" w:rsidP="00DC4F0B">
      <w:pPr>
        <w:ind w:left="-284"/>
        <w:jc w:val="both"/>
        <w:rPr>
          <w:sz w:val="24"/>
          <w:szCs w:val="24"/>
        </w:rPr>
      </w:pPr>
    </w:p>
    <w:p w14:paraId="2F807708" w14:textId="19417BAD" w:rsidR="00CD0428" w:rsidRPr="00DC4F0B" w:rsidRDefault="00F06FE3" w:rsidP="00DC4F0B">
      <w:pPr>
        <w:ind w:left="-284"/>
        <w:jc w:val="both"/>
        <w:rPr>
          <w:sz w:val="24"/>
          <w:szCs w:val="24"/>
        </w:rPr>
      </w:pPr>
      <w:r>
        <w:rPr>
          <w:sz w:val="24"/>
          <w:szCs w:val="24"/>
        </w:rPr>
        <w:t>P</w:t>
      </w:r>
      <w:r w:rsidR="00CD0428" w:rsidRPr="00DC4F0B">
        <w:rPr>
          <w:sz w:val="24"/>
          <w:szCs w:val="24"/>
        </w:rPr>
        <w:t xml:space="preserve">ara </w:t>
      </w:r>
      <w:r w:rsidR="004D3395">
        <w:rPr>
          <w:sz w:val="24"/>
          <w:szCs w:val="24"/>
        </w:rPr>
        <w:t>la primera y segunda edición</w:t>
      </w:r>
      <w:r w:rsidR="00CD0428" w:rsidRPr="00DC4F0B">
        <w:rPr>
          <w:sz w:val="24"/>
          <w:szCs w:val="24"/>
        </w:rPr>
        <w:t xml:space="preserve"> el cierre o paro técnico </w:t>
      </w:r>
      <w:r>
        <w:rPr>
          <w:sz w:val="24"/>
          <w:szCs w:val="24"/>
        </w:rPr>
        <w:t xml:space="preserve">de las empresas </w:t>
      </w:r>
      <w:r w:rsidR="00CD0428" w:rsidRPr="00DC4F0B">
        <w:rPr>
          <w:sz w:val="24"/>
          <w:szCs w:val="24"/>
        </w:rPr>
        <w:t>fue de 18 días en promedio</w:t>
      </w:r>
      <w:r w:rsidR="004D3395">
        <w:rPr>
          <w:sz w:val="24"/>
          <w:szCs w:val="24"/>
        </w:rPr>
        <w:t>,</w:t>
      </w:r>
      <w:r w:rsidR="00CD0428" w:rsidRPr="00DC4F0B">
        <w:rPr>
          <w:sz w:val="24"/>
          <w:szCs w:val="24"/>
        </w:rPr>
        <w:t xml:space="preserve"> mientras que para e</w:t>
      </w:r>
      <w:r w:rsidR="004D3395">
        <w:rPr>
          <w:sz w:val="24"/>
          <w:szCs w:val="24"/>
        </w:rPr>
        <w:t>sta tercera edición</w:t>
      </w:r>
      <w:r w:rsidR="00CD0428" w:rsidRPr="00DC4F0B">
        <w:rPr>
          <w:sz w:val="24"/>
          <w:szCs w:val="24"/>
        </w:rPr>
        <w:t xml:space="preserve"> fue de 15 días.</w:t>
      </w:r>
    </w:p>
    <w:p w14:paraId="6E63322A" w14:textId="77777777" w:rsidR="00CD0428" w:rsidRPr="00DC4F0B" w:rsidRDefault="00CD0428" w:rsidP="00DC4F0B">
      <w:pPr>
        <w:ind w:left="-284"/>
        <w:jc w:val="center"/>
        <w:rPr>
          <w:b/>
          <w:bCs/>
          <w:sz w:val="24"/>
          <w:szCs w:val="24"/>
        </w:rPr>
      </w:pPr>
    </w:p>
    <w:p w14:paraId="0DEF18D4" w14:textId="27925860" w:rsidR="00F06FE3" w:rsidRDefault="00F06FE3" w:rsidP="00DC4F0B">
      <w:pPr>
        <w:ind w:left="-284"/>
        <w:jc w:val="both"/>
        <w:rPr>
          <w:sz w:val="24"/>
          <w:szCs w:val="24"/>
        </w:rPr>
      </w:pPr>
      <w:r>
        <w:rPr>
          <w:sz w:val="24"/>
          <w:szCs w:val="24"/>
        </w:rPr>
        <w:t>En la reciente edición de</w:t>
      </w:r>
      <w:r w:rsidR="00D5761E">
        <w:rPr>
          <w:sz w:val="24"/>
          <w:szCs w:val="24"/>
        </w:rPr>
        <w:t xml:space="preserve"> la</w:t>
      </w:r>
      <w:r>
        <w:rPr>
          <w:sz w:val="24"/>
          <w:szCs w:val="24"/>
        </w:rPr>
        <w:t xml:space="preserve"> ECOVID-ED 97.4% de las empresas admiti</w:t>
      </w:r>
      <w:r w:rsidR="00D5761E">
        <w:rPr>
          <w:sz w:val="24"/>
          <w:szCs w:val="24"/>
        </w:rPr>
        <w:t>ó</w:t>
      </w:r>
      <w:r>
        <w:rPr>
          <w:sz w:val="24"/>
          <w:szCs w:val="24"/>
        </w:rPr>
        <w:t xml:space="preserve"> haber implementado medidas sanitarias. Para la segunda edición la proporción fue de 96.1% y en la primera edición, de 86.7 por ciento.</w:t>
      </w:r>
    </w:p>
    <w:p w14:paraId="295664D9" w14:textId="77777777" w:rsidR="00CD0428" w:rsidRPr="00DC4F0B" w:rsidRDefault="00CD0428" w:rsidP="008D6193">
      <w:pPr>
        <w:rPr>
          <w:b/>
          <w:bCs/>
          <w:sz w:val="24"/>
          <w:szCs w:val="24"/>
        </w:rPr>
      </w:pPr>
    </w:p>
    <w:p w14:paraId="7982D5FD" w14:textId="126FD3D8" w:rsidR="00CD0428" w:rsidRPr="00DC4F0B" w:rsidRDefault="00CD0428" w:rsidP="00DC4F0B">
      <w:pPr>
        <w:ind w:left="-284"/>
        <w:jc w:val="both"/>
        <w:rPr>
          <w:sz w:val="24"/>
          <w:szCs w:val="24"/>
        </w:rPr>
      </w:pPr>
      <w:r w:rsidRPr="00DC4F0B">
        <w:rPr>
          <w:sz w:val="24"/>
          <w:szCs w:val="24"/>
        </w:rPr>
        <w:t xml:space="preserve">Del total de empresas, en </w:t>
      </w:r>
      <w:r w:rsidR="00F06FE3">
        <w:rPr>
          <w:sz w:val="24"/>
          <w:szCs w:val="24"/>
        </w:rPr>
        <w:t xml:space="preserve">esta edición </w:t>
      </w:r>
      <w:r w:rsidRPr="00DC4F0B">
        <w:rPr>
          <w:sz w:val="24"/>
          <w:szCs w:val="24"/>
        </w:rPr>
        <w:t>3.8%</w:t>
      </w:r>
      <w:r w:rsidR="00F06FE3">
        <w:rPr>
          <w:sz w:val="24"/>
          <w:szCs w:val="24"/>
        </w:rPr>
        <w:t xml:space="preserve"> señal</w:t>
      </w:r>
      <w:r w:rsidR="00D5761E">
        <w:rPr>
          <w:sz w:val="24"/>
          <w:szCs w:val="24"/>
        </w:rPr>
        <w:t>ó</w:t>
      </w:r>
      <w:r w:rsidR="00F06FE3">
        <w:rPr>
          <w:sz w:val="24"/>
          <w:szCs w:val="24"/>
        </w:rPr>
        <w:t xml:space="preserve"> haber </w:t>
      </w:r>
      <w:r w:rsidR="00F06FE3" w:rsidRPr="00DC4F0B">
        <w:rPr>
          <w:sz w:val="24"/>
          <w:szCs w:val="24"/>
        </w:rPr>
        <w:t>recibi</w:t>
      </w:r>
      <w:r w:rsidR="00F06FE3">
        <w:rPr>
          <w:sz w:val="24"/>
          <w:szCs w:val="24"/>
        </w:rPr>
        <w:t>do</w:t>
      </w:r>
      <w:r w:rsidR="00F06FE3" w:rsidRPr="00DC4F0B">
        <w:rPr>
          <w:sz w:val="24"/>
          <w:szCs w:val="24"/>
        </w:rPr>
        <w:t xml:space="preserve"> apoyos</w:t>
      </w:r>
      <w:r w:rsidR="00C37113">
        <w:rPr>
          <w:sz w:val="24"/>
          <w:szCs w:val="24"/>
        </w:rPr>
        <w:t>,</w:t>
      </w:r>
      <w:r w:rsidRPr="00DC4F0B">
        <w:rPr>
          <w:sz w:val="24"/>
          <w:szCs w:val="24"/>
        </w:rPr>
        <w:t xml:space="preserve"> en </w:t>
      </w:r>
      <w:r w:rsidR="00F06FE3">
        <w:rPr>
          <w:sz w:val="24"/>
          <w:szCs w:val="24"/>
        </w:rPr>
        <w:t>la</w:t>
      </w:r>
      <w:r w:rsidRPr="00DC4F0B">
        <w:rPr>
          <w:sz w:val="24"/>
          <w:szCs w:val="24"/>
        </w:rPr>
        <w:t xml:space="preserve"> segund</w:t>
      </w:r>
      <w:r w:rsidR="00F06FE3">
        <w:rPr>
          <w:sz w:val="24"/>
          <w:szCs w:val="24"/>
        </w:rPr>
        <w:t>a edición</w:t>
      </w:r>
      <w:r w:rsidRPr="00DC4F0B">
        <w:rPr>
          <w:sz w:val="24"/>
          <w:szCs w:val="24"/>
        </w:rPr>
        <w:t xml:space="preserve"> 5.9% </w:t>
      </w:r>
      <w:r w:rsidR="00F06FE3">
        <w:rPr>
          <w:sz w:val="24"/>
          <w:szCs w:val="24"/>
        </w:rPr>
        <w:t xml:space="preserve">de las empresas </w:t>
      </w:r>
      <w:r w:rsidRPr="00DC4F0B">
        <w:rPr>
          <w:sz w:val="24"/>
          <w:szCs w:val="24"/>
        </w:rPr>
        <w:t xml:space="preserve">obtuvo algún tipo de </w:t>
      </w:r>
      <w:r w:rsidR="00F06FE3">
        <w:rPr>
          <w:sz w:val="24"/>
          <w:szCs w:val="24"/>
        </w:rPr>
        <w:t>ayuda</w:t>
      </w:r>
      <w:r w:rsidR="00C37113">
        <w:rPr>
          <w:sz w:val="24"/>
          <w:szCs w:val="24"/>
        </w:rPr>
        <w:t xml:space="preserve"> y </w:t>
      </w:r>
      <w:r w:rsidR="00F06FE3">
        <w:rPr>
          <w:sz w:val="24"/>
          <w:szCs w:val="24"/>
        </w:rPr>
        <w:t xml:space="preserve">en la </w:t>
      </w:r>
      <w:r w:rsidRPr="00DC4F0B">
        <w:rPr>
          <w:sz w:val="24"/>
          <w:szCs w:val="24"/>
        </w:rPr>
        <w:t>primer</w:t>
      </w:r>
      <w:r w:rsidR="00F06FE3">
        <w:rPr>
          <w:sz w:val="24"/>
          <w:szCs w:val="24"/>
        </w:rPr>
        <w:t>a</w:t>
      </w:r>
      <w:r w:rsidRPr="00DC4F0B">
        <w:rPr>
          <w:sz w:val="24"/>
          <w:szCs w:val="24"/>
        </w:rPr>
        <w:t xml:space="preserve"> </w:t>
      </w:r>
      <w:r w:rsidR="00F06FE3">
        <w:rPr>
          <w:sz w:val="24"/>
          <w:szCs w:val="24"/>
        </w:rPr>
        <w:t>edición</w:t>
      </w:r>
      <w:r w:rsidRPr="00DC4F0B">
        <w:rPr>
          <w:sz w:val="24"/>
          <w:szCs w:val="24"/>
        </w:rPr>
        <w:t xml:space="preserve"> </w:t>
      </w:r>
      <w:r w:rsidR="00D5761E">
        <w:rPr>
          <w:sz w:val="24"/>
          <w:szCs w:val="24"/>
        </w:rPr>
        <w:t xml:space="preserve">la proporción fue de </w:t>
      </w:r>
      <w:r w:rsidRPr="00DC4F0B">
        <w:rPr>
          <w:sz w:val="24"/>
          <w:szCs w:val="24"/>
        </w:rPr>
        <w:t>7.8</w:t>
      </w:r>
      <w:r w:rsidR="00D5761E">
        <w:rPr>
          <w:sz w:val="24"/>
          <w:szCs w:val="24"/>
        </w:rPr>
        <w:t xml:space="preserve"> por cient</w:t>
      </w:r>
      <w:r w:rsidRPr="00DC4F0B">
        <w:rPr>
          <w:sz w:val="24"/>
          <w:szCs w:val="24"/>
        </w:rPr>
        <w:t>o.</w:t>
      </w:r>
    </w:p>
    <w:p w14:paraId="561645CC" w14:textId="23EF77FF" w:rsidR="00CD0428" w:rsidRPr="00DC4F0B" w:rsidRDefault="00CD0428" w:rsidP="00326C50">
      <w:pPr>
        <w:rPr>
          <w:b/>
          <w:bCs/>
          <w:sz w:val="24"/>
          <w:szCs w:val="24"/>
        </w:rPr>
      </w:pPr>
    </w:p>
    <w:p w14:paraId="18DC6B78" w14:textId="2F580216" w:rsidR="00C37113" w:rsidRDefault="00CD0428" w:rsidP="00DC4F0B">
      <w:pPr>
        <w:pStyle w:val="Prrafodelista"/>
        <w:ind w:left="-284" w:firstLine="0"/>
        <w:jc w:val="both"/>
        <w:rPr>
          <w:sz w:val="24"/>
          <w:szCs w:val="24"/>
        </w:rPr>
      </w:pPr>
      <w:r w:rsidRPr="00DC4F0B">
        <w:rPr>
          <w:sz w:val="24"/>
          <w:szCs w:val="24"/>
        </w:rPr>
        <w:t xml:space="preserve">La encuesta arroja que las empresas consideran que la política de apoyo que más se requiere para hacer frente a la pandemia es </w:t>
      </w:r>
      <w:r w:rsidR="00C37113">
        <w:rPr>
          <w:sz w:val="24"/>
          <w:szCs w:val="24"/>
        </w:rPr>
        <w:t>l</w:t>
      </w:r>
      <w:r w:rsidRPr="00DC4F0B">
        <w:rPr>
          <w:sz w:val="24"/>
          <w:szCs w:val="24"/>
        </w:rPr>
        <w:t>a relacionada con los apoyos fiscales</w:t>
      </w:r>
      <w:r w:rsidR="00C37113">
        <w:rPr>
          <w:sz w:val="24"/>
          <w:szCs w:val="24"/>
        </w:rPr>
        <w:t>(</w:t>
      </w:r>
      <w:r w:rsidRPr="00DC4F0B">
        <w:rPr>
          <w:sz w:val="24"/>
          <w:szCs w:val="24"/>
        </w:rPr>
        <w:t>66.3%</w:t>
      </w:r>
      <w:r w:rsidR="00C37113">
        <w:rPr>
          <w:sz w:val="24"/>
          <w:szCs w:val="24"/>
        </w:rPr>
        <w:t>)</w:t>
      </w:r>
      <w:r w:rsidR="00D5761E">
        <w:rPr>
          <w:sz w:val="24"/>
          <w:szCs w:val="24"/>
        </w:rPr>
        <w:t>. L</w:t>
      </w:r>
      <w:r w:rsidRPr="00DC4F0B">
        <w:rPr>
          <w:sz w:val="24"/>
          <w:szCs w:val="24"/>
        </w:rPr>
        <w:t>a transferencia de efectivo es la segunda política de apoyo con mayor porcentaje</w:t>
      </w:r>
      <w:r w:rsidR="00C37113">
        <w:rPr>
          <w:sz w:val="24"/>
          <w:szCs w:val="24"/>
        </w:rPr>
        <w:t xml:space="preserve"> (</w:t>
      </w:r>
      <w:r w:rsidRPr="00DC4F0B">
        <w:rPr>
          <w:sz w:val="24"/>
          <w:szCs w:val="24"/>
        </w:rPr>
        <w:t>34.1%</w:t>
      </w:r>
      <w:r w:rsidR="00C37113">
        <w:rPr>
          <w:sz w:val="24"/>
          <w:szCs w:val="24"/>
        </w:rPr>
        <w:t>).</w:t>
      </w:r>
    </w:p>
    <w:p w14:paraId="6B3253BF" w14:textId="7E0F6196" w:rsidR="00CD0428" w:rsidRPr="00DC4F0B" w:rsidRDefault="00CD0428" w:rsidP="00DC4F0B">
      <w:pPr>
        <w:ind w:left="-284"/>
        <w:rPr>
          <w:b/>
          <w:bCs/>
          <w:sz w:val="24"/>
          <w:szCs w:val="24"/>
        </w:rPr>
      </w:pPr>
    </w:p>
    <w:p w14:paraId="6F72326D" w14:textId="27F6D038" w:rsidR="00CD0428" w:rsidRPr="00DC4F0B" w:rsidRDefault="00CD0428" w:rsidP="00DC4F0B">
      <w:pPr>
        <w:ind w:left="-284"/>
        <w:jc w:val="both"/>
        <w:rPr>
          <w:sz w:val="24"/>
          <w:szCs w:val="24"/>
        </w:rPr>
      </w:pPr>
      <w:r w:rsidRPr="00DC4F0B">
        <w:rPr>
          <w:sz w:val="24"/>
          <w:szCs w:val="24"/>
        </w:rPr>
        <w:t xml:space="preserve">Con relación a las expectativas de los ingresos para los próximos seis meses, </w:t>
      </w:r>
      <w:r w:rsidR="00D95C07">
        <w:rPr>
          <w:sz w:val="24"/>
          <w:szCs w:val="24"/>
        </w:rPr>
        <w:t xml:space="preserve">considerando un escenario regular, </w:t>
      </w:r>
      <w:r w:rsidR="00D5761E">
        <w:rPr>
          <w:sz w:val="24"/>
          <w:szCs w:val="24"/>
        </w:rPr>
        <w:t>28.7% de l</w:t>
      </w:r>
      <w:r w:rsidRPr="00DC4F0B">
        <w:rPr>
          <w:sz w:val="24"/>
          <w:szCs w:val="24"/>
        </w:rPr>
        <w:t>as empresas espera un aumento en sus ingresos</w:t>
      </w:r>
      <w:r w:rsidR="00D5761E">
        <w:rPr>
          <w:sz w:val="24"/>
          <w:szCs w:val="24"/>
        </w:rPr>
        <w:t xml:space="preserve">. </w:t>
      </w:r>
      <w:r w:rsidR="00C37113">
        <w:rPr>
          <w:sz w:val="24"/>
          <w:szCs w:val="24"/>
        </w:rPr>
        <w:t xml:space="preserve">En cambio, </w:t>
      </w:r>
      <w:r w:rsidRPr="00DC4F0B">
        <w:rPr>
          <w:sz w:val="24"/>
          <w:szCs w:val="24"/>
        </w:rPr>
        <w:t>53.8% contest</w:t>
      </w:r>
      <w:r w:rsidR="00D5761E">
        <w:rPr>
          <w:sz w:val="24"/>
          <w:szCs w:val="24"/>
        </w:rPr>
        <w:t>ó</w:t>
      </w:r>
      <w:r w:rsidRPr="00DC4F0B">
        <w:rPr>
          <w:sz w:val="24"/>
          <w:szCs w:val="24"/>
        </w:rPr>
        <w:t xml:space="preserve"> que sus ingresos permanecerán igual </w:t>
      </w:r>
      <w:r w:rsidR="00C37113">
        <w:rPr>
          <w:sz w:val="24"/>
          <w:szCs w:val="24"/>
        </w:rPr>
        <w:t xml:space="preserve">y </w:t>
      </w:r>
      <w:r w:rsidR="00D95C07">
        <w:rPr>
          <w:sz w:val="24"/>
          <w:szCs w:val="24"/>
        </w:rPr>
        <w:t>17.5% piensa que sus ingresos disminuirán.</w:t>
      </w:r>
    </w:p>
    <w:p w14:paraId="583D50F7" w14:textId="656A0F6A" w:rsidR="00CD0428" w:rsidRPr="00DC4F0B" w:rsidRDefault="00CD0428" w:rsidP="008D6193">
      <w:pPr>
        <w:rPr>
          <w:b/>
          <w:bCs/>
          <w:sz w:val="24"/>
          <w:szCs w:val="24"/>
        </w:rPr>
      </w:pPr>
    </w:p>
    <w:p w14:paraId="5C687A57" w14:textId="401F9B37" w:rsidR="00A820BC" w:rsidRDefault="00180F83" w:rsidP="00DC4F0B">
      <w:pPr>
        <w:ind w:left="-284"/>
        <w:jc w:val="both"/>
        <w:rPr>
          <w:sz w:val="24"/>
          <w:szCs w:val="24"/>
        </w:rPr>
      </w:pPr>
      <w:r>
        <w:rPr>
          <w:sz w:val="24"/>
          <w:szCs w:val="24"/>
        </w:rPr>
        <w:t>De las empresas que tuvieron menor acceso a servicios financieros, e</w:t>
      </w:r>
      <w:r w:rsidR="00205F5C">
        <w:rPr>
          <w:sz w:val="24"/>
          <w:szCs w:val="24"/>
        </w:rPr>
        <w:t xml:space="preserve">l primer obstáculo que han enfrentado son las </w:t>
      </w:r>
      <w:r w:rsidR="00A820BC" w:rsidRPr="00DC4F0B">
        <w:rPr>
          <w:sz w:val="24"/>
          <w:szCs w:val="24"/>
        </w:rPr>
        <w:t>altas tasas de interés, con 51.5</w:t>
      </w:r>
      <w:r w:rsidR="00D5761E">
        <w:rPr>
          <w:sz w:val="24"/>
          <w:szCs w:val="24"/>
        </w:rPr>
        <w:t>%; e</w:t>
      </w:r>
      <w:r w:rsidR="00A820BC" w:rsidRPr="00DC4F0B">
        <w:rPr>
          <w:sz w:val="24"/>
          <w:szCs w:val="24"/>
        </w:rPr>
        <w:t xml:space="preserve">l segundo obstáculo es la falta de disposición de proveedores para otorgar crédito, </w:t>
      </w:r>
      <w:r w:rsidR="00205F5C">
        <w:rPr>
          <w:sz w:val="24"/>
          <w:szCs w:val="24"/>
        </w:rPr>
        <w:t>con</w:t>
      </w:r>
      <w:r w:rsidR="00A820BC" w:rsidRPr="00DC4F0B">
        <w:rPr>
          <w:sz w:val="24"/>
          <w:szCs w:val="24"/>
        </w:rPr>
        <w:t xml:space="preserve"> 44.5% </w:t>
      </w:r>
      <w:r w:rsidR="00205F5C">
        <w:rPr>
          <w:sz w:val="24"/>
          <w:szCs w:val="24"/>
        </w:rPr>
        <w:t>y el</w:t>
      </w:r>
      <w:r w:rsidR="00A820BC" w:rsidRPr="00DC4F0B">
        <w:rPr>
          <w:sz w:val="24"/>
          <w:szCs w:val="24"/>
        </w:rPr>
        <w:t xml:space="preserve"> tercer obstáculo se debe al alto riesgo de no poder pagar los adeudos, con 38.2% de empresas afectadas. </w:t>
      </w:r>
    </w:p>
    <w:p w14:paraId="75F2E72F" w14:textId="029BFF1F" w:rsidR="00D95C07" w:rsidRDefault="00D95C07" w:rsidP="00DC4F0B">
      <w:pPr>
        <w:ind w:left="-284"/>
        <w:jc w:val="both"/>
        <w:rPr>
          <w:sz w:val="24"/>
          <w:szCs w:val="24"/>
        </w:rPr>
      </w:pPr>
    </w:p>
    <w:p w14:paraId="7D8C0496" w14:textId="77777777" w:rsidR="00D95C07" w:rsidRDefault="00D95C07" w:rsidP="00D95C07">
      <w:pPr>
        <w:pStyle w:val="Textoindependiente"/>
        <w:spacing w:before="1"/>
        <w:ind w:left="-284"/>
        <w:jc w:val="both"/>
      </w:pPr>
      <w:r w:rsidRPr="0029312E">
        <w:t xml:space="preserve">De esta manera, el INEGI </w:t>
      </w:r>
      <w:r>
        <w:t>continúa aportado información útil, oportuna y veraz para la toma de decisiones en materia económica ante un fenómeno sin precedente en las últimas décadas</w:t>
      </w:r>
      <w:r w:rsidRPr="0029312E">
        <w:t>.</w:t>
      </w:r>
    </w:p>
    <w:p w14:paraId="35970448" w14:textId="77777777" w:rsidR="00D95C07" w:rsidRPr="00DC4F0B" w:rsidRDefault="00D95C07" w:rsidP="00DC4F0B">
      <w:pPr>
        <w:ind w:left="-284"/>
        <w:jc w:val="both"/>
        <w:rPr>
          <w:sz w:val="24"/>
          <w:szCs w:val="24"/>
        </w:rPr>
      </w:pPr>
    </w:p>
    <w:p w14:paraId="3048B823" w14:textId="77777777" w:rsidR="003603C9" w:rsidRDefault="003603C9" w:rsidP="003603C9">
      <w:pPr>
        <w:ind w:left="-284"/>
        <w:rPr>
          <w:bCs/>
          <w:sz w:val="24"/>
          <w:szCs w:val="24"/>
        </w:rPr>
      </w:pPr>
      <w:r w:rsidRPr="003603C9">
        <w:rPr>
          <w:bCs/>
          <w:sz w:val="24"/>
          <w:szCs w:val="24"/>
        </w:rPr>
        <w:t>Los resultados de la ECOVID-IE pueden ser consultados en</w:t>
      </w:r>
      <w:r>
        <w:rPr>
          <w:bCs/>
          <w:sz w:val="24"/>
          <w:szCs w:val="24"/>
        </w:rPr>
        <w:t>:</w:t>
      </w:r>
    </w:p>
    <w:p w14:paraId="30DE54D0" w14:textId="4E1A77E2" w:rsidR="00A820BC" w:rsidRDefault="00F863C1" w:rsidP="003603C9">
      <w:pPr>
        <w:ind w:left="-284"/>
        <w:rPr>
          <w:bCs/>
          <w:sz w:val="24"/>
          <w:szCs w:val="24"/>
        </w:rPr>
      </w:pPr>
      <w:hyperlink r:id="rId8" w:history="1">
        <w:r w:rsidR="003603C9" w:rsidRPr="003749FC">
          <w:rPr>
            <w:rStyle w:val="Hipervnculo"/>
            <w:bCs/>
            <w:sz w:val="24"/>
            <w:szCs w:val="24"/>
          </w:rPr>
          <w:t>https://www.inegi.org.mx/pr</w:t>
        </w:r>
        <w:bookmarkStart w:id="0" w:name="_GoBack"/>
        <w:bookmarkEnd w:id="0"/>
        <w:r w:rsidR="003603C9" w:rsidRPr="003749FC">
          <w:rPr>
            <w:rStyle w:val="Hipervnculo"/>
            <w:bCs/>
            <w:sz w:val="24"/>
            <w:szCs w:val="24"/>
          </w:rPr>
          <w:t>ogramas/ecovidie/</w:t>
        </w:r>
      </w:hyperlink>
    </w:p>
    <w:p w14:paraId="04592EB4" w14:textId="77777777" w:rsidR="003603C9" w:rsidRPr="003603C9" w:rsidRDefault="003603C9" w:rsidP="003603C9">
      <w:pPr>
        <w:ind w:left="-284"/>
        <w:rPr>
          <w:bCs/>
          <w:sz w:val="24"/>
          <w:szCs w:val="24"/>
        </w:rPr>
      </w:pPr>
    </w:p>
    <w:p w14:paraId="3AB7F29C" w14:textId="71D778EF" w:rsidR="00C65DBA" w:rsidRDefault="00205F5C" w:rsidP="00D40E1D">
      <w:pPr>
        <w:spacing w:before="114"/>
        <w:ind w:left="229" w:right="245"/>
        <w:jc w:val="center"/>
        <w:rPr>
          <w:b/>
          <w:sz w:val="24"/>
          <w:szCs w:val="24"/>
        </w:rPr>
      </w:pPr>
      <w:r w:rsidRPr="00205F5C">
        <w:rPr>
          <w:b/>
          <w:sz w:val="24"/>
          <w:szCs w:val="24"/>
        </w:rPr>
        <w:t>Se anexa nota técnica</w:t>
      </w:r>
    </w:p>
    <w:p w14:paraId="72475A6A" w14:textId="77777777" w:rsidR="00205F5C" w:rsidRPr="00205F5C" w:rsidRDefault="00205F5C" w:rsidP="00D40E1D">
      <w:pPr>
        <w:spacing w:before="114"/>
        <w:ind w:left="229" w:right="245"/>
        <w:jc w:val="center"/>
        <w:rPr>
          <w:b/>
          <w:sz w:val="24"/>
          <w:szCs w:val="24"/>
        </w:rPr>
      </w:pPr>
    </w:p>
    <w:p w14:paraId="65C47315" w14:textId="77777777" w:rsidR="00C65DBA" w:rsidRPr="001C2AC9" w:rsidRDefault="00C65DBA" w:rsidP="00C65DBA">
      <w:pPr>
        <w:jc w:val="center"/>
        <w:rPr>
          <w:b/>
          <w:sz w:val="23"/>
          <w:szCs w:val="23"/>
        </w:rPr>
      </w:pPr>
    </w:p>
    <w:p w14:paraId="3C7FC92A" w14:textId="77777777" w:rsidR="00C65DBA" w:rsidRDefault="00C65DBA" w:rsidP="00C65DBA">
      <w:pPr>
        <w:pStyle w:val="NormalWeb"/>
        <w:spacing w:before="0" w:beforeAutospacing="0" w:after="0" w:afterAutospacing="0"/>
        <w:ind w:left="-425" w:right="-516"/>
        <w:contextualSpacing/>
        <w:jc w:val="center"/>
        <w:rPr>
          <w:rFonts w:ascii="Arial" w:hAnsi="Arial" w:cs="Arial"/>
          <w:sz w:val="22"/>
          <w:szCs w:val="22"/>
        </w:rPr>
      </w:pPr>
      <w:r w:rsidRPr="009C506D">
        <w:rPr>
          <w:rFonts w:ascii="Arial" w:hAnsi="Arial" w:cs="Arial"/>
          <w:sz w:val="22"/>
          <w:szCs w:val="22"/>
        </w:rPr>
        <w:t xml:space="preserve">Para consultas de medios y periodistas, contactar a: </w:t>
      </w:r>
      <w:hyperlink r:id="rId9" w:history="1">
        <w:r w:rsidRPr="009C506D">
          <w:rPr>
            <w:rStyle w:val="Hipervnculo"/>
            <w:rFonts w:ascii="Arial" w:hAnsi="Arial" w:cs="Arial"/>
            <w:sz w:val="22"/>
            <w:szCs w:val="22"/>
          </w:rPr>
          <w:t>comunicacionsocial@inegi.org.mx</w:t>
        </w:r>
      </w:hyperlink>
      <w:r w:rsidRPr="009C506D">
        <w:rPr>
          <w:rFonts w:ascii="Arial" w:hAnsi="Arial" w:cs="Arial"/>
          <w:sz w:val="22"/>
          <w:szCs w:val="22"/>
        </w:rPr>
        <w:t xml:space="preserve"> </w:t>
      </w:r>
    </w:p>
    <w:p w14:paraId="0D55369D" w14:textId="77777777" w:rsidR="00C65DBA" w:rsidRPr="009C506D" w:rsidRDefault="00C65DBA" w:rsidP="00C65DBA">
      <w:pPr>
        <w:pStyle w:val="NormalWeb"/>
        <w:spacing w:before="0" w:beforeAutospacing="0" w:after="0" w:afterAutospacing="0"/>
        <w:ind w:left="-425" w:right="-516"/>
        <w:contextualSpacing/>
        <w:jc w:val="center"/>
        <w:rPr>
          <w:rFonts w:ascii="Arial" w:hAnsi="Arial" w:cs="Arial"/>
          <w:sz w:val="22"/>
          <w:szCs w:val="22"/>
        </w:rPr>
      </w:pPr>
    </w:p>
    <w:p w14:paraId="191CDD29" w14:textId="77777777" w:rsidR="00C65DBA" w:rsidRDefault="00C65DBA" w:rsidP="00C65DBA">
      <w:pPr>
        <w:pStyle w:val="NormalWeb"/>
        <w:spacing w:before="0" w:beforeAutospacing="0" w:after="0" w:afterAutospacing="0"/>
        <w:ind w:left="-425" w:right="-516"/>
        <w:contextualSpacing/>
        <w:jc w:val="center"/>
        <w:rPr>
          <w:rFonts w:ascii="Arial" w:hAnsi="Arial" w:cs="Arial"/>
          <w:sz w:val="22"/>
          <w:szCs w:val="22"/>
        </w:rPr>
      </w:pPr>
      <w:r w:rsidRPr="009C506D">
        <w:rPr>
          <w:rFonts w:ascii="Arial" w:hAnsi="Arial" w:cs="Arial"/>
          <w:sz w:val="22"/>
          <w:szCs w:val="22"/>
        </w:rPr>
        <w:t xml:space="preserve">o llamar al teléfono (55) 52-78-10-00, </w:t>
      </w:r>
      <w:proofErr w:type="spellStart"/>
      <w:r w:rsidRPr="009C506D">
        <w:rPr>
          <w:rFonts w:ascii="Arial" w:hAnsi="Arial" w:cs="Arial"/>
          <w:sz w:val="22"/>
          <w:szCs w:val="22"/>
        </w:rPr>
        <w:t>exts</w:t>
      </w:r>
      <w:proofErr w:type="spellEnd"/>
      <w:r w:rsidRPr="009C506D">
        <w:rPr>
          <w:rFonts w:ascii="Arial" w:hAnsi="Arial" w:cs="Arial"/>
          <w:sz w:val="22"/>
          <w:szCs w:val="22"/>
        </w:rPr>
        <w:t>. 1134, 1260 y 1241.</w:t>
      </w:r>
    </w:p>
    <w:p w14:paraId="035D233F" w14:textId="77777777" w:rsidR="00C65DBA" w:rsidRPr="009C506D" w:rsidRDefault="00C65DBA" w:rsidP="00C65DBA">
      <w:pPr>
        <w:pStyle w:val="NormalWeb"/>
        <w:spacing w:before="0" w:beforeAutospacing="0" w:after="0" w:afterAutospacing="0"/>
        <w:ind w:left="-425" w:right="-516"/>
        <w:contextualSpacing/>
        <w:jc w:val="center"/>
        <w:rPr>
          <w:rFonts w:ascii="Arial" w:hAnsi="Arial" w:cs="Arial"/>
          <w:sz w:val="22"/>
          <w:szCs w:val="22"/>
        </w:rPr>
      </w:pPr>
    </w:p>
    <w:p w14:paraId="271DE7F4" w14:textId="77777777" w:rsidR="00C65DBA" w:rsidRDefault="00C65DBA" w:rsidP="00C65DBA">
      <w:pPr>
        <w:ind w:left="-425" w:right="-516"/>
        <w:contextualSpacing/>
        <w:jc w:val="center"/>
      </w:pPr>
      <w:r w:rsidRPr="009C506D">
        <w:t>Dirección de Atención a Medios / Dirección General Adjunta de Comunicación</w:t>
      </w:r>
    </w:p>
    <w:p w14:paraId="41583ABB" w14:textId="77777777" w:rsidR="00C65DBA" w:rsidRPr="009C506D" w:rsidRDefault="00C65DBA" w:rsidP="00C65DBA">
      <w:pPr>
        <w:ind w:left="-426" w:right="-518"/>
        <w:contextualSpacing/>
        <w:jc w:val="center"/>
      </w:pPr>
    </w:p>
    <w:p w14:paraId="70D1EF86" w14:textId="77777777" w:rsidR="00C65DBA" w:rsidRPr="00BA1ADF" w:rsidRDefault="00C65DBA" w:rsidP="00C65DBA">
      <w:pPr>
        <w:ind w:left="-426" w:right="-518"/>
        <w:contextualSpacing/>
        <w:jc w:val="center"/>
      </w:pPr>
    </w:p>
    <w:p w14:paraId="40DECE7B" w14:textId="77777777" w:rsidR="00C65DBA" w:rsidRDefault="00C65DBA" w:rsidP="00C65DBA">
      <w:pPr>
        <w:ind w:firstLine="1418"/>
        <w:rPr>
          <w:sz w:val="23"/>
          <w:szCs w:val="23"/>
        </w:rPr>
      </w:pPr>
      <w:r w:rsidRPr="008F0992">
        <w:rPr>
          <w:noProof/>
          <w:lang w:eastAsia="es-MX"/>
        </w:rPr>
        <w:drawing>
          <wp:inline distT="0" distB="0" distL="0" distR="0" wp14:anchorId="3EA4269E" wp14:editId="3A6A3E63">
            <wp:extent cx="318472" cy="322419"/>
            <wp:effectExtent l="0" t="0" r="5715" b="1905"/>
            <wp:docPr id="22" name="Imagen 22"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8390" cy="332460"/>
                    </a:xfrm>
                    <a:prstGeom prst="rect">
                      <a:avLst/>
                    </a:prstGeom>
                    <a:noFill/>
                    <a:ln>
                      <a:noFill/>
                    </a:ln>
                  </pic:spPr>
                </pic:pic>
              </a:graphicData>
            </a:graphic>
          </wp:inline>
        </w:drawing>
      </w:r>
      <w:r>
        <w:rPr>
          <w:noProof/>
        </w:rPr>
        <w:t xml:space="preserve"> </w:t>
      </w:r>
      <w:r w:rsidRPr="008F0992">
        <w:rPr>
          <w:noProof/>
          <w:lang w:eastAsia="es-MX"/>
        </w:rPr>
        <w:drawing>
          <wp:inline distT="0" distB="0" distL="0" distR="0" wp14:anchorId="18E81E47" wp14:editId="1BDE5A1E">
            <wp:extent cx="327704" cy="325467"/>
            <wp:effectExtent l="0" t="0" r="0" b="0"/>
            <wp:docPr id="31" name="Imagen 31"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3660" cy="440632"/>
                    </a:xfrm>
                    <a:prstGeom prst="rect">
                      <a:avLst/>
                    </a:prstGeom>
                    <a:noFill/>
                    <a:ln>
                      <a:noFill/>
                    </a:ln>
                  </pic:spPr>
                </pic:pic>
              </a:graphicData>
            </a:graphic>
          </wp:inline>
        </w:drawing>
      </w:r>
      <w:r>
        <w:rPr>
          <w:noProof/>
        </w:rPr>
        <w:t xml:space="preserve"> </w:t>
      </w:r>
      <w:r w:rsidRPr="008F0992">
        <w:rPr>
          <w:noProof/>
          <w:lang w:eastAsia="es-MX"/>
        </w:rPr>
        <w:drawing>
          <wp:inline distT="0" distB="0" distL="0" distR="0" wp14:anchorId="3C33FFF3" wp14:editId="31EED8F5">
            <wp:extent cx="321276" cy="324093"/>
            <wp:effectExtent l="0" t="0" r="3175" b="0"/>
            <wp:docPr id="11" name="Imagen 11"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2052" cy="334964"/>
                    </a:xfrm>
                    <a:prstGeom prst="rect">
                      <a:avLst/>
                    </a:prstGeom>
                    <a:noFill/>
                    <a:ln>
                      <a:noFill/>
                    </a:ln>
                  </pic:spPr>
                </pic:pic>
              </a:graphicData>
            </a:graphic>
          </wp:inline>
        </w:drawing>
      </w:r>
      <w:r>
        <w:rPr>
          <w:noProof/>
        </w:rPr>
        <w:t xml:space="preserve"> </w:t>
      </w:r>
      <w:r w:rsidRPr="008F0992">
        <w:rPr>
          <w:noProof/>
          <w:lang w:eastAsia="es-MX"/>
        </w:rPr>
        <w:drawing>
          <wp:inline distT="0" distB="0" distL="0" distR="0" wp14:anchorId="3305F404" wp14:editId="066EFC19">
            <wp:extent cx="321276" cy="326574"/>
            <wp:effectExtent l="0" t="0" r="3175" b="0"/>
            <wp:docPr id="32" name="Imagen 32"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0702" cy="376816"/>
                    </a:xfrm>
                    <a:prstGeom prst="rect">
                      <a:avLst/>
                    </a:prstGeom>
                    <a:noFill/>
                    <a:ln>
                      <a:noFill/>
                    </a:ln>
                  </pic:spPr>
                </pic:pic>
              </a:graphicData>
            </a:graphic>
          </wp:inline>
        </w:drawing>
      </w:r>
      <w:r>
        <w:rPr>
          <w:noProof/>
        </w:rPr>
        <w:t xml:space="preserve">  </w:t>
      </w:r>
      <w:r w:rsidRPr="008F0992">
        <w:rPr>
          <w:noProof/>
          <w:sz w:val="14"/>
          <w:szCs w:val="18"/>
          <w:lang w:eastAsia="es-MX"/>
        </w:rPr>
        <w:drawing>
          <wp:inline distT="0" distB="0" distL="0" distR="0" wp14:anchorId="6AC9F8DC" wp14:editId="615D0F73">
            <wp:extent cx="2323070" cy="319707"/>
            <wp:effectExtent l="0" t="0" r="1270" b="4445"/>
            <wp:docPr id="24" name="Imagen 2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93623" cy="356941"/>
                    </a:xfrm>
                    <a:prstGeom prst="rect">
                      <a:avLst/>
                    </a:prstGeom>
                    <a:noFill/>
                    <a:ln>
                      <a:noFill/>
                    </a:ln>
                  </pic:spPr>
                </pic:pic>
              </a:graphicData>
            </a:graphic>
          </wp:inline>
        </w:drawing>
      </w:r>
    </w:p>
    <w:p w14:paraId="4BDE56BF" w14:textId="77777777" w:rsidR="00205F5C" w:rsidRDefault="00205F5C" w:rsidP="00D40E1D">
      <w:pPr>
        <w:spacing w:before="114"/>
        <w:ind w:left="229" w:right="245"/>
        <w:jc w:val="center"/>
        <w:rPr>
          <w:b/>
          <w:sz w:val="28"/>
        </w:rPr>
        <w:sectPr w:rsidR="00205F5C" w:rsidSect="004D3395">
          <w:headerReference w:type="default" r:id="rId20"/>
          <w:footerReference w:type="default" r:id="rId21"/>
          <w:pgSz w:w="12250" w:h="15850"/>
          <w:pgMar w:top="2127" w:right="1193" w:bottom="640" w:left="1418" w:header="257" w:footer="743" w:gutter="0"/>
          <w:cols w:space="720"/>
        </w:sectPr>
      </w:pPr>
    </w:p>
    <w:p w14:paraId="139F549B" w14:textId="55EBA323" w:rsidR="00C65DBA" w:rsidRDefault="00C65DBA" w:rsidP="00D40E1D">
      <w:pPr>
        <w:spacing w:before="114"/>
        <w:ind w:left="229" w:right="245"/>
        <w:jc w:val="center"/>
        <w:rPr>
          <w:b/>
          <w:sz w:val="28"/>
        </w:rPr>
      </w:pPr>
    </w:p>
    <w:p w14:paraId="4439DCB9" w14:textId="7AD58E2E" w:rsidR="00C65DBA" w:rsidRDefault="00C65DBA" w:rsidP="00D40E1D">
      <w:pPr>
        <w:spacing w:before="114"/>
        <w:ind w:left="229" w:right="245"/>
        <w:jc w:val="center"/>
        <w:rPr>
          <w:b/>
          <w:sz w:val="28"/>
        </w:rPr>
      </w:pPr>
    </w:p>
    <w:p w14:paraId="7FA6F0DF" w14:textId="580C24B7" w:rsidR="00565B3C" w:rsidRPr="004A309E" w:rsidRDefault="00D40E1D" w:rsidP="004A309E">
      <w:pPr>
        <w:spacing w:before="114"/>
        <w:ind w:left="229" w:right="245"/>
        <w:jc w:val="center"/>
        <w:rPr>
          <w:b/>
          <w:sz w:val="24"/>
          <w:szCs w:val="24"/>
        </w:rPr>
      </w:pPr>
      <w:r w:rsidRPr="004A309E">
        <w:rPr>
          <w:b/>
          <w:sz w:val="24"/>
          <w:szCs w:val="24"/>
        </w:rPr>
        <w:t>NOTA TÉCNICA</w:t>
      </w:r>
    </w:p>
    <w:p w14:paraId="58FEFC73" w14:textId="07676450" w:rsidR="00D40E1D" w:rsidRPr="004A309E" w:rsidRDefault="00D40E1D" w:rsidP="00D40E1D">
      <w:pPr>
        <w:spacing w:before="119"/>
        <w:ind w:left="229" w:right="245"/>
        <w:jc w:val="center"/>
        <w:rPr>
          <w:b/>
          <w:sz w:val="24"/>
          <w:szCs w:val="24"/>
        </w:rPr>
      </w:pPr>
      <w:r w:rsidRPr="004A309E">
        <w:rPr>
          <w:b/>
          <w:sz w:val="24"/>
          <w:szCs w:val="24"/>
        </w:rPr>
        <w:t xml:space="preserve">ENCUESTA SOBRE </w:t>
      </w:r>
      <w:r w:rsidR="00E4088F" w:rsidRPr="004A309E">
        <w:rPr>
          <w:b/>
          <w:sz w:val="24"/>
          <w:szCs w:val="24"/>
        </w:rPr>
        <w:t>EL IMPACTO GENERADO POR COVI</w:t>
      </w:r>
      <w:r w:rsidR="004935BA" w:rsidRPr="004A309E">
        <w:rPr>
          <w:b/>
          <w:sz w:val="24"/>
          <w:szCs w:val="24"/>
        </w:rPr>
        <w:t>D-19</w:t>
      </w:r>
      <w:r w:rsidR="00E4088F" w:rsidRPr="004A309E">
        <w:rPr>
          <w:b/>
          <w:sz w:val="24"/>
          <w:szCs w:val="24"/>
        </w:rPr>
        <w:t xml:space="preserve"> EN LAS EMPRESAS</w:t>
      </w:r>
      <w:r w:rsidR="004935BA" w:rsidRPr="004A309E">
        <w:rPr>
          <w:b/>
          <w:sz w:val="24"/>
          <w:szCs w:val="24"/>
        </w:rPr>
        <w:t xml:space="preserve"> (ECOVID-IE</w:t>
      </w:r>
      <w:r w:rsidR="00205F5C">
        <w:rPr>
          <w:b/>
          <w:sz w:val="24"/>
          <w:szCs w:val="24"/>
        </w:rPr>
        <w:t>, tercera edición</w:t>
      </w:r>
      <w:r w:rsidR="00EC7543" w:rsidRPr="004A309E">
        <w:rPr>
          <w:b/>
          <w:sz w:val="24"/>
          <w:szCs w:val="24"/>
        </w:rPr>
        <w:t>) 2021</w:t>
      </w:r>
    </w:p>
    <w:p w14:paraId="4927BA91" w14:textId="27BC5764" w:rsidR="00D40E1D" w:rsidRDefault="00D40E1D" w:rsidP="00D40E1D">
      <w:pPr>
        <w:pStyle w:val="Textoindependiente"/>
        <w:spacing w:before="3"/>
        <w:rPr>
          <w:b/>
        </w:rPr>
      </w:pPr>
    </w:p>
    <w:p w14:paraId="6758A743" w14:textId="19D4D089" w:rsidR="00565B3C" w:rsidRPr="007F0542" w:rsidRDefault="00565B3C" w:rsidP="00D40E1D">
      <w:pPr>
        <w:pStyle w:val="Textoindependiente"/>
        <w:spacing w:before="3"/>
        <w:rPr>
          <w:b/>
        </w:rPr>
      </w:pPr>
    </w:p>
    <w:p w14:paraId="142D3102" w14:textId="7E607131" w:rsidR="00D40E1D" w:rsidRPr="0029312E" w:rsidRDefault="00D40E1D" w:rsidP="00AF2C55">
      <w:pPr>
        <w:pStyle w:val="Textoindependiente"/>
        <w:ind w:left="102" w:right="118"/>
        <w:jc w:val="both"/>
      </w:pPr>
      <w:r w:rsidRPr="0029312E">
        <w:t xml:space="preserve">Durante el </w:t>
      </w:r>
      <w:r w:rsidR="00EC7543">
        <w:t>primer</w:t>
      </w:r>
      <w:r w:rsidRPr="0029312E">
        <w:t xml:space="preserve"> trimestre de </w:t>
      </w:r>
      <w:r>
        <w:t>20</w:t>
      </w:r>
      <w:r w:rsidR="00EC7543">
        <w:t>21</w:t>
      </w:r>
      <w:r w:rsidRPr="0029312E">
        <w:t xml:space="preserve"> el Instituto Nacional de Estadística y Geografía (INEGI)</w:t>
      </w:r>
      <w:r w:rsidR="00F01863">
        <w:t xml:space="preserve">, en su papel de organismo rector para la generación de estadísticas oportunas y debido a la coyuntura presentada por la pandemia, tomó la decisión de realizar </w:t>
      </w:r>
      <w:r w:rsidR="00376B79">
        <w:t xml:space="preserve">el </w:t>
      </w:r>
      <w:r w:rsidR="00476A60">
        <w:t xml:space="preserve">levantamiento de </w:t>
      </w:r>
      <w:r w:rsidR="00F01863">
        <w:t xml:space="preserve">la Encuesta sobre el </w:t>
      </w:r>
      <w:r w:rsidR="00D5761E">
        <w:t>i</w:t>
      </w:r>
      <w:r w:rsidR="00F01863">
        <w:t xml:space="preserve">mpacto </w:t>
      </w:r>
      <w:r w:rsidR="00D5761E">
        <w:t>g</w:t>
      </w:r>
      <w:r w:rsidR="00F01863">
        <w:t>enerado por COVID-</w:t>
      </w:r>
      <w:r w:rsidR="004935BA">
        <w:t>19 en la</w:t>
      </w:r>
      <w:r w:rsidR="00DD1177">
        <w:t>s</w:t>
      </w:r>
      <w:r w:rsidR="004935BA">
        <w:t xml:space="preserve"> </w:t>
      </w:r>
      <w:r w:rsidR="00D5761E">
        <w:t>e</w:t>
      </w:r>
      <w:r w:rsidR="004935BA">
        <w:t>mpresas (ECOVID-IE</w:t>
      </w:r>
      <w:r w:rsidR="008326D8">
        <w:t>)</w:t>
      </w:r>
      <w:r w:rsidR="00476A60">
        <w:t xml:space="preserve"> </w:t>
      </w:r>
      <w:r w:rsidR="00376B79">
        <w:t>terce</w:t>
      </w:r>
      <w:r w:rsidR="00205F5C">
        <w:t>ra edición</w:t>
      </w:r>
      <w:r w:rsidR="00F01863">
        <w:t xml:space="preserve">, </w:t>
      </w:r>
      <w:r w:rsidR="00476A60">
        <w:t xml:space="preserve">dando continuidad </w:t>
      </w:r>
      <w:r w:rsidR="00476A60" w:rsidRPr="00476A60">
        <w:t>a la generación de indicadores sobre las afectaciones de la contingencia originada por COVID-19</w:t>
      </w:r>
      <w:r w:rsidR="00476A60">
        <w:t>.</w:t>
      </w:r>
    </w:p>
    <w:p w14:paraId="24BDD585" w14:textId="446C9196" w:rsidR="00D40E1D" w:rsidRPr="0029312E" w:rsidRDefault="00D40E1D" w:rsidP="0046061D">
      <w:pPr>
        <w:pStyle w:val="Textoindependiente"/>
        <w:spacing w:before="4"/>
        <w:jc w:val="both"/>
      </w:pPr>
    </w:p>
    <w:p w14:paraId="21B52736" w14:textId="4A1EB2DF" w:rsidR="00D40E1D" w:rsidRDefault="00D40E1D">
      <w:pPr>
        <w:pStyle w:val="Textoindependiente"/>
        <w:spacing w:before="1"/>
        <w:ind w:left="102" w:right="114"/>
        <w:jc w:val="both"/>
      </w:pPr>
      <w:r w:rsidRPr="0029312E">
        <w:t xml:space="preserve">De esta manera, el INEGI </w:t>
      </w:r>
      <w:r w:rsidR="00CE5908">
        <w:t>continúa</w:t>
      </w:r>
      <w:r w:rsidR="00476A60">
        <w:t xml:space="preserve"> </w:t>
      </w:r>
      <w:r w:rsidR="00BC5C8D">
        <w:t>aporta</w:t>
      </w:r>
      <w:r w:rsidR="00476A60">
        <w:t>do</w:t>
      </w:r>
      <w:r w:rsidR="00BC5C8D">
        <w:t xml:space="preserve"> i</w:t>
      </w:r>
      <w:r w:rsidR="00376B79">
        <w:t>nformación útil, oportuna y vera</w:t>
      </w:r>
      <w:r w:rsidR="00BC5C8D">
        <w:t>z para la toma de decisiones en materia económica ante un fenómeno sin precedente en las últimas décadas</w:t>
      </w:r>
      <w:r w:rsidRPr="0029312E">
        <w:t>.</w:t>
      </w:r>
    </w:p>
    <w:p w14:paraId="07AC80A0" w14:textId="3B6C3958" w:rsidR="00AF35C7" w:rsidRDefault="00AF35C7">
      <w:pPr>
        <w:pStyle w:val="Textoindependiente"/>
        <w:spacing w:before="1"/>
        <w:ind w:left="102" w:right="114"/>
        <w:jc w:val="both"/>
      </w:pPr>
    </w:p>
    <w:p w14:paraId="0D677A18" w14:textId="21039E67" w:rsidR="003B6936" w:rsidRDefault="003B6936">
      <w:pPr>
        <w:pStyle w:val="Textoindependiente"/>
        <w:spacing w:before="1"/>
        <w:ind w:left="102" w:right="114"/>
        <w:jc w:val="both"/>
      </w:pPr>
      <w:r>
        <w:t>El objetivo de la encuesta es c</w:t>
      </w:r>
      <w:r w:rsidRPr="003B6936">
        <w:t>onocer la situación actual y afectaciones de las empresas por la contingencia originada por COVID-19</w:t>
      </w:r>
      <w:r>
        <w:t xml:space="preserve"> y d</w:t>
      </w:r>
      <w:r w:rsidRPr="003B6936">
        <w:t xml:space="preserve">ar continuidad al análisis de las </w:t>
      </w:r>
      <w:r w:rsidR="00AF2C55" w:rsidRPr="00426292">
        <w:t xml:space="preserve">unidades económicas </w:t>
      </w:r>
      <w:r w:rsidRPr="00426292">
        <w:t xml:space="preserve">que se captaron en </w:t>
      </w:r>
      <w:r w:rsidR="00205F5C">
        <w:t>la</w:t>
      </w:r>
      <w:r w:rsidR="00FA0BC6">
        <w:t xml:space="preserve"> primer</w:t>
      </w:r>
      <w:r w:rsidR="00205F5C">
        <w:t>a</w:t>
      </w:r>
      <w:r w:rsidR="00376B79">
        <w:t xml:space="preserve"> y </w:t>
      </w:r>
      <w:r w:rsidR="00205F5C">
        <w:t>la</w:t>
      </w:r>
      <w:r w:rsidR="00FA0BC6">
        <w:t xml:space="preserve"> segund</w:t>
      </w:r>
      <w:r w:rsidR="00205F5C">
        <w:t xml:space="preserve">a edición </w:t>
      </w:r>
      <w:r w:rsidR="00D5761E">
        <w:t>durante</w:t>
      </w:r>
      <w:r w:rsidR="00376B79">
        <w:t xml:space="preserve"> 2020.</w:t>
      </w:r>
    </w:p>
    <w:p w14:paraId="5876A0F8" w14:textId="77777777" w:rsidR="00376B79" w:rsidRDefault="00376B79">
      <w:pPr>
        <w:pStyle w:val="Textoindependiente"/>
        <w:spacing w:before="1"/>
        <w:ind w:left="102" w:right="114"/>
        <w:jc w:val="both"/>
      </w:pPr>
    </w:p>
    <w:p w14:paraId="5625A41F" w14:textId="63A8D82A" w:rsidR="00D40E1D" w:rsidRPr="0029312E" w:rsidRDefault="00D40E1D">
      <w:pPr>
        <w:pStyle w:val="Textoindependiente"/>
        <w:spacing w:before="1"/>
        <w:ind w:left="102" w:right="114"/>
        <w:jc w:val="both"/>
      </w:pPr>
      <w:r w:rsidRPr="0029312E">
        <w:t>La</w:t>
      </w:r>
      <w:r w:rsidR="00CE2B12">
        <w:t>s</w:t>
      </w:r>
      <w:r w:rsidRPr="0029312E">
        <w:t xml:space="preserve"> </w:t>
      </w:r>
      <w:r>
        <w:t>estimaci</w:t>
      </w:r>
      <w:r w:rsidR="00CE2B12">
        <w:t>ones</w:t>
      </w:r>
      <w:r>
        <w:t xml:space="preserve"> de la </w:t>
      </w:r>
      <w:r w:rsidR="00BC5C8D">
        <w:t>ECOVID</w:t>
      </w:r>
      <w:r w:rsidR="001D00FE">
        <w:t>-IE</w:t>
      </w:r>
      <w:r w:rsidR="00FF36D4">
        <w:t xml:space="preserve"> </w:t>
      </w:r>
      <w:r w:rsidR="00376B79">
        <w:t>tercer</w:t>
      </w:r>
      <w:r w:rsidR="00205F5C">
        <w:t>a</w:t>
      </w:r>
      <w:r w:rsidR="002A60A1">
        <w:t xml:space="preserve"> e</w:t>
      </w:r>
      <w:r w:rsidR="00205F5C">
        <w:t>dición</w:t>
      </w:r>
      <w:r>
        <w:t xml:space="preserve"> </w:t>
      </w:r>
      <w:r w:rsidRPr="0029312E">
        <w:t>permite</w:t>
      </w:r>
      <w:r w:rsidR="00CE2B12">
        <w:t>n</w:t>
      </w:r>
      <w:r w:rsidRPr="0029312E">
        <w:t xml:space="preserve"> caracterizar el fenómeno </w:t>
      </w:r>
      <w:r w:rsidR="00BC5C8D">
        <w:t xml:space="preserve">de esta pandemia en </w:t>
      </w:r>
      <w:r w:rsidR="00C80A96">
        <w:t xml:space="preserve">los sectores económicos de </w:t>
      </w:r>
      <w:r w:rsidR="00BC5C8D">
        <w:t>las empresas grandes</w:t>
      </w:r>
      <w:r w:rsidR="000C3B3A">
        <w:t xml:space="preserve"> y</w:t>
      </w:r>
      <w:r w:rsidR="00BC5C8D">
        <w:t xml:space="preserve"> las </w:t>
      </w:r>
      <w:proofErr w:type="spellStart"/>
      <w:r w:rsidR="0044079F">
        <w:t>mipymes</w:t>
      </w:r>
      <w:proofErr w:type="spellEnd"/>
      <w:r w:rsidR="00CB477F">
        <w:t xml:space="preserve"> </w:t>
      </w:r>
      <w:r w:rsidR="00CE5908">
        <w:t>del país.</w:t>
      </w:r>
    </w:p>
    <w:p w14:paraId="7D16241B" w14:textId="0127E670" w:rsidR="00D40E1D" w:rsidRPr="0029312E" w:rsidRDefault="00D40E1D" w:rsidP="002B7A3B">
      <w:pPr>
        <w:pStyle w:val="Textoindependiente"/>
        <w:spacing w:before="10"/>
        <w:jc w:val="both"/>
      </w:pPr>
    </w:p>
    <w:p w14:paraId="557420C2" w14:textId="5A0D9CEA" w:rsidR="00D40E1D" w:rsidRPr="0029312E" w:rsidRDefault="008A65A8">
      <w:pPr>
        <w:pStyle w:val="Textoindependiente"/>
        <w:ind w:left="102" w:right="113"/>
        <w:jc w:val="both"/>
      </w:pPr>
      <w:r>
        <w:t xml:space="preserve">La captación de la información </w:t>
      </w:r>
      <w:r w:rsidR="00CE5908">
        <w:t>en est</w:t>
      </w:r>
      <w:r w:rsidR="00205F5C">
        <w:t>a</w:t>
      </w:r>
      <w:r w:rsidR="00576EA3">
        <w:t xml:space="preserve"> tercer</w:t>
      </w:r>
      <w:r w:rsidR="00205F5C">
        <w:t>a edición</w:t>
      </w:r>
      <w:r w:rsidR="00AF2C55">
        <w:t xml:space="preserve"> </w:t>
      </w:r>
      <w:r>
        <w:t xml:space="preserve">se llevó a cabo del </w:t>
      </w:r>
      <w:r w:rsidR="00CE5908">
        <w:t>1</w:t>
      </w:r>
      <w:r w:rsidR="00B46D52">
        <w:t xml:space="preserve">º </w:t>
      </w:r>
      <w:r w:rsidR="00CE5908">
        <w:rPr>
          <w:rFonts w:eastAsia="Times New Roman"/>
          <w:color w:val="000000"/>
        </w:rPr>
        <w:t>al</w:t>
      </w:r>
      <w:r w:rsidR="004C3C3A">
        <w:rPr>
          <w:rFonts w:eastAsia="Times New Roman"/>
          <w:color w:val="000000"/>
        </w:rPr>
        <w:t xml:space="preserve"> </w:t>
      </w:r>
      <w:r w:rsidR="00376B79">
        <w:rPr>
          <w:rFonts w:eastAsia="Times New Roman"/>
          <w:color w:val="000000"/>
        </w:rPr>
        <w:t>31</w:t>
      </w:r>
      <w:r w:rsidR="00CE5908">
        <w:rPr>
          <w:rFonts w:eastAsia="Times New Roman"/>
          <w:color w:val="000000"/>
        </w:rPr>
        <w:t xml:space="preserve"> de </w:t>
      </w:r>
      <w:r w:rsidR="00376B79">
        <w:rPr>
          <w:rFonts w:eastAsia="Times New Roman"/>
          <w:color w:val="000000"/>
        </w:rPr>
        <w:t>marzo</w:t>
      </w:r>
      <w:r w:rsidR="004C3C3A">
        <w:rPr>
          <w:rFonts w:eastAsia="Times New Roman"/>
          <w:color w:val="000000"/>
        </w:rPr>
        <w:t xml:space="preserve"> </w:t>
      </w:r>
      <w:r w:rsidR="00376B79">
        <w:t>de 2021</w:t>
      </w:r>
      <w:r w:rsidR="004C3C3A">
        <w:t xml:space="preserve">, con un tamaño de muestra de </w:t>
      </w:r>
      <w:r w:rsidR="00376B79">
        <w:t>5</w:t>
      </w:r>
      <w:r w:rsidR="00D5761E">
        <w:t xml:space="preserve"> </w:t>
      </w:r>
      <w:r w:rsidR="00376B79">
        <w:t>969</w:t>
      </w:r>
      <w:r w:rsidR="004C3C3A">
        <w:t xml:space="preserve"> empresas</w:t>
      </w:r>
      <w:r>
        <w:t>.</w:t>
      </w:r>
    </w:p>
    <w:p w14:paraId="6319A38B" w14:textId="5E93DE59" w:rsidR="00D40E1D" w:rsidRPr="0029312E" w:rsidRDefault="00D40E1D" w:rsidP="002B7A3B">
      <w:pPr>
        <w:pStyle w:val="Textoindependiente"/>
        <w:spacing w:before="10"/>
        <w:jc w:val="both"/>
      </w:pPr>
    </w:p>
    <w:p w14:paraId="21094038" w14:textId="1C46A146" w:rsidR="00D40E1D" w:rsidRDefault="00D40E1D">
      <w:pPr>
        <w:pStyle w:val="Textoindependiente"/>
        <w:ind w:left="102" w:right="115"/>
        <w:jc w:val="both"/>
        <w:rPr>
          <w:b/>
          <w:bCs/>
        </w:rPr>
      </w:pPr>
      <w:r w:rsidRPr="0029312E">
        <w:t>La generación de resultados a nivel nacional junto con el diseño de la muestra, el operativo de campo y las demás fases del proceso de la encuesta son responsabilidad</w:t>
      </w:r>
      <w:r w:rsidRPr="0029312E">
        <w:rPr>
          <w:spacing w:val="-18"/>
        </w:rPr>
        <w:t xml:space="preserve"> </w:t>
      </w:r>
      <w:r w:rsidRPr="0029312E">
        <w:t>y</w:t>
      </w:r>
      <w:r w:rsidRPr="0029312E">
        <w:rPr>
          <w:spacing w:val="-19"/>
        </w:rPr>
        <w:t xml:space="preserve"> </w:t>
      </w:r>
      <w:r w:rsidRPr="0029312E">
        <w:t>atribución</w:t>
      </w:r>
      <w:r w:rsidRPr="0029312E">
        <w:rPr>
          <w:spacing w:val="-18"/>
        </w:rPr>
        <w:t xml:space="preserve"> </w:t>
      </w:r>
      <w:r w:rsidRPr="0029312E">
        <w:t>exclusiva</w:t>
      </w:r>
      <w:r w:rsidRPr="0029312E">
        <w:rPr>
          <w:spacing w:val="-16"/>
        </w:rPr>
        <w:t xml:space="preserve"> </w:t>
      </w:r>
      <w:r w:rsidRPr="0029312E">
        <w:t>del</w:t>
      </w:r>
      <w:r w:rsidRPr="0029312E">
        <w:rPr>
          <w:spacing w:val="-17"/>
        </w:rPr>
        <w:t xml:space="preserve"> </w:t>
      </w:r>
      <w:r w:rsidRPr="0029312E">
        <w:t>INEGI</w:t>
      </w:r>
      <w:r w:rsidR="00BC5C8D">
        <w:t>.</w:t>
      </w:r>
    </w:p>
    <w:p w14:paraId="7AF15CFC" w14:textId="7F465577" w:rsidR="00D40E1D" w:rsidRDefault="00D40E1D" w:rsidP="00E970C0">
      <w:pPr>
        <w:pStyle w:val="Ttulo2"/>
        <w:tabs>
          <w:tab w:val="left" w:pos="1560"/>
        </w:tabs>
        <w:jc w:val="both"/>
        <w:rPr>
          <w:sz w:val="28"/>
        </w:rPr>
      </w:pPr>
    </w:p>
    <w:p w14:paraId="6A32B646" w14:textId="448A3992" w:rsidR="00635C96" w:rsidRPr="004A309E" w:rsidRDefault="00635C96" w:rsidP="004A309E">
      <w:pPr>
        <w:pStyle w:val="Ttulo2"/>
        <w:spacing w:before="113"/>
        <w:jc w:val="left"/>
      </w:pPr>
      <w:r w:rsidRPr="004A309E">
        <w:t>NOTA AL USUARIO</w:t>
      </w:r>
    </w:p>
    <w:p w14:paraId="36878AED" w14:textId="77777777" w:rsidR="00635C96" w:rsidRDefault="00635C96" w:rsidP="00635C96">
      <w:pPr>
        <w:pStyle w:val="Textoindependiente"/>
        <w:spacing w:before="10"/>
        <w:rPr>
          <w:b/>
          <w:sz w:val="20"/>
        </w:rPr>
      </w:pPr>
    </w:p>
    <w:p w14:paraId="36E3D279" w14:textId="58AC1CBF" w:rsidR="00CF0E41" w:rsidRPr="002F2473" w:rsidRDefault="00CF0E41" w:rsidP="002F2473">
      <w:pPr>
        <w:pStyle w:val="Textoindependiente"/>
        <w:ind w:left="102" w:right="115"/>
        <w:jc w:val="both"/>
      </w:pPr>
      <w:r>
        <w:t>L</w:t>
      </w:r>
      <w:r w:rsidR="00635C96">
        <w:t xml:space="preserve">a unidad de selección </w:t>
      </w:r>
      <w:r w:rsidR="00530710">
        <w:t xml:space="preserve">para la encuesta </w:t>
      </w:r>
      <w:r w:rsidR="00635C96">
        <w:t>es</w:t>
      </w:r>
      <w:r w:rsidRPr="002F2473">
        <w:t xml:space="preserve">tá definida por todas aquellas empresas del país con instalaciones fijas que realizan actividades económicas correspondientes al sector industria (minería, electricidad, suministro de agua y gas, construcción                               y manufacturas), comercio y servicios (incluye transportes). Por lo que se excluyen las actividades relacionadas </w:t>
      </w:r>
      <w:r w:rsidR="00530710">
        <w:t>con</w:t>
      </w:r>
      <w:r w:rsidRPr="002F2473">
        <w:t xml:space="preserve"> la agricultura, cría y explotación de animales, pesca y acuicultura, y gobierno.</w:t>
      </w:r>
    </w:p>
    <w:p w14:paraId="5D0E3FCD" w14:textId="77777777" w:rsidR="00CF0E41" w:rsidRPr="002F2473" w:rsidRDefault="00CF0E41" w:rsidP="002F2473">
      <w:pPr>
        <w:pStyle w:val="Textoindependiente"/>
        <w:ind w:left="102" w:right="115"/>
        <w:jc w:val="both"/>
      </w:pPr>
    </w:p>
    <w:p w14:paraId="3D5DB24E" w14:textId="77777777" w:rsidR="00D5761E" w:rsidRDefault="00D5761E" w:rsidP="002F2473">
      <w:pPr>
        <w:pStyle w:val="Textoindependiente"/>
        <w:ind w:left="102" w:right="115"/>
        <w:jc w:val="both"/>
        <w:rPr>
          <w:b/>
          <w:bCs/>
        </w:rPr>
      </w:pPr>
      <w:bookmarkStart w:id="1" w:name="_Ref39663577"/>
      <w:bookmarkStart w:id="2" w:name="_Ref38894386"/>
      <w:bookmarkStart w:id="3" w:name="_Ref23254846"/>
      <w:bookmarkStart w:id="4" w:name="_Ref39755910"/>
    </w:p>
    <w:p w14:paraId="41630949" w14:textId="77777777" w:rsidR="00D5761E" w:rsidRDefault="00D5761E" w:rsidP="002F2473">
      <w:pPr>
        <w:pStyle w:val="Textoindependiente"/>
        <w:ind w:left="102" w:right="115"/>
        <w:jc w:val="both"/>
        <w:rPr>
          <w:b/>
          <w:bCs/>
        </w:rPr>
      </w:pPr>
    </w:p>
    <w:p w14:paraId="268C694F" w14:textId="51896F7A" w:rsidR="00D5761E" w:rsidRDefault="00D5761E" w:rsidP="002F2473">
      <w:pPr>
        <w:pStyle w:val="Textoindependiente"/>
        <w:ind w:left="102" w:right="115"/>
        <w:jc w:val="both"/>
        <w:rPr>
          <w:b/>
          <w:bCs/>
        </w:rPr>
      </w:pPr>
    </w:p>
    <w:p w14:paraId="20866E7E" w14:textId="77777777" w:rsidR="003603C9" w:rsidRDefault="003603C9" w:rsidP="002F2473">
      <w:pPr>
        <w:pStyle w:val="Textoindependiente"/>
        <w:ind w:left="102" w:right="115"/>
        <w:jc w:val="both"/>
        <w:rPr>
          <w:b/>
          <w:bCs/>
        </w:rPr>
      </w:pPr>
    </w:p>
    <w:p w14:paraId="08C3DECC" w14:textId="0F681222" w:rsidR="00CF0E41" w:rsidRPr="004A309E" w:rsidRDefault="00CF0E41" w:rsidP="002F2473">
      <w:pPr>
        <w:pStyle w:val="Textoindependiente"/>
        <w:ind w:left="102" w:right="115"/>
        <w:jc w:val="both"/>
        <w:rPr>
          <w:b/>
          <w:bCs/>
        </w:rPr>
      </w:pPr>
      <w:r w:rsidRPr="004A309E">
        <w:rPr>
          <w:b/>
          <w:bCs/>
        </w:rPr>
        <w:t>Cobertura</w:t>
      </w:r>
      <w:bookmarkEnd w:id="1"/>
      <w:r w:rsidRPr="004A309E">
        <w:rPr>
          <w:b/>
          <w:bCs/>
        </w:rPr>
        <w:t xml:space="preserve"> </w:t>
      </w:r>
      <w:bookmarkEnd w:id="2"/>
      <w:bookmarkEnd w:id="3"/>
      <w:bookmarkEnd w:id="4"/>
    </w:p>
    <w:p w14:paraId="5D46E85D" w14:textId="77777777" w:rsidR="00CF0E41" w:rsidRPr="002F2473" w:rsidRDefault="00CF0E41" w:rsidP="002F2473">
      <w:pPr>
        <w:pStyle w:val="Textoindependiente"/>
        <w:ind w:left="102" w:right="115"/>
        <w:jc w:val="both"/>
      </w:pPr>
    </w:p>
    <w:p w14:paraId="044D10BB" w14:textId="77777777" w:rsidR="00CF0E41" w:rsidRPr="002F2473" w:rsidRDefault="00CF0E41" w:rsidP="002F2473">
      <w:pPr>
        <w:pStyle w:val="Textoindependiente"/>
        <w:ind w:left="102" w:right="115"/>
        <w:jc w:val="both"/>
        <w:rPr>
          <w:b/>
          <w:bCs/>
          <w:i/>
          <w:iCs/>
        </w:rPr>
      </w:pPr>
      <w:bookmarkStart w:id="5" w:name="_Ref40190744"/>
      <w:r w:rsidRPr="002F2473">
        <w:rPr>
          <w:b/>
          <w:bCs/>
          <w:i/>
          <w:iCs/>
        </w:rPr>
        <w:t>Cobertura geográfica</w:t>
      </w:r>
      <w:bookmarkEnd w:id="5"/>
    </w:p>
    <w:p w14:paraId="376D8CD0" w14:textId="00AA8E86" w:rsidR="00CF0E41" w:rsidRPr="002F2473" w:rsidRDefault="00530710" w:rsidP="002F2473">
      <w:pPr>
        <w:pStyle w:val="Textoindependiente"/>
        <w:ind w:left="102" w:right="115"/>
        <w:jc w:val="both"/>
      </w:pPr>
      <w:r>
        <w:t>N</w:t>
      </w:r>
      <w:r w:rsidR="00CF0E41" w:rsidRPr="002F2473">
        <w:t>acional.</w:t>
      </w:r>
    </w:p>
    <w:p w14:paraId="00BFD14C" w14:textId="77777777" w:rsidR="00CF0E41" w:rsidRPr="002F2473" w:rsidRDefault="00CF0E41" w:rsidP="002F2473">
      <w:pPr>
        <w:pStyle w:val="Textoindependiente"/>
        <w:ind w:left="102" w:right="115"/>
        <w:jc w:val="both"/>
      </w:pPr>
    </w:p>
    <w:p w14:paraId="71D14C4C" w14:textId="77777777" w:rsidR="00CF0E41" w:rsidRPr="002F2473" w:rsidRDefault="00CF0E41" w:rsidP="002F2473">
      <w:pPr>
        <w:pStyle w:val="Textoindependiente"/>
        <w:ind w:left="102" w:right="115"/>
        <w:jc w:val="both"/>
      </w:pPr>
    </w:p>
    <w:p w14:paraId="2644D63E" w14:textId="7661B5F3" w:rsidR="00CF0E41" w:rsidRPr="002F2473" w:rsidRDefault="00CF0E41" w:rsidP="002F2473">
      <w:pPr>
        <w:pStyle w:val="Textoindependiente"/>
        <w:ind w:left="102" w:right="115"/>
        <w:jc w:val="both"/>
        <w:rPr>
          <w:b/>
          <w:bCs/>
          <w:i/>
          <w:iCs/>
        </w:rPr>
      </w:pPr>
      <w:bookmarkStart w:id="6" w:name="_Ref23254861"/>
      <w:r w:rsidRPr="002F2473">
        <w:rPr>
          <w:b/>
          <w:bCs/>
          <w:i/>
          <w:iCs/>
        </w:rPr>
        <w:t>Dominio</w:t>
      </w:r>
      <w:r w:rsidR="00530710">
        <w:rPr>
          <w:b/>
          <w:bCs/>
          <w:i/>
          <w:iCs/>
        </w:rPr>
        <w:t>s</w:t>
      </w:r>
      <w:r w:rsidRPr="002F2473">
        <w:rPr>
          <w:b/>
          <w:bCs/>
          <w:i/>
          <w:iCs/>
        </w:rPr>
        <w:t xml:space="preserve"> de estudio</w:t>
      </w:r>
      <w:bookmarkEnd w:id="6"/>
    </w:p>
    <w:p w14:paraId="40B09C2D" w14:textId="725A0F79" w:rsidR="00CF0E41" w:rsidRPr="002F2473" w:rsidRDefault="00CF0E41" w:rsidP="002F2473">
      <w:pPr>
        <w:pStyle w:val="Textoindependiente"/>
        <w:ind w:left="102" w:right="115"/>
        <w:jc w:val="both"/>
      </w:pPr>
      <w:r w:rsidRPr="002F2473">
        <w:t xml:space="preserve">Se refiere a </w:t>
      </w:r>
      <w:r w:rsidR="00530710">
        <w:t xml:space="preserve">los </w:t>
      </w:r>
      <w:r w:rsidRPr="002F2473">
        <w:t>subconjuntos de la población objeto de estudio</w:t>
      </w:r>
      <w:r w:rsidR="00530710">
        <w:t xml:space="preserve"> de</w:t>
      </w:r>
      <w:r w:rsidRPr="002F2473">
        <w:t xml:space="preserve"> los que se publica información y para los cuales se diseña de manera independiente una muestra en cada uno de ellos</w:t>
      </w:r>
      <w:r w:rsidR="002F2473">
        <w:t>:</w:t>
      </w:r>
      <w:r w:rsidRPr="002F2473">
        <w:t xml:space="preserve"> </w:t>
      </w:r>
    </w:p>
    <w:p w14:paraId="52644A8E" w14:textId="77777777" w:rsidR="00CF0E41" w:rsidRPr="002F2473" w:rsidRDefault="00CF0E41" w:rsidP="002F2473">
      <w:pPr>
        <w:pStyle w:val="Textoindependiente"/>
        <w:ind w:left="102" w:right="115"/>
        <w:jc w:val="both"/>
      </w:pPr>
    </w:p>
    <w:p w14:paraId="534EB1EC" w14:textId="339C199F" w:rsidR="00CF0E41" w:rsidRDefault="009F777A" w:rsidP="002F2473">
      <w:pPr>
        <w:pStyle w:val="Textoindependiente"/>
        <w:numPr>
          <w:ilvl w:val="0"/>
          <w:numId w:val="10"/>
        </w:numPr>
        <w:ind w:right="115"/>
        <w:jc w:val="both"/>
      </w:pPr>
      <w:r>
        <w:t>Nacional</w:t>
      </w:r>
    </w:p>
    <w:p w14:paraId="242F1E3C" w14:textId="13B59C98" w:rsidR="000C7F19" w:rsidRPr="002F2473" w:rsidRDefault="000C7F19" w:rsidP="002F2473">
      <w:pPr>
        <w:pStyle w:val="Textoindependiente"/>
        <w:numPr>
          <w:ilvl w:val="0"/>
          <w:numId w:val="10"/>
        </w:numPr>
        <w:ind w:right="115"/>
        <w:jc w:val="both"/>
      </w:pPr>
      <w:r>
        <w:t>Nacional-gran sector de actividad</w:t>
      </w:r>
    </w:p>
    <w:p w14:paraId="2EB7885C" w14:textId="74824513" w:rsidR="00CF0E41" w:rsidRPr="002F2473" w:rsidRDefault="009F777A" w:rsidP="002F2473">
      <w:pPr>
        <w:pStyle w:val="Textoindependiente"/>
        <w:numPr>
          <w:ilvl w:val="0"/>
          <w:numId w:val="10"/>
        </w:numPr>
        <w:ind w:right="115"/>
        <w:jc w:val="both"/>
      </w:pPr>
      <w:r>
        <w:t>Nacional-tamaño de empresa</w:t>
      </w:r>
      <w:r w:rsidR="00C22395">
        <w:t xml:space="preserve"> </w:t>
      </w:r>
    </w:p>
    <w:p w14:paraId="51F6FEBF" w14:textId="77777777" w:rsidR="00CF0E41" w:rsidRPr="002F2473" w:rsidRDefault="00CF0E41" w:rsidP="002F2473">
      <w:pPr>
        <w:pStyle w:val="Textoindependiente"/>
        <w:ind w:left="102" w:right="115"/>
        <w:jc w:val="both"/>
      </w:pPr>
    </w:p>
    <w:p w14:paraId="67B53938" w14:textId="0E32B8EF" w:rsidR="0046061D" w:rsidRDefault="0046061D" w:rsidP="0046061D">
      <w:pPr>
        <w:pStyle w:val="Textoindependiente"/>
        <w:ind w:left="102" w:right="115"/>
        <w:jc w:val="both"/>
      </w:pPr>
      <w:r>
        <w:t xml:space="preserve">El tamaño de empresa se calcula tomando en consideración </w:t>
      </w:r>
      <w:r w:rsidR="002B7A3B">
        <w:t>las categorías de micro, pequeñas y medianas empresas</w:t>
      </w:r>
      <w:r>
        <w:t>, conforme a lo publicado en el Diario Oficial de la Federación</w:t>
      </w:r>
      <w:r>
        <w:rPr>
          <w:rStyle w:val="Refdenotaalpie"/>
        </w:rPr>
        <w:footnoteReference w:id="1"/>
      </w:r>
      <w:r>
        <w:t>.</w:t>
      </w:r>
    </w:p>
    <w:p w14:paraId="5A2AC7BD" w14:textId="77777777" w:rsidR="00CF0E41" w:rsidRPr="002F2473" w:rsidRDefault="00CF0E41" w:rsidP="002F2473">
      <w:pPr>
        <w:pStyle w:val="Textoindependiente"/>
        <w:ind w:left="102" w:right="115"/>
        <w:jc w:val="both"/>
      </w:pPr>
    </w:p>
    <w:p w14:paraId="6F7FF6C6" w14:textId="77777777" w:rsidR="00CF0E41" w:rsidRPr="002F2473" w:rsidRDefault="00CF0E41" w:rsidP="002F2473">
      <w:pPr>
        <w:pStyle w:val="Textoindependiente"/>
        <w:ind w:left="102" w:right="115"/>
        <w:jc w:val="both"/>
        <w:rPr>
          <w:b/>
          <w:bCs/>
          <w:i/>
          <w:iCs/>
        </w:rPr>
      </w:pPr>
      <w:bookmarkStart w:id="7" w:name="_Ref23254867"/>
      <w:r w:rsidRPr="002F2473">
        <w:rPr>
          <w:b/>
          <w:bCs/>
          <w:i/>
          <w:iCs/>
        </w:rPr>
        <w:t>Unidad de muestreo</w:t>
      </w:r>
      <w:bookmarkEnd w:id="7"/>
    </w:p>
    <w:p w14:paraId="595F3811" w14:textId="0FF2DCED" w:rsidR="00CF0E41" w:rsidRPr="002F2473" w:rsidRDefault="00CF0E41" w:rsidP="002F2473">
      <w:pPr>
        <w:pStyle w:val="Textoindependiente"/>
        <w:ind w:left="102" w:right="115"/>
        <w:jc w:val="both"/>
      </w:pPr>
      <w:r w:rsidRPr="002F2473">
        <w:t>La empresa, except</w:t>
      </w:r>
      <w:r w:rsidR="00530710">
        <w:t xml:space="preserve">uando </w:t>
      </w:r>
      <w:r w:rsidRPr="002F2473">
        <w:t>el sector minería</w:t>
      </w:r>
      <w:r w:rsidR="00530710">
        <w:t>, donde</w:t>
      </w:r>
      <w:r w:rsidRPr="002F2473">
        <w:t xml:space="preserve"> </w:t>
      </w:r>
      <w:r w:rsidR="00FA502D">
        <w:t>se refiere a</w:t>
      </w:r>
      <w:r w:rsidR="00FA502D" w:rsidRPr="002F2473">
        <w:t xml:space="preserve"> </w:t>
      </w:r>
      <w:r w:rsidRPr="002F2473">
        <w:t xml:space="preserve">la unidad minera. </w:t>
      </w:r>
    </w:p>
    <w:p w14:paraId="2BAAFFC3" w14:textId="1F6E27FA" w:rsidR="00635C96" w:rsidRPr="002F2473" w:rsidRDefault="00635C96" w:rsidP="002F2473">
      <w:pPr>
        <w:pStyle w:val="Textoindependiente"/>
        <w:ind w:left="102" w:right="115"/>
        <w:jc w:val="both"/>
      </w:pPr>
    </w:p>
    <w:p w14:paraId="6CF949A9" w14:textId="77777777" w:rsidR="008A26CA" w:rsidRPr="004A309E" w:rsidRDefault="008A26CA" w:rsidP="008E6E0E">
      <w:pPr>
        <w:jc w:val="center"/>
        <w:rPr>
          <w:b/>
          <w:bCs/>
          <w:sz w:val="24"/>
          <w:szCs w:val="24"/>
        </w:rPr>
      </w:pPr>
    </w:p>
    <w:p w14:paraId="302F0B06" w14:textId="6210FFE6" w:rsidR="008E6E0E" w:rsidRDefault="00FA502D" w:rsidP="004A309E">
      <w:pPr>
        <w:rPr>
          <w:b/>
          <w:bCs/>
          <w:sz w:val="24"/>
          <w:szCs w:val="24"/>
        </w:rPr>
      </w:pPr>
      <w:r w:rsidRPr="004A309E">
        <w:rPr>
          <w:b/>
          <w:bCs/>
          <w:sz w:val="24"/>
          <w:szCs w:val="24"/>
        </w:rPr>
        <w:t>PRINCIPALES RESULTADOS</w:t>
      </w:r>
    </w:p>
    <w:p w14:paraId="4135FD89" w14:textId="4F4C4896" w:rsidR="00D5761E" w:rsidRDefault="00D5761E" w:rsidP="004A309E">
      <w:pPr>
        <w:rPr>
          <w:b/>
          <w:bCs/>
          <w:sz w:val="24"/>
          <w:szCs w:val="24"/>
        </w:rPr>
      </w:pPr>
    </w:p>
    <w:p w14:paraId="0A4558A4" w14:textId="77777777" w:rsidR="00D20104" w:rsidRDefault="00D5761E" w:rsidP="00D5761E">
      <w:pPr>
        <w:jc w:val="both"/>
        <w:rPr>
          <w:sz w:val="24"/>
        </w:rPr>
      </w:pPr>
      <w:r>
        <w:rPr>
          <w:sz w:val="24"/>
        </w:rPr>
        <w:t>La ECOVID-IE tercera edición estima que, de 1</w:t>
      </w:r>
      <w:r w:rsidR="00D20104">
        <w:rPr>
          <w:sz w:val="24"/>
        </w:rPr>
        <w:t xml:space="preserve"> </w:t>
      </w:r>
      <w:r>
        <w:rPr>
          <w:sz w:val="24"/>
        </w:rPr>
        <w:t>873</w:t>
      </w:r>
      <w:r w:rsidR="00D20104">
        <w:rPr>
          <w:sz w:val="24"/>
        </w:rPr>
        <w:t xml:space="preserve"> </w:t>
      </w:r>
      <w:r>
        <w:rPr>
          <w:sz w:val="24"/>
        </w:rPr>
        <w:t>564 empresas en el país, 85.5% indicó haber tenido alguna afectación a causa de la pandemia</w:t>
      </w:r>
      <w:r w:rsidR="00D20104">
        <w:rPr>
          <w:sz w:val="24"/>
        </w:rPr>
        <w:t>. S</w:t>
      </w:r>
      <w:r>
        <w:rPr>
          <w:sz w:val="24"/>
        </w:rPr>
        <w:t xml:space="preserve">e observa una disminución de 1.1 puntos porcentuales respecto de la segunda edición, en </w:t>
      </w:r>
      <w:r w:rsidR="00D20104">
        <w:rPr>
          <w:sz w:val="24"/>
        </w:rPr>
        <w:t>la</w:t>
      </w:r>
      <w:r>
        <w:rPr>
          <w:sz w:val="24"/>
        </w:rPr>
        <w:t xml:space="preserve"> cual</w:t>
      </w:r>
      <w:r w:rsidR="00D20104">
        <w:rPr>
          <w:sz w:val="24"/>
        </w:rPr>
        <w:t xml:space="preserve"> </w:t>
      </w:r>
      <w:r>
        <w:rPr>
          <w:sz w:val="24"/>
        </w:rPr>
        <w:t xml:space="preserve"> 86.6% de las empresas reportó haber tenido alguna afectación</w:t>
      </w:r>
      <w:r w:rsidR="00D20104">
        <w:rPr>
          <w:sz w:val="24"/>
        </w:rPr>
        <w:t>.</w:t>
      </w:r>
    </w:p>
    <w:p w14:paraId="69EFB4DE" w14:textId="77777777" w:rsidR="00D20104" w:rsidRDefault="00D20104" w:rsidP="00D5761E">
      <w:pPr>
        <w:jc w:val="both"/>
        <w:rPr>
          <w:sz w:val="24"/>
        </w:rPr>
      </w:pPr>
    </w:p>
    <w:p w14:paraId="00C72251" w14:textId="2BFAA4E2" w:rsidR="00D5761E" w:rsidRDefault="00D20104" w:rsidP="00D5761E">
      <w:pPr>
        <w:jc w:val="both"/>
        <w:rPr>
          <w:b/>
          <w:bCs/>
          <w:sz w:val="28"/>
        </w:rPr>
      </w:pPr>
      <w:r>
        <w:rPr>
          <w:sz w:val="24"/>
        </w:rPr>
        <w:t>L</w:t>
      </w:r>
      <w:r w:rsidR="00D5761E">
        <w:rPr>
          <w:sz w:val="24"/>
        </w:rPr>
        <w:t xml:space="preserve">o anterior puede tener varias causas, como la liberación gradual de actividades en algunos sectores económicos, el cambio en el semáforo epidemiológico o la adaptación de las empresas para realizar sus actividades. </w:t>
      </w:r>
    </w:p>
    <w:p w14:paraId="3C8977D6" w14:textId="77777777" w:rsidR="00D5761E" w:rsidRPr="004A309E" w:rsidRDefault="00D5761E" w:rsidP="004A309E">
      <w:pPr>
        <w:rPr>
          <w:b/>
          <w:bCs/>
          <w:sz w:val="24"/>
          <w:szCs w:val="24"/>
        </w:rPr>
      </w:pPr>
    </w:p>
    <w:p w14:paraId="3EBDE16C" w14:textId="49942BB9" w:rsidR="00C10847" w:rsidRDefault="00C10847" w:rsidP="00EA73C4">
      <w:pPr>
        <w:jc w:val="center"/>
        <w:rPr>
          <w:b/>
          <w:bCs/>
          <w:sz w:val="28"/>
        </w:rPr>
      </w:pPr>
    </w:p>
    <w:p w14:paraId="545E25D5" w14:textId="3ADE3D1D" w:rsidR="00D20104" w:rsidRDefault="00D20104" w:rsidP="00EA73C4">
      <w:pPr>
        <w:jc w:val="center"/>
        <w:rPr>
          <w:b/>
          <w:bCs/>
          <w:sz w:val="28"/>
        </w:rPr>
      </w:pPr>
    </w:p>
    <w:p w14:paraId="7ADB481D" w14:textId="496A84C9" w:rsidR="00D20104" w:rsidRDefault="00D20104" w:rsidP="00EA73C4">
      <w:pPr>
        <w:jc w:val="center"/>
        <w:rPr>
          <w:b/>
          <w:bCs/>
          <w:sz w:val="28"/>
        </w:rPr>
      </w:pPr>
    </w:p>
    <w:p w14:paraId="1674DD6D" w14:textId="1C5F603D" w:rsidR="00D20104" w:rsidRDefault="00D20104" w:rsidP="00EA73C4">
      <w:pPr>
        <w:jc w:val="center"/>
        <w:rPr>
          <w:b/>
          <w:bCs/>
          <w:sz w:val="28"/>
        </w:rPr>
      </w:pPr>
    </w:p>
    <w:p w14:paraId="11FBBC22" w14:textId="016D3222" w:rsidR="00D20104" w:rsidRDefault="00D20104" w:rsidP="00EA73C4">
      <w:pPr>
        <w:jc w:val="center"/>
        <w:rPr>
          <w:b/>
          <w:bCs/>
          <w:sz w:val="28"/>
        </w:rPr>
      </w:pPr>
    </w:p>
    <w:p w14:paraId="5528E44B" w14:textId="1CCAF5F4" w:rsidR="00D20104" w:rsidRDefault="00D20104" w:rsidP="00EA73C4">
      <w:pPr>
        <w:jc w:val="center"/>
        <w:rPr>
          <w:b/>
          <w:bCs/>
          <w:sz w:val="28"/>
        </w:rPr>
      </w:pPr>
    </w:p>
    <w:p w14:paraId="1E2764CD" w14:textId="77777777" w:rsidR="008E6E0E" w:rsidRPr="004A309E" w:rsidRDefault="008E6E0E" w:rsidP="008E6E0E">
      <w:pPr>
        <w:jc w:val="center"/>
        <w:rPr>
          <w:b/>
          <w:bCs/>
          <w:sz w:val="24"/>
          <w:szCs w:val="24"/>
        </w:rPr>
      </w:pPr>
      <w:r w:rsidRPr="004A309E">
        <w:rPr>
          <w:b/>
          <w:bCs/>
          <w:sz w:val="24"/>
          <w:szCs w:val="24"/>
        </w:rPr>
        <w:t xml:space="preserve">Empresas según condición de afectación </w:t>
      </w:r>
    </w:p>
    <w:p w14:paraId="64422023" w14:textId="18CF2286" w:rsidR="008E6E0E" w:rsidRPr="00F66B8C" w:rsidRDefault="006F6585" w:rsidP="006F6585">
      <w:pPr>
        <w:jc w:val="right"/>
        <w:rPr>
          <w:b/>
          <w:bCs/>
          <w:sz w:val="24"/>
          <w:szCs w:val="20"/>
        </w:rPr>
      </w:pPr>
      <w:r w:rsidRPr="00F66B8C">
        <w:rPr>
          <w:b/>
          <w:bCs/>
          <w:sz w:val="24"/>
          <w:szCs w:val="20"/>
        </w:rPr>
        <w:t>Gráfica 1</w:t>
      </w:r>
    </w:p>
    <w:p w14:paraId="6069F635" w14:textId="61B7B8B1" w:rsidR="008E6E0E" w:rsidRDefault="001D42FC" w:rsidP="00EA73C4">
      <w:pPr>
        <w:jc w:val="center"/>
        <w:rPr>
          <w:b/>
          <w:bCs/>
          <w:sz w:val="28"/>
        </w:rPr>
      </w:pPr>
      <w:r>
        <w:rPr>
          <w:noProof/>
        </w:rPr>
        <w:drawing>
          <wp:inline distT="0" distB="0" distL="0" distR="0" wp14:anchorId="60354912" wp14:editId="65DEA15A">
            <wp:extent cx="6120765" cy="2621915"/>
            <wp:effectExtent l="0" t="0" r="0" b="698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120765" cy="2621915"/>
                    </a:xfrm>
                    <a:prstGeom prst="rect">
                      <a:avLst/>
                    </a:prstGeom>
                  </pic:spPr>
                </pic:pic>
              </a:graphicData>
            </a:graphic>
          </wp:inline>
        </w:drawing>
      </w:r>
    </w:p>
    <w:p w14:paraId="670B1F97" w14:textId="77777777" w:rsidR="00D6608D" w:rsidRDefault="00D6608D" w:rsidP="000A74D5">
      <w:pPr>
        <w:jc w:val="both"/>
        <w:rPr>
          <w:sz w:val="24"/>
        </w:rPr>
      </w:pPr>
    </w:p>
    <w:p w14:paraId="144E5411" w14:textId="77777777" w:rsidR="002F5634" w:rsidRDefault="002F5634" w:rsidP="00EA73C4">
      <w:pPr>
        <w:jc w:val="center"/>
        <w:rPr>
          <w:b/>
          <w:bCs/>
          <w:sz w:val="28"/>
        </w:rPr>
      </w:pPr>
    </w:p>
    <w:p w14:paraId="6F86C5BB" w14:textId="5A41ED84" w:rsidR="008E6E0E" w:rsidRPr="004A309E" w:rsidRDefault="008E6E0E" w:rsidP="00EA73C4">
      <w:pPr>
        <w:jc w:val="center"/>
        <w:rPr>
          <w:b/>
          <w:bCs/>
          <w:sz w:val="24"/>
          <w:szCs w:val="24"/>
        </w:rPr>
      </w:pPr>
      <w:r w:rsidRPr="004A309E">
        <w:rPr>
          <w:b/>
          <w:bCs/>
          <w:sz w:val="24"/>
          <w:szCs w:val="24"/>
        </w:rPr>
        <w:t>Tipo y nivel de afectación a la empresa</w:t>
      </w:r>
    </w:p>
    <w:p w14:paraId="2E41B879" w14:textId="47B40447" w:rsidR="00854CF7" w:rsidRPr="00F66B8C" w:rsidRDefault="00854CF7" w:rsidP="00854CF7">
      <w:pPr>
        <w:jc w:val="right"/>
        <w:rPr>
          <w:b/>
          <w:bCs/>
          <w:sz w:val="24"/>
          <w:szCs w:val="20"/>
        </w:rPr>
      </w:pPr>
      <w:r w:rsidRPr="00F66B8C">
        <w:rPr>
          <w:b/>
          <w:bCs/>
          <w:sz w:val="24"/>
          <w:szCs w:val="20"/>
        </w:rPr>
        <w:t>Gráfica 2</w:t>
      </w:r>
    </w:p>
    <w:p w14:paraId="593D6585" w14:textId="0BBA2583" w:rsidR="00276BED" w:rsidRDefault="00276BED">
      <w:pPr>
        <w:rPr>
          <w:sz w:val="24"/>
        </w:rPr>
      </w:pPr>
    </w:p>
    <w:p w14:paraId="67B25374" w14:textId="74DFCA80" w:rsidR="00D20104" w:rsidRDefault="00D20104" w:rsidP="00D20104">
      <w:pPr>
        <w:jc w:val="both"/>
        <w:rPr>
          <w:sz w:val="24"/>
        </w:rPr>
      </w:pPr>
      <w:r>
        <w:rPr>
          <w:sz w:val="24"/>
        </w:rPr>
        <w:t>La disminución de los ingresos es el principal tipo de afectación que reportó 73.8% de las empresas, por lo que se observa una diferencia con relación a la segunda edición, cuando se estimó un 79.2% de empresas que reportó este tipo de afectación; así mismo, las que mencionaron esta afectación, señalan que durante la segunda edición de la ECOVID-IE registraron en promedio una disminución de sus ingresos de 48.6%, mientras que para la tercera edición mencionan un 42.9%, lo que representa una diferencia de 5.7 puntos porcentuales.</w:t>
      </w:r>
    </w:p>
    <w:p w14:paraId="7F3DB9B3" w14:textId="7E0A012F" w:rsidR="00D20104" w:rsidRDefault="00D20104">
      <w:pPr>
        <w:rPr>
          <w:sz w:val="24"/>
        </w:rPr>
      </w:pPr>
    </w:p>
    <w:p w14:paraId="60DC5D56" w14:textId="77777777" w:rsidR="00D20104" w:rsidRDefault="00D20104">
      <w:pPr>
        <w:rPr>
          <w:sz w:val="24"/>
        </w:rPr>
      </w:pPr>
    </w:p>
    <w:p w14:paraId="146AD9F4" w14:textId="4F34D1E3" w:rsidR="00276BED" w:rsidRPr="00276BED" w:rsidRDefault="00276BED">
      <w:pPr>
        <w:rPr>
          <w:b/>
          <w:i/>
          <w:sz w:val="24"/>
        </w:rPr>
      </w:pPr>
      <w:r>
        <w:rPr>
          <w:sz w:val="24"/>
        </w:rPr>
        <w:tab/>
      </w:r>
      <w:r w:rsidRPr="00276BED">
        <w:rPr>
          <w:b/>
          <w:i/>
          <w:sz w:val="24"/>
        </w:rPr>
        <w:t>Disminución de ingresos y nivel de afectación</w:t>
      </w:r>
    </w:p>
    <w:p w14:paraId="05E77272" w14:textId="6BB29B85" w:rsidR="00276BED" w:rsidRDefault="001D42FC" w:rsidP="00EC5D59">
      <w:pPr>
        <w:jc w:val="center"/>
        <w:rPr>
          <w:sz w:val="24"/>
        </w:rPr>
      </w:pPr>
      <w:r>
        <w:rPr>
          <w:noProof/>
        </w:rPr>
        <w:drawing>
          <wp:inline distT="0" distB="0" distL="0" distR="0" wp14:anchorId="35814FF2" wp14:editId="466693E1">
            <wp:extent cx="4686300" cy="213579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784107" cy="2180370"/>
                    </a:xfrm>
                    <a:prstGeom prst="rect">
                      <a:avLst/>
                    </a:prstGeom>
                  </pic:spPr>
                </pic:pic>
              </a:graphicData>
            </a:graphic>
          </wp:inline>
        </w:drawing>
      </w:r>
    </w:p>
    <w:p w14:paraId="3E053BA5" w14:textId="69CE0C5E" w:rsidR="00D20104" w:rsidRDefault="00D20104" w:rsidP="00EC5D59">
      <w:pPr>
        <w:jc w:val="center"/>
        <w:rPr>
          <w:sz w:val="24"/>
        </w:rPr>
      </w:pPr>
    </w:p>
    <w:p w14:paraId="1F0F55EA" w14:textId="4A99B5B4" w:rsidR="00D20104" w:rsidRDefault="00D20104" w:rsidP="00D20104">
      <w:pPr>
        <w:jc w:val="both"/>
        <w:rPr>
          <w:sz w:val="24"/>
        </w:rPr>
      </w:pPr>
      <w:r>
        <w:rPr>
          <w:sz w:val="24"/>
        </w:rPr>
        <w:t xml:space="preserve">La baja en la demanda es la segunda afectación reportada por las empresas. En la tercera edición se estima que 50.2% de las empresas registró esta afectación, mientras que para la segunda edición  fue de 51.2%, una reducción mínima entre estas ediciones. Por otro lado, se observa el nivel de afectación de las empresas con una disminución en el porcentaje promedio de 5.4% en cuanto a la baja demanda entre una edición y otra. </w:t>
      </w:r>
    </w:p>
    <w:p w14:paraId="754361AE" w14:textId="77777777" w:rsidR="001010AE" w:rsidRDefault="001010AE" w:rsidP="001010AE">
      <w:pPr>
        <w:jc w:val="right"/>
        <w:rPr>
          <w:b/>
          <w:bCs/>
          <w:sz w:val="28"/>
        </w:rPr>
      </w:pPr>
    </w:p>
    <w:p w14:paraId="42C2B676" w14:textId="42DEB7F1" w:rsidR="001010AE" w:rsidRPr="00F66B8C" w:rsidRDefault="001010AE" w:rsidP="001010AE">
      <w:pPr>
        <w:jc w:val="right"/>
        <w:rPr>
          <w:b/>
          <w:bCs/>
          <w:sz w:val="24"/>
          <w:szCs w:val="20"/>
        </w:rPr>
      </w:pPr>
      <w:r w:rsidRPr="00F66B8C">
        <w:rPr>
          <w:b/>
          <w:bCs/>
          <w:sz w:val="24"/>
          <w:szCs w:val="20"/>
        </w:rPr>
        <w:t>Gráfica 3</w:t>
      </w:r>
    </w:p>
    <w:p w14:paraId="1BEA7E09" w14:textId="0DF1D658" w:rsidR="00276BED" w:rsidRDefault="00276BED" w:rsidP="007E3B0B">
      <w:pPr>
        <w:jc w:val="both"/>
        <w:rPr>
          <w:sz w:val="24"/>
        </w:rPr>
      </w:pPr>
    </w:p>
    <w:p w14:paraId="11B8B4DB" w14:textId="1E08CDEC" w:rsidR="00276BED" w:rsidRDefault="00276BED" w:rsidP="007E3B0B">
      <w:pPr>
        <w:jc w:val="both"/>
        <w:rPr>
          <w:b/>
          <w:i/>
          <w:sz w:val="24"/>
        </w:rPr>
      </w:pPr>
      <w:r>
        <w:rPr>
          <w:sz w:val="24"/>
        </w:rPr>
        <w:tab/>
      </w:r>
      <w:r>
        <w:rPr>
          <w:b/>
          <w:i/>
          <w:sz w:val="24"/>
        </w:rPr>
        <w:t>Baja demanda y nivel de afectación</w:t>
      </w:r>
    </w:p>
    <w:p w14:paraId="4E479B10" w14:textId="6BACDED5" w:rsidR="00276BED" w:rsidRDefault="00D34971" w:rsidP="00EC5D59">
      <w:pPr>
        <w:jc w:val="center"/>
        <w:rPr>
          <w:sz w:val="24"/>
        </w:rPr>
      </w:pPr>
      <w:r>
        <w:rPr>
          <w:noProof/>
        </w:rPr>
        <w:drawing>
          <wp:inline distT="0" distB="0" distL="0" distR="0" wp14:anchorId="61ED7D59" wp14:editId="1C70FEAA">
            <wp:extent cx="5171577" cy="231457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202468" cy="2328400"/>
                    </a:xfrm>
                    <a:prstGeom prst="rect">
                      <a:avLst/>
                    </a:prstGeom>
                  </pic:spPr>
                </pic:pic>
              </a:graphicData>
            </a:graphic>
          </wp:inline>
        </w:drawing>
      </w:r>
    </w:p>
    <w:p w14:paraId="3090A853" w14:textId="77777777" w:rsidR="00E670BD" w:rsidRDefault="00E670BD" w:rsidP="00396476">
      <w:pPr>
        <w:jc w:val="both"/>
        <w:rPr>
          <w:sz w:val="24"/>
        </w:rPr>
      </w:pPr>
    </w:p>
    <w:p w14:paraId="78A59ED2" w14:textId="2AFC2BFE" w:rsidR="00D20104" w:rsidRDefault="00D20104" w:rsidP="00D20104">
      <w:pPr>
        <w:jc w:val="both"/>
        <w:rPr>
          <w:sz w:val="24"/>
        </w:rPr>
      </w:pPr>
      <w:r>
        <w:rPr>
          <w:sz w:val="24"/>
        </w:rPr>
        <w:t>La escasez de los insumos y/o productos se posiciona en tercer lugar de importancia en las tres ediciones, observando un incremento de 6.4 puntos porcentuales entre la segunda y tercera edición; sin embargo, el nivel promedio de afectación solo representa una disminución de 1.2 puntos porcentuales entre ambas ediciones.</w:t>
      </w:r>
    </w:p>
    <w:p w14:paraId="6E27D887" w14:textId="77777777" w:rsidR="001010AE" w:rsidRDefault="001010AE" w:rsidP="001010AE">
      <w:pPr>
        <w:jc w:val="right"/>
        <w:rPr>
          <w:b/>
          <w:bCs/>
          <w:sz w:val="28"/>
        </w:rPr>
      </w:pPr>
    </w:p>
    <w:p w14:paraId="596316F5" w14:textId="13744280" w:rsidR="001010AE" w:rsidRPr="00F66B8C" w:rsidRDefault="001010AE" w:rsidP="001010AE">
      <w:pPr>
        <w:jc w:val="right"/>
        <w:rPr>
          <w:b/>
          <w:bCs/>
          <w:sz w:val="24"/>
          <w:szCs w:val="20"/>
        </w:rPr>
      </w:pPr>
      <w:r w:rsidRPr="00F66B8C">
        <w:rPr>
          <w:b/>
          <w:bCs/>
          <w:sz w:val="24"/>
          <w:szCs w:val="20"/>
        </w:rPr>
        <w:t>Gráfica 4</w:t>
      </w:r>
    </w:p>
    <w:p w14:paraId="6E738DB8" w14:textId="4974A77E" w:rsidR="00396476" w:rsidRDefault="00396476" w:rsidP="00396476">
      <w:pPr>
        <w:jc w:val="both"/>
        <w:rPr>
          <w:sz w:val="24"/>
        </w:rPr>
      </w:pPr>
    </w:p>
    <w:p w14:paraId="6E1B8229" w14:textId="0B041378" w:rsidR="00276BED" w:rsidRDefault="009876E8" w:rsidP="00396476">
      <w:pPr>
        <w:jc w:val="both"/>
        <w:rPr>
          <w:b/>
          <w:i/>
          <w:sz w:val="24"/>
        </w:rPr>
      </w:pPr>
      <w:r>
        <w:rPr>
          <w:sz w:val="24"/>
        </w:rPr>
        <w:tab/>
      </w:r>
      <w:r>
        <w:rPr>
          <w:b/>
          <w:i/>
          <w:sz w:val="24"/>
        </w:rPr>
        <w:t>Escasez de insumos y/o productos y nivel de afectación</w:t>
      </w:r>
    </w:p>
    <w:p w14:paraId="11455ED8" w14:textId="715366AF" w:rsidR="00276BED" w:rsidRDefault="00D34971" w:rsidP="00D34971">
      <w:pPr>
        <w:jc w:val="center"/>
        <w:rPr>
          <w:sz w:val="24"/>
        </w:rPr>
      </w:pPr>
      <w:r>
        <w:rPr>
          <w:noProof/>
        </w:rPr>
        <w:drawing>
          <wp:inline distT="0" distB="0" distL="0" distR="0" wp14:anchorId="327FA54E" wp14:editId="7E899537">
            <wp:extent cx="4953000" cy="2116548"/>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966850" cy="2122466"/>
                    </a:xfrm>
                    <a:prstGeom prst="rect">
                      <a:avLst/>
                    </a:prstGeom>
                  </pic:spPr>
                </pic:pic>
              </a:graphicData>
            </a:graphic>
          </wp:inline>
        </w:drawing>
      </w:r>
    </w:p>
    <w:p w14:paraId="279731D3" w14:textId="6E5F3501" w:rsidR="00D20104" w:rsidRDefault="00D20104" w:rsidP="00D34971">
      <w:pPr>
        <w:jc w:val="center"/>
        <w:rPr>
          <w:sz w:val="24"/>
        </w:rPr>
      </w:pPr>
    </w:p>
    <w:p w14:paraId="2BB9CD74" w14:textId="77777777" w:rsidR="00D20104" w:rsidRDefault="00D20104" w:rsidP="00D20104">
      <w:pPr>
        <w:jc w:val="both"/>
        <w:rPr>
          <w:sz w:val="24"/>
        </w:rPr>
      </w:pPr>
    </w:p>
    <w:p w14:paraId="5F6F2302" w14:textId="4A86AD79" w:rsidR="00D20104" w:rsidRDefault="00D20104" w:rsidP="00D20104">
      <w:pPr>
        <w:jc w:val="both"/>
        <w:rPr>
          <w:sz w:val="24"/>
        </w:rPr>
      </w:pPr>
      <w:r>
        <w:rPr>
          <w:sz w:val="24"/>
        </w:rPr>
        <w:t>Tanto la reducción de personal como las reducciones de remuneraciones y/o prestaciones, mantienen el cuarto y quinto lugar en la tabla de afectaciones de la empresa para las tres ediciones. Sin embargo, como ocurre con la escasez de insumos y/o productos, se observa un aumento en estas afectaciones entre la segunda y la tercera edición.</w:t>
      </w:r>
    </w:p>
    <w:p w14:paraId="459EDA32" w14:textId="77777777" w:rsidR="00D20104" w:rsidRDefault="00D20104" w:rsidP="00D20104">
      <w:pPr>
        <w:jc w:val="both"/>
        <w:rPr>
          <w:sz w:val="24"/>
        </w:rPr>
      </w:pPr>
    </w:p>
    <w:p w14:paraId="7A257B2A" w14:textId="77777777" w:rsidR="00D20104" w:rsidRDefault="00D20104" w:rsidP="00D20104">
      <w:pPr>
        <w:jc w:val="both"/>
        <w:rPr>
          <w:sz w:val="24"/>
        </w:rPr>
      </w:pPr>
      <w:r>
        <w:rPr>
          <w:sz w:val="24"/>
        </w:rPr>
        <w:t>En las empresas que reportaron reducción de personal, hay un incremento de 2.1 puntos porcentuales, pasando de 16.3% a 18.4% entre la segunda y la tercera edición, y una reducción de 2.9% en el porcentaje promedio declarado, pues para la segunda edición se declara un 40.5% y para la tercera, 37.6 por ciento.</w:t>
      </w:r>
    </w:p>
    <w:p w14:paraId="0AF2F3A5" w14:textId="77777777" w:rsidR="00D20104" w:rsidRDefault="00D20104" w:rsidP="00D20104">
      <w:pPr>
        <w:jc w:val="both"/>
        <w:rPr>
          <w:sz w:val="24"/>
        </w:rPr>
      </w:pPr>
    </w:p>
    <w:p w14:paraId="2579BE4F" w14:textId="48122C34" w:rsidR="00D20104" w:rsidRDefault="00D20104" w:rsidP="00D20104">
      <w:pPr>
        <w:jc w:val="both"/>
        <w:rPr>
          <w:sz w:val="24"/>
        </w:rPr>
      </w:pPr>
      <w:r>
        <w:rPr>
          <w:sz w:val="24"/>
        </w:rPr>
        <w:t>Por otra parte, se declaró un 13.2% de empresas afectad</w:t>
      </w:r>
      <w:r w:rsidR="00180F83">
        <w:rPr>
          <w:sz w:val="24"/>
        </w:rPr>
        <w:t>as</w:t>
      </w:r>
      <w:r>
        <w:rPr>
          <w:sz w:val="24"/>
        </w:rPr>
        <w:t xml:space="preserve"> por la reducción de remuneraciones y/o prestaciones durante la tercera edición, lo que significa 1.9 puntos porcentuales más al 11.3% estimado en la segunda edición. Estas empresas registraron un promedio de afectación de 46.6% en la segunda edición, 7.2 puntos porcentuales más que lo mencionado en la tercera edición; es decir, baja de 46.6% a 39.4% el promedio de afectación por reducción de remuneraciones y/o prestaciones. </w:t>
      </w:r>
    </w:p>
    <w:p w14:paraId="53B9C8F9" w14:textId="77777777" w:rsidR="001010AE" w:rsidRDefault="001010AE" w:rsidP="001010AE">
      <w:pPr>
        <w:jc w:val="right"/>
        <w:rPr>
          <w:b/>
          <w:bCs/>
          <w:sz w:val="28"/>
        </w:rPr>
      </w:pPr>
    </w:p>
    <w:p w14:paraId="7166CF31" w14:textId="10276E29" w:rsidR="001010AE" w:rsidRPr="00F66B8C" w:rsidRDefault="001010AE" w:rsidP="001010AE">
      <w:pPr>
        <w:jc w:val="right"/>
        <w:rPr>
          <w:b/>
          <w:bCs/>
          <w:sz w:val="24"/>
          <w:szCs w:val="20"/>
        </w:rPr>
      </w:pPr>
      <w:r w:rsidRPr="00F66B8C">
        <w:rPr>
          <w:b/>
          <w:bCs/>
          <w:sz w:val="24"/>
          <w:szCs w:val="20"/>
        </w:rPr>
        <w:t>Gráfica 5</w:t>
      </w:r>
    </w:p>
    <w:p w14:paraId="1D6BB13B" w14:textId="77777777" w:rsidR="009876E8" w:rsidRDefault="009876E8" w:rsidP="00396476">
      <w:pPr>
        <w:jc w:val="both"/>
        <w:rPr>
          <w:sz w:val="24"/>
        </w:rPr>
      </w:pPr>
    </w:p>
    <w:p w14:paraId="04CEEA24" w14:textId="6CC84E3B" w:rsidR="009876E8" w:rsidRDefault="009876E8" w:rsidP="00396476">
      <w:pPr>
        <w:jc w:val="both"/>
        <w:rPr>
          <w:b/>
          <w:i/>
          <w:sz w:val="24"/>
        </w:rPr>
      </w:pPr>
      <w:r>
        <w:rPr>
          <w:sz w:val="24"/>
        </w:rPr>
        <w:tab/>
      </w:r>
      <w:r>
        <w:rPr>
          <w:b/>
          <w:i/>
          <w:sz w:val="24"/>
        </w:rPr>
        <w:t>Reducción de personal, de remuneraciones y nivel de afectación</w:t>
      </w:r>
    </w:p>
    <w:p w14:paraId="5B6E2DB6" w14:textId="77777777" w:rsidR="001010AE" w:rsidRPr="009876E8" w:rsidRDefault="001010AE" w:rsidP="00396476">
      <w:pPr>
        <w:jc w:val="both"/>
        <w:rPr>
          <w:b/>
          <w:i/>
          <w:sz w:val="24"/>
        </w:rPr>
      </w:pPr>
    </w:p>
    <w:p w14:paraId="368DFB6B" w14:textId="72F2F48E" w:rsidR="00396476" w:rsidRDefault="00EA0BAD" w:rsidP="00396476">
      <w:pPr>
        <w:jc w:val="both"/>
        <w:rPr>
          <w:sz w:val="24"/>
        </w:rPr>
      </w:pPr>
      <w:r>
        <w:rPr>
          <w:sz w:val="24"/>
        </w:rPr>
        <w:t xml:space="preserve"> </w:t>
      </w:r>
      <w:r w:rsidR="00D34971">
        <w:rPr>
          <w:noProof/>
        </w:rPr>
        <w:drawing>
          <wp:inline distT="0" distB="0" distL="0" distR="0" wp14:anchorId="6D9CEF15" wp14:editId="23C6D2F1">
            <wp:extent cx="6120765" cy="2740660"/>
            <wp:effectExtent l="0" t="0" r="0" b="254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120765" cy="2740660"/>
                    </a:xfrm>
                    <a:prstGeom prst="rect">
                      <a:avLst/>
                    </a:prstGeom>
                  </pic:spPr>
                </pic:pic>
              </a:graphicData>
            </a:graphic>
          </wp:inline>
        </w:drawing>
      </w:r>
    </w:p>
    <w:p w14:paraId="3DD826B2" w14:textId="77777777" w:rsidR="001010AE" w:rsidRDefault="001010AE" w:rsidP="007E3B0B">
      <w:pPr>
        <w:jc w:val="both"/>
        <w:rPr>
          <w:sz w:val="24"/>
        </w:rPr>
      </w:pPr>
    </w:p>
    <w:p w14:paraId="16C426B6" w14:textId="7E0DCEB5" w:rsidR="00D20104" w:rsidRDefault="00D20104" w:rsidP="004A309E">
      <w:pPr>
        <w:jc w:val="both"/>
        <w:rPr>
          <w:sz w:val="24"/>
        </w:rPr>
      </w:pPr>
    </w:p>
    <w:p w14:paraId="2D96AB16" w14:textId="1ED963AE" w:rsidR="00D20104" w:rsidRDefault="00D20104" w:rsidP="00D20104">
      <w:pPr>
        <w:jc w:val="both"/>
        <w:rPr>
          <w:sz w:val="24"/>
        </w:rPr>
      </w:pPr>
      <w:r>
        <w:rPr>
          <w:sz w:val="24"/>
        </w:rPr>
        <w:t xml:space="preserve">Observando el comportamiento de acuerdo con el tamaño de empresa, se manifiesta un incremento en las afectaciones mencionadas por las empresas grandes, muy similar a lo observado en la primera edición para las principales tres afectaciones. </w:t>
      </w:r>
    </w:p>
    <w:p w14:paraId="14D1C0B0" w14:textId="4DD9D570" w:rsidR="00D20104" w:rsidRDefault="00D20104" w:rsidP="00D20104">
      <w:pPr>
        <w:jc w:val="both"/>
        <w:rPr>
          <w:sz w:val="24"/>
        </w:rPr>
      </w:pPr>
    </w:p>
    <w:p w14:paraId="38DDF7B0" w14:textId="77777777" w:rsidR="00D20104" w:rsidRDefault="00D20104" w:rsidP="00D20104">
      <w:pPr>
        <w:jc w:val="both"/>
        <w:rPr>
          <w:sz w:val="24"/>
        </w:rPr>
      </w:pPr>
    </w:p>
    <w:p w14:paraId="082E2909" w14:textId="77777777" w:rsidR="00D20104" w:rsidRDefault="00D20104" w:rsidP="00D20104">
      <w:pPr>
        <w:jc w:val="both"/>
        <w:rPr>
          <w:sz w:val="24"/>
        </w:rPr>
      </w:pPr>
    </w:p>
    <w:p w14:paraId="6C0EB66F" w14:textId="77777777" w:rsidR="00410C3E" w:rsidRDefault="00D20104" w:rsidP="00D20104">
      <w:pPr>
        <w:jc w:val="both"/>
        <w:rPr>
          <w:sz w:val="24"/>
        </w:rPr>
      </w:pPr>
      <w:r>
        <w:rPr>
          <w:sz w:val="24"/>
        </w:rPr>
        <w:t xml:space="preserve">La disminución de ingresos pasa de 11.9% a 33.1% de la segunda a la tercera edición, lo cual se asemeja al 33.5% estimado en la primera edición. </w:t>
      </w:r>
    </w:p>
    <w:p w14:paraId="53EB05B1" w14:textId="77777777" w:rsidR="00410C3E" w:rsidRDefault="00410C3E" w:rsidP="00D20104">
      <w:pPr>
        <w:jc w:val="both"/>
        <w:rPr>
          <w:sz w:val="24"/>
        </w:rPr>
      </w:pPr>
    </w:p>
    <w:p w14:paraId="6DE90107" w14:textId="7A4641D8" w:rsidR="00D20104" w:rsidRDefault="00D20104" w:rsidP="00D20104">
      <w:pPr>
        <w:jc w:val="both"/>
        <w:rPr>
          <w:sz w:val="24"/>
        </w:rPr>
      </w:pPr>
      <w:r>
        <w:rPr>
          <w:sz w:val="24"/>
        </w:rPr>
        <w:t>Lo mismo ocurre para la baja de demanda que pasa de 13.1% a 31.2%, similar al 29.1%. La escasez de insumos sube de 13.5% a 18.9%. Esto puede ocurrir debido a la claridad que se tiene en estos aspectos por las grandes empresas a un año de la contingencia.</w:t>
      </w:r>
    </w:p>
    <w:p w14:paraId="745906E8" w14:textId="77777777" w:rsidR="00410C3E" w:rsidRDefault="00410C3E" w:rsidP="00D20104">
      <w:pPr>
        <w:jc w:val="both"/>
        <w:rPr>
          <w:sz w:val="24"/>
        </w:rPr>
      </w:pPr>
    </w:p>
    <w:p w14:paraId="72BFF79A" w14:textId="498AC6E8" w:rsidR="00D20104" w:rsidRDefault="00D20104" w:rsidP="004A309E">
      <w:pPr>
        <w:jc w:val="both"/>
        <w:rPr>
          <w:sz w:val="24"/>
        </w:rPr>
      </w:pPr>
    </w:p>
    <w:p w14:paraId="6FD6A9C1" w14:textId="17BB2675" w:rsidR="001010AE" w:rsidRPr="004A309E" w:rsidRDefault="00D00F52" w:rsidP="00F66B8C">
      <w:pPr>
        <w:jc w:val="center"/>
        <w:rPr>
          <w:b/>
          <w:bCs/>
          <w:sz w:val="24"/>
          <w:szCs w:val="24"/>
        </w:rPr>
      </w:pPr>
      <w:r w:rsidRPr="004A309E">
        <w:rPr>
          <w:b/>
          <w:bCs/>
          <w:sz w:val="24"/>
          <w:szCs w:val="24"/>
        </w:rPr>
        <w:t>Principales</w:t>
      </w:r>
      <w:r w:rsidR="00023211" w:rsidRPr="004A309E">
        <w:rPr>
          <w:b/>
          <w:bCs/>
          <w:sz w:val="24"/>
          <w:szCs w:val="24"/>
        </w:rPr>
        <w:t xml:space="preserve"> afectaciones </w:t>
      </w:r>
      <w:r w:rsidR="00836BB6" w:rsidRPr="004A309E">
        <w:rPr>
          <w:b/>
          <w:bCs/>
          <w:sz w:val="24"/>
          <w:szCs w:val="24"/>
        </w:rPr>
        <w:t>en empresas grandes</w:t>
      </w:r>
    </w:p>
    <w:p w14:paraId="247E128F" w14:textId="5E6F532C" w:rsidR="00023211" w:rsidRPr="00F66B8C" w:rsidRDefault="001010AE" w:rsidP="00023211">
      <w:pPr>
        <w:jc w:val="right"/>
        <w:rPr>
          <w:b/>
          <w:bCs/>
          <w:sz w:val="24"/>
          <w:szCs w:val="20"/>
        </w:rPr>
      </w:pPr>
      <w:r w:rsidRPr="00F66B8C">
        <w:rPr>
          <w:b/>
          <w:bCs/>
          <w:sz w:val="24"/>
          <w:szCs w:val="20"/>
        </w:rPr>
        <w:t>Gráfica 6</w:t>
      </w:r>
    </w:p>
    <w:p w14:paraId="139AC308" w14:textId="1E286FD5" w:rsidR="00023211" w:rsidRPr="00B04688" w:rsidRDefault="00B04688" w:rsidP="00B04688">
      <w:pPr>
        <w:rPr>
          <w:b/>
          <w:bCs/>
          <w:i/>
          <w:sz w:val="24"/>
          <w:szCs w:val="24"/>
        </w:rPr>
      </w:pPr>
      <w:r>
        <w:rPr>
          <w:b/>
          <w:bCs/>
          <w:sz w:val="28"/>
        </w:rPr>
        <w:tab/>
      </w:r>
      <w:r w:rsidRPr="00B04688">
        <w:rPr>
          <w:b/>
          <w:bCs/>
          <w:i/>
          <w:sz w:val="24"/>
          <w:szCs w:val="24"/>
        </w:rPr>
        <w:t>Empresas grandes</w:t>
      </w:r>
    </w:p>
    <w:p w14:paraId="3338BD88" w14:textId="034B9536" w:rsidR="00023211" w:rsidRDefault="00836BB6" w:rsidP="00023211">
      <w:pPr>
        <w:jc w:val="center"/>
        <w:rPr>
          <w:b/>
          <w:bCs/>
          <w:sz w:val="28"/>
        </w:rPr>
      </w:pPr>
      <w:r>
        <w:rPr>
          <w:noProof/>
        </w:rPr>
        <w:drawing>
          <wp:inline distT="0" distB="0" distL="0" distR="0" wp14:anchorId="05A7FA7C" wp14:editId="1A7C5354">
            <wp:extent cx="5876925" cy="2641842"/>
            <wp:effectExtent l="0" t="0" r="0" b="635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890027" cy="2647732"/>
                    </a:xfrm>
                    <a:prstGeom prst="rect">
                      <a:avLst/>
                    </a:prstGeom>
                  </pic:spPr>
                </pic:pic>
              </a:graphicData>
            </a:graphic>
          </wp:inline>
        </w:drawing>
      </w:r>
    </w:p>
    <w:p w14:paraId="5223D60B" w14:textId="77777777" w:rsidR="001010AE" w:rsidRDefault="001010AE" w:rsidP="00023211">
      <w:pPr>
        <w:jc w:val="both"/>
        <w:rPr>
          <w:sz w:val="24"/>
        </w:rPr>
      </w:pPr>
    </w:p>
    <w:p w14:paraId="261B949D" w14:textId="1D60F873" w:rsidR="00D20104" w:rsidRDefault="00D20104" w:rsidP="00D20104">
      <w:pPr>
        <w:jc w:val="both"/>
        <w:rPr>
          <w:sz w:val="24"/>
        </w:rPr>
      </w:pPr>
      <w:r>
        <w:rPr>
          <w:sz w:val="24"/>
        </w:rPr>
        <w:t xml:space="preserve">La encuesta estima que </w:t>
      </w:r>
      <w:r w:rsidR="00410C3E">
        <w:rPr>
          <w:sz w:val="24"/>
        </w:rPr>
        <w:t>las</w:t>
      </w:r>
      <w:r>
        <w:rPr>
          <w:sz w:val="24"/>
        </w:rPr>
        <w:t xml:space="preserve"> empresas que aplicaron cierres temporales o paros técnicos se ubica</w:t>
      </w:r>
      <w:r w:rsidR="008C1965">
        <w:rPr>
          <w:sz w:val="24"/>
        </w:rPr>
        <w:t>n</w:t>
      </w:r>
      <w:r>
        <w:rPr>
          <w:sz w:val="24"/>
        </w:rPr>
        <w:t xml:space="preserve"> en 16.6%, cifra menor </w:t>
      </w:r>
      <w:r w:rsidR="00410C3E">
        <w:rPr>
          <w:sz w:val="24"/>
        </w:rPr>
        <w:t>al</w:t>
      </w:r>
      <w:r>
        <w:rPr>
          <w:sz w:val="24"/>
        </w:rPr>
        <w:t xml:space="preserve"> porcentaje registrado en la segunda edición, en la cual</w:t>
      </w:r>
      <w:r w:rsidR="00410C3E">
        <w:rPr>
          <w:sz w:val="24"/>
        </w:rPr>
        <w:t xml:space="preserve"> 23.1%</w:t>
      </w:r>
      <w:r>
        <w:rPr>
          <w:sz w:val="24"/>
        </w:rPr>
        <w:t xml:space="preserve"> las empresas los realizaron, mientras que la primera edición mostró el mayor porcentaje de cierres o paros técnicos con 59.6 por ciento. </w:t>
      </w:r>
    </w:p>
    <w:p w14:paraId="0EB37807" w14:textId="77777777" w:rsidR="00D20104" w:rsidRDefault="00D20104" w:rsidP="00D20104">
      <w:pPr>
        <w:jc w:val="both"/>
        <w:rPr>
          <w:sz w:val="24"/>
        </w:rPr>
      </w:pPr>
    </w:p>
    <w:p w14:paraId="1A03A226" w14:textId="166AF3D6" w:rsidR="00D20104" w:rsidRDefault="00D20104" w:rsidP="00D20104">
      <w:pPr>
        <w:jc w:val="both"/>
        <w:rPr>
          <w:sz w:val="24"/>
        </w:rPr>
      </w:pPr>
      <w:r>
        <w:rPr>
          <w:sz w:val="24"/>
        </w:rPr>
        <w:t>Se estima que para la primera y segunda edición el cierre o paro técnico fue de 18 días en promedio mientras que para la tercera, fue en promedio de 15 días.</w:t>
      </w:r>
    </w:p>
    <w:p w14:paraId="20190E78" w14:textId="7C4CCE22" w:rsidR="00410C3E" w:rsidRDefault="00410C3E" w:rsidP="00D20104">
      <w:pPr>
        <w:jc w:val="both"/>
        <w:rPr>
          <w:sz w:val="24"/>
        </w:rPr>
      </w:pPr>
    </w:p>
    <w:p w14:paraId="298CE590" w14:textId="1D4F9EDB" w:rsidR="00410C3E" w:rsidRDefault="00410C3E" w:rsidP="00D20104">
      <w:pPr>
        <w:jc w:val="both"/>
        <w:rPr>
          <w:sz w:val="24"/>
        </w:rPr>
      </w:pPr>
    </w:p>
    <w:p w14:paraId="128DED5C" w14:textId="69D7A5EE" w:rsidR="00410C3E" w:rsidRDefault="00410C3E" w:rsidP="00D20104">
      <w:pPr>
        <w:jc w:val="both"/>
        <w:rPr>
          <w:sz w:val="24"/>
        </w:rPr>
      </w:pPr>
    </w:p>
    <w:p w14:paraId="11058E8E" w14:textId="1D3A9110" w:rsidR="00410C3E" w:rsidRDefault="00410C3E" w:rsidP="00D20104">
      <w:pPr>
        <w:jc w:val="both"/>
        <w:rPr>
          <w:sz w:val="24"/>
        </w:rPr>
      </w:pPr>
    </w:p>
    <w:p w14:paraId="6ADBE47B" w14:textId="10D94271" w:rsidR="00410C3E" w:rsidRDefault="00410C3E" w:rsidP="00D20104">
      <w:pPr>
        <w:jc w:val="both"/>
        <w:rPr>
          <w:sz w:val="24"/>
        </w:rPr>
      </w:pPr>
    </w:p>
    <w:p w14:paraId="79D690FC" w14:textId="37850CA2" w:rsidR="00410C3E" w:rsidRDefault="00410C3E" w:rsidP="00D20104">
      <w:pPr>
        <w:jc w:val="both"/>
        <w:rPr>
          <w:sz w:val="24"/>
        </w:rPr>
      </w:pPr>
    </w:p>
    <w:p w14:paraId="06426AB6" w14:textId="3D048303" w:rsidR="00410C3E" w:rsidRDefault="00410C3E" w:rsidP="00D20104">
      <w:pPr>
        <w:jc w:val="both"/>
        <w:rPr>
          <w:sz w:val="24"/>
        </w:rPr>
      </w:pPr>
    </w:p>
    <w:p w14:paraId="7122DB16" w14:textId="613BC264" w:rsidR="00410C3E" w:rsidRDefault="00410C3E" w:rsidP="00D20104">
      <w:pPr>
        <w:jc w:val="both"/>
        <w:rPr>
          <w:sz w:val="24"/>
        </w:rPr>
      </w:pPr>
    </w:p>
    <w:p w14:paraId="4C9D69A4" w14:textId="4DEAA752" w:rsidR="00410C3E" w:rsidRDefault="00410C3E" w:rsidP="00D20104">
      <w:pPr>
        <w:jc w:val="both"/>
        <w:rPr>
          <w:sz w:val="24"/>
        </w:rPr>
      </w:pPr>
    </w:p>
    <w:p w14:paraId="3E21E076" w14:textId="77777777" w:rsidR="00410C3E" w:rsidRDefault="00410C3E" w:rsidP="00D20104">
      <w:pPr>
        <w:jc w:val="both"/>
        <w:rPr>
          <w:sz w:val="24"/>
        </w:rPr>
      </w:pPr>
    </w:p>
    <w:p w14:paraId="2AF4A68E" w14:textId="34578018" w:rsidR="00E670BD" w:rsidRDefault="00E670BD">
      <w:pPr>
        <w:rPr>
          <w:b/>
          <w:bCs/>
          <w:sz w:val="28"/>
        </w:rPr>
      </w:pPr>
    </w:p>
    <w:p w14:paraId="217A701D" w14:textId="06A65594" w:rsidR="005846C4" w:rsidRPr="004A309E" w:rsidRDefault="005846C4" w:rsidP="005846C4">
      <w:pPr>
        <w:jc w:val="center"/>
        <w:rPr>
          <w:b/>
          <w:bCs/>
          <w:sz w:val="24"/>
          <w:szCs w:val="24"/>
        </w:rPr>
      </w:pPr>
      <w:r w:rsidRPr="004A309E">
        <w:rPr>
          <w:b/>
          <w:bCs/>
          <w:sz w:val="24"/>
          <w:szCs w:val="24"/>
        </w:rPr>
        <w:t>Empresas con cierres temporales o paros técnicos</w:t>
      </w:r>
    </w:p>
    <w:p w14:paraId="712BBA96" w14:textId="6F26D1E4" w:rsidR="005846C4" w:rsidRPr="00F66B8C" w:rsidRDefault="00F66B8C" w:rsidP="00F66B8C">
      <w:pPr>
        <w:jc w:val="right"/>
        <w:rPr>
          <w:b/>
          <w:bCs/>
          <w:sz w:val="24"/>
          <w:szCs w:val="20"/>
        </w:rPr>
      </w:pPr>
      <w:r w:rsidRPr="00F66B8C">
        <w:rPr>
          <w:b/>
          <w:bCs/>
          <w:sz w:val="24"/>
          <w:szCs w:val="20"/>
        </w:rPr>
        <w:t xml:space="preserve">Gráfica </w:t>
      </w:r>
      <w:r w:rsidR="00836BB6">
        <w:rPr>
          <w:b/>
          <w:bCs/>
          <w:sz w:val="24"/>
          <w:szCs w:val="20"/>
        </w:rPr>
        <w:t>7</w:t>
      </w:r>
    </w:p>
    <w:p w14:paraId="35A1F338" w14:textId="77777777" w:rsidR="005846C4" w:rsidRDefault="005846C4" w:rsidP="005846C4">
      <w:pPr>
        <w:jc w:val="right"/>
        <w:rPr>
          <w:b/>
          <w:bCs/>
          <w:sz w:val="28"/>
        </w:rPr>
      </w:pPr>
    </w:p>
    <w:p w14:paraId="20FC8662" w14:textId="77777777" w:rsidR="005846C4" w:rsidRDefault="005846C4" w:rsidP="005846C4">
      <w:pPr>
        <w:jc w:val="center"/>
        <w:rPr>
          <w:noProof/>
        </w:rPr>
      </w:pPr>
    </w:p>
    <w:p w14:paraId="12BC2BAE" w14:textId="61E99D00" w:rsidR="005846C4" w:rsidRDefault="00836BB6" w:rsidP="005846C4">
      <w:pPr>
        <w:jc w:val="center"/>
        <w:rPr>
          <w:b/>
          <w:bCs/>
          <w:sz w:val="28"/>
        </w:rPr>
      </w:pPr>
      <w:r>
        <w:rPr>
          <w:noProof/>
        </w:rPr>
        <w:drawing>
          <wp:inline distT="0" distB="0" distL="0" distR="0" wp14:anchorId="43A78291" wp14:editId="2B875187">
            <wp:extent cx="4581525" cy="2250124"/>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602264" cy="2260309"/>
                    </a:xfrm>
                    <a:prstGeom prst="rect">
                      <a:avLst/>
                    </a:prstGeom>
                  </pic:spPr>
                </pic:pic>
              </a:graphicData>
            </a:graphic>
          </wp:inline>
        </w:drawing>
      </w:r>
    </w:p>
    <w:p w14:paraId="57E6AFCA" w14:textId="47F2AABB" w:rsidR="00410C3E" w:rsidRPr="0027397B" w:rsidRDefault="00410C3E" w:rsidP="00410C3E">
      <w:pPr>
        <w:jc w:val="both"/>
        <w:rPr>
          <w:sz w:val="24"/>
          <w:szCs w:val="24"/>
        </w:rPr>
      </w:pPr>
      <w:r>
        <w:rPr>
          <w:sz w:val="24"/>
          <w:szCs w:val="24"/>
        </w:rPr>
        <w:t>Se observa un aumento e</w:t>
      </w:r>
      <w:r w:rsidRPr="00FD03AA">
        <w:rPr>
          <w:sz w:val="24"/>
          <w:szCs w:val="24"/>
        </w:rPr>
        <w:t>n las medidas sanitarias</w:t>
      </w:r>
      <w:r>
        <w:rPr>
          <w:sz w:val="24"/>
          <w:szCs w:val="24"/>
        </w:rPr>
        <w:t xml:space="preserve"> implementadas en las empresas de 1.3% entre la segunda y la tercera edición, mostrando a la tercera edición con 97.4%, y a la primera, con un 86.7% en las empresas. </w:t>
      </w:r>
    </w:p>
    <w:p w14:paraId="0BEC0AAF" w14:textId="77777777" w:rsidR="005846C4" w:rsidRDefault="005846C4" w:rsidP="005846C4">
      <w:pPr>
        <w:jc w:val="center"/>
        <w:rPr>
          <w:b/>
          <w:bCs/>
          <w:sz w:val="28"/>
        </w:rPr>
      </w:pPr>
    </w:p>
    <w:p w14:paraId="676C1C2D" w14:textId="7962A0BB" w:rsidR="005846C4" w:rsidRPr="004A309E" w:rsidRDefault="005846C4" w:rsidP="005846C4">
      <w:pPr>
        <w:jc w:val="center"/>
        <w:rPr>
          <w:b/>
          <w:bCs/>
          <w:sz w:val="24"/>
          <w:szCs w:val="24"/>
        </w:rPr>
      </w:pPr>
      <w:r w:rsidRPr="004A309E">
        <w:rPr>
          <w:b/>
          <w:bCs/>
          <w:sz w:val="24"/>
          <w:szCs w:val="24"/>
        </w:rPr>
        <w:t>Medidas sanitarias implementadas en las empresas</w:t>
      </w:r>
    </w:p>
    <w:p w14:paraId="3981D3EC" w14:textId="79CEC454" w:rsidR="005846C4" w:rsidRPr="00F66B8C" w:rsidRDefault="00F66B8C" w:rsidP="00F66B8C">
      <w:pPr>
        <w:jc w:val="right"/>
        <w:rPr>
          <w:b/>
          <w:bCs/>
          <w:sz w:val="24"/>
          <w:szCs w:val="20"/>
        </w:rPr>
      </w:pPr>
      <w:r w:rsidRPr="00F66B8C">
        <w:rPr>
          <w:b/>
          <w:bCs/>
          <w:sz w:val="24"/>
          <w:szCs w:val="20"/>
        </w:rPr>
        <w:t xml:space="preserve">Gráfica </w:t>
      </w:r>
      <w:r w:rsidR="00836BB6">
        <w:rPr>
          <w:b/>
          <w:bCs/>
          <w:sz w:val="24"/>
          <w:szCs w:val="20"/>
        </w:rPr>
        <w:t>8</w:t>
      </w:r>
    </w:p>
    <w:p w14:paraId="44ABDBF3" w14:textId="77777777" w:rsidR="005846C4" w:rsidRDefault="005846C4" w:rsidP="005846C4">
      <w:pPr>
        <w:jc w:val="center"/>
        <w:rPr>
          <w:noProof/>
        </w:rPr>
      </w:pPr>
    </w:p>
    <w:p w14:paraId="55041FB8" w14:textId="29169F20" w:rsidR="000304AD" w:rsidRDefault="00836BB6" w:rsidP="000304AD">
      <w:pPr>
        <w:jc w:val="center"/>
        <w:rPr>
          <w:b/>
          <w:bCs/>
          <w:sz w:val="28"/>
        </w:rPr>
      </w:pPr>
      <w:r>
        <w:rPr>
          <w:noProof/>
        </w:rPr>
        <w:drawing>
          <wp:inline distT="0" distB="0" distL="0" distR="0" wp14:anchorId="63E34446" wp14:editId="1CEE21A1">
            <wp:extent cx="6120765" cy="307594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120765" cy="3075940"/>
                    </a:xfrm>
                    <a:prstGeom prst="rect">
                      <a:avLst/>
                    </a:prstGeom>
                  </pic:spPr>
                </pic:pic>
              </a:graphicData>
            </a:graphic>
          </wp:inline>
        </w:drawing>
      </w:r>
    </w:p>
    <w:p w14:paraId="7F255B1D" w14:textId="02FC3391" w:rsidR="005846C4" w:rsidRDefault="000304AD" w:rsidP="000304AD">
      <w:pPr>
        <w:rPr>
          <w:b/>
          <w:bCs/>
          <w:sz w:val="14"/>
          <w:szCs w:val="14"/>
        </w:rPr>
      </w:pPr>
      <w:r w:rsidRPr="000304AD">
        <w:rPr>
          <w:b/>
          <w:bCs/>
          <w:sz w:val="14"/>
          <w:szCs w:val="14"/>
          <w:vertAlign w:val="superscript"/>
        </w:rPr>
        <w:t>1</w:t>
      </w:r>
      <w:r w:rsidRPr="000304AD">
        <w:rPr>
          <w:b/>
          <w:bCs/>
          <w:sz w:val="14"/>
          <w:szCs w:val="14"/>
        </w:rPr>
        <w:t>Incluye las opciones: “Proporcionaron elementos de protección personal a los trabajadores”, “Promovieron medidas sanitarias entre clientes, proveedores y/o visitantes que acuden a la empresa”, “Realizaron tareas de limpieza y desinfección de instalaciones” y “Controlaron el acceso de personal interno y externo a las instalaciones de la empresa”.</w:t>
      </w:r>
    </w:p>
    <w:p w14:paraId="2052EA70" w14:textId="27F89D56" w:rsidR="00410C3E" w:rsidRDefault="00410C3E" w:rsidP="000304AD">
      <w:pPr>
        <w:rPr>
          <w:b/>
          <w:bCs/>
          <w:sz w:val="14"/>
          <w:szCs w:val="14"/>
        </w:rPr>
      </w:pPr>
    </w:p>
    <w:p w14:paraId="07B8C423" w14:textId="564928AA" w:rsidR="00410C3E" w:rsidRDefault="00410C3E" w:rsidP="000304AD">
      <w:pPr>
        <w:rPr>
          <w:b/>
          <w:bCs/>
          <w:sz w:val="14"/>
          <w:szCs w:val="14"/>
        </w:rPr>
      </w:pPr>
    </w:p>
    <w:p w14:paraId="4FA9D334" w14:textId="41185CBD" w:rsidR="00410C3E" w:rsidRDefault="00410C3E" w:rsidP="000304AD">
      <w:pPr>
        <w:rPr>
          <w:b/>
          <w:bCs/>
          <w:sz w:val="14"/>
          <w:szCs w:val="14"/>
        </w:rPr>
      </w:pPr>
    </w:p>
    <w:p w14:paraId="49215821" w14:textId="77777777" w:rsidR="00410C3E" w:rsidRDefault="00410C3E" w:rsidP="00410C3E">
      <w:pPr>
        <w:jc w:val="both"/>
        <w:rPr>
          <w:sz w:val="24"/>
          <w:szCs w:val="24"/>
        </w:rPr>
      </w:pPr>
      <w:r>
        <w:rPr>
          <w:sz w:val="24"/>
          <w:szCs w:val="24"/>
        </w:rPr>
        <w:t>El rubro de</w:t>
      </w:r>
      <w:r w:rsidRPr="00086C2B">
        <w:rPr>
          <w:sz w:val="24"/>
          <w:szCs w:val="24"/>
        </w:rPr>
        <w:t xml:space="preserve"> medida</w:t>
      </w:r>
      <w:r>
        <w:rPr>
          <w:sz w:val="24"/>
          <w:szCs w:val="24"/>
        </w:rPr>
        <w:t>s</w:t>
      </w:r>
      <w:r w:rsidRPr="00086C2B">
        <w:rPr>
          <w:sz w:val="24"/>
          <w:szCs w:val="24"/>
        </w:rPr>
        <w:t xml:space="preserve"> que tuvo mayor eco entre en las grandes empresas</w:t>
      </w:r>
      <w:r>
        <w:rPr>
          <w:sz w:val="24"/>
          <w:szCs w:val="24"/>
        </w:rPr>
        <w:t xml:space="preserve"> fueron las campañas de información y comunicación virtual</w:t>
      </w:r>
      <w:r w:rsidRPr="00086C2B">
        <w:rPr>
          <w:sz w:val="24"/>
          <w:szCs w:val="24"/>
        </w:rPr>
        <w:t xml:space="preserve"> </w:t>
      </w:r>
      <w:r>
        <w:rPr>
          <w:sz w:val="24"/>
          <w:szCs w:val="24"/>
        </w:rPr>
        <w:t xml:space="preserve">a nivel nacional, siendo de 51.6%; en grandes empresas; tenemos un aumento en la segunda edición con 92.8% y en la tercera edición con 93.7%; </w:t>
      </w:r>
      <w:r w:rsidRPr="00086C2B">
        <w:rPr>
          <w:sz w:val="24"/>
          <w:szCs w:val="24"/>
        </w:rPr>
        <w:t xml:space="preserve">seguidas </w:t>
      </w:r>
      <w:r>
        <w:rPr>
          <w:sz w:val="24"/>
          <w:szCs w:val="24"/>
        </w:rPr>
        <w:t xml:space="preserve">de </w:t>
      </w:r>
      <w:r w:rsidRPr="00086C2B">
        <w:rPr>
          <w:sz w:val="24"/>
          <w:szCs w:val="24"/>
        </w:rPr>
        <w:t xml:space="preserve">las </w:t>
      </w:r>
      <w:r>
        <w:rPr>
          <w:sz w:val="24"/>
          <w:szCs w:val="24"/>
        </w:rPr>
        <w:t>pymes</w:t>
      </w:r>
      <w:r w:rsidRPr="00086C2B">
        <w:rPr>
          <w:sz w:val="24"/>
          <w:szCs w:val="24"/>
        </w:rPr>
        <w:t xml:space="preserve"> </w:t>
      </w:r>
      <w:r>
        <w:rPr>
          <w:sz w:val="24"/>
          <w:szCs w:val="24"/>
        </w:rPr>
        <w:t xml:space="preserve">que registraron 74.4% en la tercera edición y 77.5% en la segunda edición, mostrando que la primera edición fue la menor con 58.3%. </w:t>
      </w:r>
    </w:p>
    <w:p w14:paraId="4447C092" w14:textId="77777777" w:rsidR="00410C3E" w:rsidRDefault="00410C3E" w:rsidP="00410C3E">
      <w:pPr>
        <w:jc w:val="both"/>
        <w:rPr>
          <w:sz w:val="24"/>
          <w:szCs w:val="24"/>
        </w:rPr>
      </w:pPr>
    </w:p>
    <w:p w14:paraId="51C5F6E1" w14:textId="1F3EB8E4" w:rsidR="00410C3E" w:rsidRPr="004A309E" w:rsidRDefault="00410C3E" w:rsidP="00410C3E">
      <w:pPr>
        <w:jc w:val="both"/>
        <w:rPr>
          <w:sz w:val="24"/>
          <w:szCs w:val="24"/>
        </w:rPr>
      </w:pPr>
      <w:r>
        <w:rPr>
          <w:sz w:val="24"/>
          <w:szCs w:val="24"/>
        </w:rPr>
        <w:t xml:space="preserve">Las microempresas obtuvieron un descenso de 4.5% entre la segunda y la tercera edición. </w:t>
      </w:r>
    </w:p>
    <w:p w14:paraId="5314B7DE" w14:textId="0FB36E4B" w:rsidR="005846C4" w:rsidRDefault="005846C4" w:rsidP="005846C4">
      <w:pPr>
        <w:jc w:val="center"/>
        <w:rPr>
          <w:b/>
          <w:bCs/>
          <w:sz w:val="28"/>
        </w:rPr>
      </w:pPr>
    </w:p>
    <w:p w14:paraId="719AF122" w14:textId="77777777" w:rsidR="00410C3E" w:rsidRDefault="00410C3E" w:rsidP="005846C4">
      <w:pPr>
        <w:jc w:val="center"/>
        <w:rPr>
          <w:b/>
          <w:bCs/>
          <w:sz w:val="28"/>
        </w:rPr>
      </w:pPr>
    </w:p>
    <w:p w14:paraId="66425915" w14:textId="622EDC5E" w:rsidR="005846C4" w:rsidRPr="004A309E" w:rsidRDefault="00836BB6" w:rsidP="005846C4">
      <w:pPr>
        <w:rPr>
          <w:b/>
          <w:bCs/>
          <w:sz w:val="24"/>
          <w:szCs w:val="24"/>
        </w:rPr>
      </w:pPr>
      <w:r w:rsidRPr="004A309E">
        <w:rPr>
          <w:b/>
          <w:bCs/>
          <w:sz w:val="24"/>
          <w:szCs w:val="24"/>
        </w:rPr>
        <w:t>Campañas de información y comunicación virtual</w:t>
      </w:r>
      <w:r w:rsidR="005846C4" w:rsidRPr="004A309E">
        <w:rPr>
          <w:b/>
          <w:bCs/>
          <w:sz w:val="24"/>
          <w:szCs w:val="24"/>
        </w:rPr>
        <w:t>, por tamaño</w:t>
      </w:r>
    </w:p>
    <w:p w14:paraId="5916AE05" w14:textId="64C13675" w:rsidR="00F66B8C" w:rsidRPr="00F66B8C" w:rsidRDefault="00F66B8C" w:rsidP="00F66B8C">
      <w:pPr>
        <w:jc w:val="right"/>
        <w:rPr>
          <w:b/>
          <w:bCs/>
          <w:sz w:val="24"/>
          <w:szCs w:val="20"/>
        </w:rPr>
      </w:pPr>
      <w:r w:rsidRPr="00F66B8C">
        <w:rPr>
          <w:b/>
          <w:bCs/>
          <w:sz w:val="24"/>
          <w:szCs w:val="20"/>
        </w:rPr>
        <w:t xml:space="preserve">Gráfica </w:t>
      </w:r>
      <w:r w:rsidR="00836BB6">
        <w:rPr>
          <w:b/>
          <w:bCs/>
          <w:sz w:val="24"/>
          <w:szCs w:val="20"/>
        </w:rPr>
        <w:t>9</w:t>
      </w:r>
      <w:r w:rsidRPr="00F66B8C">
        <w:rPr>
          <w:b/>
          <w:bCs/>
          <w:sz w:val="24"/>
          <w:szCs w:val="20"/>
        </w:rPr>
        <w:t xml:space="preserve"> </w:t>
      </w:r>
    </w:p>
    <w:p w14:paraId="1A60785C" w14:textId="77777777" w:rsidR="005846C4" w:rsidRDefault="005846C4" w:rsidP="005846C4">
      <w:pPr>
        <w:jc w:val="right"/>
        <w:rPr>
          <w:b/>
          <w:bCs/>
          <w:sz w:val="28"/>
        </w:rPr>
      </w:pPr>
    </w:p>
    <w:p w14:paraId="01F63353" w14:textId="77777777" w:rsidR="005846C4" w:rsidRDefault="005846C4" w:rsidP="005846C4">
      <w:pPr>
        <w:jc w:val="center"/>
        <w:rPr>
          <w:noProof/>
        </w:rPr>
      </w:pPr>
    </w:p>
    <w:p w14:paraId="5D1B98B8" w14:textId="68084FA2" w:rsidR="005846C4" w:rsidRDefault="00836BB6" w:rsidP="005846C4">
      <w:pPr>
        <w:jc w:val="center"/>
        <w:rPr>
          <w:b/>
          <w:bCs/>
          <w:sz w:val="28"/>
        </w:rPr>
      </w:pPr>
      <w:r>
        <w:rPr>
          <w:noProof/>
        </w:rPr>
        <w:drawing>
          <wp:inline distT="0" distB="0" distL="0" distR="0" wp14:anchorId="21E3DD0F" wp14:editId="18A98254">
            <wp:extent cx="6120765" cy="267335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120765" cy="2673350"/>
                    </a:xfrm>
                    <a:prstGeom prst="rect">
                      <a:avLst/>
                    </a:prstGeom>
                  </pic:spPr>
                </pic:pic>
              </a:graphicData>
            </a:graphic>
          </wp:inline>
        </w:drawing>
      </w:r>
    </w:p>
    <w:p w14:paraId="18F6D4B2" w14:textId="77777777" w:rsidR="006C7EB3" w:rsidRDefault="006C7EB3" w:rsidP="00170736">
      <w:pPr>
        <w:rPr>
          <w:b/>
          <w:bCs/>
          <w:sz w:val="14"/>
          <w:szCs w:val="14"/>
          <w:vertAlign w:val="superscript"/>
        </w:rPr>
      </w:pPr>
    </w:p>
    <w:p w14:paraId="359BF6D7" w14:textId="7D4896CC" w:rsidR="00170736" w:rsidRPr="00170736" w:rsidRDefault="00170736" w:rsidP="00170736">
      <w:pPr>
        <w:rPr>
          <w:b/>
          <w:bCs/>
          <w:sz w:val="16"/>
          <w:szCs w:val="12"/>
        </w:rPr>
      </w:pPr>
      <w:r w:rsidRPr="00170736">
        <w:rPr>
          <w:b/>
          <w:bCs/>
          <w:sz w:val="14"/>
          <w:szCs w:val="14"/>
          <w:vertAlign w:val="superscript"/>
        </w:rPr>
        <w:t xml:space="preserve">2 </w:t>
      </w:r>
      <w:r w:rsidR="00AA13DE">
        <w:rPr>
          <w:b/>
          <w:bCs/>
          <w:sz w:val="14"/>
          <w:szCs w:val="14"/>
        </w:rPr>
        <w:t>incluye</w:t>
      </w:r>
      <w:r w:rsidRPr="00170736">
        <w:rPr>
          <w:b/>
          <w:bCs/>
          <w:sz w:val="14"/>
          <w:szCs w:val="14"/>
        </w:rPr>
        <w:t xml:space="preserve"> las opciones: “Campañas de comunicación para dar a conocer información y productos de prevención” y “Minimizaron las reuniones presenciales y proporcionaron la comunicación por medios virtuales”.</w:t>
      </w:r>
    </w:p>
    <w:p w14:paraId="06BEB313" w14:textId="504A6BC8" w:rsidR="005846C4" w:rsidRDefault="005846C4" w:rsidP="005846C4">
      <w:pPr>
        <w:jc w:val="both"/>
        <w:rPr>
          <w:sz w:val="24"/>
          <w:szCs w:val="24"/>
        </w:rPr>
      </w:pPr>
    </w:p>
    <w:p w14:paraId="02CB736F" w14:textId="77777777" w:rsidR="00410C3E" w:rsidRDefault="00410C3E" w:rsidP="00410C3E">
      <w:pPr>
        <w:jc w:val="both"/>
        <w:rPr>
          <w:sz w:val="24"/>
          <w:szCs w:val="20"/>
        </w:rPr>
      </w:pPr>
      <w:r>
        <w:rPr>
          <w:sz w:val="24"/>
          <w:szCs w:val="20"/>
        </w:rPr>
        <w:t>Del total de empresas, en la tercera edición, la proporción de empresas que recibieron apoyos fue de 3.8%, mientras que 96.2% restante no recibió ningún tipo de apoyo; en la segunda edición 5.9</w:t>
      </w:r>
      <w:r w:rsidRPr="00864AD5">
        <w:rPr>
          <w:sz w:val="24"/>
          <w:szCs w:val="20"/>
        </w:rPr>
        <w:t>% obtuvo algún tipo de apoyo, mientras que 9</w:t>
      </w:r>
      <w:r>
        <w:rPr>
          <w:sz w:val="24"/>
          <w:szCs w:val="20"/>
        </w:rPr>
        <w:t>4</w:t>
      </w:r>
      <w:r w:rsidRPr="00864AD5">
        <w:rPr>
          <w:sz w:val="24"/>
          <w:szCs w:val="20"/>
        </w:rPr>
        <w:t>.</w:t>
      </w:r>
      <w:r>
        <w:rPr>
          <w:sz w:val="24"/>
          <w:szCs w:val="20"/>
        </w:rPr>
        <w:t>1</w:t>
      </w:r>
      <w:r w:rsidRPr="00864AD5">
        <w:rPr>
          <w:sz w:val="24"/>
          <w:szCs w:val="20"/>
        </w:rPr>
        <w:t>% no recibió ayuda</w:t>
      </w:r>
      <w:r>
        <w:rPr>
          <w:sz w:val="24"/>
          <w:szCs w:val="20"/>
        </w:rPr>
        <w:t>; en la primera edición</w:t>
      </w:r>
      <w:r w:rsidRPr="00864AD5">
        <w:rPr>
          <w:sz w:val="24"/>
          <w:szCs w:val="20"/>
        </w:rPr>
        <w:t xml:space="preserve"> 7.8% obtuvo algún tipo de apoyo</w:t>
      </w:r>
      <w:r>
        <w:rPr>
          <w:sz w:val="24"/>
          <w:szCs w:val="20"/>
        </w:rPr>
        <w:t xml:space="preserve"> durante abril</w:t>
      </w:r>
      <w:r w:rsidRPr="00864AD5">
        <w:rPr>
          <w:sz w:val="24"/>
          <w:szCs w:val="20"/>
        </w:rPr>
        <w:t>, mientras que 92.2% no recibió ayuda de ninguna índole</w:t>
      </w:r>
      <w:r>
        <w:rPr>
          <w:sz w:val="24"/>
          <w:szCs w:val="20"/>
        </w:rPr>
        <w:t>.</w:t>
      </w:r>
    </w:p>
    <w:p w14:paraId="52180E90" w14:textId="77777777" w:rsidR="00410C3E" w:rsidRPr="00864AD5" w:rsidRDefault="00410C3E" w:rsidP="00410C3E">
      <w:pPr>
        <w:rPr>
          <w:sz w:val="24"/>
          <w:szCs w:val="20"/>
        </w:rPr>
      </w:pPr>
    </w:p>
    <w:p w14:paraId="7FF38EB7" w14:textId="14DA11CB" w:rsidR="00410C3E" w:rsidRPr="00F66B8C" w:rsidRDefault="00410C3E" w:rsidP="00410C3E">
      <w:pPr>
        <w:jc w:val="both"/>
        <w:rPr>
          <w:sz w:val="24"/>
          <w:szCs w:val="20"/>
        </w:rPr>
      </w:pPr>
      <w:r>
        <w:rPr>
          <w:sz w:val="24"/>
          <w:szCs w:val="20"/>
        </w:rPr>
        <w:t>En las tres ediciones, l</w:t>
      </w:r>
      <w:r w:rsidRPr="00AC0F4E">
        <w:rPr>
          <w:sz w:val="24"/>
          <w:szCs w:val="20"/>
        </w:rPr>
        <w:t>a mayor parte de los apoyos que obtuvieron las empre</w:t>
      </w:r>
      <w:r>
        <w:rPr>
          <w:sz w:val="24"/>
          <w:szCs w:val="20"/>
        </w:rPr>
        <w:t xml:space="preserve">sas provienen de los gobiernos, </w:t>
      </w:r>
      <w:r w:rsidRPr="00AC0F4E">
        <w:rPr>
          <w:sz w:val="24"/>
          <w:szCs w:val="20"/>
        </w:rPr>
        <w:t xml:space="preserve">estimando </w:t>
      </w:r>
      <w:r>
        <w:rPr>
          <w:sz w:val="24"/>
          <w:szCs w:val="20"/>
        </w:rPr>
        <w:t>que,</w:t>
      </w:r>
      <w:r w:rsidRPr="00AC0F4E">
        <w:rPr>
          <w:sz w:val="24"/>
          <w:szCs w:val="20"/>
        </w:rPr>
        <w:t xml:space="preserve"> </w:t>
      </w:r>
      <w:r>
        <w:rPr>
          <w:sz w:val="24"/>
          <w:szCs w:val="20"/>
        </w:rPr>
        <w:t>del total de empresas de la segunda edición apoyaron a</w:t>
      </w:r>
      <w:r w:rsidRPr="00AC0F4E">
        <w:rPr>
          <w:sz w:val="24"/>
          <w:szCs w:val="20"/>
        </w:rPr>
        <w:t xml:space="preserve"> </w:t>
      </w:r>
      <w:r>
        <w:rPr>
          <w:sz w:val="24"/>
          <w:szCs w:val="20"/>
        </w:rPr>
        <w:t>5.4</w:t>
      </w:r>
      <w:r w:rsidRPr="00AC0F4E">
        <w:rPr>
          <w:sz w:val="24"/>
          <w:szCs w:val="20"/>
        </w:rPr>
        <w:t>%</w:t>
      </w:r>
      <w:r>
        <w:rPr>
          <w:sz w:val="24"/>
          <w:szCs w:val="20"/>
        </w:rPr>
        <w:t>, y en la tercera edición los gobiernos apoyaron a 3.1% de las empresas.</w:t>
      </w:r>
      <w:r w:rsidRPr="00AC0F4E">
        <w:rPr>
          <w:sz w:val="24"/>
          <w:szCs w:val="20"/>
        </w:rPr>
        <w:t xml:space="preserve"> </w:t>
      </w:r>
      <w:r>
        <w:rPr>
          <w:sz w:val="24"/>
          <w:szCs w:val="20"/>
        </w:rPr>
        <w:t>Las cámaras y organizaciones empresariales y asociaciones sociales apoyaron a 0.3% en la segunda edición y a 0.6% en la tercera edición. Por último, con un mínimo porcentaje otro tipo de instancias apoyaron a 0.2% de las empresas en la segunda edición y 0.1% en la tercera edición.</w:t>
      </w:r>
    </w:p>
    <w:p w14:paraId="060CC802" w14:textId="3361B145" w:rsidR="00410C3E" w:rsidRDefault="00410C3E" w:rsidP="005846C4">
      <w:pPr>
        <w:jc w:val="right"/>
        <w:rPr>
          <w:b/>
          <w:bCs/>
          <w:sz w:val="28"/>
        </w:rPr>
      </w:pPr>
    </w:p>
    <w:p w14:paraId="4C4B78ED" w14:textId="77777777" w:rsidR="0072049C" w:rsidRDefault="0072049C" w:rsidP="005846C4">
      <w:pPr>
        <w:jc w:val="right"/>
        <w:rPr>
          <w:b/>
          <w:bCs/>
          <w:sz w:val="28"/>
        </w:rPr>
      </w:pPr>
    </w:p>
    <w:p w14:paraId="10794E63" w14:textId="066AFD95" w:rsidR="005846C4" w:rsidRPr="004A309E" w:rsidRDefault="005846C4" w:rsidP="005846C4">
      <w:pPr>
        <w:jc w:val="right"/>
        <w:rPr>
          <w:b/>
          <w:bCs/>
          <w:sz w:val="24"/>
          <w:szCs w:val="24"/>
        </w:rPr>
      </w:pPr>
      <w:r w:rsidRPr="004A309E">
        <w:rPr>
          <w:b/>
          <w:bCs/>
          <w:sz w:val="24"/>
          <w:szCs w:val="24"/>
        </w:rPr>
        <w:t>Empresas según condición de apoyos recibidos en el mes de referencia</w:t>
      </w:r>
    </w:p>
    <w:p w14:paraId="79BD86A4" w14:textId="77777777" w:rsidR="00F66B8C" w:rsidRDefault="00F66B8C" w:rsidP="00F66B8C">
      <w:pPr>
        <w:jc w:val="right"/>
        <w:rPr>
          <w:b/>
          <w:bCs/>
          <w:sz w:val="24"/>
          <w:szCs w:val="20"/>
        </w:rPr>
      </w:pPr>
    </w:p>
    <w:p w14:paraId="17E96961" w14:textId="4B9F7DF8" w:rsidR="00F66B8C" w:rsidRPr="00F66B8C" w:rsidRDefault="00F66B8C" w:rsidP="00F66B8C">
      <w:pPr>
        <w:jc w:val="right"/>
        <w:rPr>
          <w:b/>
          <w:bCs/>
          <w:sz w:val="24"/>
          <w:szCs w:val="20"/>
        </w:rPr>
      </w:pPr>
      <w:r w:rsidRPr="00F66B8C">
        <w:rPr>
          <w:b/>
          <w:bCs/>
          <w:sz w:val="24"/>
          <w:szCs w:val="20"/>
        </w:rPr>
        <w:t>Gráfica 1</w:t>
      </w:r>
      <w:r w:rsidR="0072049C">
        <w:rPr>
          <w:b/>
          <w:bCs/>
          <w:sz w:val="24"/>
          <w:szCs w:val="20"/>
        </w:rPr>
        <w:t>0</w:t>
      </w:r>
    </w:p>
    <w:p w14:paraId="18C0DFAB" w14:textId="77777777" w:rsidR="005846C4" w:rsidRDefault="005846C4" w:rsidP="005846C4">
      <w:pPr>
        <w:rPr>
          <w:noProof/>
        </w:rPr>
      </w:pPr>
    </w:p>
    <w:p w14:paraId="3A516356" w14:textId="3AC1CC3E" w:rsidR="005846C4" w:rsidRDefault="00B611BB" w:rsidP="005846C4">
      <w:pPr>
        <w:jc w:val="center"/>
        <w:rPr>
          <w:b/>
          <w:bCs/>
          <w:sz w:val="28"/>
        </w:rPr>
      </w:pPr>
      <w:r w:rsidRPr="00B611BB">
        <w:rPr>
          <w:noProof/>
        </w:rPr>
        <w:drawing>
          <wp:inline distT="0" distB="0" distL="0" distR="0" wp14:anchorId="37C52AC9" wp14:editId="775AB4D8">
            <wp:extent cx="6120765" cy="26873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120765" cy="2687320"/>
                    </a:xfrm>
                    <a:prstGeom prst="rect">
                      <a:avLst/>
                    </a:prstGeom>
                  </pic:spPr>
                </pic:pic>
              </a:graphicData>
            </a:graphic>
          </wp:inline>
        </w:drawing>
      </w:r>
    </w:p>
    <w:p w14:paraId="2DABA983" w14:textId="77777777" w:rsidR="00B611BB" w:rsidRDefault="00B611BB" w:rsidP="005846C4">
      <w:pPr>
        <w:jc w:val="both"/>
        <w:rPr>
          <w:b/>
          <w:sz w:val="14"/>
          <w:szCs w:val="14"/>
        </w:rPr>
      </w:pPr>
    </w:p>
    <w:p w14:paraId="08707B32" w14:textId="6DD8B52E" w:rsidR="00F66B8C" w:rsidRPr="00517339" w:rsidRDefault="00517339" w:rsidP="005846C4">
      <w:pPr>
        <w:jc w:val="both"/>
        <w:rPr>
          <w:b/>
          <w:sz w:val="14"/>
          <w:szCs w:val="14"/>
        </w:rPr>
      </w:pPr>
      <w:r w:rsidRPr="00517339">
        <w:rPr>
          <w:b/>
          <w:sz w:val="14"/>
          <w:szCs w:val="14"/>
        </w:rPr>
        <w:t>Nota: la información hace referencia al mes anterior.</w:t>
      </w:r>
    </w:p>
    <w:p w14:paraId="69062F67" w14:textId="5069C9CD" w:rsidR="0072049C" w:rsidRDefault="0072049C" w:rsidP="004A309E">
      <w:pPr>
        <w:rPr>
          <w:sz w:val="24"/>
          <w:szCs w:val="20"/>
        </w:rPr>
      </w:pPr>
    </w:p>
    <w:p w14:paraId="056FAAA6" w14:textId="77777777" w:rsidR="00410C3E" w:rsidRDefault="00410C3E" w:rsidP="004A309E">
      <w:pPr>
        <w:rPr>
          <w:b/>
          <w:bCs/>
          <w:sz w:val="28"/>
        </w:rPr>
      </w:pPr>
    </w:p>
    <w:p w14:paraId="14CF227B" w14:textId="77777777" w:rsidR="00410C3E" w:rsidRDefault="00410C3E" w:rsidP="00410C3E">
      <w:pPr>
        <w:pStyle w:val="Prrafodelista"/>
        <w:ind w:left="0" w:firstLine="0"/>
        <w:jc w:val="both"/>
        <w:rPr>
          <w:sz w:val="24"/>
          <w:szCs w:val="24"/>
        </w:rPr>
      </w:pPr>
      <w:r w:rsidRPr="002B7A3B">
        <w:rPr>
          <w:sz w:val="24"/>
          <w:szCs w:val="24"/>
        </w:rPr>
        <w:t>La encuesta arroja que las empresas consideran que la política de apoyo que más se requiere para hacer frente a la pandemia es aquella relacionada con los apoyos fiscales, registrando</w:t>
      </w:r>
      <w:r>
        <w:rPr>
          <w:sz w:val="24"/>
          <w:szCs w:val="24"/>
        </w:rPr>
        <w:t xml:space="preserve"> 66.3% en la tercera edición, </w:t>
      </w:r>
      <w:r w:rsidRPr="002B7A3B">
        <w:rPr>
          <w:sz w:val="24"/>
          <w:szCs w:val="24"/>
        </w:rPr>
        <w:t xml:space="preserve">61.3% </w:t>
      </w:r>
      <w:r>
        <w:rPr>
          <w:sz w:val="24"/>
          <w:szCs w:val="24"/>
        </w:rPr>
        <w:t>en</w:t>
      </w:r>
      <w:r w:rsidRPr="002B7A3B">
        <w:rPr>
          <w:sz w:val="24"/>
          <w:szCs w:val="24"/>
        </w:rPr>
        <w:t xml:space="preserve"> l</w:t>
      </w:r>
      <w:r>
        <w:rPr>
          <w:sz w:val="24"/>
          <w:szCs w:val="24"/>
        </w:rPr>
        <w:t>a</w:t>
      </w:r>
      <w:r w:rsidRPr="002B7A3B">
        <w:rPr>
          <w:sz w:val="24"/>
          <w:szCs w:val="24"/>
        </w:rPr>
        <w:t xml:space="preserve"> segund</w:t>
      </w:r>
      <w:r>
        <w:rPr>
          <w:sz w:val="24"/>
          <w:szCs w:val="24"/>
        </w:rPr>
        <w:t>a</w:t>
      </w:r>
      <w:r w:rsidRPr="002B7A3B">
        <w:rPr>
          <w:sz w:val="24"/>
          <w:szCs w:val="24"/>
        </w:rPr>
        <w:t xml:space="preserve"> y 61.2% para </w:t>
      </w:r>
      <w:r>
        <w:rPr>
          <w:sz w:val="24"/>
          <w:szCs w:val="24"/>
        </w:rPr>
        <w:t>la</w:t>
      </w:r>
      <w:r w:rsidRPr="002B7A3B">
        <w:rPr>
          <w:sz w:val="24"/>
          <w:szCs w:val="24"/>
        </w:rPr>
        <w:t xml:space="preserve"> primer</w:t>
      </w:r>
      <w:r>
        <w:rPr>
          <w:sz w:val="24"/>
          <w:szCs w:val="24"/>
        </w:rPr>
        <w:t>a</w:t>
      </w:r>
      <w:r w:rsidRPr="002B7A3B">
        <w:rPr>
          <w:sz w:val="24"/>
          <w:szCs w:val="24"/>
        </w:rPr>
        <w:t xml:space="preserve"> e</w:t>
      </w:r>
      <w:r>
        <w:rPr>
          <w:sz w:val="24"/>
          <w:szCs w:val="24"/>
        </w:rPr>
        <w:t>dición</w:t>
      </w:r>
      <w:r w:rsidRPr="002B7A3B">
        <w:rPr>
          <w:sz w:val="24"/>
          <w:szCs w:val="24"/>
        </w:rPr>
        <w:t xml:space="preserve">. </w:t>
      </w:r>
    </w:p>
    <w:p w14:paraId="36691436" w14:textId="77777777" w:rsidR="00410C3E" w:rsidRDefault="00410C3E" w:rsidP="00410C3E">
      <w:pPr>
        <w:pStyle w:val="Prrafodelista"/>
        <w:ind w:left="0" w:firstLine="0"/>
        <w:jc w:val="both"/>
        <w:rPr>
          <w:sz w:val="24"/>
          <w:szCs w:val="24"/>
        </w:rPr>
      </w:pPr>
    </w:p>
    <w:p w14:paraId="6F06B965" w14:textId="783937ED" w:rsidR="00410C3E" w:rsidRDefault="00410C3E" w:rsidP="00410C3E">
      <w:pPr>
        <w:pStyle w:val="Prrafodelista"/>
        <w:ind w:left="0" w:firstLine="0"/>
        <w:jc w:val="both"/>
        <w:rPr>
          <w:sz w:val="24"/>
          <w:szCs w:val="24"/>
        </w:rPr>
      </w:pPr>
      <w:r>
        <w:rPr>
          <w:sz w:val="24"/>
          <w:szCs w:val="24"/>
        </w:rPr>
        <w:t>La transferencia de efectivo es la segunda política de apoyo con mayor porcentaje en esta tercera edición, con 34.1%; aunque e</w:t>
      </w:r>
      <w:r w:rsidRPr="002B7A3B">
        <w:rPr>
          <w:sz w:val="24"/>
          <w:szCs w:val="24"/>
        </w:rPr>
        <w:t xml:space="preserve">l aplazamiento de pagos a créditos o servicios es la segunda política de apoyo que las empresas </w:t>
      </w:r>
      <w:r>
        <w:rPr>
          <w:sz w:val="24"/>
          <w:szCs w:val="24"/>
        </w:rPr>
        <w:t>consideraron en la</w:t>
      </w:r>
      <w:r w:rsidRPr="002B7A3B">
        <w:rPr>
          <w:sz w:val="24"/>
          <w:szCs w:val="24"/>
        </w:rPr>
        <w:t xml:space="preserve"> segund</w:t>
      </w:r>
      <w:r>
        <w:rPr>
          <w:sz w:val="24"/>
          <w:szCs w:val="24"/>
        </w:rPr>
        <w:t>a</w:t>
      </w:r>
      <w:r w:rsidRPr="002B7A3B">
        <w:rPr>
          <w:sz w:val="24"/>
          <w:szCs w:val="24"/>
        </w:rPr>
        <w:t xml:space="preserve"> e</w:t>
      </w:r>
      <w:r>
        <w:rPr>
          <w:sz w:val="24"/>
          <w:szCs w:val="24"/>
        </w:rPr>
        <w:t>dición</w:t>
      </w:r>
      <w:r w:rsidRPr="002B7A3B">
        <w:rPr>
          <w:sz w:val="24"/>
          <w:szCs w:val="24"/>
        </w:rPr>
        <w:t xml:space="preserve"> </w:t>
      </w:r>
      <w:r>
        <w:rPr>
          <w:sz w:val="24"/>
          <w:szCs w:val="24"/>
        </w:rPr>
        <w:t xml:space="preserve">con </w:t>
      </w:r>
      <w:r w:rsidRPr="002B7A3B">
        <w:rPr>
          <w:sz w:val="24"/>
          <w:szCs w:val="24"/>
        </w:rPr>
        <w:t xml:space="preserve">40.6% y un 55.1% en </w:t>
      </w:r>
      <w:r>
        <w:rPr>
          <w:sz w:val="24"/>
          <w:szCs w:val="24"/>
        </w:rPr>
        <w:t>la primera edición.</w:t>
      </w:r>
    </w:p>
    <w:p w14:paraId="462376E8" w14:textId="59958D34" w:rsidR="00410C3E" w:rsidRDefault="00410C3E" w:rsidP="00410C3E">
      <w:pPr>
        <w:pStyle w:val="Prrafodelista"/>
        <w:ind w:left="0" w:firstLine="0"/>
        <w:jc w:val="both"/>
        <w:rPr>
          <w:b/>
          <w:bCs/>
          <w:sz w:val="28"/>
        </w:rPr>
      </w:pPr>
    </w:p>
    <w:p w14:paraId="5956E572" w14:textId="75AD3348" w:rsidR="00410C3E" w:rsidRDefault="00410C3E" w:rsidP="00410C3E">
      <w:pPr>
        <w:pStyle w:val="Prrafodelista"/>
        <w:ind w:left="0" w:firstLine="0"/>
        <w:jc w:val="both"/>
        <w:rPr>
          <w:b/>
          <w:bCs/>
          <w:sz w:val="28"/>
        </w:rPr>
      </w:pPr>
    </w:p>
    <w:p w14:paraId="10954E71" w14:textId="4AEEED23" w:rsidR="00410C3E" w:rsidRDefault="00410C3E" w:rsidP="00410C3E">
      <w:pPr>
        <w:pStyle w:val="Prrafodelista"/>
        <w:ind w:left="0" w:firstLine="0"/>
        <w:jc w:val="both"/>
        <w:rPr>
          <w:b/>
          <w:bCs/>
          <w:sz w:val="28"/>
        </w:rPr>
      </w:pPr>
    </w:p>
    <w:p w14:paraId="4B0C385F" w14:textId="2EDB7A7E" w:rsidR="00410C3E" w:rsidRDefault="00410C3E" w:rsidP="00410C3E">
      <w:pPr>
        <w:pStyle w:val="Prrafodelista"/>
        <w:ind w:left="0" w:firstLine="0"/>
        <w:jc w:val="both"/>
        <w:rPr>
          <w:b/>
          <w:bCs/>
          <w:sz w:val="28"/>
        </w:rPr>
      </w:pPr>
    </w:p>
    <w:p w14:paraId="34F6EF6B" w14:textId="004BA5D4" w:rsidR="00410C3E" w:rsidRDefault="00410C3E" w:rsidP="00410C3E">
      <w:pPr>
        <w:pStyle w:val="Prrafodelista"/>
        <w:ind w:left="0" w:firstLine="0"/>
        <w:jc w:val="both"/>
        <w:rPr>
          <w:b/>
          <w:bCs/>
          <w:sz w:val="28"/>
        </w:rPr>
      </w:pPr>
    </w:p>
    <w:p w14:paraId="71257434" w14:textId="44E7E5F4" w:rsidR="00410C3E" w:rsidRDefault="00410C3E" w:rsidP="00410C3E">
      <w:pPr>
        <w:pStyle w:val="Prrafodelista"/>
        <w:ind w:left="0" w:firstLine="0"/>
        <w:jc w:val="both"/>
        <w:rPr>
          <w:b/>
          <w:bCs/>
          <w:sz w:val="28"/>
        </w:rPr>
      </w:pPr>
    </w:p>
    <w:p w14:paraId="0F6D9BA2" w14:textId="7AF84F18" w:rsidR="00410C3E" w:rsidRDefault="00410C3E" w:rsidP="00410C3E">
      <w:pPr>
        <w:pStyle w:val="Prrafodelista"/>
        <w:ind w:left="0" w:firstLine="0"/>
        <w:jc w:val="both"/>
        <w:rPr>
          <w:b/>
          <w:bCs/>
          <w:sz w:val="28"/>
        </w:rPr>
      </w:pPr>
    </w:p>
    <w:p w14:paraId="22FF433B" w14:textId="35C2FD7C" w:rsidR="00410C3E" w:rsidRDefault="00410C3E" w:rsidP="00410C3E">
      <w:pPr>
        <w:pStyle w:val="Prrafodelista"/>
        <w:ind w:left="0" w:firstLine="0"/>
        <w:jc w:val="both"/>
        <w:rPr>
          <w:b/>
          <w:bCs/>
          <w:sz w:val="28"/>
        </w:rPr>
      </w:pPr>
    </w:p>
    <w:p w14:paraId="148349BA" w14:textId="0BB02995" w:rsidR="00410C3E" w:rsidRDefault="00410C3E" w:rsidP="00410C3E">
      <w:pPr>
        <w:pStyle w:val="Prrafodelista"/>
        <w:ind w:left="0" w:firstLine="0"/>
        <w:jc w:val="both"/>
        <w:rPr>
          <w:b/>
          <w:bCs/>
          <w:sz w:val="28"/>
        </w:rPr>
      </w:pPr>
    </w:p>
    <w:p w14:paraId="0037F7C6" w14:textId="7E2914B5" w:rsidR="00410C3E" w:rsidRDefault="00410C3E" w:rsidP="00410C3E">
      <w:pPr>
        <w:pStyle w:val="Prrafodelista"/>
        <w:ind w:left="0" w:firstLine="0"/>
        <w:jc w:val="both"/>
        <w:rPr>
          <w:b/>
          <w:bCs/>
          <w:sz w:val="28"/>
        </w:rPr>
      </w:pPr>
    </w:p>
    <w:p w14:paraId="090C6349" w14:textId="77777777" w:rsidR="00410C3E" w:rsidRDefault="00410C3E" w:rsidP="00410C3E">
      <w:pPr>
        <w:pStyle w:val="Prrafodelista"/>
        <w:ind w:left="0" w:firstLine="0"/>
        <w:jc w:val="both"/>
        <w:rPr>
          <w:b/>
          <w:bCs/>
          <w:sz w:val="28"/>
        </w:rPr>
      </w:pPr>
    </w:p>
    <w:p w14:paraId="511E7A83" w14:textId="77777777" w:rsidR="00223D88" w:rsidRDefault="00223D88" w:rsidP="005846C4">
      <w:pPr>
        <w:jc w:val="center"/>
        <w:rPr>
          <w:b/>
          <w:bCs/>
          <w:sz w:val="28"/>
        </w:rPr>
      </w:pPr>
    </w:p>
    <w:p w14:paraId="04C0DB4E" w14:textId="6337A6C8" w:rsidR="005846C4" w:rsidRPr="004A309E" w:rsidRDefault="005846C4" w:rsidP="005846C4">
      <w:pPr>
        <w:jc w:val="center"/>
        <w:rPr>
          <w:b/>
          <w:bCs/>
          <w:sz w:val="24"/>
          <w:szCs w:val="24"/>
        </w:rPr>
      </w:pPr>
      <w:r w:rsidRPr="004A309E">
        <w:rPr>
          <w:b/>
          <w:bCs/>
          <w:sz w:val="24"/>
          <w:szCs w:val="24"/>
        </w:rPr>
        <w:t>Políticas</w:t>
      </w:r>
      <w:r w:rsidRPr="004A309E">
        <w:rPr>
          <w:b/>
          <w:bCs/>
          <w:sz w:val="24"/>
          <w:szCs w:val="24"/>
          <w:lang w:val="en-US"/>
        </w:rPr>
        <w:t xml:space="preserve"> de </w:t>
      </w:r>
      <w:r w:rsidRPr="004A309E">
        <w:rPr>
          <w:b/>
          <w:bCs/>
          <w:sz w:val="24"/>
          <w:szCs w:val="24"/>
        </w:rPr>
        <w:t>apoyo</w:t>
      </w:r>
      <w:r w:rsidRPr="004A309E">
        <w:rPr>
          <w:b/>
          <w:bCs/>
          <w:sz w:val="24"/>
          <w:szCs w:val="24"/>
          <w:lang w:val="en-US"/>
        </w:rPr>
        <w:t xml:space="preserve"> que </w:t>
      </w:r>
      <w:r w:rsidRPr="004A309E">
        <w:rPr>
          <w:b/>
          <w:bCs/>
          <w:sz w:val="24"/>
          <w:szCs w:val="24"/>
        </w:rPr>
        <w:t>requieren</w:t>
      </w:r>
      <w:r w:rsidRPr="004A309E">
        <w:rPr>
          <w:b/>
          <w:bCs/>
          <w:sz w:val="24"/>
          <w:szCs w:val="24"/>
          <w:lang w:val="en-US"/>
        </w:rPr>
        <w:t xml:space="preserve"> las </w:t>
      </w:r>
      <w:r w:rsidRPr="004A309E">
        <w:rPr>
          <w:b/>
          <w:bCs/>
          <w:sz w:val="24"/>
          <w:szCs w:val="24"/>
        </w:rPr>
        <w:t>empresas</w:t>
      </w:r>
    </w:p>
    <w:p w14:paraId="75A9F5A8" w14:textId="55441362" w:rsidR="005846C4" w:rsidRPr="00F66B8C" w:rsidRDefault="00F66B8C" w:rsidP="00F66B8C">
      <w:pPr>
        <w:jc w:val="right"/>
        <w:rPr>
          <w:b/>
          <w:bCs/>
          <w:sz w:val="24"/>
          <w:szCs w:val="20"/>
        </w:rPr>
      </w:pPr>
      <w:r w:rsidRPr="00F66B8C">
        <w:rPr>
          <w:b/>
          <w:bCs/>
          <w:sz w:val="24"/>
          <w:szCs w:val="20"/>
        </w:rPr>
        <w:t>Gráfica 1</w:t>
      </w:r>
      <w:r w:rsidR="0072049C">
        <w:rPr>
          <w:b/>
          <w:bCs/>
          <w:sz w:val="24"/>
          <w:szCs w:val="20"/>
        </w:rPr>
        <w:t>1</w:t>
      </w:r>
    </w:p>
    <w:p w14:paraId="14422253" w14:textId="123A3C09" w:rsidR="005846C4" w:rsidRDefault="0072049C" w:rsidP="005846C4">
      <w:pPr>
        <w:jc w:val="center"/>
        <w:rPr>
          <w:b/>
          <w:bCs/>
          <w:sz w:val="28"/>
        </w:rPr>
      </w:pPr>
      <w:r>
        <w:rPr>
          <w:noProof/>
        </w:rPr>
        <w:drawing>
          <wp:inline distT="0" distB="0" distL="0" distR="0" wp14:anchorId="5F1DE1F6" wp14:editId="588E9617">
            <wp:extent cx="6120765" cy="254127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120765" cy="2541270"/>
                    </a:xfrm>
                    <a:prstGeom prst="rect">
                      <a:avLst/>
                    </a:prstGeom>
                  </pic:spPr>
                </pic:pic>
              </a:graphicData>
            </a:graphic>
          </wp:inline>
        </w:drawing>
      </w:r>
    </w:p>
    <w:p w14:paraId="482B7A08" w14:textId="77777777" w:rsidR="005846C4" w:rsidRDefault="005846C4" w:rsidP="005846C4">
      <w:pPr>
        <w:jc w:val="center"/>
        <w:rPr>
          <w:b/>
          <w:bCs/>
          <w:sz w:val="28"/>
        </w:rPr>
      </w:pPr>
    </w:p>
    <w:p w14:paraId="57A30432" w14:textId="77777777" w:rsidR="00410C3E" w:rsidRDefault="00410C3E" w:rsidP="00410C3E">
      <w:pPr>
        <w:jc w:val="both"/>
        <w:rPr>
          <w:sz w:val="24"/>
        </w:rPr>
      </w:pPr>
      <w:r>
        <w:rPr>
          <w:sz w:val="24"/>
        </w:rPr>
        <w:t xml:space="preserve">Con relación a las expectativas de los ingresos para los próximos seis meses y en un escenario regular, en la tercera edición 28.7% de las empresas espera un aumento en sus ingresos, es decir, un aumento de 0.5% respecto de la segunda edición; un 53.8% contestó que sus ingresos permanecerán igual, manteniéndose por encima de la segunda edición. </w:t>
      </w:r>
    </w:p>
    <w:p w14:paraId="1DF6F712" w14:textId="77777777" w:rsidR="00410C3E" w:rsidRDefault="00410C3E" w:rsidP="00410C3E">
      <w:pPr>
        <w:jc w:val="both"/>
        <w:rPr>
          <w:sz w:val="24"/>
        </w:rPr>
      </w:pPr>
    </w:p>
    <w:p w14:paraId="18B92F7E" w14:textId="77777777" w:rsidR="00410C3E" w:rsidRDefault="00410C3E" w:rsidP="00410C3E">
      <w:pPr>
        <w:jc w:val="both"/>
        <w:rPr>
          <w:sz w:val="24"/>
        </w:rPr>
      </w:pPr>
      <w:r>
        <w:rPr>
          <w:sz w:val="24"/>
        </w:rPr>
        <w:t>En un escenario optimista las empresas que consideran que sus ingresos disminuirán son un 5.4% en la tercera edición, mostrando una diminución de 4.1% respecto de la segunda edición, mientras que para la primera edición es de 23.1 por ciento.</w:t>
      </w:r>
    </w:p>
    <w:p w14:paraId="58088DF2" w14:textId="77777777" w:rsidR="00410C3E" w:rsidRDefault="00410C3E" w:rsidP="00410C3E">
      <w:pPr>
        <w:jc w:val="both"/>
        <w:rPr>
          <w:sz w:val="24"/>
        </w:rPr>
      </w:pPr>
    </w:p>
    <w:p w14:paraId="70AA17AA" w14:textId="77777777" w:rsidR="00410C3E" w:rsidRDefault="00410C3E" w:rsidP="00410C3E">
      <w:pPr>
        <w:jc w:val="both"/>
        <w:rPr>
          <w:sz w:val="24"/>
        </w:rPr>
      </w:pPr>
      <w:r>
        <w:rPr>
          <w:sz w:val="24"/>
        </w:rPr>
        <w:t xml:space="preserve">Por otro lado, 57.8% considera que sus ingresos aumentarán, lo que representa un incremento de 5.5% respecto de la segunda edición. </w:t>
      </w:r>
    </w:p>
    <w:p w14:paraId="607A8999" w14:textId="77777777" w:rsidR="00410C3E" w:rsidRDefault="00410C3E" w:rsidP="00410C3E">
      <w:pPr>
        <w:jc w:val="both"/>
        <w:rPr>
          <w:sz w:val="24"/>
        </w:rPr>
      </w:pPr>
    </w:p>
    <w:p w14:paraId="14D41765" w14:textId="07E1A624" w:rsidR="00410C3E" w:rsidRDefault="00410C3E" w:rsidP="00410C3E">
      <w:pPr>
        <w:jc w:val="both"/>
        <w:rPr>
          <w:sz w:val="24"/>
        </w:rPr>
      </w:pPr>
      <w:r>
        <w:rPr>
          <w:sz w:val="24"/>
        </w:rPr>
        <w:t>En un escenario pesimista, 50.9% de las empresas prevén que sus ingresos caerán proporción superior respecto de la segunda edición en 2.4 puntos porcentuales. Para la tercera edición 43.8% contestó que sus ingresos permanecerán igual.</w:t>
      </w:r>
    </w:p>
    <w:p w14:paraId="76AF6726" w14:textId="42152639" w:rsidR="00410C3E" w:rsidRDefault="00410C3E" w:rsidP="00410C3E">
      <w:pPr>
        <w:jc w:val="both"/>
        <w:rPr>
          <w:sz w:val="24"/>
        </w:rPr>
      </w:pPr>
    </w:p>
    <w:p w14:paraId="406837A4" w14:textId="792B6DBC" w:rsidR="00410C3E" w:rsidRDefault="00410C3E" w:rsidP="00410C3E">
      <w:pPr>
        <w:jc w:val="both"/>
        <w:rPr>
          <w:sz w:val="24"/>
        </w:rPr>
      </w:pPr>
    </w:p>
    <w:p w14:paraId="121DB95D" w14:textId="195CE633" w:rsidR="00410C3E" w:rsidRDefault="00410C3E" w:rsidP="00410C3E">
      <w:pPr>
        <w:jc w:val="both"/>
        <w:rPr>
          <w:sz w:val="24"/>
        </w:rPr>
      </w:pPr>
    </w:p>
    <w:p w14:paraId="1BF7FBF6" w14:textId="1389C025" w:rsidR="00410C3E" w:rsidRDefault="00410C3E" w:rsidP="00410C3E">
      <w:pPr>
        <w:jc w:val="both"/>
        <w:rPr>
          <w:sz w:val="24"/>
        </w:rPr>
      </w:pPr>
    </w:p>
    <w:p w14:paraId="269D12A0" w14:textId="72E04D07" w:rsidR="00410C3E" w:rsidRDefault="00410C3E" w:rsidP="00410C3E">
      <w:pPr>
        <w:jc w:val="both"/>
        <w:rPr>
          <w:sz w:val="24"/>
        </w:rPr>
      </w:pPr>
    </w:p>
    <w:p w14:paraId="21F7FBA2" w14:textId="417D3385" w:rsidR="00410C3E" w:rsidRDefault="00410C3E" w:rsidP="00410C3E">
      <w:pPr>
        <w:jc w:val="both"/>
        <w:rPr>
          <w:sz w:val="24"/>
        </w:rPr>
      </w:pPr>
    </w:p>
    <w:p w14:paraId="7B2E3B99" w14:textId="37B144F5" w:rsidR="00410C3E" w:rsidRDefault="00410C3E" w:rsidP="00410C3E">
      <w:pPr>
        <w:jc w:val="both"/>
        <w:rPr>
          <w:sz w:val="24"/>
        </w:rPr>
      </w:pPr>
    </w:p>
    <w:p w14:paraId="26AF45E5" w14:textId="2D192255" w:rsidR="00410C3E" w:rsidRDefault="00410C3E" w:rsidP="00410C3E">
      <w:pPr>
        <w:jc w:val="both"/>
        <w:rPr>
          <w:sz w:val="24"/>
        </w:rPr>
      </w:pPr>
    </w:p>
    <w:p w14:paraId="3846DCF0" w14:textId="1196B6A9" w:rsidR="00410C3E" w:rsidRDefault="00410C3E" w:rsidP="00410C3E">
      <w:pPr>
        <w:jc w:val="both"/>
        <w:rPr>
          <w:sz w:val="24"/>
        </w:rPr>
      </w:pPr>
    </w:p>
    <w:p w14:paraId="5DEA3235" w14:textId="7C94F9A9" w:rsidR="00410C3E" w:rsidRDefault="00410C3E" w:rsidP="00410C3E">
      <w:pPr>
        <w:jc w:val="both"/>
        <w:rPr>
          <w:sz w:val="24"/>
        </w:rPr>
      </w:pPr>
    </w:p>
    <w:p w14:paraId="7A3AC380" w14:textId="3B6AF020" w:rsidR="00410C3E" w:rsidRDefault="00410C3E" w:rsidP="00410C3E">
      <w:pPr>
        <w:jc w:val="both"/>
        <w:rPr>
          <w:sz w:val="24"/>
        </w:rPr>
      </w:pPr>
    </w:p>
    <w:p w14:paraId="108AC163" w14:textId="77777777" w:rsidR="00410C3E" w:rsidRDefault="00410C3E" w:rsidP="00410C3E">
      <w:pPr>
        <w:jc w:val="both"/>
        <w:rPr>
          <w:sz w:val="24"/>
        </w:rPr>
      </w:pPr>
    </w:p>
    <w:p w14:paraId="32906E03" w14:textId="77777777" w:rsidR="005846C4" w:rsidRPr="004A309E" w:rsidRDefault="005846C4" w:rsidP="005846C4">
      <w:pPr>
        <w:jc w:val="center"/>
        <w:rPr>
          <w:b/>
          <w:bCs/>
          <w:sz w:val="24"/>
          <w:szCs w:val="24"/>
        </w:rPr>
      </w:pPr>
      <w:r w:rsidRPr="004A309E">
        <w:rPr>
          <w:b/>
          <w:bCs/>
          <w:sz w:val="24"/>
          <w:szCs w:val="24"/>
        </w:rPr>
        <w:lastRenderedPageBreak/>
        <w:t>Expectativas de los ingresos para los próximos seis meses, según escenarios</w:t>
      </w:r>
    </w:p>
    <w:p w14:paraId="4F22F38C" w14:textId="6F77E7FB" w:rsidR="005846C4" w:rsidRPr="00F66B8C" w:rsidRDefault="00F66B8C" w:rsidP="00F66B8C">
      <w:pPr>
        <w:jc w:val="right"/>
        <w:rPr>
          <w:b/>
          <w:bCs/>
          <w:sz w:val="24"/>
          <w:szCs w:val="20"/>
        </w:rPr>
      </w:pPr>
      <w:r w:rsidRPr="00F66B8C">
        <w:rPr>
          <w:b/>
          <w:bCs/>
          <w:sz w:val="24"/>
          <w:szCs w:val="20"/>
        </w:rPr>
        <w:t>Gráfica 1</w:t>
      </w:r>
      <w:r w:rsidR="0072049C">
        <w:rPr>
          <w:b/>
          <w:bCs/>
          <w:sz w:val="24"/>
          <w:szCs w:val="20"/>
        </w:rPr>
        <w:t>2</w:t>
      </w:r>
    </w:p>
    <w:p w14:paraId="0AE6158F" w14:textId="77777777" w:rsidR="005846C4" w:rsidRDefault="005846C4" w:rsidP="005846C4">
      <w:pPr>
        <w:rPr>
          <w:noProof/>
        </w:rPr>
      </w:pPr>
      <w:r w:rsidRPr="006C7498">
        <w:rPr>
          <w:sz w:val="16"/>
          <w:szCs w:val="16"/>
        </w:rPr>
        <w:t xml:space="preserve">                </w:t>
      </w:r>
    </w:p>
    <w:p w14:paraId="37D5BE4E" w14:textId="22036590" w:rsidR="005846C4" w:rsidRPr="006C7498" w:rsidRDefault="0072049C" w:rsidP="00233436">
      <w:pPr>
        <w:jc w:val="center"/>
        <w:rPr>
          <w:sz w:val="16"/>
          <w:szCs w:val="16"/>
        </w:rPr>
      </w:pPr>
      <w:r>
        <w:rPr>
          <w:noProof/>
        </w:rPr>
        <w:drawing>
          <wp:inline distT="0" distB="0" distL="0" distR="0" wp14:anchorId="775BF796" wp14:editId="74430F7D">
            <wp:extent cx="6120765" cy="2389505"/>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120765" cy="2389505"/>
                    </a:xfrm>
                    <a:prstGeom prst="rect">
                      <a:avLst/>
                    </a:prstGeom>
                  </pic:spPr>
                </pic:pic>
              </a:graphicData>
            </a:graphic>
          </wp:inline>
        </w:drawing>
      </w:r>
    </w:p>
    <w:p w14:paraId="1DF28863" w14:textId="68CDB196" w:rsidR="005846C4" w:rsidRPr="00517339" w:rsidRDefault="00517339" w:rsidP="00517339">
      <w:pPr>
        <w:rPr>
          <w:b/>
          <w:bCs/>
          <w:sz w:val="14"/>
          <w:szCs w:val="14"/>
        </w:rPr>
      </w:pPr>
      <w:r w:rsidRPr="00517339">
        <w:rPr>
          <w:b/>
          <w:bCs/>
          <w:sz w:val="14"/>
          <w:szCs w:val="14"/>
        </w:rPr>
        <w:t xml:space="preserve">Nota: para </w:t>
      </w:r>
      <w:r w:rsidR="00ED7C91">
        <w:rPr>
          <w:b/>
          <w:bCs/>
          <w:sz w:val="14"/>
          <w:szCs w:val="14"/>
        </w:rPr>
        <w:t>la</w:t>
      </w:r>
      <w:r w:rsidRPr="00517339">
        <w:rPr>
          <w:b/>
          <w:bCs/>
          <w:sz w:val="14"/>
          <w:szCs w:val="14"/>
        </w:rPr>
        <w:t xml:space="preserve"> 3</w:t>
      </w:r>
      <w:r w:rsidR="00ED7C91">
        <w:rPr>
          <w:b/>
          <w:bCs/>
          <w:sz w:val="14"/>
          <w:szCs w:val="14"/>
        </w:rPr>
        <w:t>ª edición</w:t>
      </w:r>
      <w:r w:rsidRPr="00517339">
        <w:rPr>
          <w:b/>
          <w:bCs/>
          <w:sz w:val="14"/>
          <w:szCs w:val="14"/>
        </w:rPr>
        <w:t xml:space="preserve"> el comparativo es contra los seis meses previos a la pandemia.</w:t>
      </w:r>
    </w:p>
    <w:p w14:paraId="1CB50335" w14:textId="77777777" w:rsidR="00517339" w:rsidRDefault="00517339" w:rsidP="005846C4">
      <w:pPr>
        <w:jc w:val="center"/>
        <w:rPr>
          <w:b/>
          <w:bCs/>
          <w:sz w:val="28"/>
        </w:rPr>
      </w:pPr>
    </w:p>
    <w:p w14:paraId="30D96896" w14:textId="62DD5D60" w:rsidR="00410C3E" w:rsidRDefault="00410C3E" w:rsidP="00410C3E">
      <w:pPr>
        <w:jc w:val="both"/>
        <w:rPr>
          <w:b/>
          <w:bCs/>
          <w:sz w:val="28"/>
        </w:rPr>
      </w:pPr>
      <w:r>
        <w:rPr>
          <w:sz w:val="24"/>
          <w:szCs w:val="24"/>
        </w:rPr>
        <w:t>Se estima que e</w:t>
      </w:r>
      <w:r w:rsidRPr="00060AC3">
        <w:rPr>
          <w:sz w:val="24"/>
          <w:szCs w:val="24"/>
        </w:rPr>
        <w:t xml:space="preserve">l tiempo que las empresas podrán continuar operando con su nivel actual de ingresos varía según </w:t>
      </w:r>
      <w:r>
        <w:rPr>
          <w:sz w:val="24"/>
          <w:szCs w:val="24"/>
        </w:rPr>
        <w:t>su</w:t>
      </w:r>
      <w:r w:rsidRPr="00060AC3">
        <w:rPr>
          <w:sz w:val="24"/>
          <w:szCs w:val="24"/>
        </w:rPr>
        <w:t xml:space="preserve"> tamaño</w:t>
      </w:r>
      <w:r>
        <w:rPr>
          <w:sz w:val="24"/>
          <w:szCs w:val="24"/>
        </w:rPr>
        <w:t>. A</w:t>
      </w:r>
      <w:r w:rsidRPr="00060AC3">
        <w:rPr>
          <w:sz w:val="24"/>
          <w:szCs w:val="24"/>
        </w:rPr>
        <w:t xml:space="preserve"> nivel nacional, </w:t>
      </w:r>
      <w:r>
        <w:rPr>
          <w:sz w:val="24"/>
          <w:szCs w:val="24"/>
        </w:rPr>
        <w:t>44.2</w:t>
      </w:r>
      <w:r w:rsidRPr="00060AC3">
        <w:rPr>
          <w:sz w:val="24"/>
          <w:szCs w:val="24"/>
        </w:rPr>
        <w:t xml:space="preserve">% de las empresas consideran que podrán continuar operando de 12 meses </w:t>
      </w:r>
      <w:r w:rsidR="00A779F3">
        <w:rPr>
          <w:sz w:val="24"/>
          <w:szCs w:val="24"/>
        </w:rPr>
        <w:t>a</w:t>
      </w:r>
      <w:r>
        <w:rPr>
          <w:sz w:val="24"/>
          <w:szCs w:val="24"/>
        </w:rPr>
        <w:t xml:space="preserve"> más </w:t>
      </w:r>
      <w:r w:rsidRPr="00060AC3">
        <w:rPr>
          <w:sz w:val="24"/>
          <w:szCs w:val="24"/>
        </w:rPr>
        <w:t>con su nivel actual de ingresos</w:t>
      </w:r>
      <w:r>
        <w:rPr>
          <w:sz w:val="24"/>
          <w:szCs w:val="24"/>
        </w:rPr>
        <w:t>;</w:t>
      </w:r>
      <w:r w:rsidRPr="00060AC3">
        <w:rPr>
          <w:sz w:val="24"/>
          <w:szCs w:val="24"/>
        </w:rPr>
        <w:t xml:space="preserve"> </w:t>
      </w:r>
      <w:r>
        <w:rPr>
          <w:sz w:val="24"/>
          <w:szCs w:val="24"/>
        </w:rPr>
        <w:t xml:space="preserve">mientras que en la segunda edición </w:t>
      </w:r>
      <w:r w:rsidR="00A779F3">
        <w:rPr>
          <w:sz w:val="24"/>
          <w:szCs w:val="24"/>
        </w:rPr>
        <w:t>era de</w:t>
      </w:r>
      <w:r>
        <w:rPr>
          <w:sz w:val="24"/>
          <w:szCs w:val="24"/>
        </w:rPr>
        <w:t xml:space="preserve"> 37.6%</w:t>
      </w:r>
      <w:r w:rsidR="00A779F3">
        <w:rPr>
          <w:sz w:val="24"/>
          <w:szCs w:val="24"/>
        </w:rPr>
        <w:t>. D</w:t>
      </w:r>
      <w:r w:rsidRPr="00060AC3">
        <w:rPr>
          <w:sz w:val="24"/>
          <w:szCs w:val="24"/>
        </w:rPr>
        <w:t xml:space="preserve">e 3 a </w:t>
      </w:r>
      <w:r>
        <w:rPr>
          <w:sz w:val="24"/>
          <w:szCs w:val="24"/>
        </w:rPr>
        <w:t xml:space="preserve">menos de </w:t>
      </w:r>
      <w:r w:rsidRPr="00060AC3">
        <w:rPr>
          <w:sz w:val="24"/>
          <w:szCs w:val="24"/>
        </w:rPr>
        <w:t>12 meses</w:t>
      </w:r>
      <w:r>
        <w:rPr>
          <w:sz w:val="24"/>
          <w:szCs w:val="24"/>
        </w:rPr>
        <w:t>,</w:t>
      </w:r>
      <w:r w:rsidRPr="00060AC3">
        <w:rPr>
          <w:sz w:val="24"/>
          <w:szCs w:val="24"/>
        </w:rPr>
        <w:t xml:space="preserve"> </w:t>
      </w:r>
      <w:r>
        <w:rPr>
          <w:sz w:val="24"/>
          <w:szCs w:val="24"/>
        </w:rPr>
        <w:t>la tercera edición muestra</w:t>
      </w:r>
      <w:r w:rsidRPr="00060AC3">
        <w:rPr>
          <w:sz w:val="24"/>
          <w:szCs w:val="24"/>
        </w:rPr>
        <w:t xml:space="preserve"> </w:t>
      </w:r>
      <w:r>
        <w:rPr>
          <w:sz w:val="24"/>
          <w:szCs w:val="24"/>
        </w:rPr>
        <w:t>46.3</w:t>
      </w:r>
      <w:r w:rsidRPr="00060AC3">
        <w:rPr>
          <w:sz w:val="24"/>
          <w:szCs w:val="24"/>
        </w:rPr>
        <w:t>%</w:t>
      </w:r>
      <w:r>
        <w:rPr>
          <w:sz w:val="24"/>
          <w:szCs w:val="24"/>
        </w:rPr>
        <w:t xml:space="preserve">; es decir, 0.3% menos que en </w:t>
      </w:r>
      <w:r w:rsidR="00C7730D">
        <w:rPr>
          <w:sz w:val="24"/>
          <w:szCs w:val="24"/>
        </w:rPr>
        <w:t>la</w:t>
      </w:r>
      <w:r>
        <w:rPr>
          <w:sz w:val="24"/>
          <w:szCs w:val="24"/>
        </w:rPr>
        <w:t xml:space="preserve"> segundo</w:t>
      </w:r>
      <w:r w:rsidR="00C7730D">
        <w:rPr>
          <w:sz w:val="24"/>
          <w:szCs w:val="24"/>
        </w:rPr>
        <w:t xml:space="preserve"> edición</w:t>
      </w:r>
      <w:r>
        <w:rPr>
          <w:sz w:val="24"/>
          <w:szCs w:val="24"/>
        </w:rPr>
        <w:t>; mientras que</w:t>
      </w:r>
      <w:r w:rsidRPr="00060AC3">
        <w:rPr>
          <w:sz w:val="24"/>
          <w:szCs w:val="24"/>
        </w:rPr>
        <w:t xml:space="preserve"> </w:t>
      </w:r>
      <w:r>
        <w:rPr>
          <w:sz w:val="24"/>
          <w:szCs w:val="24"/>
        </w:rPr>
        <w:t xml:space="preserve">para la opción </w:t>
      </w:r>
      <w:r w:rsidR="00C7730D">
        <w:rPr>
          <w:sz w:val="24"/>
          <w:szCs w:val="24"/>
        </w:rPr>
        <w:t xml:space="preserve">de </w:t>
      </w:r>
      <w:r w:rsidRPr="00060AC3">
        <w:rPr>
          <w:sz w:val="24"/>
          <w:szCs w:val="24"/>
        </w:rPr>
        <w:t>menos de 3 meses</w:t>
      </w:r>
      <w:r>
        <w:rPr>
          <w:sz w:val="24"/>
          <w:szCs w:val="24"/>
        </w:rPr>
        <w:t>, la tercera edición registra una disminución de 6.3%</w:t>
      </w:r>
      <w:r w:rsidR="00C7730D">
        <w:rPr>
          <w:sz w:val="24"/>
          <w:szCs w:val="24"/>
        </w:rPr>
        <w:t>; la</w:t>
      </w:r>
      <w:r>
        <w:rPr>
          <w:sz w:val="24"/>
          <w:szCs w:val="24"/>
        </w:rPr>
        <w:t xml:space="preserve"> segunda edición</w:t>
      </w:r>
      <w:r w:rsidR="00C7730D">
        <w:rPr>
          <w:sz w:val="24"/>
          <w:szCs w:val="24"/>
        </w:rPr>
        <w:t xml:space="preserve"> alcanzó una proporción de </w:t>
      </w:r>
      <w:r>
        <w:rPr>
          <w:sz w:val="24"/>
          <w:szCs w:val="24"/>
        </w:rPr>
        <w:t xml:space="preserve">9.5 por ciento.  </w:t>
      </w:r>
    </w:p>
    <w:p w14:paraId="13B0F494" w14:textId="71C48307" w:rsidR="005846C4" w:rsidRDefault="005846C4" w:rsidP="00233436">
      <w:pPr>
        <w:rPr>
          <w:b/>
          <w:bCs/>
          <w:sz w:val="28"/>
        </w:rPr>
      </w:pPr>
    </w:p>
    <w:p w14:paraId="06A39F78" w14:textId="77777777" w:rsidR="005846C4" w:rsidRPr="004A309E" w:rsidRDefault="005846C4" w:rsidP="005846C4">
      <w:pPr>
        <w:jc w:val="center"/>
        <w:rPr>
          <w:b/>
          <w:bCs/>
          <w:sz w:val="24"/>
          <w:szCs w:val="24"/>
        </w:rPr>
      </w:pPr>
      <w:r w:rsidRPr="004A309E">
        <w:rPr>
          <w:b/>
          <w:bCs/>
          <w:sz w:val="24"/>
          <w:szCs w:val="24"/>
        </w:rPr>
        <w:t>Tiempo que podrán seguir operando con el mismo nivel de ingresos los próximos meses</w:t>
      </w:r>
    </w:p>
    <w:p w14:paraId="4E297FEE" w14:textId="22DA203E" w:rsidR="005846C4" w:rsidRPr="00F66B8C" w:rsidRDefault="00F66B8C" w:rsidP="00F66B8C">
      <w:pPr>
        <w:jc w:val="right"/>
        <w:rPr>
          <w:noProof/>
          <w:sz w:val="20"/>
          <w:szCs w:val="20"/>
        </w:rPr>
      </w:pPr>
      <w:r w:rsidRPr="00F66B8C">
        <w:rPr>
          <w:b/>
          <w:bCs/>
          <w:sz w:val="24"/>
          <w:szCs w:val="20"/>
        </w:rPr>
        <w:t>Gráfica 1</w:t>
      </w:r>
      <w:r w:rsidR="0072049C">
        <w:rPr>
          <w:b/>
          <w:bCs/>
          <w:sz w:val="24"/>
          <w:szCs w:val="20"/>
        </w:rPr>
        <w:t>3</w:t>
      </w:r>
      <w:r w:rsidRPr="00F66B8C">
        <w:rPr>
          <w:b/>
          <w:bCs/>
          <w:sz w:val="24"/>
          <w:szCs w:val="20"/>
        </w:rPr>
        <w:t xml:space="preserve"> </w:t>
      </w:r>
    </w:p>
    <w:p w14:paraId="7D167B76" w14:textId="49410DC7" w:rsidR="005846C4" w:rsidRDefault="0072049C" w:rsidP="0072049C">
      <w:pPr>
        <w:jc w:val="center"/>
        <w:rPr>
          <w:b/>
          <w:bCs/>
          <w:sz w:val="28"/>
        </w:rPr>
      </w:pPr>
      <w:r>
        <w:rPr>
          <w:noProof/>
        </w:rPr>
        <w:drawing>
          <wp:inline distT="0" distB="0" distL="0" distR="0" wp14:anchorId="5A844A35" wp14:editId="44051104">
            <wp:extent cx="6120765" cy="2475865"/>
            <wp:effectExtent l="0" t="0" r="0" b="63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6120765" cy="2475865"/>
                    </a:xfrm>
                    <a:prstGeom prst="rect">
                      <a:avLst/>
                    </a:prstGeom>
                  </pic:spPr>
                </pic:pic>
              </a:graphicData>
            </a:graphic>
          </wp:inline>
        </w:drawing>
      </w:r>
    </w:p>
    <w:p w14:paraId="25AF68ED" w14:textId="7E5604FF" w:rsidR="00517339" w:rsidRPr="00517339" w:rsidRDefault="00517339" w:rsidP="00517339">
      <w:pPr>
        <w:rPr>
          <w:b/>
          <w:bCs/>
          <w:sz w:val="14"/>
          <w:szCs w:val="14"/>
        </w:rPr>
      </w:pPr>
      <w:r w:rsidRPr="00517339">
        <w:rPr>
          <w:b/>
          <w:bCs/>
          <w:sz w:val="14"/>
          <w:szCs w:val="14"/>
        </w:rPr>
        <w:t>Nota: esta pregunta no se incluyó en</w:t>
      </w:r>
      <w:r w:rsidR="007C161D">
        <w:rPr>
          <w:b/>
          <w:bCs/>
          <w:sz w:val="14"/>
          <w:szCs w:val="14"/>
        </w:rPr>
        <w:t xml:space="preserve"> </w:t>
      </w:r>
      <w:r w:rsidRPr="00517339">
        <w:rPr>
          <w:b/>
          <w:bCs/>
          <w:sz w:val="14"/>
          <w:szCs w:val="14"/>
        </w:rPr>
        <w:t>l</w:t>
      </w:r>
      <w:r w:rsidR="007C161D">
        <w:rPr>
          <w:b/>
          <w:bCs/>
          <w:sz w:val="14"/>
          <w:szCs w:val="14"/>
        </w:rPr>
        <w:t>a</w:t>
      </w:r>
      <w:r w:rsidRPr="00517339">
        <w:rPr>
          <w:b/>
          <w:bCs/>
          <w:sz w:val="14"/>
          <w:szCs w:val="14"/>
        </w:rPr>
        <w:t xml:space="preserve"> primer</w:t>
      </w:r>
      <w:r w:rsidR="007C161D">
        <w:rPr>
          <w:b/>
          <w:bCs/>
          <w:sz w:val="14"/>
          <w:szCs w:val="14"/>
        </w:rPr>
        <w:t>a</w:t>
      </w:r>
      <w:r w:rsidRPr="00517339">
        <w:rPr>
          <w:b/>
          <w:bCs/>
          <w:sz w:val="14"/>
          <w:szCs w:val="14"/>
        </w:rPr>
        <w:t xml:space="preserve"> e</w:t>
      </w:r>
      <w:r w:rsidR="007C161D">
        <w:rPr>
          <w:b/>
          <w:bCs/>
          <w:sz w:val="14"/>
          <w:szCs w:val="14"/>
        </w:rPr>
        <w:t>dición</w:t>
      </w:r>
      <w:r w:rsidRPr="00517339">
        <w:rPr>
          <w:b/>
          <w:bCs/>
          <w:sz w:val="14"/>
          <w:szCs w:val="14"/>
        </w:rPr>
        <w:t>.</w:t>
      </w:r>
    </w:p>
    <w:p w14:paraId="5FBA753D" w14:textId="5D9EC25B" w:rsidR="00517339" w:rsidRPr="00517339" w:rsidRDefault="00517339" w:rsidP="00517339">
      <w:pPr>
        <w:rPr>
          <w:b/>
          <w:bCs/>
          <w:sz w:val="14"/>
          <w:szCs w:val="14"/>
        </w:rPr>
      </w:pPr>
      <w:r w:rsidRPr="00517339">
        <w:rPr>
          <w:b/>
          <w:bCs/>
          <w:sz w:val="14"/>
          <w:szCs w:val="14"/>
        </w:rPr>
        <w:t>Para l</w:t>
      </w:r>
      <w:r w:rsidR="007C161D">
        <w:rPr>
          <w:b/>
          <w:bCs/>
          <w:sz w:val="14"/>
          <w:szCs w:val="14"/>
        </w:rPr>
        <w:t>a</w:t>
      </w:r>
      <w:r w:rsidRPr="00517339">
        <w:rPr>
          <w:b/>
          <w:bCs/>
          <w:sz w:val="14"/>
          <w:szCs w:val="14"/>
        </w:rPr>
        <w:t xml:space="preserve"> 3</w:t>
      </w:r>
      <w:r w:rsidR="007C161D">
        <w:rPr>
          <w:b/>
          <w:bCs/>
          <w:sz w:val="14"/>
          <w:szCs w:val="14"/>
        </w:rPr>
        <w:t>ª</w:t>
      </w:r>
      <w:r w:rsidRPr="00517339">
        <w:rPr>
          <w:b/>
          <w:bCs/>
          <w:sz w:val="14"/>
          <w:szCs w:val="14"/>
        </w:rPr>
        <w:t xml:space="preserve"> e</w:t>
      </w:r>
      <w:r w:rsidR="007C161D">
        <w:rPr>
          <w:b/>
          <w:bCs/>
          <w:sz w:val="14"/>
          <w:szCs w:val="14"/>
        </w:rPr>
        <w:t>dición</w:t>
      </w:r>
      <w:r w:rsidRPr="00517339">
        <w:rPr>
          <w:b/>
          <w:bCs/>
          <w:sz w:val="14"/>
          <w:szCs w:val="14"/>
        </w:rPr>
        <w:t xml:space="preserve">, en las empresas grandes el valor “De 12 meses a más” es de 64.3%, “De 3 a menos de 12 meses” es de 30.9% y “Menos de 3 meses” es de 4.8%.  </w:t>
      </w:r>
    </w:p>
    <w:p w14:paraId="137AB232" w14:textId="77777777" w:rsidR="00C7730D" w:rsidRDefault="00C7730D" w:rsidP="00C7730D">
      <w:pPr>
        <w:jc w:val="both"/>
        <w:rPr>
          <w:sz w:val="24"/>
        </w:rPr>
      </w:pPr>
    </w:p>
    <w:p w14:paraId="6B7CB329" w14:textId="5BBED000" w:rsidR="00C7730D" w:rsidRDefault="00C7730D" w:rsidP="00C7730D">
      <w:pPr>
        <w:jc w:val="both"/>
        <w:rPr>
          <w:sz w:val="24"/>
        </w:rPr>
      </w:pPr>
      <w:r>
        <w:rPr>
          <w:sz w:val="24"/>
        </w:rPr>
        <w:t>En la segunda edición de la encuesta, se estimó</w:t>
      </w:r>
      <w:r w:rsidRPr="008326D8">
        <w:rPr>
          <w:sz w:val="24"/>
        </w:rPr>
        <w:t xml:space="preserve"> que 37.6% del total de las empresas anticip</w:t>
      </w:r>
      <w:r>
        <w:rPr>
          <w:sz w:val="24"/>
        </w:rPr>
        <w:t>aba que se retrasaría</w:t>
      </w:r>
      <w:r w:rsidRPr="008326D8">
        <w:rPr>
          <w:sz w:val="24"/>
        </w:rPr>
        <w:t xml:space="preserve"> en el pago de sus deudas en octubre. Al analizar por tamaño de </w:t>
      </w:r>
      <w:r>
        <w:rPr>
          <w:sz w:val="24"/>
        </w:rPr>
        <w:t>empresa, se observó</w:t>
      </w:r>
      <w:r w:rsidRPr="008326D8">
        <w:rPr>
          <w:sz w:val="24"/>
        </w:rPr>
        <w:t xml:space="preserve"> que, tanto 3</w:t>
      </w:r>
      <w:r>
        <w:rPr>
          <w:sz w:val="24"/>
        </w:rPr>
        <w:t>5.0</w:t>
      </w:r>
      <w:r w:rsidRPr="008326D8">
        <w:rPr>
          <w:sz w:val="24"/>
        </w:rPr>
        <w:t>% de las microempresas</w:t>
      </w:r>
      <w:r>
        <w:rPr>
          <w:sz w:val="24"/>
        </w:rPr>
        <w:t>,</w:t>
      </w:r>
      <w:r w:rsidRPr="008326D8">
        <w:rPr>
          <w:sz w:val="24"/>
        </w:rPr>
        <w:t xml:space="preserve"> </w:t>
      </w:r>
      <w:r>
        <w:rPr>
          <w:sz w:val="24"/>
        </w:rPr>
        <w:t>2</w:t>
      </w:r>
      <w:r w:rsidRPr="008326D8">
        <w:rPr>
          <w:sz w:val="24"/>
        </w:rPr>
        <w:t>.</w:t>
      </w:r>
      <w:r>
        <w:rPr>
          <w:sz w:val="24"/>
        </w:rPr>
        <w:t>3</w:t>
      </w:r>
      <w:r w:rsidRPr="008326D8">
        <w:rPr>
          <w:sz w:val="24"/>
        </w:rPr>
        <w:t>% de la</w:t>
      </w:r>
      <w:r>
        <w:rPr>
          <w:sz w:val="24"/>
        </w:rPr>
        <w:t>s</w:t>
      </w:r>
      <w:r w:rsidRPr="008326D8">
        <w:rPr>
          <w:sz w:val="24"/>
        </w:rPr>
        <w:t xml:space="preserve"> pymes y  </w:t>
      </w:r>
      <w:r>
        <w:rPr>
          <w:sz w:val="24"/>
        </w:rPr>
        <w:t>0</w:t>
      </w:r>
      <w:r w:rsidRPr="008326D8">
        <w:rPr>
          <w:sz w:val="24"/>
        </w:rPr>
        <w:t>.</w:t>
      </w:r>
      <w:r>
        <w:rPr>
          <w:sz w:val="24"/>
        </w:rPr>
        <w:t>2</w:t>
      </w:r>
      <w:r w:rsidRPr="008326D8">
        <w:rPr>
          <w:sz w:val="24"/>
        </w:rPr>
        <w:t xml:space="preserve">% de las </w:t>
      </w:r>
      <w:r>
        <w:rPr>
          <w:sz w:val="24"/>
        </w:rPr>
        <w:t>g</w:t>
      </w:r>
      <w:r w:rsidRPr="008326D8">
        <w:rPr>
          <w:sz w:val="24"/>
        </w:rPr>
        <w:t>randes, anticipa</w:t>
      </w:r>
      <w:r>
        <w:rPr>
          <w:sz w:val="24"/>
        </w:rPr>
        <w:t>ron que se retrasarían</w:t>
      </w:r>
      <w:r w:rsidRPr="008326D8">
        <w:rPr>
          <w:sz w:val="24"/>
        </w:rPr>
        <w:t xml:space="preserve"> en el pago de deudas para dicho mes</w:t>
      </w:r>
      <w:r>
        <w:rPr>
          <w:sz w:val="24"/>
        </w:rPr>
        <w:t>.</w:t>
      </w:r>
    </w:p>
    <w:p w14:paraId="29F219BE" w14:textId="77777777" w:rsidR="00C7730D" w:rsidRDefault="00C7730D" w:rsidP="00C7730D">
      <w:pPr>
        <w:jc w:val="both"/>
        <w:rPr>
          <w:sz w:val="24"/>
        </w:rPr>
      </w:pPr>
    </w:p>
    <w:p w14:paraId="23764276" w14:textId="77777777" w:rsidR="00C7730D" w:rsidRDefault="00C7730D" w:rsidP="00C7730D">
      <w:pPr>
        <w:jc w:val="both"/>
        <w:rPr>
          <w:sz w:val="24"/>
        </w:rPr>
      </w:pPr>
      <w:r>
        <w:rPr>
          <w:sz w:val="24"/>
        </w:rPr>
        <w:t xml:space="preserve">En la tercera edición de la encuesta, se estima que 27.1% del total de empresas anticipa que se retrasará en el pago de sus deudas en los próximos seis meses posteriores a la aplicación de la encuesta. Esto representa un decremento en la estimación de 10.5% con respecto a la segunda edición. </w:t>
      </w:r>
    </w:p>
    <w:p w14:paraId="5EFDEE36" w14:textId="77777777" w:rsidR="00C7730D" w:rsidRDefault="00C7730D" w:rsidP="00C7730D">
      <w:pPr>
        <w:jc w:val="both"/>
        <w:rPr>
          <w:sz w:val="24"/>
        </w:rPr>
      </w:pPr>
    </w:p>
    <w:p w14:paraId="47D24C97" w14:textId="08538936" w:rsidR="00C7730D" w:rsidRDefault="00C7730D" w:rsidP="00C7730D">
      <w:pPr>
        <w:jc w:val="both"/>
        <w:rPr>
          <w:sz w:val="24"/>
        </w:rPr>
      </w:pPr>
      <w:r>
        <w:rPr>
          <w:sz w:val="24"/>
        </w:rPr>
        <w:t xml:space="preserve">Al analizar por tamaño de empresa, se observa que 25.1% de las microempresas, 1.9% de las pymes y 0.2% de las empresas grandes anticipan que se retrasarán en el pago de sus deudas para los meses de referencia. Esto último representa un decremento en la estimación en la tercera edición con relación a la segunda de 4.9%, 0.4% y 0%, respectivamente. </w:t>
      </w:r>
    </w:p>
    <w:p w14:paraId="5758FD10" w14:textId="77777777" w:rsidR="00517339" w:rsidRPr="0072049C" w:rsidRDefault="00517339" w:rsidP="00517339">
      <w:pPr>
        <w:rPr>
          <w:b/>
          <w:bCs/>
          <w:sz w:val="28"/>
        </w:rPr>
      </w:pPr>
    </w:p>
    <w:p w14:paraId="72466640" w14:textId="77777777" w:rsidR="0072049C" w:rsidRPr="004A309E" w:rsidRDefault="0072049C" w:rsidP="005846C4">
      <w:pPr>
        <w:jc w:val="center"/>
        <w:rPr>
          <w:b/>
          <w:bCs/>
          <w:sz w:val="24"/>
          <w:szCs w:val="24"/>
        </w:rPr>
      </w:pPr>
    </w:p>
    <w:p w14:paraId="00E70454" w14:textId="5938C765" w:rsidR="005846C4" w:rsidRPr="004A309E" w:rsidRDefault="005846C4" w:rsidP="005846C4">
      <w:pPr>
        <w:jc w:val="center"/>
        <w:rPr>
          <w:b/>
          <w:bCs/>
          <w:sz w:val="24"/>
          <w:szCs w:val="24"/>
        </w:rPr>
      </w:pPr>
      <w:r w:rsidRPr="004A309E">
        <w:rPr>
          <w:b/>
          <w:bCs/>
          <w:sz w:val="24"/>
          <w:szCs w:val="24"/>
        </w:rPr>
        <w:t>Retraso en el pago de deudas por tamaño de empresa</w:t>
      </w:r>
    </w:p>
    <w:p w14:paraId="399DB7D9" w14:textId="150FB5D4" w:rsidR="005846C4" w:rsidRPr="00F66B8C" w:rsidRDefault="00F66B8C" w:rsidP="005846C4">
      <w:pPr>
        <w:jc w:val="right"/>
        <w:rPr>
          <w:b/>
          <w:bCs/>
          <w:sz w:val="24"/>
          <w:szCs w:val="20"/>
        </w:rPr>
      </w:pPr>
      <w:r w:rsidRPr="00F66B8C">
        <w:rPr>
          <w:b/>
          <w:bCs/>
          <w:sz w:val="24"/>
          <w:szCs w:val="20"/>
        </w:rPr>
        <w:t>Gráfica 1</w:t>
      </w:r>
      <w:r w:rsidR="0072049C">
        <w:rPr>
          <w:b/>
          <w:bCs/>
          <w:sz w:val="24"/>
          <w:szCs w:val="20"/>
        </w:rPr>
        <w:t>4</w:t>
      </w:r>
    </w:p>
    <w:p w14:paraId="6BE75FBB" w14:textId="77777777" w:rsidR="005846C4" w:rsidRDefault="005846C4" w:rsidP="005846C4">
      <w:pPr>
        <w:jc w:val="right"/>
        <w:rPr>
          <w:b/>
          <w:bCs/>
          <w:sz w:val="28"/>
        </w:rPr>
      </w:pPr>
    </w:p>
    <w:p w14:paraId="26507D26" w14:textId="77777777" w:rsidR="005846C4" w:rsidRDefault="005846C4" w:rsidP="005846C4">
      <w:pPr>
        <w:jc w:val="right"/>
        <w:rPr>
          <w:b/>
          <w:bCs/>
          <w:sz w:val="28"/>
        </w:rPr>
      </w:pPr>
    </w:p>
    <w:p w14:paraId="78DDEA27" w14:textId="06C27DBC" w:rsidR="005846C4" w:rsidRDefault="008C6290" w:rsidP="005846C4">
      <w:pPr>
        <w:jc w:val="center"/>
        <w:rPr>
          <w:b/>
          <w:bCs/>
          <w:sz w:val="28"/>
        </w:rPr>
      </w:pPr>
      <w:r>
        <w:rPr>
          <w:noProof/>
        </w:rPr>
        <w:drawing>
          <wp:inline distT="0" distB="0" distL="0" distR="0" wp14:anchorId="21361C26" wp14:editId="5CD8B755">
            <wp:extent cx="6120765" cy="2607945"/>
            <wp:effectExtent l="0" t="0" r="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6120765" cy="2607945"/>
                    </a:xfrm>
                    <a:prstGeom prst="rect">
                      <a:avLst/>
                    </a:prstGeom>
                  </pic:spPr>
                </pic:pic>
              </a:graphicData>
            </a:graphic>
          </wp:inline>
        </w:drawing>
      </w:r>
    </w:p>
    <w:p w14:paraId="6E5E4300" w14:textId="6BFA7971" w:rsidR="00517339" w:rsidRPr="00517339" w:rsidRDefault="00517339" w:rsidP="00517339">
      <w:pPr>
        <w:jc w:val="both"/>
        <w:rPr>
          <w:b/>
          <w:bCs/>
          <w:sz w:val="14"/>
          <w:szCs w:val="14"/>
        </w:rPr>
      </w:pPr>
      <w:r w:rsidRPr="00517339">
        <w:rPr>
          <w:b/>
          <w:bCs/>
          <w:sz w:val="14"/>
          <w:szCs w:val="14"/>
        </w:rPr>
        <w:t xml:space="preserve">Nota: esta pregunta no se incluyó en </w:t>
      </w:r>
      <w:r w:rsidR="007C161D">
        <w:rPr>
          <w:b/>
          <w:bCs/>
          <w:sz w:val="14"/>
          <w:szCs w:val="14"/>
        </w:rPr>
        <w:t>la</w:t>
      </w:r>
      <w:r w:rsidRPr="00517339">
        <w:rPr>
          <w:b/>
          <w:bCs/>
          <w:sz w:val="14"/>
          <w:szCs w:val="14"/>
        </w:rPr>
        <w:t xml:space="preserve"> primer</w:t>
      </w:r>
      <w:r w:rsidR="007C161D">
        <w:rPr>
          <w:b/>
          <w:bCs/>
          <w:sz w:val="14"/>
          <w:szCs w:val="14"/>
        </w:rPr>
        <w:t>a</w:t>
      </w:r>
      <w:r w:rsidRPr="00517339">
        <w:rPr>
          <w:b/>
          <w:bCs/>
          <w:sz w:val="14"/>
          <w:szCs w:val="14"/>
        </w:rPr>
        <w:t xml:space="preserve"> e</w:t>
      </w:r>
      <w:r w:rsidR="007C161D">
        <w:rPr>
          <w:b/>
          <w:bCs/>
          <w:sz w:val="14"/>
          <w:szCs w:val="14"/>
        </w:rPr>
        <w:t>dición</w:t>
      </w:r>
      <w:r w:rsidRPr="00517339">
        <w:rPr>
          <w:b/>
          <w:bCs/>
          <w:sz w:val="14"/>
          <w:szCs w:val="14"/>
        </w:rPr>
        <w:t>.</w:t>
      </w:r>
    </w:p>
    <w:p w14:paraId="746CC1B7" w14:textId="77777777" w:rsidR="005846C4" w:rsidRDefault="005846C4" w:rsidP="005846C4">
      <w:pPr>
        <w:jc w:val="center"/>
        <w:rPr>
          <w:b/>
          <w:bCs/>
          <w:sz w:val="28"/>
        </w:rPr>
      </w:pPr>
    </w:p>
    <w:p w14:paraId="4C991127" w14:textId="77777777" w:rsidR="005846C4" w:rsidRDefault="005846C4" w:rsidP="005846C4">
      <w:pPr>
        <w:jc w:val="both"/>
        <w:rPr>
          <w:sz w:val="24"/>
        </w:rPr>
      </w:pPr>
    </w:p>
    <w:p w14:paraId="2733E5AD" w14:textId="77777777" w:rsidR="005846C4" w:rsidRDefault="005846C4" w:rsidP="005846C4">
      <w:pPr>
        <w:rPr>
          <w:b/>
          <w:bCs/>
          <w:sz w:val="28"/>
        </w:rPr>
      </w:pPr>
      <w:r>
        <w:rPr>
          <w:b/>
          <w:bCs/>
          <w:sz w:val="28"/>
        </w:rPr>
        <w:br w:type="page"/>
      </w:r>
    </w:p>
    <w:p w14:paraId="0AC92884" w14:textId="752DF25F" w:rsidR="00233436" w:rsidRDefault="00233436" w:rsidP="004A309E">
      <w:pPr>
        <w:jc w:val="center"/>
        <w:rPr>
          <w:b/>
          <w:bCs/>
          <w:sz w:val="28"/>
        </w:rPr>
      </w:pPr>
    </w:p>
    <w:p w14:paraId="1013BE22" w14:textId="05910F6C" w:rsidR="00C7730D" w:rsidRDefault="00C506D0" w:rsidP="00C7730D">
      <w:pPr>
        <w:jc w:val="both"/>
        <w:rPr>
          <w:sz w:val="24"/>
          <w:szCs w:val="24"/>
        </w:rPr>
      </w:pPr>
      <w:r>
        <w:rPr>
          <w:sz w:val="24"/>
          <w:szCs w:val="24"/>
        </w:rPr>
        <w:t>Haciendo un análisis comparativo por tamaño de empresa, se observa que l</w:t>
      </w:r>
      <w:r w:rsidR="00C7730D" w:rsidRPr="008A26CA">
        <w:rPr>
          <w:sz w:val="24"/>
          <w:szCs w:val="24"/>
        </w:rPr>
        <w:t xml:space="preserve">a principal medida operativa que planean </w:t>
      </w:r>
      <w:r w:rsidR="00C7730D">
        <w:rPr>
          <w:sz w:val="24"/>
          <w:szCs w:val="24"/>
        </w:rPr>
        <w:t>practicar</w:t>
      </w:r>
      <w:r w:rsidR="00C7730D" w:rsidRPr="008A26CA">
        <w:rPr>
          <w:sz w:val="24"/>
          <w:szCs w:val="24"/>
        </w:rPr>
        <w:t xml:space="preserve"> de forma permanente </w:t>
      </w:r>
      <w:r w:rsidR="00C7730D">
        <w:rPr>
          <w:sz w:val="24"/>
          <w:szCs w:val="24"/>
        </w:rPr>
        <w:t>es</w:t>
      </w:r>
      <w:r w:rsidR="00C7730D" w:rsidRPr="008A26CA">
        <w:rPr>
          <w:sz w:val="24"/>
          <w:szCs w:val="24"/>
        </w:rPr>
        <w:t xml:space="preserve"> la </w:t>
      </w:r>
      <w:r w:rsidR="00C7730D">
        <w:rPr>
          <w:sz w:val="24"/>
          <w:szCs w:val="24"/>
        </w:rPr>
        <w:t>adopción de turnos de trabajo, con 9.5% del total de empresas, de las cuales, 9.1% son microempresas, 14.1% son pymes y 23.2</w:t>
      </w:r>
      <w:r w:rsidR="00C7730D" w:rsidRPr="008A26CA">
        <w:rPr>
          <w:sz w:val="24"/>
          <w:szCs w:val="24"/>
        </w:rPr>
        <w:t>% son empresas grandes.</w:t>
      </w:r>
      <w:r w:rsidR="00C7730D">
        <w:rPr>
          <w:sz w:val="24"/>
          <w:szCs w:val="24"/>
        </w:rPr>
        <w:t xml:space="preserve"> </w:t>
      </w:r>
      <w:r w:rsidR="00C7730D" w:rsidRPr="00AD5A9D">
        <w:rPr>
          <w:sz w:val="24"/>
          <w:szCs w:val="24"/>
        </w:rPr>
        <w:t>Esto representa un decremento en la tercera edición con referencia a la segunda,</w:t>
      </w:r>
      <w:r w:rsidR="00C7730D">
        <w:rPr>
          <w:sz w:val="24"/>
          <w:szCs w:val="24"/>
        </w:rPr>
        <w:t xml:space="preserve"> de 7.5% en microempresas, 12.7% en pymes y 13.6% en empresas grandes.</w:t>
      </w:r>
      <w:r w:rsidR="00C7730D" w:rsidRPr="008A26CA">
        <w:rPr>
          <w:sz w:val="24"/>
          <w:szCs w:val="24"/>
        </w:rPr>
        <w:t xml:space="preserve"> </w:t>
      </w:r>
    </w:p>
    <w:p w14:paraId="0AC7B577" w14:textId="77777777" w:rsidR="00C7730D" w:rsidRDefault="00C7730D" w:rsidP="00C7730D">
      <w:pPr>
        <w:jc w:val="both"/>
        <w:rPr>
          <w:sz w:val="24"/>
          <w:szCs w:val="24"/>
        </w:rPr>
      </w:pPr>
    </w:p>
    <w:p w14:paraId="11B03AF2" w14:textId="77777777" w:rsidR="00C7730D" w:rsidRPr="00F149EA" w:rsidRDefault="00C7730D" w:rsidP="00C7730D">
      <w:pPr>
        <w:jc w:val="both"/>
        <w:rPr>
          <w:sz w:val="24"/>
          <w:szCs w:val="24"/>
        </w:rPr>
      </w:pPr>
      <w:r w:rsidRPr="008A26CA">
        <w:rPr>
          <w:sz w:val="24"/>
          <w:szCs w:val="24"/>
        </w:rPr>
        <w:t>La segunda</w:t>
      </w:r>
      <w:r>
        <w:rPr>
          <w:sz w:val="24"/>
          <w:szCs w:val="24"/>
        </w:rPr>
        <w:t xml:space="preserve"> medida operativa</w:t>
      </w:r>
      <w:r w:rsidRPr="008A26CA">
        <w:rPr>
          <w:sz w:val="24"/>
          <w:szCs w:val="24"/>
        </w:rPr>
        <w:t xml:space="preserve"> es la </w:t>
      </w:r>
      <w:r>
        <w:rPr>
          <w:sz w:val="24"/>
          <w:szCs w:val="24"/>
        </w:rPr>
        <w:t>diversificación de cadenas de suministro, con 6.1% del total de empresas</w:t>
      </w:r>
      <w:r w:rsidRPr="008A26CA">
        <w:rPr>
          <w:sz w:val="24"/>
          <w:szCs w:val="24"/>
        </w:rPr>
        <w:t xml:space="preserve">, de </w:t>
      </w:r>
      <w:r>
        <w:rPr>
          <w:sz w:val="24"/>
          <w:szCs w:val="24"/>
        </w:rPr>
        <w:t xml:space="preserve">las cuales, 5.7% son microempresas, 10.7% son pymes y 12.2% son empresas grandes. </w:t>
      </w:r>
      <w:r w:rsidRPr="00AD5A9D">
        <w:rPr>
          <w:sz w:val="24"/>
          <w:szCs w:val="24"/>
        </w:rPr>
        <w:t>De la segunda a la tercera edición, se presentó un aumento de 1.1% y 3.2% en microempresas y pymes, respe</w:t>
      </w:r>
      <w:r w:rsidRPr="00F149EA">
        <w:rPr>
          <w:sz w:val="24"/>
          <w:szCs w:val="24"/>
        </w:rPr>
        <w:t xml:space="preserve">ctivamente, así como un decremento de 5.2% en empresas grandes. </w:t>
      </w:r>
    </w:p>
    <w:p w14:paraId="086DE896" w14:textId="77777777" w:rsidR="00C7730D" w:rsidRPr="00AD5A9D" w:rsidRDefault="00C7730D" w:rsidP="00C7730D">
      <w:pPr>
        <w:jc w:val="both"/>
        <w:rPr>
          <w:sz w:val="24"/>
          <w:szCs w:val="24"/>
        </w:rPr>
      </w:pPr>
    </w:p>
    <w:p w14:paraId="75D538B6" w14:textId="30D221F8" w:rsidR="00C7730D" w:rsidRPr="008A26CA" w:rsidRDefault="00C7730D" w:rsidP="00C7730D">
      <w:pPr>
        <w:jc w:val="both"/>
        <w:rPr>
          <w:sz w:val="24"/>
          <w:szCs w:val="24"/>
        </w:rPr>
      </w:pPr>
      <w:r w:rsidRPr="00AD5A9D">
        <w:rPr>
          <w:sz w:val="24"/>
          <w:szCs w:val="24"/>
        </w:rPr>
        <w:t>El trabajo en casa probablemente será adoptado por las grandes empresas, con 5.7% del total de empresas, donde 5.1% son microempresas, 10.8% son pymes y 30.4% son empresas grandes. Con respecto a esta medida, de la segunda a la tercera edición hubo un decremento de 1.8%, 2.6% y 3.5% para cada tamaño de empresa, respectivamente.</w:t>
      </w:r>
      <w:r>
        <w:rPr>
          <w:sz w:val="24"/>
          <w:szCs w:val="24"/>
        </w:rPr>
        <w:t xml:space="preserve">  </w:t>
      </w:r>
      <w:r w:rsidRPr="008A26CA">
        <w:rPr>
          <w:sz w:val="24"/>
          <w:szCs w:val="24"/>
        </w:rPr>
        <w:t xml:space="preserve"> </w:t>
      </w:r>
    </w:p>
    <w:p w14:paraId="7EB80CEF" w14:textId="77777777" w:rsidR="00C7730D" w:rsidRDefault="00C7730D" w:rsidP="004A309E">
      <w:pPr>
        <w:jc w:val="center"/>
        <w:rPr>
          <w:b/>
          <w:bCs/>
          <w:sz w:val="28"/>
        </w:rPr>
      </w:pPr>
    </w:p>
    <w:p w14:paraId="2C2BEFB7" w14:textId="77777777" w:rsidR="005846C4" w:rsidRPr="004A309E" w:rsidRDefault="005846C4" w:rsidP="005846C4">
      <w:pPr>
        <w:jc w:val="center"/>
        <w:rPr>
          <w:b/>
          <w:bCs/>
          <w:sz w:val="24"/>
          <w:szCs w:val="24"/>
        </w:rPr>
      </w:pPr>
      <w:r w:rsidRPr="004A309E">
        <w:rPr>
          <w:b/>
          <w:bCs/>
          <w:sz w:val="24"/>
          <w:szCs w:val="24"/>
        </w:rPr>
        <w:t>Adopción permanente de medidas operativas por tamaño</w:t>
      </w:r>
    </w:p>
    <w:p w14:paraId="65CAFA32" w14:textId="45155A04" w:rsidR="00F66B8C" w:rsidRPr="00F66B8C" w:rsidRDefault="00F66B8C" w:rsidP="00F66B8C">
      <w:pPr>
        <w:jc w:val="right"/>
        <w:rPr>
          <w:b/>
          <w:bCs/>
          <w:sz w:val="24"/>
          <w:szCs w:val="20"/>
        </w:rPr>
      </w:pPr>
      <w:r w:rsidRPr="00F66B8C">
        <w:rPr>
          <w:b/>
          <w:bCs/>
          <w:sz w:val="24"/>
          <w:szCs w:val="20"/>
        </w:rPr>
        <w:t>Gráfica 1</w:t>
      </w:r>
      <w:r w:rsidR="0072049C">
        <w:rPr>
          <w:b/>
          <w:bCs/>
          <w:sz w:val="24"/>
          <w:szCs w:val="20"/>
        </w:rPr>
        <w:t>5</w:t>
      </w:r>
    </w:p>
    <w:p w14:paraId="5F920D2B" w14:textId="77777777" w:rsidR="005846C4" w:rsidRDefault="005846C4" w:rsidP="005846C4">
      <w:pPr>
        <w:jc w:val="center"/>
        <w:rPr>
          <w:b/>
          <w:bCs/>
          <w:sz w:val="28"/>
        </w:rPr>
      </w:pPr>
    </w:p>
    <w:p w14:paraId="01102489" w14:textId="5E2AB73B" w:rsidR="005846C4" w:rsidRDefault="001052F6" w:rsidP="005846C4">
      <w:pPr>
        <w:jc w:val="center"/>
        <w:rPr>
          <w:b/>
          <w:bCs/>
          <w:sz w:val="28"/>
        </w:rPr>
      </w:pPr>
      <w:r>
        <w:rPr>
          <w:noProof/>
        </w:rPr>
        <w:drawing>
          <wp:inline distT="0" distB="0" distL="0" distR="0" wp14:anchorId="27C44201" wp14:editId="434096DB">
            <wp:extent cx="6120765" cy="2698115"/>
            <wp:effectExtent l="0" t="0" r="0" b="698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6120765" cy="2698115"/>
                    </a:xfrm>
                    <a:prstGeom prst="rect">
                      <a:avLst/>
                    </a:prstGeom>
                  </pic:spPr>
                </pic:pic>
              </a:graphicData>
            </a:graphic>
          </wp:inline>
        </w:drawing>
      </w:r>
    </w:p>
    <w:p w14:paraId="050039FF" w14:textId="3A5F8A06" w:rsidR="00517339" w:rsidRPr="00517339" w:rsidRDefault="00517339" w:rsidP="00517339">
      <w:pPr>
        <w:rPr>
          <w:b/>
          <w:bCs/>
          <w:sz w:val="14"/>
          <w:szCs w:val="14"/>
        </w:rPr>
      </w:pPr>
      <w:r w:rsidRPr="00517339">
        <w:rPr>
          <w:b/>
          <w:bCs/>
          <w:sz w:val="14"/>
          <w:szCs w:val="14"/>
        </w:rPr>
        <w:t xml:space="preserve">Nota: esta pregunta no se incluyó en </w:t>
      </w:r>
      <w:r w:rsidR="007C161D">
        <w:rPr>
          <w:b/>
          <w:bCs/>
          <w:sz w:val="14"/>
          <w:szCs w:val="14"/>
        </w:rPr>
        <w:t>la</w:t>
      </w:r>
      <w:r w:rsidRPr="00517339">
        <w:rPr>
          <w:b/>
          <w:bCs/>
          <w:sz w:val="14"/>
          <w:szCs w:val="14"/>
        </w:rPr>
        <w:t xml:space="preserve"> primer</w:t>
      </w:r>
      <w:r w:rsidR="007C161D">
        <w:rPr>
          <w:b/>
          <w:bCs/>
          <w:sz w:val="14"/>
          <w:szCs w:val="14"/>
        </w:rPr>
        <w:t>a</w:t>
      </w:r>
      <w:r w:rsidRPr="00517339">
        <w:rPr>
          <w:b/>
          <w:bCs/>
          <w:sz w:val="14"/>
          <w:szCs w:val="14"/>
        </w:rPr>
        <w:t xml:space="preserve"> e</w:t>
      </w:r>
      <w:r w:rsidR="007C161D">
        <w:rPr>
          <w:b/>
          <w:bCs/>
          <w:sz w:val="14"/>
          <w:szCs w:val="14"/>
        </w:rPr>
        <w:t>dición</w:t>
      </w:r>
      <w:r w:rsidRPr="00517339">
        <w:rPr>
          <w:b/>
          <w:bCs/>
          <w:sz w:val="14"/>
          <w:szCs w:val="14"/>
        </w:rPr>
        <w:t>.</w:t>
      </w:r>
    </w:p>
    <w:p w14:paraId="63563D30" w14:textId="77777777" w:rsidR="005846C4" w:rsidRDefault="005846C4" w:rsidP="00517339">
      <w:pPr>
        <w:rPr>
          <w:b/>
          <w:bCs/>
          <w:sz w:val="28"/>
        </w:rPr>
      </w:pPr>
    </w:p>
    <w:p w14:paraId="50E4F2CA" w14:textId="0DC39F9C" w:rsidR="005846C4" w:rsidRDefault="005846C4" w:rsidP="005846C4">
      <w:pPr>
        <w:jc w:val="center"/>
        <w:rPr>
          <w:b/>
          <w:bCs/>
          <w:sz w:val="28"/>
        </w:rPr>
      </w:pPr>
    </w:p>
    <w:p w14:paraId="506F8862" w14:textId="77777777" w:rsidR="005846C4" w:rsidRDefault="005846C4" w:rsidP="004A309E">
      <w:pPr>
        <w:rPr>
          <w:b/>
          <w:bCs/>
          <w:sz w:val="28"/>
        </w:rPr>
      </w:pPr>
    </w:p>
    <w:p w14:paraId="61CFE932" w14:textId="57B1CFE5" w:rsidR="005846C4" w:rsidRDefault="005846C4" w:rsidP="005846C4">
      <w:pPr>
        <w:jc w:val="center"/>
        <w:rPr>
          <w:b/>
          <w:bCs/>
          <w:sz w:val="28"/>
        </w:rPr>
      </w:pPr>
    </w:p>
    <w:p w14:paraId="5B8165AC" w14:textId="0E265D64" w:rsidR="00C7730D" w:rsidRDefault="00C7730D" w:rsidP="005846C4">
      <w:pPr>
        <w:jc w:val="center"/>
        <w:rPr>
          <w:b/>
          <w:bCs/>
          <w:sz w:val="28"/>
        </w:rPr>
      </w:pPr>
    </w:p>
    <w:p w14:paraId="70D97A00" w14:textId="622A4670" w:rsidR="00C7730D" w:rsidRDefault="00C7730D" w:rsidP="005846C4">
      <w:pPr>
        <w:jc w:val="center"/>
        <w:rPr>
          <w:b/>
          <w:bCs/>
          <w:sz w:val="28"/>
        </w:rPr>
      </w:pPr>
    </w:p>
    <w:p w14:paraId="0ADD1B05" w14:textId="5F624A9C" w:rsidR="00C7730D" w:rsidRDefault="00C7730D" w:rsidP="005846C4">
      <w:pPr>
        <w:jc w:val="center"/>
        <w:rPr>
          <w:b/>
          <w:bCs/>
          <w:sz w:val="28"/>
        </w:rPr>
      </w:pPr>
    </w:p>
    <w:p w14:paraId="68B0DEFF" w14:textId="77777777" w:rsidR="00C7730D" w:rsidRDefault="00C7730D" w:rsidP="00C7730D">
      <w:pPr>
        <w:jc w:val="both"/>
        <w:rPr>
          <w:sz w:val="24"/>
          <w:szCs w:val="24"/>
        </w:rPr>
      </w:pPr>
    </w:p>
    <w:p w14:paraId="0268E2A1" w14:textId="6467D844" w:rsidR="00C7730D" w:rsidRDefault="00C7730D" w:rsidP="00C7730D">
      <w:pPr>
        <w:jc w:val="both"/>
        <w:rPr>
          <w:sz w:val="24"/>
          <w:szCs w:val="24"/>
        </w:rPr>
      </w:pPr>
      <w:r w:rsidRPr="00F627EC">
        <w:rPr>
          <w:sz w:val="24"/>
          <w:szCs w:val="24"/>
        </w:rPr>
        <w:t xml:space="preserve">En </w:t>
      </w:r>
      <w:r>
        <w:rPr>
          <w:sz w:val="24"/>
          <w:szCs w:val="24"/>
        </w:rPr>
        <w:t xml:space="preserve">la segunda edición </w:t>
      </w:r>
      <w:r w:rsidRPr="00F627EC">
        <w:rPr>
          <w:sz w:val="24"/>
          <w:szCs w:val="24"/>
        </w:rPr>
        <w:t>de la encuesta, se estimó que, del total de empresas 5.5% esperaba que dentro de los próximos tres meses a la aplicación de la encuesta, el personal ocupado en la empresa disminuyera, mientras que 84.1% de empresas esperaba que permaneciera igual y</w:t>
      </w:r>
      <w:r>
        <w:rPr>
          <w:sz w:val="24"/>
          <w:szCs w:val="24"/>
        </w:rPr>
        <w:t xml:space="preserve"> </w:t>
      </w:r>
      <w:r w:rsidRPr="00F627EC">
        <w:rPr>
          <w:sz w:val="24"/>
          <w:szCs w:val="24"/>
        </w:rPr>
        <w:t>10.4%</w:t>
      </w:r>
      <w:r>
        <w:rPr>
          <w:sz w:val="24"/>
          <w:szCs w:val="24"/>
        </w:rPr>
        <w:t>,</w:t>
      </w:r>
      <w:r w:rsidRPr="00F627EC">
        <w:rPr>
          <w:sz w:val="24"/>
          <w:szCs w:val="24"/>
        </w:rPr>
        <w:t xml:space="preserve"> que aumentara. </w:t>
      </w:r>
    </w:p>
    <w:p w14:paraId="0CCAE593" w14:textId="77777777" w:rsidR="00C7730D" w:rsidRDefault="00C7730D" w:rsidP="00C7730D">
      <w:pPr>
        <w:jc w:val="both"/>
        <w:rPr>
          <w:sz w:val="24"/>
          <w:szCs w:val="24"/>
        </w:rPr>
      </w:pPr>
    </w:p>
    <w:p w14:paraId="005686B2" w14:textId="59D3CEC0" w:rsidR="00233436" w:rsidRDefault="00C7730D" w:rsidP="005846C4">
      <w:pPr>
        <w:jc w:val="both"/>
        <w:rPr>
          <w:sz w:val="24"/>
          <w:szCs w:val="24"/>
        </w:rPr>
      </w:pPr>
      <w:r w:rsidRPr="00F627EC">
        <w:rPr>
          <w:sz w:val="24"/>
          <w:szCs w:val="24"/>
        </w:rPr>
        <w:t xml:space="preserve">En </w:t>
      </w:r>
      <w:r>
        <w:rPr>
          <w:sz w:val="24"/>
          <w:szCs w:val="24"/>
        </w:rPr>
        <w:t xml:space="preserve">la tercera edición </w:t>
      </w:r>
      <w:r w:rsidRPr="00F627EC">
        <w:rPr>
          <w:sz w:val="24"/>
          <w:szCs w:val="24"/>
        </w:rPr>
        <w:t>de la encuesta, 4.2% del total de empresas espera que el personal ocupado en la empresa disminuya en los próximos tres meses a la aplicación de la encuesta, mientras que 86.4% espera que permanezca igual y 9.4%</w:t>
      </w:r>
      <w:r w:rsidR="00C1196F">
        <w:rPr>
          <w:sz w:val="24"/>
          <w:szCs w:val="24"/>
        </w:rPr>
        <w:t xml:space="preserve">, </w:t>
      </w:r>
      <w:r w:rsidRPr="00F627EC">
        <w:rPr>
          <w:sz w:val="24"/>
          <w:szCs w:val="24"/>
        </w:rPr>
        <w:t xml:space="preserve">que aumente.  </w:t>
      </w:r>
    </w:p>
    <w:p w14:paraId="2DAF9057" w14:textId="77777777" w:rsidR="00C1196F" w:rsidRPr="00C1196F" w:rsidRDefault="00C1196F" w:rsidP="005846C4">
      <w:pPr>
        <w:jc w:val="both"/>
        <w:rPr>
          <w:sz w:val="24"/>
          <w:szCs w:val="24"/>
        </w:rPr>
      </w:pPr>
    </w:p>
    <w:p w14:paraId="78771E8A" w14:textId="77777777" w:rsidR="002368DB" w:rsidRDefault="002368DB" w:rsidP="005846C4">
      <w:pPr>
        <w:jc w:val="center"/>
        <w:rPr>
          <w:b/>
          <w:bCs/>
          <w:sz w:val="28"/>
          <w:szCs w:val="28"/>
        </w:rPr>
      </w:pPr>
    </w:p>
    <w:p w14:paraId="534047F2" w14:textId="7335F7FA" w:rsidR="005846C4" w:rsidRPr="004A309E" w:rsidRDefault="005846C4" w:rsidP="005846C4">
      <w:pPr>
        <w:jc w:val="center"/>
        <w:rPr>
          <w:sz w:val="24"/>
          <w:szCs w:val="24"/>
        </w:rPr>
      </w:pPr>
      <w:r w:rsidRPr="004A309E">
        <w:rPr>
          <w:b/>
          <w:bCs/>
          <w:sz w:val="24"/>
          <w:szCs w:val="24"/>
        </w:rPr>
        <w:t>Expectativas del personal ocupado</w:t>
      </w:r>
    </w:p>
    <w:p w14:paraId="6414EC6C" w14:textId="64802416" w:rsidR="005846C4" w:rsidRDefault="005846C4" w:rsidP="00F66B8C">
      <w:pPr>
        <w:jc w:val="right"/>
        <w:rPr>
          <w:b/>
          <w:bCs/>
          <w:sz w:val="24"/>
          <w:szCs w:val="20"/>
        </w:rPr>
      </w:pPr>
      <w:r>
        <w:t xml:space="preserve"> </w:t>
      </w:r>
      <w:r w:rsidRPr="008A26CA">
        <w:t xml:space="preserve"> </w:t>
      </w:r>
      <w:r w:rsidR="00F66B8C" w:rsidRPr="00F66B8C">
        <w:rPr>
          <w:b/>
          <w:bCs/>
          <w:sz w:val="24"/>
          <w:szCs w:val="20"/>
        </w:rPr>
        <w:t>Gráfica 1</w:t>
      </w:r>
      <w:r w:rsidR="0072049C">
        <w:rPr>
          <w:b/>
          <w:bCs/>
          <w:sz w:val="24"/>
          <w:szCs w:val="20"/>
        </w:rPr>
        <w:t>6</w:t>
      </w:r>
      <w:r w:rsidR="0072049C" w:rsidRPr="0072049C">
        <w:rPr>
          <w:noProof/>
        </w:rPr>
        <w:t xml:space="preserve"> </w:t>
      </w:r>
      <w:r w:rsidR="0072049C">
        <w:rPr>
          <w:noProof/>
        </w:rPr>
        <w:drawing>
          <wp:inline distT="0" distB="0" distL="0" distR="0" wp14:anchorId="6F204554" wp14:editId="2308D4EF">
            <wp:extent cx="6120765" cy="2653665"/>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6120765" cy="2653665"/>
                    </a:xfrm>
                    <a:prstGeom prst="rect">
                      <a:avLst/>
                    </a:prstGeom>
                  </pic:spPr>
                </pic:pic>
              </a:graphicData>
            </a:graphic>
          </wp:inline>
        </w:drawing>
      </w:r>
    </w:p>
    <w:p w14:paraId="1AAEB200" w14:textId="77777777" w:rsidR="007478EC" w:rsidRDefault="007478EC" w:rsidP="00F66B8C">
      <w:pPr>
        <w:jc w:val="right"/>
      </w:pPr>
    </w:p>
    <w:p w14:paraId="5C5295F5" w14:textId="77777777" w:rsidR="002368DB" w:rsidRDefault="002368DB" w:rsidP="005846C4">
      <w:pPr>
        <w:jc w:val="both"/>
        <w:rPr>
          <w:sz w:val="24"/>
          <w:szCs w:val="24"/>
        </w:rPr>
      </w:pPr>
    </w:p>
    <w:p w14:paraId="78BC8DBF" w14:textId="2F70C362" w:rsidR="002368DB" w:rsidRDefault="002368DB" w:rsidP="005846C4">
      <w:pPr>
        <w:jc w:val="both"/>
        <w:rPr>
          <w:sz w:val="24"/>
          <w:szCs w:val="24"/>
        </w:rPr>
      </w:pPr>
    </w:p>
    <w:p w14:paraId="140451AF" w14:textId="4AF152E4" w:rsidR="002368DB" w:rsidRDefault="002368DB" w:rsidP="005846C4">
      <w:pPr>
        <w:jc w:val="both"/>
        <w:rPr>
          <w:sz w:val="24"/>
          <w:szCs w:val="24"/>
        </w:rPr>
      </w:pPr>
      <w:r w:rsidRPr="004F794B">
        <w:rPr>
          <w:sz w:val="24"/>
          <w:szCs w:val="24"/>
        </w:rPr>
        <w:t>En l</w:t>
      </w:r>
      <w:r w:rsidR="0044079F">
        <w:rPr>
          <w:sz w:val="24"/>
          <w:szCs w:val="24"/>
        </w:rPr>
        <w:t>a</w:t>
      </w:r>
      <w:r w:rsidRPr="004F794B">
        <w:rPr>
          <w:sz w:val="24"/>
          <w:szCs w:val="24"/>
        </w:rPr>
        <w:t xml:space="preserve"> tercer</w:t>
      </w:r>
      <w:r w:rsidR="0044079F">
        <w:rPr>
          <w:sz w:val="24"/>
          <w:szCs w:val="24"/>
        </w:rPr>
        <w:t>a</w:t>
      </w:r>
      <w:r w:rsidRPr="004F794B">
        <w:rPr>
          <w:sz w:val="24"/>
          <w:szCs w:val="24"/>
        </w:rPr>
        <w:t xml:space="preserve"> e</w:t>
      </w:r>
      <w:r w:rsidR="0044079F">
        <w:rPr>
          <w:sz w:val="24"/>
          <w:szCs w:val="24"/>
        </w:rPr>
        <w:t>dición</w:t>
      </w:r>
      <w:r w:rsidRPr="004F794B">
        <w:rPr>
          <w:sz w:val="24"/>
          <w:szCs w:val="24"/>
        </w:rPr>
        <w:t xml:space="preserve"> de la encuesta se incluyeron preguntas relacionadas con el estrés financiero de las empresas</w:t>
      </w:r>
      <w:r w:rsidR="00BD32F4">
        <w:rPr>
          <w:sz w:val="24"/>
          <w:szCs w:val="24"/>
        </w:rPr>
        <w:t>, s</w:t>
      </w:r>
      <w:r w:rsidR="00071059">
        <w:rPr>
          <w:sz w:val="24"/>
          <w:szCs w:val="24"/>
        </w:rPr>
        <w:t xml:space="preserve">ituación que </w:t>
      </w:r>
      <w:r w:rsidR="00BD32F4">
        <w:rPr>
          <w:sz w:val="24"/>
          <w:szCs w:val="24"/>
        </w:rPr>
        <w:t xml:space="preserve">en </w:t>
      </w:r>
      <w:r w:rsidR="00071059">
        <w:rPr>
          <w:sz w:val="24"/>
          <w:szCs w:val="24"/>
        </w:rPr>
        <w:t xml:space="preserve">México </w:t>
      </w:r>
      <w:r w:rsidR="00BD32F4">
        <w:rPr>
          <w:sz w:val="24"/>
          <w:szCs w:val="24"/>
        </w:rPr>
        <w:t>se presenta</w:t>
      </w:r>
      <w:r w:rsidR="00071059">
        <w:rPr>
          <w:sz w:val="24"/>
          <w:szCs w:val="24"/>
        </w:rPr>
        <w:t xml:space="preserve"> una </w:t>
      </w:r>
      <w:r w:rsidRPr="004F794B">
        <w:rPr>
          <w:sz w:val="24"/>
          <w:szCs w:val="24"/>
        </w:rPr>
        <w:t>baja proporción de establecimientos</w:t>
      </w:r>
      <w:r w:rsidR="00071059">
        <w:rPr>
          <w:sz w:val="24"/>
          <w:szCs w:val="24"/>
        </w:rPr>
        <w:t xml:space="preserve"> </w:t>
      </w:r>
      <w:r w:rsidRPr="004F794B">
        <w:rPr>
          <w:sz w:val="24"/>
          <w:szCs w:val="24"/>
        </w:rPr>
        <w:t xml:space="preserve">con financiamiento, </w:t>
      </w:r>
      <w:r w:rsidR="00071059">
        <w:rPr>
          <w:sz w:val="24"/>
          <w:szCs w:val="24"/>
        </w:rPr>
        <w:t>lo que se puede observar en</w:t>
      </w:r>
      <w:r w:rsidR="00071059" w:rsidRPr="004F794B">
        <w:rPr>
          <w:sz w:val="24"/>
          <w:szCs w:val="24"/>
        </w:rPr>
        <w:t xml:space="preserve"> los Censos Económicos 2019</w:t>
      </w:r>
      <w:r w:rsidR="00BD32F4">
        <w:rPr>
          <w:sz w:val="24"/>
          <w:szCs w:val="24"/>
        </w:rPr>
        <w:t>, con</w:t>
      </w:r>
      <w:r w:rsidR="00071059">
        <w:rPr>
          <w:sz w:val="24"/>
          <w:szCs w:val="24"/>
        </w:rPr>
        <w:t xml:space="preserve"> un </w:t>
      </w:r>
      <w:r w:rsidRPr="004F794B">
        <w:rPr>
          <w:sz w:val="24"/>
          <w:szCs w:val="24"/>
        </w:rPr>
        <w:t>12.5% para los sectores industria, comercio y servicios</w:t>
      </w:r>
      <w:r w:rsidR="004F794B">
        <w:rPr>
          <w:sz w:val="24"/>
          <w:szCs w:val="24"/>
        </w:rPr>
        <w:t xml:space="preserve"> privados no financieros</w:t>
      </w:r>
      <w:r w:rsidR="0044079F">
        <w:rPr>
          <w:sz w:val="24"/>
          <w:szCs w:val="24"/>
        </w:rPr>
        <w:t>. P</w:t>
      </w:r>
      <w:r w:rsidRPr="004F794B">
        <w:rPr>
          <w:sz w:val="24"/>
          <w:szCs w:val="24"/>
        </w:rPr>
        <w:t>or otra parte, de acuerdo con la Encuesta Nacional de Financiamiento de las Empresas (ENAFIN) 2018, la proporción de empresas de 6 o más personas ocupadas que solicitaron financiamiento fue de 23.7 por ciento.</w:t>
      </w:r>
    </w:p>
    <w:p w14:paraId="5B2DBCF2" w14:textId="04B68508" w:rsidR="002368DB" w:rsidRDefault="002368DB" w:rsidP="005846C4">
      <w:pPr>
        <w:jc w:val="both"/>
        <w:rPr>
          <w:sz w:val="24"/>
          <w:szCs w:val="24"/>
        </w:rPr>
      </w:pPr>
    </w:p>
    <w:p w14:paraId="05CA00F3" w14:textId="31932C97" w:rsidR="002368DB" w:rsidRDefault="002368DB" w:rsidP="005846C4">
      <w:pPr>
        <w:jc w:val="both"/>
        <w:rPr>
          <w:sz w:val="24"/>
          <w:szCs w:val="24"/>
        </w:rPr>
      </w:pPr>
    </w:p>
    <w:p w14:paraId="76226D2D" w14:textId="68A56E31" w:rsidR="002368DB" w:rsidRDefault="002368DB" w:rsidP="005846C4">
      <w:pPr>
        <w:jc w:val="both"/>
        <w:rPr>
          <w:sz w:val="24"/>
          <w:szCs w:val="24"/>
        </w:rPr>
      </w:pPr>
    </w:p>
    <w:p w14:paraId="2D812CF6" w14:textId="4FA6A711" w:rsidR="00E60085" w:rsidRDefault="00E60085" w:rsidP="005846C4">
      <w:pPr>
        <w:jc w:val="both"/>
        <w:rPr>
          <w:sz w:val="24"/>
          <w:szCs w:val="24"/>
        </w:rPr>
      </w:pPr>
    </w:p>
    <w:p w14:paraId="47641EE0" w14:textId="77777777" w:rsidR="00E60085" w:rsidRDefault="00E60085" w:rsidP="005846C4">
      <w:pPr>
        <w:jc w:val="both"/>
        <w:rPr>
          <w:sz w:val="24"/>
          <w:szCs w:val="24"/>
        </w:rPr>
      </w:pPr>
    </w:p>
    <w:p w14:paraId="5C64A097" w14:textId="77777777" w:rsidR="002368DB" w:rsidRPr="00F627EC" w:rsidRDefault="002368DB" w:rsidP="005846C4">
      <w:pPr>
        <w:jc w:val="both"/>
        <w:rPr>
          <w:sz w:val="24"/>
          <w:szCs w:val="24"/>
        </w:rPr>
      </w:pPr>
    </w:p>
    <w:p w14:paraId="4BEDFE14" w14:textId="5BAE6A34" w:rsidR="00F66B8C" w:rsidRPr="004A309E" w:rsidRDefault="002368DB" w:rsidP="00F66B8C">
      <w:pPr>
        <w:jc w:val="center"/>
        <w:rPr>
          <w:b/>
          <w:bCs/>
          <w:sz w:val="24"/>
          <w:szCs w:val="24"/>
        </w:rPr>
      </w:pPr>
      <w:r w:rsidRPr="004A309E">
        <w:rPr>
          <w:b/>
          <w:bCs/>
          <w:sz w:val="24"/>
          <w:szCs w:val="24"/>
        </w:rPr>
        <w:lastRenderedPageBreak/>
        <w:t xml:space="preserve">Empresas que tuvieron menor acceso </w:t>
      </w:r>
      <w:r w:rsidR="00BA4114" w:rsidRPr="004A309E">
        <w:rPr>
          <w:b/>
          <w:bCs/>
          <w:sz w:val="24"/>
          <w:szCs w:val="24"/>
        </w:rPr>
        <w:t xml:space="preserve">a servicios financieros </w:t>
      </w:r>
    </w:p>
    <w:p w14:paraId="3AE2E180" w14:textId="39307E94" w:rsidR="00F66B8C" w:rsidRPr="00F66B8C" w:rsidRDefault="00F66B8C" w:rsidP="00F66B8C">
      <w:pPr>
        <w:jc w:val="right"/>
        <w:rPr>
          <w:b/>
          <w:bCs/>
          <w:sz w:val="24"/>
          <w:szCs w:val="20"/>
        </w:rPr>
      </w:pPr>
      <w:r w:rsidRPr="00F66B8C">
        <w:rPr>
          <w:b/>
          <w:bCs/>
          <w:sz w:val="24"/>
          <w:szCs w:val="20"/>
        </w:rPr>
        <w:t xml:space="preserve">Gráfica </w:t>
      </w:r>
      <w:r w:rsidR="00030BD1">
        <w:rPr>
          <w:b/>
          <w:bCs/>
          <w:sz w:val="24"/>
          <w:szCs w:val="20"/>
        </w:rPr>
        <w:t>1</w:t>
      </w:r>
      <w:r w:rsidR="0072049C">
        <w:rPr>
          <w:b/>
          <w:bCs/>
          <w:sz w:val="24"/>
          <w:szCs w:val="20"/>
        </w:rPr>
        <w:t>7</w:t>
      </w:r>
    </w:p>
    <w:p w14:paraId="36385AAA" w14:textId="289C7812" w:rsidR="005846C4" w:rsidRPr="00517339" w:rsidRDefault="00C96B8D" w:rsidP="005846C4">
      <w:pPr>
        <w:jc w:val="center"/>
        <w:rPr>
          <w:b/>
          <w:sz w:val="14"/>
          <w:szCs w:val="14"/>
        </w:rPr>
      </w:pPr>
      <w:r w:rsidRPr="00517339">
        <w:rPr>
          <w:b/>
          <w:noProof/>
          <w:sz w:val="14"/>
          <w:szCs w:val="14"/>
        </w:rPr>
        <w:drawing>
          <wp:inline distT="0" distB="0" distL="0" distR="0" wp14:anchorId="1E2BBEE2" wp14:editId="70E0A67B">
            <wp:extent cx="2514600" cy="212236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2523641" cy="2129996"/>
                    </a:xfrm>
                    <a:prstGeom prst="rect">
                      <a:avLst/>
                    </a:prstGeom>
                  </pic:spPr>
                </pic:pic>
              </a:graphicData>
            </a:graphic>
          </wp:inline>
        </w:drawing>
      </w:r>
    </w:p>
    <w:p w14:paraId="5D290997" w14:textId="77777777" w:rsidR="00517339" w:rsidRPr="00517339" w:rsidRDefault="00517339" w:rsidP="00517339">
      <w:pPr>
        <w:rPr>
          <w:b/>
          <w:sz w:val="14"/>
          <w:szCs w:val="14"/>
        </w:rPr>
      </w:pPr>
      <w:r w:rsidRPr="00517339">
        <w:rPr>
          <w:b/>
          <w:sz w:val="14"/>
          <w:szCs w:val="14"/>
        </w:rPr>
        <w:t>Nota: “Tuvieron menor acceso a servicios financieros” en comparación con la situación registrada en marzo de 2020.</w:t>
      </w:r>
    </w:p>
    <w:p w14:paraId="666A5C13" w14:textId="4D2D44B3" w:rsidR="00517339" w:rsidRPr="00517339" w:rsidRDefault="00517339" w:rsidP="00517339">
      <w:pPr>
        <w:rPr>
          <w:b/>
          <w:sz w:val="14"/>
          <w:szCs w:val="14"/>
        </w:rPr>
      </w:pPr>
      <w:r w:rsidRPr="00517339">
        <w:rPr>
          <w:b/>
          <w:sz w:val="14"/>
          <w:szCs w:val="14"/>
        </w:rPr>
        <w:t xml:space="preserve">“Tuvieron menor acceso a servicios financieros” como porcentaje del total de las empresas. </w:t>
      </w:r>
    </w:p>
    <w:p w14:paraId="6D7439A7" w14:textId="77777777" w:rsidR="00F627EC" w:rsidRDefault="00F627EC" w:rsidP="005846C4">
      <w:pPr>
        <w:jc w:val="both"/>
      </w:pPr>
    </w:p>
    <w:p w14:paraId="3AD462CA" w14:textId="77777777" w:rsidR="00E60085" w:rsidRDefault="00E60085" w:rsidP="005846C4">
      <w:pPr>
        <w:jc w:val="both"/>
        <w:rPr>
          <w:sz w:val="24"/>
          <w:szCs w:val="24"/>
        </w:rPr>
      </w:pPr>
    </w:p>
    <w:p w14:paraId="2AFAED9F" w14:textId="43B0879D" w:rsidR="005846C4" w:rsidRDefault="005846C4" w:rsidP="005846C4">
      <w:pPr>
        <w:jc w:val="both"/>
      </w:pPr>
      <w:r w:rsidRPr="00F627EC">
        <w:rPr>
          <w:sz w:val="24"/>
          <w:szCs w:val="24"/>
        </w:rPr>
        <w:t xml:space="preserve">En </w:t>
      </w:r>
      <w:r w:rsidR="0044079F">
        <w:rPr>
          <w:sz w:val="24"/>
          <w:szCs w:val="24"/>
        </w:rPr>
        <w:t>la</w:t>
      </w:r>
      <w:r w:rsidR="00576EA3">
        <w:rPr>
          <w:sz w:val="24"/>
          <w:szCs w:val="24"/>
        </w:rPr>
        <w:t xml:space="preserve"> tercer</w:t>
      </w:r>
      <w:r w:rsidR="0044079F">
        <w:rPr>
          <w:sz w:val="24"/>
          <w:szCs w:val="24"/>
        </w:rPr>
        <w:t>a</w:t>
      </w:r>
      <w:r w:rsidR="00576EA3">
        <w:rPr>
          <w:sz w:val="24"/>
          <w:szCs w:val="24"/>
        </w:rPr>
        <w:t xml:space="preserve"> e</w:t>
      </w:r>
      <w:r w:rsidR="0044079F">
        <w:rPr>
          <w:sz w:val="24"/>
          <w:szCs w:val="24"/>
        </w:rPr>
        <w:t>dición</w:t>
      </w:r>
      <w:r w:rsidR="00576EA3">
        <w:rPr>
          <w:sz w:val="24"/>
          <w:szCs w:val="24"/>
        </w:rPr>
        <w:t xml:space="preserve"> </w:t>
      </w:r>
      <w:r w:rsidRPr="00F627EC">
        <w:rPr>
          <w:sz w:val="24"/>
          <w:szCs w:val="24"/>
        </w:rPr>
        <w:t xml:space="preserve">de la encuesta se estima que, del total de empresas, </w:t>
      </w:r>
      <w:r w:rsidR="00C96B8D" w:rsidRPr="00F627EC">
        <w:rPr>
          <w:sz w:val="24"/>
          <w:szCs w:val="24"/>
        </w:rPr>
        <w:t>8</w:t>
      </w:r>
      <w:r w:rsidRPr="00F627EC">
        <w:rPr>
          <w:sz w:val="24"/>
          <w:szCs w:val="24"/>
        </w:rPr>
        <w:t>.</w:t>
      </w:r>
      <w:r w:rsidR="00C96B8D" w:rsidRPr="00F627EC">
        <w:rPr>
          <w:sz w:val="24"/>
          <w:szCs w:val="24"/>
        </w:rPr>
        <w:t>1</w:t>
      </w:r>
      <w:r w:rsidRPr="00F627EC">
        <w:rPr>
          <w:sz w:val="24"/>
          <w:szCs w:val="24"/>
        </w:rPr>
        <w:t xml:space="preserve">% han enfrentado obstáculos para acceder a servicios financieros, mientras que </w:t>
      </w:r>
      <w:r w:rsidR="00C96B8D" w:rsidRPr="00F627EC">
        <w:rPr>
          <w:sz w:val="24"/>
          <w:szCs w:val="24"/>
        </w:rPr>
        <w:t>91</w:t>
      </w:r>
      <w:r w:rsidRPr="00F627EC">
        <w:rPr>
          <w:sz w:val="24"/>
          <w:szCs w:val="24"/>
        </w:rPr>
        <w:t>.</w:t>
      </w:r>
      <w:r w:rsidR="00C96B8D" w:rsidRPr="00F627EC">
        <w:rPr>
          <w:sz w:val="24"/>
          <w:szCs w:val="24"/>
        </w:rPr>
        <w:t>9</w:t>
      </w:r>
      <w:r w:rsidRPr="00F627EC">
        <w:rPr>
          <w:sz w:val="24"/>
          <w:szCs w:val="24"/>
        </w:rPr>
        <w:t>% afirma que no ha presentado obstáculos</w:t>
      </w:r>
      <w:r>
        <w:t xml:space="preserve">. </w:t>
      </w:r>
    </w:p>
    <w:p w14:paraId="664F795C" w14:textId="11EFAAC5" w:rsidR="00E60085" w:rsidRDefault="00E60085" w:rsidP="005846C4">
      <w:pPr>
        <w:jc w:val="both"/>
      </w:pPr>
    </w:p>
    <w:p w14:paraId="1D49BB7A" w14:textId="1C65B59C" w:rsidR="00E60085" w:rsidRDefault="00E60085" w:rsidP="00E60085">
      <w:pPr>
        <w:jc w:val="both"/>
        <w:rPr>
          <w:sz w:val="24"/>
          <w:szCs w:val="24"/>
        </w:rPr>
      </w:pPr>
      <w:r w:rsidRPr="00C81A59">
        <w:rPr>
          <w:sz w:val="24"/>
          <w:szCs w:val="24"/>
        </w:rPr>
        <w:t xml:space="preserve">Se estimó que </w:t>
      </w:r>
      <w:r w:rsidR="00887BDB">
        <w:rPr>
          <w:sz w:val="24"/>
          <w:szCs w:val="24"/>
        </w:rPr>
        <w:t xml:space="preserve">de las </w:t>
      </w:r>
      <w:r w:rsidRPr="00C81A59">
        <w:rPr>
          <w:sz w:val="24"/>
          <w:szCs w:val="24"/>
        </w:rPr>
        <w:t xml:space="preserve">empresas que sí han enfrentado obstáculos para acceder a servicios financieros, el principal </w:t>
      </w:r>
      <w:r>
        <w:rPr>
          <w:sz w:val="24"/>
          <w:szCs w:val="24"/>
        </w:rPr>
        <w:t>fue</w:t>
      </w:r>
      <w:r w:rsidRPr="00C81A59">
        <w:rPr>
          <w:sz w:val="24"/>
          <w:szCs w:val="24"/>
        </w:rPr>
        <w:t xml:space="preserve"> las altas tasas de interés, siendo poco más de la mitad de las empresas afectadas, con 51.5</w:t>
      </w:r>
      <w:r>
        <w:rPr>
          <w:sz w:val="24"/>
          <w:szCs w:val="24"/>
        </w:rPr>
        <w:t xml:space="preserve"> por ciento</w:t>
      </w:r>
      <w:r w:rsidRPr="00C81A59">
        <w:rPr>
          <w:sz w:val="24"/>
          <w:szCs w:val="24"/>
        </w:rPr>
        <w:t xml:space="preserve">. </w:t>
      </w:r>
    </w:p>
    <w:p w14:paraId="30A9EEFE" w14:textId="77777777" w:rsidR="00E60085" w:rsidRDefault="00E60085" w:rsidP="00E60085">
      <w:pPr>
        <w:jc w:val="both"/>
        <w:rPr>
          <w:sz w:val="24"/>
          <w:szCs w:val="24"/>
        </w:rPr>
      </w:pPr>
    </w:p>
    <w:p w14:paraId="02425E8B" w14:textId="77777777" w:rsidR="00E60085" w:rsidRDefault="00E60085" w:rsidP="00E60085">
      <w:pPr>
        <w:jc w:val="both"/>
        <w:rPr>
          <w:sz w:val="24"/>
          <w:szCs w:val="24"/>
        </w:rPr>
      </w:pPr>
      <w:r w:rsidRPr="00C81A59">
        <w:rPr>
          <w:sz w:val="24"/>
          <w:szCs w:val="24"/>
        </w:rPr>
        <w:t xml:space="preserve">El segundo obstáculo </w:t>
      </w:r>
      <w:r>
        <w:rPr>
          <w:sz w:val="24"/>
          <w:szCs w:val="24"/>
        </w:rPr>
        <w:t>al que se enfrentaron es</w:t>
      </w:r>
      <w:r w:rsidRPr="00C81A59">
        <w:rPr>
          <w:sz w:val="24"/>
          <w:szCs w:val="24"/>
        </w:rPr>
        <w:t xml:space="preserve"> la falta de disposición de proveedores para otorgar crédito, </w:t>
      </w:r>
      <w:r>
        <w:rPr>
          <w:sz w:val="24"/>
          <w:szCs w:val="24"/>
        </w:rPr>
        <w:t>resultando un</w:t>
      </w:r>
      <w:r w:rsidRPr="00C81A59">
        <w:rPr>
          <w:sz w:val="24"/>
          <w:szCs w:val="24"/>
        </w:rPr>
        <w:t xml:space="preserve"> 44.5% de empresas afectadas. </w:t>
      </w:r>
    </w:p>
    <w:p w14:paraId="4731ACEC" w14:textId="77777777" w:rsidR="00E60085" w:rsidRDefault="00E60085" w:rsidP="00E60085">
      <w:pPr>
        <w:jc w:val="both"/>
        <w:rPr>
          <w:sz w:val="24"/>
          <w:szCs w:val="24"/>
        </w:rPr>
      </w:pPr>
    </w:p>
    <w:p w14:paraId="57C3BCF1" w14:textId="77777777" w:rsidR="00E60085" w:rsidRDefault="00E60085" w:rsidP="00E60085">
      <w:pPr>
        <w:jc w:val="both"/>
        <w:rPr>
          <w:sz w:val="24"/>
          <w:szCs w:val="24"/>
        </w:rPr>
      </w:pPr>
      <w:r w:rsidRPr="00C81A59">
        <w:rPr>
          <w:sz w:val="24"/>
          <w:szCs w:val="24"/>
        </w:rPr>
        <w:t xml:space="preserve">El tercer obstáculo se debe al alto riesgo de no poder pagar los adeudos, con 38.2% de empresas afectadas. </w:t>
      </w:r>
    </w:p>
    <w:p w14:paraId="0B3446EA" w14:textId="77777777" w:rsidR="00E60085" w:rsidRDefault="00E60085" w:rsidP="00E60085">
      <w:pPr>
        <w:jc w:val="both"/>
        <w:rPr>
          <w:sz w:val="24"/>
          <w:szCs w:val="24"/>
        </w:rPr>
      </w:pPr>
    </w:p>
    <w:p w14:paraId="6F913EEB" w14:textId="77777777" w:rsidR="00E60085" w:rsidRDefault="00E60085" w:rsidP="00E60085">
      <w:pPr>
        <w:jc w:val="both"/>
        <w:rPr>
          <w:sz w:val="24"/>
          <w:szCs w:val="24"/>
        </w:rPr>
      </w:pPr>
      <w:r w:rsidRPr="00C81A59">
        <w:rPr>
          <w:sz w:val="24"/>
          <w:szCs w:val="24"/>
        </w:rPr>
        <w:t xml:space="preserve">En cuarto lugar, 13.5% de empresas afectadas afirmó que no es posible acceder a estos servicios debido a que la empresa ya está muy endeudada. </w:t>
      </w:r>
    </w:p>
    <w:p w14:paraId="3227BB40" w14:textId="77777777" w:rsidR="00E60085" w:rsidRDefault="00E60085" w:rsidP="00E60085">
      <w:pPr>
        <w:jc w:val="both"/>
        <w:rPr>
          <w:sz w:val="24"/>
          <w:szCs w:val="24"/>
        </w:rPr>
      </w:pPr>
    </w:p>
    <w:p w14:paraId="39476616" w14:textId="77777777" w:rsidR="00E60085" w:rsidRDefault="00E60085" w:rsidP="00E60085">
      <w:pPr>
        <w:jc w:val="both"/>
        <w:rPr>
          <w:sz w:val="24"/>
          <w:szCs w:val="24"/>
        </w:rPr>
      </w:pPr>
      <w:r w:rsidRPr="00C81A59">
        <w:rPr>
          <w:sz w:val="24"/>
          <w:szCs w:val="24"/>
        </w:rPr>
        <w:t xml:space="preserve">Por último, 10.6% de las empresas afectadas afirmó que un obstáculo se debe a la carencia de garantías o efectos colaterales. </w:t>
      </w:r>
    </w:p>
    <w:p w14:paraId="32771412" w14:textId="032419AF" w:rsidR="00E60085" w:rsidRDefault="00E60085" w:rsidP="005846C4">
      <w:pPr>
        <w:jc w:val="both"/>
      </w:pPr>
    </w:p>
    <w:p w14:paraId="1AFA1130" w14:textId="06722447" w:rsidR="00E60085" w:rsidRDefault="00E60085" w:rsidP="005846C4">
      <w:pPr>
        <w:jc w:val="both"/>
      </w:pPr>
    </w:p>
    <w:p w14:paraId="63E666FF" w14:textId="190A2F1D" w:rsidR="00E60085" w:rsidRDefault="00E60085" w:rsidP="005846C4">
      <w:pPr>
        <w:jc w:val="both"/>
      </w:pPr>
    </w:p>
    <w:p w14:paraId="36BE2348" w14:textId="375C6064" w:rsidR="00E60085" w:rsidRDefault="00E60085" w:rsidP="005846C4">
      <w:pPr>
        <w:jc w:val="both"/>
      </w:pPr>
    </w:p>
    <w:p w14:paraId="6DEAB0FF" w14:textId="5F950A37" w:rsidR="00E60085" w:rsidRDefault="00E60085" w:rsidP="005846C4">
      <w:pPr>
        <w:jc w:val="both"/>
      </w:pPr>
    </w:p>
    <w:p w14:paraId="73B5C940" w14:textId="1FF6A452" w:rsidR="00E60085" w:rsidRDefault="00E60085" w:rsidP="005846C4">
      <w:pPr>
        <w:jc w:val="both"/>
      </w:pPr>
    </w:p>
    <w:p w14:paraId="540AB23B" w14:textId="39647679" w:rsidR="00E60085" w:rsidRDefault="00E60085" w:rsidP="005846C4">
      <w:pPr>
        <w:jc w:val="both"/>
      </w:pPr>
    </w:p>
    <w:p w14:paraId="5E21CF28" w14:textId="52150B25" w:rsidR="00E60085" w:rsidRDefault="00E60085" w:rsidP="005846C4">
      <w:pPr>
        <w:jc w:val="both"/>
      </w:pPr>
    </w:p>
    <w:p w14:paraId="0C596D93" w14:textId="77777777" w:rsidR="00E60085" w:rsidRDefault="00E60085" w:rsidP="005846C4">
      <w:pPr>
        <w:jc w:val="both"/>
      </w:pPr>
    </w:p>
    <w:p w14:paraId="0D1DAF2C" w14:textId="77777777" w:rsidR="00BA4114" w:rsidRPr="00BA4114" w:rsidRDefault="00BA4114" w:rsidP="005846C4">
      <w:pPr>
        <w:jc w:val="both"/>
      </w:pPr>
    </w:p>
    <w:p w14:paraId="3A3089FE" w14:textId="596E294D" w:rsidR="005846C4" w:rsidRPr="004A309E" w:rsidRDefault="005846C4" w:rsidP="005846C4">
      <w:pPr>
        <w:jc w:val="center"/>
        <w:rPr>
          <w:sz w:val="24"/>
          <w:szCs w:val="24"/>
        </w:rPr>
      </w:pPr>
      <w:r w:rsidRPr="004A309E">
        <w:rPr>
          <w:b/>
          <w:bCs/>
          <w:sz w:val="24"/>
          <w:szCs w:val="24"/>
        </w:rPr>
        <w:lastRenderedPageBreak/>
        <w:t xml:space="preserve">Principales obstáculos para acceder a </w:t>
      </w:r>
      <w:r w:rsidR="00BA4114" w:rsidRPr="004A309E">
        <w:rPr>
          <w:b/>
          <w:bCs/>
          <w:sz w:val="24"/>
          <w:szCs w:val="24"/>
        </w:rPr>
        <w:t>servicios financieros</w:t>
      </w:r>
    </w:p>
    <w:p w14:paraId="732A9EC6" w14:textId="1A62E07B" w:rsidR="005846C4" w:rsidRDefault="00F66B8C" w:rsidP="00F66B8C">
      <w:pPr>
        <w:jc w:val="right"/>
        <w:rPr>
          <w:noProof/>
          <w:lang w:eastAsia="es-MX"/>
        </w:rPr>
      </w:pPr>
      <w:r w:rsidRPr="00F66B8C">
        <w:rPr>
          <w:b/>
          <w:bCs/>
          <w:sz w:val="24"/>
          <w:szCs w:val="20"/>
        </w:rPr>
        <w:t xml:space="preserve">Gráfica </w:t>
      </w:r>
      <w:r w:rsidR="0072049C">
        <w:rPr>
          <w:b/>
          <w:bCs/>
          <w:sz w:val="24"/>
          <w:szCs w:val="20"/>
        </w:rPr>
        <w:t>18</w:t>
      </w:r>
    </w:p>
    <w:p w14:paraId="18945CC9" w14:textId="195B202B" w:rsidR="0072049C" w:rsidRDefault="0072049C" w:rsidP="0072049C">
      <w:pPr>
        <w:jc w:val="center"/>
      </w:pPr>
      <w:r>
        <w:rPr>
          <w:noProof/>
        </w:rPr>
        <w:drawing>
          <wp:inline distT="0" distB="0" distL="0" distR="0" wp14:anchorId="5B77A7AB" wp14:editId="7AB08310">
            <wp:extent cx="4747260" cy="2579251"/>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4764961" cy="2588868"/>
                    </a:xfrm>
                    <a:prstGeom prst="rect">
                      <a:avLst/>
                    </a:prstGeom>
                  </pic:spPr>
                </pic:pic>
              </a:graphicData>
            </a:graphic>
          </wp:inline>
        </w:drawing>
      </w:r>
    </w:p>
    <w:p w14:paraId="1E6A78F7" w14:textId="77777777" w:rsidR="00BA4114" w:rsidRDefault="00BA4114" w:rsidP="00517339">
      <w:pPr>
        <w:rPr>
          <w:b/>
          <w:bCs/>
          <w:sz w:val="14"/>
          <w:szCs w:val="14"/>
        </w:rPr>
      </w:pPr>
    </w:p>
    <w:p w14:paraId="57EDCE3D" w14:textId="7D10D50E" w:rsidR="00517339" w:rsidRPr="00BA4114" w:rsidRDefault="00517339" w:rsidP="00517339">
      <w:pPr>
        <w:rPr>
          <w:sz w:val="14"/>
          <w:szCs w:val="14"/>
        </w:rPr>
      </w:pPr>
      <w:r w:rsidRPr="00517339">
        <w:rPr>
          <w:b/>
          <w:bCs/>
          <w:sz w:val="14"/>
          <w:szCs w:val="14"/>
        </w:rPr>
        <w:t>Nota: “Tuvieron menor acceso a servicios financieros” en comparación con la situación registrada en marzo de 2020.</w:t>
      </w:r>
      <w:r w:rsidR="00BA4114">
        <w:rPr>
          <w:sz w:val="14"/>
          <w:szCs w:val="14"/>
        </w:rPr>
        <w:t xml:space="preserve"> </w:t>
      </w:r>
      <w:r w:rsidRPr="00517339">
        <w:rPr>
          <w:b/>
          <w:bCs/>
          <w:sz w:val="14"/>
          <w:szCs w:val="14"/>
        </w:rPr>
        <w:t>Los “principales obstáculos” como porcentaje de las empresas que tuvieron menor acceso a servicios financieros.</w:t>
      </w:r>
    </w:p>
    <w:p w14:paraId="0B384AA0" w14:textId="77777777" w:rsidR="007478EC" w:rsidRDefault="007478EC" w:rsidP="005846C4">
      <w:pPr>
        <w:jc w:val="both"/>
      </w:pPr>
    </w:p>
    <w:p w14:paraId="7BA2F240" w14:textId="77777777" w:rsidR="00E60085" w:rsidRDefault="00E60085" w:rsidP="00E60085">
      <w:pPr>
        <w:jc w:val="both"/>
        <w:rPr>
          <w:sz w:val="24"/>
          <w:szCs w:val="24"/>
        </w:rPr>
      </w:pPr>
      <w:r w:rsidRPr="00C81A59">
        <w:rPr>
          <w:sz w:val="24"/>
          <w:szCs w:val="24"/>
        </w:rPr>
        <w:t xml:space="preserve">Se estima que, desde el inicio de la crisis en marzo de 2020, 36.1% de empresas han sufrido retrasos en el pago de sus adeudos pendientes o han tenido que recalendarizarlos. </w:t>
      </w:r>
    </w:p>
    <w:p w14:paraId="35348E91" w14:textId="77777777" w:rsidR="00E60085" w:rsidRDefault="00E60085" w:rsidP="00E60085">
      <w:pPr>
        <w:jc w:val="both"/>
        <w:rPr>
          <w:sz w:val="24"/>
          <w:szCs w:val="24"/>
        </w:rPr>
      </w:pPr>
    </w:p>
    <w:p w14:paraId="3C4E1A55" w14:textId="77777777" w:rsidR="00E60085" w:rsidRDefault="00E60085" w:rsidP="00E60085">
      <w:pPr>
        <w:jc w:val="both"/>
        <w:rPr>
          <w:sz w:val="24"/>
          <w:szCs w:val="24"/>
        </w:rPr>
      </w:pPr>
      <w:r w:rsidRPr="00C81A59">
        <w:rPr>
          <w:sz w:val="24"/>
          <w:szCs w:val="24"/>
        </w:rPr>
        <w:t xml:space="preserve">El 35.3% de empresas indica que no ha sufrido estos retrasos. Sólo 28.6% de </w:t>
      </w:r>
      <w:r>
        <w:rPr>
          <w:sz w:val="24"/>
          <w:szCs w:val="24"/>
        </w:rPr>
        <w:t xml:space="preserve">las </w:t>
      </w:r>
      <w:r w:rsidRPr="00C81A59">
        <w:rPr>
          <w:sz w:val="24"/>
          <w:szCs w:val="24"/>
        </w:rPr>
        <w:t xml:space="preserve">empresas afirma no tener deudas durante el periodo de referencia. </w:t>
      </w:r>
    </w:p>
    <w:p w14:paraId="586A2890" w14:textId="77777777" w:rsidR="00E60085" w:rsidRDefault="00E60085" w:rsidP="00BA4114">
      <w:pPr>
        <w:jc w:val="both"/>
      </w:pPr>
    </w:p>
    <w:p w14:paraId="3EA6E85E" w14:textId="77777777" w:rsidR="00517339" w:rsidRPr="00517339" w:rsidRDefault="00517339" w:rsidP="00517339">
      <w:pPr>
        <w:jc w:val="both"/>
      </w:pPr>
    </w:p>
    <w:p w14:paraId="7EE7CBEB" w14:textId="1F5369E7" w:rsidR="00F66B8C" w:rsidRPr="004A309E" w:rsidRDefault="005846C4" w:rsidP="00F66B8C">
      <w:pPr>
        <w:jc w:val="center"/>
        <w:rPr>
          <w:b/>
          <w:bCs/>
          <w:sz w:val="24"/>
          <w:szCs w:val="24"/>
        </w:rPr>
      </w:pPr>
      <w:r w:rsidRPr="004A309E">
        <w:rPr>
          <w:b/>
          <w:bCs/>
          <w:sz w:val="24"/>
          <w:szCs w:val="24"/>
        </w:rPr>
        <w:t>Empresas que han sufrido retrasos en el pago de sus adeudos pendientes a partir de marzo 2020</w:t>
      </w:r>
    </w:p>
    <w:p w14:paraId="6FDBD964" w14:textId="5302156F" w:rsidR="005846C4" w:rsidRPr="0072049C" w:rsidRDefault="00F66B8C" w:rsidP="0072049C">
      <w:pPr>
        <w:jc w:val="right"/>
        <w:rPr>
          <w:b/>
          <w:bCs/>
          <w:sz w:val="24"/>
          <w:szCs w:val="20"/>
        </w:rPr>
      </w:pPr>
      <w:r w:rsidRPr="00F66B8C">
        <w:rPr>
          <w:b/>
          <w:bCs/>
          <w:sz w:val="24"/>
          <w:szCs w:val="20"/>
        </w:rPr>
        <w:t xml:space="preserve">Gráfica </w:t>
      </w:r>
      <w:r w:rsidR="0072049C">
        <w:rPr>
          <w:b/>
          <w:bCs/>
          <w:sz w:val="24"/>
          <w:szCs w:val="20"/>
        </w:rPr>
        <w:t>19</w:t>
      </w:r>
    </w:p>
    <w:p w14:paraId="602FBA60" w14:textId="77777777" w:rsidR="005846C4" w:rsidRDefault="005846C4" w:rsidP="005846C4">
      <w:pPr>
        <w:jc w:val="center"/>
        <w:rPr>
          <w:b/>
          <w:bCs/>
          <w:sz w:val="28"/>
          <w:szCs w:val="28"/>
        </w:rPr>
      </w:pPr>
    </w:p>
    <w:p w14:paraId="220DE831" w14:textId="36D6DB64" w:rsidR="005846C4" w:rsidRDefault="009E746B" w:rsidP="005846C4">
      <w:pPr>
        <w:jc w:val="center"/>
        <w:rPr>
          <w:sz w:val="28"/>
          <w:szCs w:val="28"/>
        </w:rPr>
      </w:pPr>
      <w:r>
        <w:rPr>
          <w:noProof/>
        </w:rPr>
        <w:drawing>
          <wp:inline distT="0" distB="0" distL="0" distR="0" wp14:anchorId="49DA5F54" wp14:editId="71D94271">
            <wp:extent cx="5234940" cy="2178917"/>
            <wp:effectExtent l="0" t="0" r="381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243138" cy="2182329"/>
                    </a:xfrm>
                    <a:prstGeom prst="rect">
                      <a:avLst/>
                    </a:prstGeom>
                  </pic:spPr>
                </pic:pic>
              </a:graphicData>
            </a:graphic>
          </wp:inline>
        </w:drawing>
      </w:r>
    </w:p>
    <w:p w14:paraId="7A2676E1" w14:textId="77777777" w:rsidR="00517339" w:rsidRPr="00517339" w:rsidRDefault="00517339" w:rsidP="00517339">
      <w:pPr>
        <w:rPr>
          <w:sz w:val="14"/>
          <w:szCs w:val="14"/>
        </w:rPr>
      </w:pPr>
      <w:r w:rsidRPr="00517339">
        <w:rPr>
          <w:b/>
          <w:bCs/>
          <w:sz w:val="14"/>
          <w:szCs w:val="14"/>
        </w:rPr>
        <w:t>Nota: porcentajes calculados como proporción del total de empresas.</w:t>
      </w:r>
    </w:p>
    <w:p w14:paraId="6BAB6C5C" w14:textId="77777777" w:rsidR="00517339" w:rsidRPr="007E4945" w:rsidRDefault="00517339" w:rsidP="00517339">
      <w:pPr>
        <w:rPr>
          <w:sz w:val="28"/>
          <w:szCs w:val="28"/>
        </w:rPr>
      </w:pPr>
    </w:p>
    <w:p w14:paraId="4213BE22" w14:textId="0A71E589" w:rsidR="00E60085" w:rsidRDefault="00E60085" w:rsidP="005846C4">
      <w:pPr>
        <w:jc w:val="both"/>
        <w:rPr>
          <w:sz w:val="24"/>
          <w:szCs w:val="24"/>
        </w:rPr>
      </w:pPr>
    </w:p>
    <w:p w14:paraId="2AE0BBD9" w14:textId="77777777" w:rsidR="00E60085" w:rsidRPr="00C81A59" w:rsidRDefault="00E60085" w:rsidP="00E60085">
      <w:pPr>
        <w:jc w:val="both"/>
        <w:rPr>
          <w:sz w:val="24"/>
          <w:szCs w:val="24"/>
        </w:rPr>
      </w:pPr>
      <w:r w:rsidRPr="00C81A59">
        <w:rPr>
          <w:sz w:val="24"/>
          <w:szCs w:val="24"/>
        </w:rPr>
        <w:lastRenderedPageBreak/>
        <w:t xml:space="preserve">Desde </w:t>
      </w:r>
      <w:r>
        <w:rPr>
          <w:sz w:val="24"/>
          <w:szCs w:val="24"/>
        </w:rPr>
        <w:t xml:space="preserve">el </w:t>
      </w:r>
      <w:r w:rsidRPr="00C81A59">
        <w:rPr>
          <w:sz w:val="24"/>
          <w:szCs w:val="24"/>
        </w:rPr>
        <w:t xml:space="preserve">inicio de la </w:t>
      </w:r>
      <w:r>
        <w:rPr>
          <w:sz w:val="24"/>
          <w:szCs w:val="24"/>
        </w:rPr>
        <w:t>pandemia</w:t>
      </w:r>
      <w:r w:rsidRPr="00C81A59">
        <w:rPr>
          <w:sz w:val="24"/>
          <w:szCs w:val="24"/>
        </w:rPr>
        <w:t xml:space="preserve"> en marzo de 2020, 43.6% de empresas indican que sus deudas totales han permanecido igual hasta este momento. El porcentaje de empresas que indican que sus deudas han aumentado es de 22.7%, mientras que sólo el 5.2% indica que las deudas han disminuido. </w:t>
      </w:r>
    </w:p>
    <w:p w14:paraId="07569863" w14:textId="77777777" w:rsidR="005846C4" w:rsidRPr="007478EC" w:rsidRDefault="005846C4" w:rsidP="005846C4">
      <w:pPr>
        <w:jc w:val="both"/>
        <w:rPr>
          <w:sz w:val="28"/>
          <w:szCs w:val="28"/>
        </w:rPr>
      </w:pPr>
    </w:p>
    <w:p w14:paraId="2020C21E" w14:textId="007AC59D" w:rsidR="005846C4" w:rsidRPr="004A309E" w:rsidRDefault="005846C4" w:rsidP="005846C4">
      <w:pPr>
        <w:jc w:val="center"/>
        <w:rPr>
          <w:b/>
          <w:bCs/>
          <w:sz w:val="24"/>
          <w:szCs w:val="24"/>
        </w:rPr>
      </w:pPr>
      <w:r w:rsidRPr="004A309E">
        <w:rPr>
          <w:b/>
          <w:bCs/>
          <w:sz w:val="24"/>
          <w:szCs w:val="24"/>
        </w:rPr>
        <w:t>Cambios en las deudas totales de la empresa</w:t>
      </w:r>
      <w:r w:rsidR="00BA4114" w:rsidRPr="004A309E">
        <w:rPr>
          <w:b/>
          <w:bCs/>
          <w:sz w:val="24"/>
          <w:szCs w:val="24"/>
        </w:rPr>
        <w:t xml:space="preserve"> a partir de marzo 2020</w:t>
      </w:r>
    </w:p>
    <w:p w14:paraId="23C3BC90" w14:textId="35719026" w:rsidR="005846C4" w:rsidRPr="00F66B8C" w:rsidRDefault="00F66B8C" w:rsidP="00F66B8C">
      <w:pPr>
        <w:jc w:val="right"/>
        <w:rPr>
          <w:b/>
          <w:bCs/>
          <w:sz w:val="24"/>
          <w:szCs w:val="20"/>
        </w:rPr>
      </w:pPr>
      <w:r w:rsidRPr="00F66B8C">
        <w:rPr>
          <w:b/>
          <w:bCs/>
          <w:sz w:val="24"/>
          <w:szCs w:val="20"/>
        </w:rPr>
        <w:t>Gráfica 2</w:t>
      </w:r>
      <w:r w:rsidR="0072049C">
        <w:rPr>
          <w:b/>
          <w:bCs/>
          <w:sz w:val="24"/>
          <w:szCs w:val="20"/>
        </w:rPr>
        <w:t>0</w:t>
      </w:r>
    </w:p>
    <w:p w14:paraId="2725949D" w14:textId="60290165" w:rsidR="005846C4" w:rsidRDefault="00517339" w:rsidP="005846C4">
      <w:pPr>
        <w:jc w:val="center"/>
        <w:rPr>
          <w:sz w:val="28"/>
          <w:szCs w:val="28"/>
        </w:rPr>
      </w:pPr>
      <w:r>
        <w:rPr>
          <w:noProof/>
        </w:rPr>
        <w:drawing>
          <wp:inline distT="0" distB="0" distL="0" distR="0" wp14:anchorId="506A6FCA" wp14:editId="191E58DF">
            <wp:extent cx="5819775" cy="2225510"/>
            <wp:effectExtent l="0" t="0" r="0" b="381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842630" cy="2234250"/>
                    </a:xfrm>
                    <a:prstGeom prst="rect">
                      <a:avLst/>
                    </a:prstGeom>
                  </pic:spPr>
                </pic:pic>
              </a:graphicData>
            </a:graphic>
          </wp:inline>
        </w:drawing>
      </w:r>
    </w:p>
    <w:p w14:paraId="20277375" w14:textId="4F90773C" w:rsidR="00517339" w:rsidRDefault="00517339" w:rsidP="00517339">
      <w:pPr>
        <w:rPr>
          <w:b/>
          <w:bCs/>
          <w:sz w:val="14"/>
          <w:szCs w:val="14"/>
        </w:rPr>
      </w:pPr>
      <w:r w:rsidRPr="00517339">
        <w:rPr>
          <w:b/>
          <w:bCs/>
          <w:sz w:val="14"/>
          <w:szCs w:val="14"/>
        </w:rPr>
        <w:t>Nota: porcentajes calculados como proporción del total de empresas.</w:t>
      </w:r>
    </w:p>
    <w:p w14:paraId="743B140F" w14:textId="197D666F" w:rsidR="00E60085" w:rsidRDefault="00E60085" w:rsidP="00517339">
      <w:pPr>
        <w:rPr>
          <w:sz w:val="14"/>
          <w:szCs w:val="14"/>
        </w:rPr>
      </w:pPr>
    </w:p>
    <w:p w14:paraId="00E9C483" w14:textId="79F0E1F9" w:rsidR="00E60085" w:rsidRPr="00C81A59" w:rsidRDefault="00E60085" w:rsidP="00E60085">
      <w:pPr>
        <w:jc w:val="both"/>
        <w:rPr>
          <w:sz w:val="24"/>
          <w:szCs w:val="24"/>
        </w:rPr>
      </w:pPr>
      <w:r w:rsidRPr="00C81A59">
        <w:rPr>
          <w:sz w:val="24"/>
          <w:szCs w:val="24"/>
        </w:rPr>
        <w:t xml:space="preserve">Con respecto al retraso en el pago de adeudos de clientes y/o compradores de las empresas, 43.6% de empresas indica que la empresa no sufrirá dicho retraso en los próximos 6 meses posteriores a la aplicación de la encuesta. El 31.4% de empresas anticipa que su empresa sí sufrirá retrasos en este tiempo, mientras que 24.9% indica no tener adeudos por parte de sus clientes y/o compradores.  </w:t>
      </w:r>
    </w:p>
    <w:p w14:paraId="7ACF61D9" w14:textId="77777777" w:rsidR="00E60085" w:rsidRDefault="00E60085" w:rsidP="00517339">
      <w:pPr>
        <w:rPr>
          <w:sz w:val="14"/>
          <w:szCs w:val="14"/>
        </w:rPr>
      </w:pPr>
    </w:p>
    <w:p w14:paraId="5FDD3466" w14:textId="77777777" w:rsidR="00517339" w:rsidRPr="00517339" w:rsidRDefault="00517339" w:rsidP="00517339">
      <w:pPr>
        <w:rPr>
          <w:sz w:val="14"/>
          <w:szCs w:val="14"/>
        </w:rPr>
      </w:pPr>
    </w:p>
    <w:p w14:paraId="0D5EFEFD" w14:textId="5202C78A" w:rsidR="005846C4" w:rsidRPr="004A309E" w:rsidRDefault="005846C4" w:rsidP="005846C4">
      <w:pPr>
        <w:jc w:val="center"/>
        <w:rPr>
          <w:b/>
          <w:bCs/>
          <w:sz w:val="24"/>
          <w:szCs w:val="24"/>
        </w:rPr>
      </w:pPr>
      <w:r w:rsidRPr="004A309E">
        <w:rPr>
          <w:b/>
          <w:bCs/>
          <w:sz w:val="24"/>
          <w:szCs w:val="24"/>
        </w:rPr>
        <w:t>Retraso en el pago de adeudos de clientes y/o compradores</w:t>
      </w:r>
    </w:p>
    <w:p w14:paraId="0D39D7AC" w14:textId="1344C865" w:rsidR="00F66B8C" w:rsidRPr="00F66B8C" w:rsidRDefault="00F66B8C" w:rsidP="00F66B8C">
      <w:pPr>
        <w:jc w:val="right"/>
        <w:rPr>
          <w:b/>
          <w:bCs/>
          <w:sz w:val="24"/>
          <w:szCs w:val="20"/>
        </w:rPr>
      </w:pPr>
      <w:r w:rsidRPr="00F66B8C">
        <w:rPr>
          <w:b/>
          <w:bCs/>
          <w:sz w:val="24"/>
          <w:szCs w:val="20"/>
        </w:rPr>
        <w:t>Gráfica 2</w:t>
      </w:r>
      <w:r w:rsidR="00030BD1">
        <w:rPr>
          <w:b/>
          <w:bCs/>
          <w:sz w:val="24"/>
          <w:szCs w:val="20"/>
        </w:rPr>
        <w:t>3</w:t>
      </w:r>
    </w:p>
    <w:p w14:paraId="1068D8AD" w14:textId="4430258A" w:rsidR="005846C4" w:rsidRDefault="00517339" w:rsidP="005846C4">
      <w:pPr>
        <w:jc w:val="center"/>
        <w:rPr>
          <w:sz w:val="28"/>
          <w:szCs w:val="28"/>
        </w:rPr>
      </w:pPr>
      <w:r>
        <w:rPr>
          <w:noProof/>
        </w:rPr>
        <w:drawing>
          <wp:inline distT="0" distB="0" distL="0" distR="0" wp14:anchorId="737A3005" wp14:editId="06AD3D66">
            <wp:extent cx="5812930" cy="2362200"/>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837170" cy="2372050"/>
                    </a:xfrm>
                    <a:prstGeom prst="rect">
                      <a:avLst/>
                    </a:prstGeom>
                  </pic:spPr>
                </pic:pic>
              </a:graphicData>
            </a:graphic>
          </wp:inline>
        </w:drawing>
      </w:r>
    </w:p>
    <w:p w14:paraId="15A5014F" w14:textId="608DA251" w:rsidR="005846C4" w:rsidRDefault="00517339" w:rsidP="00E60085">
      <w:pPr>
        <w:rPr>
          <w:b/>
          <w:bCs/>
          <w:sz w:val="14"/>
          <w:szCs w:val="14"/>
        </w:rPr>
      </w:pPr>
      <w:r w:rsidRPr="00517339">
        <w:rPr>
          <w:b/>
          <w:bCs/>
          <w:sz w:val="14"/>
          <w:szCs w:val="14"/>
        </w:rPr>
        <w:t>Nota: porcentajes calculados como proporción del total de empresas.</w:t>
      </w:r>
    </w:p>
    <w:p w14:paraId="3498DE02" w14:textId="0B36C22E" w:rsidR="00F149EA" w:rsidRDefault="00F149EA" w:rsidP="00E60085">
      <w:pPr>
        <w:rPr>
          <w:b/>
          <w:bCs/>
          <w:sz w:val="14"/>
          <w:szCs w:val="14"/>
        </w:rPr>
      </w:pPr>
    </w:p>
    <w:p w14:paraId="4EC4206C" w14:textId="179272D0" w:rsidR="00F149EA" w:rsidRDefault="00F149EA" w:rsidP="00E60085">
      <w:pPr>
        <w:rPr>
          <w:b/>
          <w:bCs/>
          <w:sz w:val="14"/>
          <w:szCs w:val="14"/>
        </w:rPr>
      </w:pPr>
    </w:p>
    <w:p w14:paraId="684B4344" w14:textId="2A608044" w:rsidR="003603C9" w:rsidRDefault="003603C9" w:rsidP="00E60085">
      <w:pPr>
        <w:rPr>
          <w:b/>
          <w:bCs/>
          <w:sz w:val="14"/>
          <w:szCs w:val="14"/>
        </w:rPr>
      </w:pPr>
    </w:p>
    <w:p w14:paraId="53256E25" w14:textId="5DFF592E" w:rsidR="003603C9" w:rsidRDefault="003603C9" w:rsidP="00E60085">
      <w:pPr>
        <w:rPr>
          <w:b/>
          <w:bCs/>
          <w:sz w:val="14"/>
          <w:szCs w:val="14"/>
        </w:rPr>
      </w:pPr>
    </w:p>
    <w:p w14:paraId="280D2E73" w14:textId="1CBBCB78" w:rsidR="003603C9" w:rsidRDefault="003603C9" w:rsidP="00E60085">
      <w:pPr>
        <w:rPr>
          <w:b/>
          <w:bCs/>
          <w:sz w:val="14"/>
          <w:szCs w:val="14"/>
        </w:rPr>
      </w:pPr>
    </w:p>
    <w:p w14:paraId="6B797E54" w14:textId="77777777" w:rsidR="003603C9" w:rsidRDefault="003603C9" w:rsidP="00E60085">
      <w:pPr>
        <w:rPr>
          <w:b/>
          <w:bCs/>
          <w:sz w:val="14"/>
          <w:szCs w:val="14"/>
        </w:rPr>
      </w:pPr>
    </w:p>
    <w:p w14:paraId="37F8F696" w14:textId="77777777" w:rsidR="00F149EA" w:rsidRDefault="00F149EA" w:rsidP="00F149EA">
      <w:pPr>
        <w:rPr>
          <w:b/>
          <w:bCs/>
          <w:sz w:val="24"/>
          <w:szCs w:val="24"/>
        </w:rPr>
      </w:pPr>
      <w:r>
        <w:rPr>
          <w:b/>
          <w:bCs/>
          <w:sz w:val="24"/>
          <w:szCs w:val="24"/>
        </w:rPr>
        <w:t>Cooperación Internacional.</w:t>
      </w:r>
    </w:p>
    <w:p w14:paraId="7EF43EC1" w14:textId="77777777" w:rsidR="00F149EA" w:rsidRPr="008E222A" w:rsidRDefault="00F149EA" w:rsidP="008E222A">
      <w:pPr>
        <w:jc w:val="both"/>
        <w:rPr>
          <w:sz w:val="24"/>
          <w:szCs w:val="24"/>
        </w:rPr>
      </w:pPr>
    </w:p>
    <w:p w14:paraId="6CD3243A" w14:textId="295DFD9A" w:rsidR="00F149EA" w:rsidRPr="008E222A" w:rsidRDefault="00F149EA" w:rsidP="008E222A">
      <w:pPr>
        <w:jc w:val="both"/>
        <w:rPr>
          <w:sz w:val="24"/>
          <w:szCs w:val="24"/>
        </w:rPr>
      </w:pPr>
      <w:r w:rsidRPr="008E222A">
        <w:rPr>
          <w:sz w:val="24"/>
          <w:szCs w:val="24"/>
        </w:rPr>
        <w:t>Con el propósito de proveer información comparable con otros países,</w:t>
      </w:r>
      <w:r w:rsidR="00071059">
        <w:rPr>
          <w:sz w:val="24"/>
          <w:szCs w:val="24"/>
        </w:rPr>
        <w:t xml:space="preserve"> se</w:t>
      </w:r>
      <w:r w:rsidRPr="008E222A">
        <w:rPr>
          <w:sz w:val="24"/>
          <w:szCs w:val="24"/>
        </w:rPr>
        <w:t xml:space="preserve"> in</w:t>
      </w:r>
      <w:r w:rsidR="00071059">
        <w:rPr>
          <w:sz w:val="24"/>
          <w:szCs w:val="24"/>
        </w:rPr>
        <w:t>corpora a México en e</w:t>
      </w:r>
      <w:r w:rsidR="00071059" w:rsidRPr="008E222A">
        <w:rPr>
          <w:sz w:val="24"/>
          <w:szCs w:val="24"/>
        </w:rPr>
        <w:t xml:space="preserve">l Tablero de la Encuesta de Pulso Empresarial COVID-19 que publica el Banco Mundial </w:t>
      </w:r>
      <w:r w:rsidR="00071059">
        <w:rPr>
          <w:sz w:val="24"/>
          <w:szCs w:val="24"/>
        </w:rPr>
        <w:t xml:space="preserve">con </w:t>
      </w:r>
      <w:r w:rsidRPr="008E222A">
        <w:rPr>
          <w:sz w:val="24"/>
          <w:szCs w:val="24"/>
        </w:rPr>
        <w:t>los resultados del primer evento de la ECOVID-IE</w:t>
      </w:r>
      <w:r w:rsidR="00071059">
        <w:rPr>
          <w:sz w:val="24"/>
          <w:szCs w:val="24"/>
        </w:rPr>
        <w:t xml:space="preserve"> con referencia a abril de 2020. E</w:t>
      </w:r>
      <w:r w:rsidRPr="008E222A">
        <w:rPr>
          <w:sz w:val="24"/>
          <w:szCs w:val="24"/>
        </w:rPr>
        <w:t>l tablero difunde 21 indicadores armonizados de 48 países para mostrar por tamaño de empresa o por sector, el impacto socioeconómico en las empresas generado por COVID-19.</w:t>
      </w:r>
    </w:p>
    <w:p w14:paraId="43E4BA54" w14:textId="3E8BA5F7" w:rsidR="00F149EA" w:rsidRPr="008E222A" w:rsidRDefault="00F149EA" w:rsidP="008E222A">
      <w:pPr>
        <w:jc w:val="both"/>
        <w:rPr>
          <w:sz w:val="24"/>
          <w:szCs w:val="24"/>
        </w:rPr>
      </w:pPr>
    </w:p>
    <w:p w14:paraId="3B2CDECE" w14:textId="66B2228A" w:rsidR="00F149EA" w:rsidRDefault="00F149EA" w:rsidP="00071059">
      <w:pPr>
        <w:jc w:val="both"/>
        <w:rPr>
          <w:sz w:val="24"/>
          <w:szCs w:val="24"/>
        </w:rPr>
      </w:pPr>
      <w:r w:rsidRPr="008E222A">
        <w:rPr>
          <w:sz w:val="24"/>
          <w:szCs w:val="24"/>
        </w:rPr>
        <w:t>Los indicadores presentados en el tablero pueden contener diferencias en factores específicos de cada país</w:t>
      </w:r>
      <w:r w:rsidR="00071059">
        <w:rPr>
          <w:sz w:val="24"/>
          <w:szCs w:val="24"/>
        </w:rPr>
        <w:t>, d</w:t>
      </w:r>
      <w:r w:rsidRPr="008E222A">
        <w:rPr>
          <w:sz w:val="24"/>
          <w:szCs w:val="24"/>
        </w:rPr>
        <w:t>ependiendo del marco de muestreo</w:t>
      </w:r>
      <w:r w:rsidR="00071059">
        <w:rPr>
          <w:sz w:val="24"/>
          <w:szCs w:val="24"/>
        </w:rPr>
        <w:t xml:space="preserve">, el esquema </w:t>
      </w:r>
      <w:r w:rsidRPr="008E222A">
        <w:rPr>
          <w:sz w:val="24"/>
          <w:szCs w:val="24"/>
        </w:rPr>
        <w:t>de muestreo</w:t>
      </w:r>
      <w:r w:rsidR="00071059">
        <w:rPr>
          <w:sz w:val="24"/>
          <w:szCs w:val="24"/>
        </w:rPr>
        <w:t xml:space="preserve"> y</w:t>
      </w:r>
      <w:r w:rsidRPr="008E222A">
        <w:rPr>
          <w:sz w:val="24"/>
          <w:szCs w:val="24"/>
        </w:rPr>
        <w:t xml:space="preserve"> </w:t>
      </w:r>
      <w:r w:rsidR="00071059">
        <w:rPr>
          <w:sz w:val="24"/>
          <w:szCs w:val="24"/>
        </w:rPr>
        <w:t xml:space="preserve">los alcances de la encuesta. </w:t>
      </w:r>
      <w:r w:rsidRPr="008E222A">
        <w:rPr>
          <w:sz w:val="24"/>
          <w:szCs w:val="24"/>
        </w:rPr>
        <w:t>Se debe</w:t>
      </w:r>
      <w:r w:rsidR="00071059">
        <w:rPr>
          <w:sz w:val="24"/>
          <w:szCs w:val="24"/>
        </w:rPr>
        <w:t>rá</w:t>
      </w:r>
      <w:r w:rsidRPr="008E222A">
        <w:rPr>
          <w:sz w:val="24"/>
          <w:szCs w:val="24"/>
        </w:rPr>
        <w:t xml:space="preserve"> tener la precaución adecuada al utilizar estos datos para establecer comparaciones entre países o conclusiones de políticas.</w:t>
      </w:r>
    </w:p>
    <w:p w14:paraId="23B5DEBA" w14:textId="132E51A0" w:rsidR="00F149EA" w:rsidRDefault="00F149EA" w:rsidP="00F149EA">
      <w:pPr>
        <w:jc w:val="both"/>
        <w:rPr>
          <w:sz w:val="24"/>
          <w:szCs w:val="24"/>
        </w:rPr>
      </w:pPr>
    </w:p>
    <w:p w14:paraId="0A1803FB" w14:textId="3FDC9099" w:rsidR="00F149EA" w:rsidRDefault="00F149EA" w:rsidP="00F149EA">
      <w:pPr>
        <w:jc w:val="both"/>
        <w:rPr>
          <w:sz w:val="24"/>
          <w:szCs w:val="24"/>
        </w:rPr>
      </w:pPr>
      <w:r>
        <w:rPr>
          <w:sz w:val="24"/>
          <w:szCs w:val="24"/>
        </w:rPr>
        <w:t>La información de la primera ronda de la ECOVID-IE de México puede ser consultada en:</w:t>
      </w:r>
    </w:p>
    <w:p w14:paraId="0BA40358" w14:textId="77777777" w:rsidR="00F149EA" w:rsidRPr="008E222A" w:rsidRDefault="00F149EA" w:rsidP="008E222A">
      <w:pPr>
        <w:jc w:val="both"/>
        <w:rPr>
          <w:sz w:val="24"/>
          <w:szCs w:val="24"/>
        </w:rPr>
      </w:pPr>
    </w:p>
    <w:p w14:paraId="0F70BC8A" w14:textId="77777777" w:rsidR="00F149EA" w:rsidRPr="00DB2562" w:rsidRDefault="00DD1EE2" w:rsidP="008E222A">
      <w:pPr>
        <w:jc w:val="both"/>
        <w:rPr>
          <w:color w:val="0000FF"/>
          <w:sz w:val="24"/>
          <w:szCs w:val="24"/>
          <w:u w:val="single"/>
        </w:rPr>
      </w:pPr>
      <w:hyperlink r:id="rId43" w:history="1">
        <w:r w:rsidR="00F149EA" w:rsidRPr="00DB2562">
          <w:rPr>
            <w:color w:val="0000FF"/>
            <w:u w:val="single"/>
          </w:rPr>
          <w:t>https://www.worldbank.org/en/data/interactive/2021/01/19/covid-19-business-pulse-survey-dashboard</w:t>
        </w:r>
      </w:hyperlink>
    </w:p>
    <w:p w14:paraId="58E2CA1E" w14:textId="77777777" w:rsidR="00F149EA" w:rsidRPr="008E222A" w:rsidRDefault="00F149EA" w:rsidP="008E222A">
      <w:pPr>
        <w:jc w:val="both"/>
        <w:rPr>
          <w:sz w:val="24"/>
          <w:szCs w:val="24"/>
        </w:rPr>
      </w:pPr>
    </w:p>
    <w:p w14:paraId="2A987D7A" w14:textId="77777777" w:rsidR="00F149EA" w:rsidRPr="00F149EA" w:rsidRDefault="00F149EA" w:rsidP="00F149EA">
      <w:pPr>
        <w:rPr>
          <w:b/>
          <w:bCs/>
          <w:sz w:val="24"/>
          <w:szCs w:val="24"/>
        </w:rPr>
      </w:pPr>
    </w:p>
    <w:p w14:paraId="48257887" w14:textId="77777777" w:rsidR="00F149EA" w:rsidRPr="00E60085" w:rsidRDefault="00F149EA" w:rsidP="00E60085">
      <w:pPr>
        <w:rPr>
          <w:sz w:val="14"/>
          <w:szCs w:val="14"/>
        </w:rPr>
      </w:pPr>
    </w:p>
    <w:sectPr w:rsidR="00F149EA" w:rsidRPr="00E60085" w:rsidSect="00205F5C">
      <w:headerReference w:type="default" r:id="rId44"/>
      <w:type w:val="continuous"/>
      <w:pgSz w:w="12250" w:h="15850"/>
      <w:pgMar w:top="2127" w:right="1193" w:bottom="640" w:left="1418" w:header="257" w:footer="7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A70DB" w14:textId="77777777" w:rsidR="00F863C1" w:rsidRDefault="00F863C1">
      <w:r>
        <w:separator/>
      </w:r>
    </w:p>
  </w:endnote>
  <w:endnote w:type="continuationSeparator" w:id="0">
    <w:p w14:paraId="6B9A7B92" w14:textId="77777777" w:rsidR="00F863C1" w:rsidRDefault="00F86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varese Bk BT">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11997" w14:textId="1A35C5EF" w:rsidR="00ED7C91" w:rsidRPr="004A309E" w:rsidRDefault="00ED7C91" w:rsidP="004A309E">
    <w:pPr>
      <w:pStyle w:val="Piedepgina"/>
      <w:jc w:val="center"/>
      <w:rPr>
        <w:b/>
        <w:color w:val="002060"/>
        <w:sz w:val="20"/>
        <w:szCs w:val="20"/>
      </w:rPr>
    </w:pPr>
    <w:r w:rsidRPr="004A309E">
      <w:rPr>
        <w:b/>
        <w:color w:val="002060"/>
        <w:sz w:val="20"/>
        <w:szCs w:val="20"/>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77226" w14:textId="77777777" w:rsidR="00F863C1" w:rsidRDefault="00F863C1">
      <w:r>
        <w:separator/>
      </w:r>
    </w:p>
  </w:footnote>
  <w:footnote w:type="continuationSeparator" w:id="0">
    <w:p w14:paraId="3BEE8A7D" w14:textId="77777777" w:rsidR="00F863C1" w:rsidRDefault="00F863C1">
      <w:r>
        <w:continuationSeparator/>
      </w:r>
    </w:p>
  </w:footnote>
  <w:footnote w:id="1">
    <w:p w14:paraId="57765ED2" w14:textId="2E0A1126" w:rsidR="00ED7C91" w:rsidRDefault="00ED7C91" w:rsidP="0046061D">
      <w:pPr>
        <w:jc w:val="both"/>
        <w:rPr>
          <w:color w:val="000000"/>
          <w:sz w:val="18"/>
          <w:szCs w:val="18"/>
        </w:rPr>
      </w:pPr>
      <w:r>
        <w:rPr>
          <w:rStyle w:val="Refdenotaalpie"/>
        </w:rPr>
        <w:footnoteRef/>
      </w:r>
      <w:r>
        <w:t xml:space="preserve"> </w:t>
      </w:r>
      <w:r>
        <w:rPr>
          <w:color w:val="000000"/>
          <w:sz w:val="18"/>
          <w:szCs w:val="18"/>
        </w:rPr>
        <w:t>Acuerdo que tiene por objeto establecer la estratificación bajo la cual se catalogarán las micro, pequeñas y medianas empresas, para efectos del artículo 3, fracción III, de la Ley para el Desarrollo de la Competitividad de la Micro, Pequeña y Mediana Empresa.</w:t>
      </w:r>
      <w:r w:rsidRPr="00F92562">
        <w:t xml:space="preserve"> </w:t>
      </w:r>
      <w:hyperlink r:id="rId1" w:history="1">
        <w:r w:rsidRPr="00685156">
          <w:rPr>
            <w:rStyle w:val="Hipervnculo"/>
            <w:sz w:val="18"/>
            <w:szCs w:val="18"/>
          </w:rPr>
          <w:t>http://www.dof.gob.mx/nota_detalle_popup.php?codigo=5096849</w:t>
        </w:r>
      </w:hyperlink>
    </w:p>
    <w:p w14:paraId="41DFC752" w14:textId="73209127" w:rsidR="00ED7C91" w:rsidRPr="0046061D" w:rsidRDefault="00ED7C91" w:rsidP="0046061D">
      <w:pPr>
        <w:pStyle w:val="Textonotapie"/>
        <w:jc w:val="both"/>
        <w:rPr>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3B3A7" w14:textId="671F4C7E" w:rsidR="00ED7C91" w:rsidRDefault="00ED7C91" w:rsidP="004A309E">
    <w:pPr>
      <w:ind w:left="-567" w:right="15"/>
      <w:jc w:val="right"/>
      <w:rPr>
        <w:b/>
        <w:color w:val="002060"/>
      </w:rPr>
    </w:pPr>
    <w:r>
      <w:rPr>
        <w:b/>
        <w:color w:val="002060"/>
      </w:rPr>
      <w:tab/>
    </w:r>
    <w:r>
      <w:rPr>
        <w:b/>
        <w:color w:val="002060"/>
      </w:rPr>
      <w:tab/>
    </w:r>
  </w:p>
  <w:p w14:paraId="3CA531A3" w14:textId="646C6FAE" w:rsidR="00ED7C91" w:rsidRDefault="00ED7C91" w:rsidP="004A309E">
    <w:pPr>
      <w:ind w:left="-567" w:right="15"/>
      <w:jc w:val="right"/>
      <w:rPr>
        <w:b/>
        <w:color w:val="002060"/>
        <w:sz w:val="24"/>
        <w:szCs w:val="24"/>
      </w:rPr>
    </w:pPr>
    <w:r>
      <w:rPr>
        <w:noProof/>
        <w:lang w:eastAsia="es-MX"/>
      </w:rPr>
      <w:drawing>
        <wp:anchor distT="0" distB="0" distL="114300" distR="114300" simplePos="0" relativeHeight="251669504" behindDoc="0" locked="0" layoutInCell="1" allowOverlap="1" wp14:anchorId="2873BE20" wp14:editId="2991ED38">
          <wp:simplePos x="0" y="0"/>
          <wp:positionH relativeFrom="margin">
            <wp:posOffset>-190500</wp:posOffset>
          </wp:positionH>
          <wp:positionV relativeFrom="topMargin">
            <wp:posOffset>476250</wp:posOffset>
          </wp:positionV>
          <wp:extent cx="771525" cy="800735"/>
          <wp:effectExtent l="0" t="0" r="9525" b="0"/>
          <wp:wrapSquare wrapText="bothSides"/>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800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8B5D5B" w14:textId="55C639C8" w:rsidR="00ED7C91" w:rsidRPr="0099258B" w:rsidRDefault="00ED7C91" w:rsidP="004A309E">
    <w:pPr>
      <w:ind w:left="-567" w:right="15"/>
      <w:jc w:val="right"/>
      <w:rPr>
        <w:sz w:val="24"/>
        <w:szCs w:val="24"/>
      </w:rPr>
    </w:pPr>
    <w:r w:rsidRPr="0099258B">
      <w:rPr>
        <w:b/>
        <w:color w:val="002060"/>
        <w:sz w:val="24"/>
        <w:szCs w:val="24"/>
      </w:rPr>
      <w:t>COMUNICADO</w:t>
    </w:r>
    <w:r w:rsidRPr="0099258B">
      <w:rPr>
        <w:b/>
        <w:color w:val="002060"/>
        <w:spacing w:val="-11"/>
        <w:sz w:val="24"/>
        <w:szCs w:val="24"/>
      </w:rPr>
      <w:t xml:space="preserve"> </w:t>
    </w:r>
    <w:r w:rsidRPr="0099258B">
      <w:rPr>
        <w:b/>
        <w:color w:val="002060"/>
        <w:sz w:val="24"/>
        <w:szCs w:val="24"/>
      </w:rPr>
      <w:t>DE</w:t>
    </w:r>
    <w:r w:rsidRPr="0099258B">
      <w:rPr>
        <w:b/>
        <w:color w:val="002060"/>
        <w:spacing w:val="-11"/>
        <w:sz w:val="24"/>
        <w:szCs w:val="24"/>
      </w:rPr>
      <w:t xml:space="preserve"> P</w:t>
    </w:r>
    <w:r w:rsidRPr="0099258B">
      <w:rPr>
        <w:b/>
        <w:color w:val="002060"/>
        <w:spacing w:val="-1"/>
        <w:sz w:val="24"/>
        <w:szCs w:val="24"/>
      </w:rPr>
      <w:t>RENSA</w:t>
    </w:r>
    <w:r w:rsidRPr="0099258B">
      <w:rPr>
        <w:b/>
        <w:color w:val="002060"/>
        <w:spacing w:val="-11"/>
        <w:sz w:val="24"/>
        <w:szCs w:val="24"/>
      </w:rPr>
      <w:t xml:space="preserve"> </w:t>
    </w:r>
    <w:r w:rsidRPr="0099258B">
      <w:rPr>
        <w:b/>
        <w:color w:val="002060"/>
        <w:sz w:val="24"/>
        <w:szCs w:val="24"/>
      </w:rPr>
      <w:t xml:space="preserve">NÚM. </w:t>
    </w:r>
    <w:r>
      <w:rPr>
        <w:b/>
        <w:color w:val="002060"/>
        <w:sz w:val="24"/>
        <w:szCs w:val="24"/>
      </w:rPr>
      <w:t>326</w:t>
    </w:r>
    <w:r w:rsidRPr="0099258B">
      <w:rPr>
        <w:b/>
        <w:color w:val="002060"/>
        <w:sz w:val="24"/>
        <w:szCs w:val="24"/>
      </w:rPr>
      <w:t>/</w:t>
    </w:r>
    <w:r>
      <w:rPr>
        <w:b/>
        <w:color w:val="002060"/>
        <w:sz w:val="24"/>
        <w:szCs w:val="24"/>
      </w:rPr>
      <w:t>21</w:t>
    </w:r>
    <w:r w:rsidRPr="0099258B">
      <w:rPr>
        <w:b/>
        <w:color w:val="002060"/>
        <w:spacing w:val="-11"/>
        <w:sz w:val="24"/>
        <w:szCs w:val="24"/>
      </w:rPr>
      <w:t xml:space="preserve"> </w:t>
    </w:r>
  </w:p>
  <w:p w14:paraId="01895D95" w14:textId="6F8BE210" w:rsidR="00ED7C91" w:rsidRPr="0099258B" w:rsidRDefault="00ED7C91" w:rsidP="004A309E">
    <w:pPr>
      <w:ind w:right="15"/>
      <w:jc w:val="right"/>
      <w:rPr>
        <w:sz w:val="24"/>
        <w:szCs w:val="24"/>
      </w:rPr>
    </w:pPr>
    <w:r>
      <w:rPr>
        <w:b/>
        <w:color w:val="002060"/>
        <w:sz w:val="24"/>
        <w:szCs w:val="24"/>
      </w:rPr>
      <w:t>31</w:t>
    </w:r>
    <w:r w:rsidRPr="0099258B">
      <w:rPr>
        <w:b/>
        <w:color w:val="002060"/>
        <w:sz w:val="24"/>
        <w:szCs w:val="24"/>
      </w:rPr>
      <w:t xml:space="preserve"> DE </w:t>
    </w:r>
    <w:r>
      <w:rPr>
        <w:b/>
        <w:color w:val="002060"/>
        <w:sz w:val="24"/>
        <w:szCs w:val="24"/>
      </w:rPr>
      <w:t>MAYO</w:t>
    </w:r>
    <w:r w:rsidRPr="0099258B">
      <w:rPr>
        <w:b/>
        <w:color w:val="002060"/>
        <w:spacing w:val="-6"/>
        <w:sz w:val="24"/>
        <w:szCs w:val="24"/>
      </w:rPr>
      <w:t xml:space="preserve"> </w:t>
    </w:r>
    <w:r w:rsidRPr="0099258B">
      <w:rPr>
        <w:b/>
        <w:color w:val="002060"/>
        <w:sz w:val="24"/>
        <w:szCs w:val="24"/>
      </w:rPr>
      <w:t>DE</w:t>
    </w:r>
    <w:r w:rsidRPr="0099258B">
      <w:rPr>
        <w:b/>
        <w:color w:val="002060"/>
        <w:spacing w:val="-5"/>
        <w:sz w:val="24"/>
        <w:szCs w:val="24"/>
      </w:rPr>
      <w:t xml:space="preserve"> </w:t>
    </w:r>
    <w:r w:rsidRPr="0099258B">
      <w:rPr>
        <w:b/>
        <w:color w:val="002060"/>
        <w:sz w:val="24"/>
        <w:szCs w:val="24"/>
      </w:rPr>
      <w:t>20</w:t>
    </w:r>
    <w:r>
      <w:rPr>
        <w:b/>
        <w:color w:val="002060"/>
        <w:sz w:val="24"/>
        <w:szCs w:val="24"/>
      </w:rPr>
      <w:t>21</w:t>
    </w:r>
  </w:p>
  <w:p w14:paraId="0DD7BCD4" w14:textId="4D7B1F40" w:rsidR="00ED7C91" w:rsidRPr="0099258B" w:rsidRDefault="00ED7C91" w:rsidP="004A309E">
    <w:pPr>
      <w:ind w:right="15"/>
      <w:jc w:val="right"/>
      <w:rPr>
        <w:sz w:val="24"/>
        <w:szCs w:val="24"/>
      </w:rPr>
    </w:pPr>
    <w:r w:rsidRPr="0099258B">
      <w:rPr>
        <w:b/>
        <w:color w:val="002060"/>
        <w:sz w:val="24"/>
        <w:szCs w:val="24"/>
      </w:rPr>
      <w:t>PÁGINA</w:t>
    </w:r>
    <w:r w:rsidRPr="0099258B">
      <w:rPr>
        <w:b/>
        <w:color w:val="002060"/>
        <w:spacing w:val="-13"/>
        <w:sz w:val="24"/>
        <w:szCs w:val="24"/>
      </w:rPr>
      <w:t xml:space="preserve"> </w:t>
    </w:r>
    <w:r w:rsidRPr="0099258B">
      <w:rPr>
        <w:sz w:val="24"/>
        <w:szCs w:val="24"/>
      </w:rPr>
      <w:fldChar w:fldCharType="begin"/>
    </w:r>
    <w:r w:rsidRPr="0099258B">
      <w:rPr>
        <w:b/>
        <w:color w:val="002060"/>
        <w:sz w:val="24"/>
        <w:szCs w:val="24"/>
      </w:rPr>
      <w:instrText xml:space="preserve"> PAGE </w:instrText>
    </w:r>
    <w:r w:rsidRPr="0099258B">
      <w:rPr>
        <w:sz w:val="24"/>
        <w:szCs w:val="24"/>
      </w:rPr>
      <w:fldChar w:fldCharType="separate"/>
    </w:r>
    <w:r>
      <w:rPr>
        <w:sz w:val="24"/>
        <w:szCs w:val="24"/>
      </w:rPr>
      <w:t>1</w:t>
    </w:r>
    <w:r w:rsidRPr="0099258B">
      <w:rPr>
        <w:sz w:val="24"/>
        <w:szCs w:val="24"/>
      </w:rPr>
      <w:fldChar w:fldCharType="end"/>
    </w:r>
    <w:r w:rsidRPr="0099258B">
      <w:rPr>
        <w:b/>
        <w:color w:val="002060"/>
        <w:sz w:val="24"/>
        <w:szCs w:val="24"/>
      </w:rPr>
      <w:t>/</w:t>
    </w:r>
    <w:r>
      <w:rPr>
        <w:b/>
        <w:color w:val="002060"/>
        <w:sz w:val="24"/>
        <w:szCs w:val="24"/>
      </w:rPr>
      <w:t>2</w:t>
    </w:r>
  </w:p>
  <w:p w14:paraId="6611C6A5" w14:textId="795111A9" w:rsidR="00ED7C91" w:rsidRDefault="00ED7C91">
    <w:pPr>
      <w:pStyle w:val="Textoindependiente"/>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8C26C" w14:textId="77777777" w:rsidR="00ED7C91" w:rsidRDefault="00ED7C91" w:rsidP="004A309E">
    <w:pPr>
      <w:ind w:left="-567" w:right="15"/>
      <w:jc w:val="right"/>
      <w:rPr>
        <w:b/>
        <w:color w:val="002060"/>
      </w:rPr>
    </w:pPr>
    <w:r>
      <w:rPr>
        <w:b/>
        <w:color w:val="002060"/>
      </w:rPr>
      <w:tab/>
    </w:r>
    <w:r>
      <w:rPr>
        <w:b/>
        <w:color w:val="002060"/>
      </w:rPr>
      <w:tab/>
    </w:r>
  </w:p>
  <w:p w14:paraId="154793EF" w14:textId="29157860" w:rsidR="00ED7C91" w:rsidRDefault="00ED7C91" w:rsidP="004A309E">
    <w:pPr>
      <w:ind w:left="-567" w:right="15"/>
      <w:jc w:val="right"/>
      <w:rPr>
        <w:b/>
        <w:color w:val="002060"/>
        <w:sz w:val="24"/>
        <w:szCs w:val="24"/>
      </w:rPr>
    </w:pPr>
  </w:p>
  <w:p w14:paraId="4CB6000D" w14:textId="37B7C8BA" w:rsidR="00ED7C91" w:rsidRDefault="00ED7C91">
    <w:pPr>
      <w:pStyle w:val="Textoindependiente"/>
      <w:spacing w:line="14" w:lineRule="auto"/>
      <w:rPr>
        <w:sz w:val="20"/>
      </w:rPr>
    </w:pPr>
    <w:r>
      <w:rPr>
        <w:noProof/>
        <w:lang w:eastAsia="es-MX"/>
      </w:rPr>
      <w:drawing>
        <wp:anchor distT="0" distB="0" distL="114300" distR="114300" simplePos="0" relativeHeight="251671552" behindDoc="0" locked="0" layoutInCell="1" allowOverlap="1" wp14:anchorId="7D2CC344" wp14:editId="209C56D9">
          <wp:simplePos x="0" y="0"/>
          <wp:positionH relativeFrom="margin">
            <wp:align>center</wp:align>
          </wp:positionH>
          <wp:positionV relativeFrom="topMargin">
            <wp:align>bottom</wp:align>
          </wp:positionV>
          <wp:extent cx="771525" cy="800735"/>
          <wp:effectExtent l="0" t="0" r="9525"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8007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E88CFC4"/>
    <w:multiLevelType w:val="hybridMultilevel"/>
    <w:tmpl w:val="A7066B7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493FFE"/>
    <w:multiLevelType w:val="hybridMultilevel"/>
    <w:tmpl w:val="4D3EBDC0"/>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2" w15:restartNumberingAfterBreak="0">
    <w:nsid w:val="16056880"/>
    <w:multiLevelType w:val="multilevel"/>
    <w:tmpl w:val="8E4692D6"/>
    <w:lvl w:ilvl="0">
      <w:start w:val="1"/>
      <w:numFmt w:val="decimal"/>
      <w:lvlText w:val="%1."/>
      <w:lvlJc w:val="left"/>
      <w:pPr>
        <w:ind w:left="720" w:hanging="360"/>
      </w:pPr>
    </w:lvl>
    <w:lvl w:ilvl="1">
      <w:start w:val="1"/>
      <w:numFmt w:val="decimal"/>
      <w:isLgl/>
      <w:lvlText w:val="%1.%2."/>
      <w:lvlJc w:val="left"/>
      <w:pPr>
        <w:ind w:left="861" w:hanging="435"/>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3" w15:restartNumberingAfterBreak="0">
    <w:nsid w:val="1A932F7C"/>
    <w:multiLevelType w:val="hybridMultilevel"/>
    <w:tmpl w:val="DC622136"/>
    <w:lvl w:ilvl="0" w:tplc="728615B2">
      <w:start w:val="1"/>
      <w:numFmt w:val="bullet"/>
      <w:lvlText w:val="●"/>
      <w:lvlJc w:val="left"/>
      <w:pPr>
        <w:ind w:left="1102" w:hanging="360"/>
      </w:pPr>
      <w:rPr>
        <w:rFonts w:ascii="Symbol" w:eastAsia="Symbol" w:hAnsi="Symbol" w:cs="Symbol" w:hint="default"/>
        <w:w w:val="46"/>
        <w:sz w:val="24"/>
        <w:szCs w:val="24"/>
      </w:rPr>
    </w:lvl>
    <w:lvl w:ilvl="1" w:tplc="CF72D018">
      <w:start w:val="1"/>
      <w:numFmt w:val="bullet"/>
      <w:lvlText w:val="•"/>
      <w:lvlJc w:val="left"/>
      <w:pPr>
        <w:ind w:left="2026" w:hanging="360"/>
      </w:pPr>
      <w:rPr>
        <w:rFonts w:hint="default"/>
      </w:rPr>
    </w:lvl>
    <w:lvl w:ilvl="2" w:tplc="C364737A">
      <w:start w:val="1"/>
      <w:numFmt w:val="bullet"/>
      <w:lvlText w:val="•"/>
      <w:lvlJc w:val="left"/>
      <w:pPr>
        <w:ind w:left="2952" w:hanging="360"/>
      </w:pPr>
      <w:rPr>
        <w:rFonts w:hint="default"/>
      </w:rPr>
    </w:lvl>
    <w:lvl w:ilvl="3" w:tplc="6AFA671E">
      <w:start w:val="1"/>
      <w:numFmt w:val="bullet"/>
      <w:lvlText w:val="•"/>
      <w:lvlJc w:val="left"/>
      <w:pPr>
        <w:ind w:left="3878" w:hanging="360"/>
      </w:pPr>
      <w:rPr>
        <w:rFonts w:hint="default"/>
      </w:rPr>
    </w:lvl>
    <w:lvl w:ilvl="4" w:tplc="7F10F998">
      <w:start w:val="1"/>
      <w:numFmt w:val="bullet"/>
      <w:lvlText w:val="•"/>
      <w:lvlJc w:val="left"/>
      <w:pPr>
        <w:ind w:left="4804" w:hanging="360"/>
      </w:pPr>
      <w:rPr>
        <w:rFonts w:hint="default"/>
      </w:rPr>
    </w:lvl>
    <w:lvl w:ilvl="5" w:tplc="02AE2CB4">
      <w:start w:val="1"/>
      <w:numFmt w:val="bullet"/>
      <w:lvlText w:val="•"/>
      <w:lvlJc w:val="left"/>
      <w:pPr>
        <w:ind w:left="5731" w:hanging="360"/>
      </w:pPr>
      <w:rPr>
        <w:rFonts w:hint="default"/>
      </w:rPr>
    </w:lvl>
    <w:lvl w:ilvl="6" w:tplc="777A1F7A">
      <w:start w:val="1"/>
      <w:numFmt w:val="bullet"/>
      <w:lvlText w:val="•"/>
      <w:lvlJc w:val="left"/>
      <w:pPr>
        <w:ind w:left="6657" w:hanging="360"/>
      </w:pPr>
      <w:rPr>
        <w:rFonts w:hint="default"/>
      </w:rPr>
    </w:lvl>
    <w:lvl w:ilvl="7" w:tplc="F79E13D6">
      <w:start w:val="1"/>
      <w:numFmt w:val="bullet"/>
      <w:lvlText w:val="•"/>
      <w:lvlJc w:val="left"/>
      <w:pPr>
        <w:ind w:left="7583" w:hanging="360"/>
      </w:pPr>
      <w:rPr>
        <w:rFonts w:hint="default"/>
      </w:rPr>
    </w:lvl>
    <w:lvl w:ilvl="8" w:tplc="4B22DA66">
      <w:start w:val="1"/>
      <w:numFmt w:val="bullet"/>
      <w:lvlText w:val="•"/>
      <w:lvlJc w:val="left"/>
      <w:pPr>
        <w:ind w:left="8509" w:hanging="360"/>
      </w:pPr>
      <w:rPr>
        <w:rFonts w:hint="default"/>
      </w:rPr>
    </w:lvl>
  </w:abstractNum>
  <w:abstractNum w:abstractNumId="4" w15:restartNumberingAfterBreak="0">
    <w:nsid w:val="36812D2C"/>
    <w:multiLevelType w:val="hybridMultilevel"/>
    <w:tmpl w:val="40D6E08A"/>
    <w:lvl w:ilvl="0" w:tplc="080A0019">
      <w:start w:val="1"/>
      <w:numFmt w:val="lowerLetter"/>
      <w:lvlText w:val="%1."/>
      <w:lvlJc w:val="left"/>
      <w:pPr>
        <w:ind w:left="1146" w:hanging="360"/>
      </w:pPr>
    </w:lvl>
    <w:lvl w:ilvl="1" w:tplc="080A0019">
      <w:start w:val="1"/>
      <w:numFmt w:val="lowerLetter"/>
      <w:lvlText w:val="%2."/>
      <w:lvlJc w:val="left"/>
      <w:pPr>
        <w:ind w:left="1866" w:hanging="360"/>
      </w:pPr>
    </w:lvl>
    <w:lvl w:ilvl="2" w:tplc="080A001B">
      <w:start w:val="1"/>
      <w:numFmt w:val="lowerRoman"/>
      <w:lvlText w:val="%3."/>
      <w:lvlJc w:val="right"/>
      <w:pPr>
        <w:ind w:left="2586" w:hanging="180"/>
      </w:pPr>
    </w:lvl>
    <w:lvl w:ilvl="3" w:tplc="080A000F">
      <w:start w:val="1"/>
      <w:numFmt w:val="decimal"/>
      <w:lvlText w:val="%4."/>
      <w:lvlJc w:val="left"/>
      <w:pPr>
        <w:ind w:left="3306" w:hanging="360"/>
      </w:pPr>
    </w:lvl>
    <w:lvl w:ilvl="4" w:tplc="080A0019">
      <w:start w:val="1"/>
      <w:numFmt w:val="lowerLetter"/>
      <w:lvlText w:val="%5."/>
      <w:lvlJc w:val="left"/>
      <w:pPr>
        <w:ind w:left="4026" w:hanging="360"/>
      </w:pPr>
    </w:lvl>
    <w:lvl w:ilvl="5" w:tplc="080A001B">
      <w:start w:val="1"/>
      <w:numFmt w:val="lowerRoman"/>
      <w:lvlText w:val="%6."/>
      <w:lvlJc w:val="right"/>
      <w:pPr>
        <w:ind w:left="4746" w:hanging="180"/>
      </w:pPr>
    </w:lvl>
    <w:lvl w:ilvl="6" w:tplc="080A000F">
      <w:start w:val="1"/>
      <w:numFmt w:val="decimal"/>
      <w:lvlText w:val="%7."/>
      <w:lvlJc w:val="left"/>
      <w:pPr>
        <w:ind w:left="5466" w:hanging="360"/>
      </w:pPr>
    </w:lvl>
    <w:lvl w:ilvl="7" w:tplc="080A0019">
      <w:start w:val="1"/>
      <w:numFmt w:val="lowerLetter"/>
      <w:lvlText w:val="%8."/>
      <w:lvlJc w:val="left"/>
      <w:pPr>
        <w:ind w:left="6186" w:hanging="360"/>
      </w:pPr>
    </w:lvl>
    <w:lvl w:ilvl="8" w:tplc="080A001B">
      <w:start w:val="1"/>
      <w:numFmt w:val="lowerRoman"/>
      <w:lvlText w:val="%9."/>
      <w:lvlJc w:val="right"/>
      <w:pPr>
        <w:ind w:left="6906" w:hanging="180"/>
      </w:pPr>
    </w:lvl>
  </w:abstractNum>
  <w:abstractNum w:abstractNumId="5" w15:restartNumberingAfterBreak="0">
    <w:nsid w:val="3C1E1840"/>
    <w:multiLevelType w:val="hybridMultilevel"/>
    <w:tmpl w:val="FB4E9036"/>
    <w:lvl w:ilvl="0" w:tplc="08C00588">
      <w:start w:val="1"/>
      <w:numFmt w:val="bullet"/>
      <w:lvlText w:val="•"/>
      <w:lvlJc w:val="left"/>
      <w:pPr>
        <w:tabs>
          <w:tab w:val="num" w:pos="720"/>
        </w:tabs>
        <w:ind w:left="720" w:hanging="360"/>
      </w:pPr>
      <w:rPr>
        <w:rFonts w:ascii="Arial" w:hAnsi="Arial" w:cs="Times New Roman" w:hint="default"/>
      </w:rPr>
    </w:lvl>
    <w:lvl w:ilvl="1" w:tplc="8C82F9A8">
      <w:start w:val="1"/>
      <w:numFmt w:val="bullet"/>
      <w:lvlText w:val="•"/>
      <w:lvlJc w:val="left"/>
      <w:pPr>
        <w:tabs>
          <w:tab w:val="num" w:pos="1440"/>
        </w:tabs>
        <w:ind w:left="1440" w:hanging="360"/>
      </w:pPr>
      <w:rPr>
        <w:rFonts w:ascii="Arial" w:hAnsi="Arial" w:cs="Times New Roman" w:hint="default"/>
      </w:rPr>
    </w:lvl>
    <w:lvl w:ilvl="2" w:tplc="3B0E072C">
      <w:start w:val="1"/>
      <w:numFmt w:val="bullet"/>
      <w:lvlText w:val="•"/>
      <w:lvlJc w:val="left"/>
      <w:pPr>
        <w:tabs>
          <w:tab w:val="num" w:pos="2160"/>
        </w:tabs>
        <w:ind w:left="2160" w:hanging="360"/>
      </w:pPr>
      <w:rPr>
        <w:rFonts w:ascii="Arial" w:hAnsi="Arial" w:cs="Times New Roman" w:hint="default"/>
      </w:rPr>
    </w:lvl>
    <w:lvl w:ilvl="3" w:tplc="6F964572">
      <w:start w:val="1"/>
      <w:numFmt w:val="bullet"/>
      <w:lvlText w:val="•"/>
      <w:lvlJc w:val="left"/>
      <w:pPr>
        <w:tabs>
          <w:tab w:val="num" w:pos="2880"/>
        </w:tabs>
        <w:ind w:left="2880" w:hanging="360"/>
      </w:pPr>
      <w:rPr>
        <w:rFonts w:ascii="Arial" w:hAnsi="Arial" w:cs="Times New Roman" w:hint="default"/>
      </w:rPr>
    </w:lvl>
    <w:lvl w:ilvl="4" w:tplc="A0C8BB20">
      <w:start w:val="1"/>
      <w:numFmt w:val="bullet"/>
      <w:lvlText w:val="•"/>
      <w:lvlJc w:val="left"/>
      <w:pPr>
        <w:tabs>
          <w:tab w:val="num" w:pos="3600"/>
        </w:tabs>
        <w:ind w:left="3600" w:hanging="360"/>
      </w:pPr>
      <w:rPr>
        <w:rFonts w:ascii="Arial" w:hAnsi="Arial" w:cs="Times New Roman" w:hint="default"/>
      </w:rPr>
    </w:lvl>
    <w:lvl w:ilvl="5" w:tplc="2E54A4D4">
      <w:start w:val="1"/>
      <w:numFmt w:val="bullet"/>
      <w:lvlText w:val="•"/>
      <w:lvlJc w:val="left"/>
      <w:pPr>
        <w:tabs>
          <w:tab w:val="num" w:pos="4320"/>
        </w:tabs>
        <w:ind w:left="4320" w:hanging="360"/>
      </w:pPr>
      <w:rPr>
        <w:rFonts w:ascii="Arial" w:hAnsi="Arial" w:cs="Times New Roman" w:hint="default"/>
      </w:rPr>
    </w:lvl>
    <w:lvl w:ilvl="6" w:tplc="01D216D4">
      <w:start w:val="1"/>
      <w:numFmt w:val="bullet"/>
      <w:lvlText w:val="•"/>
      <w:lvlJc w:val="left"/>
      <w:pPr>
        <w:tabs>
          <w:tab w:val="num" w:pos="5040"/>
        </w:tabs>
        <w:ind w:left="5040" w:hanging="360"/>
      </w:pPr>
      <w:rPr>
        <w:rFonts w:ascii="Arial" w:hAnsi="Arial" w:cs="Times New Roman" w:hint="default"/>
      </w:rPr>
    </w:lvl>
    <w:lvl w:ilvl="7" w:tplc="05F4BB8E">
      <w:start w:val="1"/>
      <w:numFmt w:val="bullet"/>
      <w:lvlText w:val="•"/>
      <w:lvlJc w:val="left"/>
      <w:pPr>
        <w:tabs>
          <w:tab w:val="num" w:pos="5760"/>
        </w:tabs>
        <w:ind w:left="5760" w:hanging="360"/>
      </w:pPr>
      <w:rPr>
        <w:rFonts w:ascii="Arial" w:hAnsi="Arial" w:cs="Times New Roman" w:hint="default"/>
      </w:rPr>
    </w:lvl>
    <w:lvl w:ilvl="8" w:tplc="EC8C79D8">
      <w:start w:val="1"/>
      <w:numFmt w:val="bullet"/>
      <w:lvlText w:val="•"/>
      <w:lvlJc w:val="left"/>
      <w:pPr>
        <w:tabs>
          <w:tab w:val="num" w:pos="6480"/>
        </w:tabs>
        <w:ind w:left="6480" w:hanging="360"/>
      </w:pPr>
      <w:rPr>
        <w:rFonts w:ascii="Arial" w:hAnsi="Arial" w:cs="Times New Roman" w:hint="default"/>
      </w:rPr>
    </w:lvl>
  </w:abstractNum>
  <w:abstractNum w:abstractNumId="6" w15:restartNumberingAfterBreak="0">
    <w:nsid w:val="57761AA7"/>
    <w:multiLevelType w:val="hybridMultilevel"/>
    <w:tmpl w:val="7F7E7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F4D226B"/>
    <w:multiLevelType w:val="hybridMultilevel"/>
    <w:tmpl w:val="5A9C7904"/>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8" w15:restartNumberingAfterBreak="0">
    <w:nsid w:val="71866A70"/>
    <w:multiLevelType w:val="hybridMultilevel"/>
    <w:tmpl w:val="18DC0C78"/>
    <w:lvl w:ilvl="0" w:tplc="080A0001">
      <w:start w:val="1"/>
      <w:numFmt w:val="bullet"/>
      <w:lvlText w:val=""/>
      <w:lvlJc w:val="left"/>
      <w:pPr>
        <w:ind w:left="822" w:hanging="360"/>
      </w:pPr>
      <w:rPr>
        <w:rFonts w:ascii="Symbol" w:hAnsi="Symbol" w:hint="default"/>
      </w:rPr>
    </w:lvl>
    <w:lvl w:ilvl="1" w:tplc="080A0003" w:tentative="1">
      <w:start w:val="1"/>
      <w:numFmt w:val="bullet"/>
      <w:lvlText w:val="o"/>
      <w:lvlJc w:val="left"/>
      <w:pPr>
        <w:ind w:left="1542" w:hanging="360"/>
      </w:pPr>
      <w:rPr>
        <w:rFonts w:ascii="Courier New" w:hAnsi="Courier New" w:cs="Courier New" w:hint="default"/>
      </w:rPr>
    </w:lvl>
    <w:lvl w:ilvl="2" w:tplc="080A0005" w:tentative="1">
      <w:start w:val="1"/>
      <w:numFmt w:val="bullet"/>
      <w:lvlText w:val=""/>
      <w:lvlJc w:val="left"/>
      <w:pPr>
        <w:ind w:left="2262" w:hanging="360"/>
      </w:pPr>
      <w:rPr>
        <w:rFonts w:ascii="Wingdings" w:hAnsi="Wingdings" w:hint="default"/>
      </w:rPr>
    </w:lvl>
    <w:lvl w:ilvl="3" w:tplc="080A0001" w:tentative="1">
      <w:start w:val="1"/>
      <w:numFmt w:val="bullet"/>
      <w:lvlText w:val=""/>
      <w:lvlJc w:val="left"/>
      <w:pPr>
        <w:ind w:left="2982" w:hanging="360"/>
      </w:pPr>
      <w:rPr>
        <w:rFonts w:ascii="Symbol" w:hAnsi="Symbol" w:hint="default"/>
      </w:rPr>
    </w:lvl>
    <w:lvl w:ilvl="4" w:tplc="080A0003" w:tentative="1">
      <w:start w:val="1"/>
      <w:numFmt w:val="bullet"/>
      <w:lvlText w:val="o"/>
      <w:lvlJc w:val="left"/>
      <w:pPr>
        <w:ind w:left="3702" w:hanging="360"/>
      </w:pPr>
      <w:rPr>
        <w:rFonts w:ascii="Courier New" w:hAnsi="Courier New" w:cs="Courier New" w:hint="default"/>
      </w:rPr>
    </w:lvl>
    <w:lvl w:ilvl="5" w:tplc="080A0005" w:tentative="1">
      <w:start w:val="1"/>
      <w:numFmt w:val="bullet"/>
      <w:lvlText w:val=""/>
      <w:lvlJc w:val="left"/>
      <w:pPr>
        <w:ind w:left="4422" w:hanging="360"/>
      </w:pPr>
      <w:rPr>
        <w:rFonts w:ascii="Wingdings" w:hAnsi="Wingdings" w:hint="default"/>
      </w:rPr>
    </w:lvl>
    <w:lvl w:ilvl="6" w:tplc="080A0001" w:tentative="1">
      <w:start w:val="1"/>
      <w:numFmt w:val="bullet"/>
      <w:lvlText w:val=""/>
      <w:lvlJc w:val="left"/>
      <w:pPr>
        <w:ind w:left="5142" w:hanging="360"/>
      </w:pPr>
      <w:rPr>
        <w:rFonts w:ascii="Symbol" w:hAnsi="Symbol" w:hint="default"/>
      </w:rPr>
    </w:lvl>
    <w:lvl w:ilvl="7" w:tplc="080A0003" w:tentative="1">
      <w:start w:val="1"/>
      <w:numFmt w:val="bullet"/>
      <w:lvlText w:val="o"/>
      <w:lvlJc w:val="left"/>
      <w:pPr>
        <w:ind w:left="5862" w:hanging="360"/>
      </w:pPr>
      <w:rPr>
        <w:rFonts w:ascii="Courier New" w:hAnsi="Courier New" w:cs="Courier New" w:hint="default"/>
      </w:rPr>
    </w:lvl>
    <w:lvl w:ilvl="8" w:tplc="080A0005" w:tentative="1">
      <w:start w:val="1"/>
      <w:numFmt w:val="bullet"/>
      <w:lvlText w:val=""/>
      <w:lvlJc w:val="left"/>
      <w:pPr>
        <w:ind w:left="6582" w:hanging="360"/>
      </w:pPr>
      <w:rPr>
        <w:rFonts w:ascii="Wingdings" w:hAnsi="Wingdings" w:hint="default"/>
      </w:rPr>
    </w:lvl>
  </w:abstractNum>
  <w:abstractNum w:abstractNumId="9" w15:restartNumberingAfterBreak="0">
    <w:nsid w:val="72C06F53"/>
    <w:multiLevelType w:val="hybridMultilevel"/>
    <w:tmpl w:val="02EEA1E8"/>
    <w:lvl w:ilvl="0" w:tplc="080A0001">
      <w:start w:val="1"/>
      <w:numFmt w:val="bullet"/>
      <w:lvlText w:val=""/>
      <w:lvlJc w:val="left"/>
      <w:pPr>
        <w:ind w:left="822" w:hanging="360"/>
      </w:pPr>
      <w:rPr>
        <w:rFonts w:ascii="Symbol" w:hAnsi="Symbol" w:hint="default"/>
      </w:rPr>
    </w:lvl>
    <w:lvl w:ilvl="1" w:tplc="080A0003" w:tentative="1">
      <w:start w:val="1"/>
      <w:numFmt w:val="bullet"/>
      <w:lvlText w:val="o"/>
      <w:lvlJc w:val="left"/>
      <w:pPr>
        <w:ind w:left="1542" w:hanging="360"/>
      </w:pPr>
      <w:rPr>
        <w:rFonts w:ascii="Courier New" w:hAnsi="Courier New" w:cs="Courier New" w:hint="default"/>
      </w:rPr>
    </w:lvl>
    <w:lvl w:ilvl="2" w:tplc="080A0005" w:tentative="1">
      <w:start w:val="1"/>
      <w:numFmt w:val="bullet"/>
      <w:lvlText w:val=""/>
      <w:lvlJc w:val="left"/>
      <w:pPr>
        <w:ind w:left="2262" w:hanging="360"/>
      </w:pPr>
      <w:rPr>
        <w:rFonts w:ascii="Wingdings" w:hAnsi="Wingdings" w:hint="default"/>
      </w:rPr>
    </w:lvl>
    <w:lvl w:ilvl="3" w:tplc="080A0001" w:tentative="1">
      <w:start w:val="1"/>
      <w:numFmt w:val="bullet"/>
      <w:lvlText w:val=""/>
      <w:lvlJc w:val="left"/>
      <w:pPr>
        <w:ind w:left="2982" w:hanging="360"/>
      </w:pPr>
      <w:rPr>
        <w:rFonts w:ascii="Symbol" w:hAnsi="Symbol" w:hint="default"/>
      </w:rPr>
    </w:lvl>
    <w:lvl w:ilvl="4" w:tplc="080A0003" w:tentative="1">
      <w:start w:val="1"/>
      <w:numFmt w:val="bullet"/>
      <w:lvlText w:val="o"/>
      <w:lvlJc w:val="left"/>
      <w:pPr>
        <w:ind w:left="3702" w:hanging="360"/>
      </w:pPr>
      <w:rPr>
        <w:rFonts w:ascii="Courier New" w:hAnsi="Courier New" w:cs="Courier New" w:hint="default"/>
      </w:rPr>
    </w:lvl>
    <w:lvl w:ilvl="5" w:tplc="080A0005" w:tentative="1">
      <w:start w:val="1"/>
      <w:numFmt w:val="bullet"/>
      <w:lvlText w:val=""/>
      <w:lvlJc w:val="left"/>
      <w:pPr>
        <w:ind w:left="4422" w:hanging="360"/>
      </w:pPr>
      <w:rPr>
        <w:rFonts w:ascii="Wingdings" w:hAnsi="Wingdings" w:hint="default"/>
      </w:rPr>
    </w:lvl>
    <w:lvl w:ilvl="6" w:tplc="080A0001" w:tentative="1">
      <w:start w:val="1"/>
      <w:numFmt w:val="bullet"/>
      <w:lvlText w:val=""/>
      <w:lvlJc w:val="left"/>
      <w:pPr>
        <w:ind w:left="5142" w:hanging="360"/>
      </w:pPr>
      <w:rPr>
        <w:rFonts w:ascii="Symbol" w:hAnsi="Symbol" w:hint="default"/>
      </w:rPr>
    </w:lvl>
    <w:lvl w:ilvl="7" w:tplc="080A0003" w:tentative="1">
      <w:start w:val="1"/>
      <w:numFmt w:val="bullet"/>
      <w:lvlText w:val="o"/>
      <w:lvlJc w:val="left"/>
      <w:pPr>
        <w:ind w:left="5862" w:hanging="360"/>
      </w:pPr>
      <w:rPr>
        <w:rFonts w:ascii="Courier New" w:hAnsi="Courier New" w:cs="Courier New" w:hint="default"/>
      </w:rPr>
    </w:lvl>
    <w:lvl w:ilvl="8" w:tplc="080A0005" w:tentative="1">
      <w:start w:val="1"/>
      <w:numFmt w:val="bullet"/>
      <w:lvlText w:val=""/>
      <w:lvlJc w:val="left"/>
      <w:pPr>
        <w:ind w:left="6582" w:hanging="360"/>
      </w:pPr>
      <w:rPr>
        <w:rFonts w:ascii="Wingdings" w:hAnsi="Wingdings" w:hint="default"/>
      </w:rPr>
    </w:lvl>
  </w:abstractNum>
  <w:num w:numId="1">
    <w:abstractNumId w:val="3"/>
  </w:num>
  <w:num w:numId="2">
    <w:abstractNumId w:val="6"/>
  </w:num>
  <w:num w:numId="3">
    <w:abstractNumId w:val="7"/>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pt-BR" w:vendorID="64" w:dllVersion="6" w:nlCheck="1" w:checkStyle="0"/>
  <w:activeWritingStyle w:appName="MSWord" w:lang="es-MX" w:vendorID="64" w:dllVersion="6" w:nlCheck="1" w:checkStyle="0"/>
  <w:activeWritingStyle w:appName="MSWord" w:lang="es-MX" w:vendorID="64" w:dllVersion="0" w:nlCheck="1" w:checkStyle="0"/>
  <w:activeWritingStyle w:appName="MSWord" w:lang="en-US" w:vendorID="64" w:dllVersion="6" w:nlCheck="1" w:checkStyle="1"/>
  <w:activeWritingStyle w:appName="MSWord" w:lang="es-ES" w:vendorID="64" w:dllVersion="6" w:nlCheck="1" w:checkStyle="0"/>
  <w:activeWritingStyle w:appName="MSWord" w:lang="es-ES" w:vendorID="64" w:dllVersion="0" w:nlCheck="1" w:checkStyle="0"/>
  <w:activeWritingStyle w:appName="MSWord" w:lang="en-US" w:vendorID="64" w:dllVersion="0" w:nlCheck="1" w:checkStyle="0"/>
  <w:activeWritingStyle w:appName="MSWord" w:lang="es-MX" w:vendorID="64" w:dllVersion="4096" w:nlCheck="1" w:checkStyle="0"/>
  <w:activeWritingStyle w:appName="MSWord" w:lang="en-US" w:vendorID="64" w:dllVersion="4096"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13E"/>
    <w:rsid w:val="00000085"/>
    <w:rsid w:val="000007E8"/>
    <w:rsid w:val="0000138C"/>
    <w:rsid w:val="00002EE0"/>
    <w:rsid w:val="00003F60"/>
    <w:rsid w:val="00003FE1"/>
    <w:rsid w:val="00004733"/>
    <w:rsid w:val="00004FEF"/>
    <w:rsid w:val="00007981"/>
    <w:rsid w:val="0001218B"/>
    <w:rsid w:val="000122BB"/>
    <w:rsid w:val="00012C8D"/>
    <w:rsid w:val="00012FBA"/>
    <w:rsid w:val="00013C10"/>
    <w:rsid w:val="00015507"/>
    <w:rsid w:val="00015EF5"/>
    <w:rsid w:val="00016215"/>
    <w:rsid w:val="00016F79"/>
    <w:rsid w:val="0001714B"/>
    <w:rsid w:val="0002199A"/>
    <w:rsid w:val="00022595"/>
    <w:rsid w:val="00022ADF"/>
    <w:rsid w:val="00023211"/>
    <w:rsid w:val="0002398F"/>
    <w:rsid w:val="000247A1"/>
    <w:rsid w:val="00025EFC"/>
    <w:rsid w:val="0002675E"/>
    <w:rsid w:val="00027558"/>
    <w:rsid w:val="000304AD"/>
    <w:rsid w:val="00030995"/>
    <w:rsid w:val="00030BD1"/>
    <w:rsid w:val="0003391A"/>
    <w:rsid w:val="00033A86"/>
    <w:rsid w:val="00033C82"/>
    <w:rsid w:val="00034E29"/>
    <w:rsid w:val="0003502E"/>
    <w:rsid w:val="00040AA6"/>
    <w:rsid w:val="00044C0E"/>
    <w:rsid w:val="0004562A"/>
    <w:rsid w:val="00053ED5"/>
    <w:rsid w:val="00054E4F"/>
    <w:rsid w:val="0006012A"/>
    <w:rsid w:val="000605EB"/>
    <w:rsid w:val="00063F20"/>
    <w:rsid w:val="00063F67"/>
    <w:rsid w:val="000679F4"/>
    <w:rsid w:val="00067A4B"/>
    <w:rsid w:val="00070325"/>
    <w:rsid w:val="0007071D"/>
    <w:rsid w:val="00070941"/>
    <w:rsid w:val="00071059"/>
    <w:rsid w:val="00072DDE"/>
    <w:rsid w:val="00072E4E"/>
    <w:rsid w:val="00073326"/>
    <w:rsid w:val="00073682"/>
    <w:rsid w:val="000736E0"/>
    <w:rsid w:val="00073CA8"/>
    <w:rsid w:val="00074CD6"/>
    <w:rsid w:val="00076D3F"/>
    <w:rsid w:val="000770D8"/>
    <w:rsid w:val="000773F3"/>
    <w:rsid w:val="00077450"/>
    <w:rsid w:val="000818BA"/>
    <w:rsid w:val="00081A85"/>
    <w:rsid w:val="00084869"/>
    <w:rsid w:val="00084AA7"/>
    <w:rsid w:val="00084BBA"/>
    <w:rsid w:val="00085513"/>
    <w:rsid w:val="00085641"/>
    <w:rsid w:val="000874A7"/>
    <w:rsid w:val="00091D12"/>
    <w:rsid w:val="00092503"/>
    <w:rsid w:val="00095905"/>
    <w:rsid w:val="000961AC"/>
    <w:rsid w:val="00096480"/>
    <w:rsid w:val="000A0397"/>
    <w:rsid w:val="000A1A83"/>
    <w:rsid w:val="000A36BB"/>
    <w:rsid w:val="000A4673"/>
    <w:rsid w:val="000A74D5"/>
    <w:rsid w:val="000A76C0"/>
    <w:rsid w:val="000B00D0"/>
    <w:rsid w:val="000B03B7"/>
    <w:rsid w:val="000B064C"/>
    <w:rsid w:val="000B07C6"/>
    <w:rsid w:val="000B1DE9"/>
    <w:rsid w:val="000B23C5"/>
    <w:rsid w:val="000B32A4"/>
    <w:rsid w:val="000B32A8"/>
    <w:rsid w:val="000B3536"/>
    <w:rsid w:val="000B5EB7"/>
    <w:rsid w:val="000B69A8"/>
    <w:rsid w:val="000C1060"/>
    <w:rsid w:val="000C1431"/>
    <w:rsid w:val="000C2EC5"/>
    <w:rsid w:val="000C3B3A"/>
    <w:rsid w:val="000C4610"/>
    <w:rsid w:val="000C5CA1"/>
    <w:rsid w:val="000C7F19"/>
    <w:rsid w:val="000D03A6"/>
    <w:rsid w:val="000D056F"/>
    <w:rsid w:val="000D1FB8"/>
    <w:rsid w:val="000D39D2"/>
    <w:rsid w:val="000D3ED5"/>
    <w:rsid w:val="000D547C"/>
    <w:rsid w:val="000D7D43"/>
    <w:rsid w:val="000E0363"/>
    <w:rsid w:val="000E047A"/>
    <w:rsid w:val="000E17AB"/>
    <w:rsid w:val="000E25DA"/>
    <w:rsid w:val="000E2969"/>
    <w:rsid w:val="000E3E3C"/>
    <w:rsid w:val="000E4679"/>
    <w:rsid w:val="000E6FBB"/>
    <w:rsid w:val="000F069A"/>
    <w:rsid w:val="000F2718"/>
    <w:rsid w:val="000F3028"/>
    <w:rsid w:val="000F3DF5"/>
    <w:rsid w:val="000F4CAB"/>
    <w:rsid w:val="000F51DD"/>
    <w:rsid w:val="000F5518"/>
    <w:rsid w:val="000F6E46"/>
    <w:rsid w:val="000F740F"/>
    <w:rsid w:val="00100693"/>
    <w:rsid w:val="001010AE"/>
    <w:rsid w:val="001017BA"/>
    <w:rsid w:val="0010186C"/>
    <w:rsid w:val="00102275"/>
    <w:rsid w:val="0010435F"/>
    <w:rsid w:val="0010450D"/>
    <w:rsid w:val="001052F6"/>
    <w:rsid w:val="001060F7"/>
    <w:rsid w:val="00106499"/>
    <w:rsid w:val="00107718"/>
    <w:rsid w:val="0010798D"/>
    <w:rsid w:val="00107ACB"/>
    <w:rsid w:val="00111083"/>
    <w:rsid w:val="00111D97"/>
    <w:rsid w:val="00112529"/>
    <w:rsid w:val="00113AD7"/>
    <w:rsid w:val="00114715"/>
    <w:rsid w:val="0011471D"/>
    <w:rsid w:val="00114ADE"/>
    <w:rsid w:val="0011516B"/>
    <w:rsid w:val="00115446"/>
    <w:rsid w:val="00115F79"/>
    <w:rsid w:val="001170FB"/>
    <w:rsid w:val="001207CA"/>
    <w:rsid w:val="001217C4"/>
    <w:rsid w:val="00122352"/>
    <w:rsid w:val="0012327D"/>
    <w:rsid w:val="00123AF7"/>
    <w:rsid w:val="00123D18"/>
    <w:rsid w:val="0012466C"/>
    <w:rsid w:val="0012507E"/>
    <w:rsid w:val="00125D77"/>
    <w:rsid w:val="0012757F"/>
    <w:rsid w:val="001278B9"/>
    <w:rsid w:val="00131E30"/>
    <w:rsid w:val="00132E95"/>
    <w:rsid w:val="00133987"/>
    <w:rsid w:val="001349D1"/>
    <w:rsid w:val="00135B65"/>
    <w:rsid w:val="00135E9F"/>
    <w:rsid w:val="0013606A"/>
    <w:rsid w:val="001408AE"/>
    <w:rsid w:val="00141A25"/>
    <w:rsid w:val="00142854"/>
    <w:rsid w:val="00143A61"/>
    <w:rsid w:val="001443E0"/>
    <w:rsid w:val="00145881"/>
    <w:rsid w:val="00147841"/>
    <w:rsid w:val="0015082C"/>
    <w:rsid w:val="00151B38"/>
    <w:rsid w:val="001522F9"/>
    <w:rsid w:val="00153208"/>
    <w:rsid w:val="00153310"/>
    <w:rsid w:val="0015343D"/>
    <w:rsid w:val="00153ECD"/>
    <w:rsid w:val="001547E6"/>
    <w:rsid w:val="00154BAD"/>
    <w:rsid w:val="00155718"/>
    <w:rsid w:val="0015658E"/>
    <w:rsid w:val="001577DE"/>
    <w:rsid w:val="00160107"/>
    <w:rsid w:val="00160C20"/>
    <w:rsid w:val="00161995"/>
    <w:rsid w:val="001639E8"/>
    <w:rsid w:val="00163E4D"/>
    <w:rsid w:val="0016422A"/>
    <w:rsid w:val="00165005"/>
    <w:rsid w:val="00165339"/>
    <w:rsid w:val="00165792"/>
    <w:rsid w:val="001665AD"/>
    <w:rsid w:val="0016791A"/>
    <w:rsid w:val="00170736"/>
    <w:rsid w:val="00172D57"/>
    <w:rsid w:val="00173784"/>
    <w:rsid w:val="00173E3D"/>
    <w:rsid w:val="00174D2D"/>
    <w:rsid w:val="00177536"/>
    <w:rsid w:val="00180A25"/>
    <w:rsid w:val="00180F83"/>
    <w:rsid w:val="00182B10"/>
    <w:rsid w:val="00183CEB"/>
    <w:rsid w:val="0018680F"/>
    <w:rsid w:val="001905E6"/>
    <w:rsid w:val="0019133B"/>
    <w:rsid w:val="00191A02"/>
    <w:rsid w:val="0019307E"/>
    <w:rsid w:val="00193FF8"/>
    <w:rsid w:val="0019592D"/>
    <w:rsid w:val="00195D31"/>
    <w:rsid w:val="0019613F"/>
    <w:rsid w:val="00196367"/>
    <w:rsid w:val="00196756"/>
    <w:rsid w:val="00197359"/>
    <w:rsid w:val="001A0EEA"/>
    <w:rsid w:val="001A2235"/>
    <w:rsid w:val="001A2F74"/>
    <w:rsid w:val="001A3783"/>
    <w:rsid w:val="001A40D3"/>
    <w:rsid w:val="001A55FD"/>
    <w:rsid w:val="001A57AB"/>
    <w:rsid w:val="001A6357"/>
    <w:rsid w:val="001B05E9"/>
    <w:rsid w:val="001B415C"/>
    <w:rsid w:val="001B441B"/>
    <w:rsid w:val="001B5B2C"/>
    <w:rsid w:val="001B5F04"/>
    <w:rsid w:val="001B6345"/>
    <w:rsid w:val="001B72B6"/>
    <w:rsid w:val="001C0B03"/>
    <w:rsid w:val="001C198F"/>
    <w:rsid w:val="001C1A6C"/>
    <w:rsid w:val="001C41CA"/>
    <w:rsid w:val="001C4520"/>
    <w:rsid w:val="001C4FEC"/>
    <w:rsid w:val="001C7016"/>
    <w:rsid w:val="001D00FE"/>
    <w:rsid w:val="001D33F5"/>
    <w:rsid w:val="001D3E8B"/>
    <w:rsid w:val="001D42FC"/>
    <w:rsid w:val="001D616A"/>
    <w:rsid w:val="001D6915"/>
    <w:rsid w:val="001E096C"/>
    <w:rsid w:val="001E6B0F"/>
    <w:rsid w:val="001E6C08"/>
    <w:rsid w:val="001E6C7F"/>
    <w:rsid w:val="001E762B"/>
    <w:rsid w:val="001F271C"/>
    <w:rsid w:val="001F2E7E"/>
    <w:rsid w:val="001F5370"/>
    <w:rsid w:val="001F5607"/>
    <w:rsid w:val="001F76B1"/>
    <w:rsid w:val="002005FE"/>
    <w:rsid w:val="0020082C"/>
    <w:rsid w:val="00200852"/>
    <w:rsid w:val="00200C12"/>
    <w:rsid w:val="002011B7"/>
    <w:rsid w:val="00203D72"/>
    <w:rsid w:val="002048FF"/>
    <w:rsid w:val="00205F5C"/>
    <w:rsid w:val="0020725D"/>
    <w:rsid w:val="00207977"/>
    <w:rsid w:val="00210AEE"/>
    <w:rsid w:val="00211988"/>
    <w:rsid w:val="002120FF"/>
    <w:rsid w:val="0021567C"/>
    <w:rsid w:val="0022008C"/>
    <w:rsid w:val="00221124"/>
    <w:rsid w:val="00221373"/>
    <w:rsid w:val="00223D88"/>
    <w:rsid w:val="00224877"/>
    <w:rsid w:val="002250FA"/>
    <w:rsid w:val="00227E65"/>
    <w:rsid w:val="0023062C"/>
    <w:rsid w:val="00230F25"/>
    <w:rsid w:val="00233436"/>
    <w:rsid w:val="00233717"/>
    <w:rsid w:val="0023432E"/>
    <w:rsid w:val="00234ACC"/>
    <w:rsid w:val="00235DF3"/>
    <w:rsid w:val="002366FB"/>
    <w:rsid w:val="002368DB"/>
    <w:rsid w:val="00240F0B"/>
    <w:rsid w:val="00241035"/>
    <w:rsid w:val="0024245D"/>
    <w:rsid w:val="0024292A"/>
    <w:rsid w:val="00244077"/>
    <w:rsid w:val="00244164"/>
    <w:rsid w:val="00244928"/>
    <w:rsid w:val="002455CC"/>
    <w:rsid w:val="0024776B"/>
    <w:rsid w:val="00250806"/>
    <w:rsid w:val="00250839"/>
    <w:rsid w:val="00250DE7"/>
    <w:rsid w:val="00251BAE"/>
    <w:rsid w:val="002526C4"/>
    <w:rsid w:val="00255698"/>
    <w:rsid w:val="002564C3"/>
    <w:rsid w:val="0026050D"/>
    <w:rsid w:val="00261365"/>
    <w:rsid w:val="00262AC8"/>
    <w:rsid w:val="00262E70"/>
    <w:rsid w:val="002652FC"/>
    <w:rsid w:val="00265758"/>
    <w:rsid w:val="00265DA4"/>
    <w:rsid w:val="00266F4B"/>
    <w:rsid w:val="00266FDB"/>
    <w:rsid w:val="00270611"/>
    <w:rsid w:val="00271C29"/>
    <w:rsid w:val="00274509"/>
    <w:rsid w:val="002747CA"/>
    <w:rsid w:val="002748B2"/>
    <w:rsid w:val="002748C9"/>
    <w:rsid w:val="00274F4C"/>
    <w:rsid w:val="00275189"/>
    <w:rsid w:val="002761C3"/>
    <w:rsid w:val="00276724"/>
    <w:rsid w:val="00276BED"/>
    <w:rsid w:val="002801CE"/>
    <w:rsid w:val="002802C8"/>
    <w:rsid w:val="00281768"/>
    <w:rsid w:val="00282F6E"/>
    <w:rsid w:val="00283311"/>
    <w:rsid w:val="00283B16"/>
    <w:rsid w:val="00284268"/>
    <w:rsid w:val="00284D0C"/>
    <w:rsid w:val="002854AC"/>
    <w:rsid w:val="00286775"/>
    <w:rsid w:val="0028769F"/>
    <w:rsid w:val="00287910"/>
    <w:rsid w:val="0029312E"/>
    <w:rsid w:val="00293535"/>
    <w:rsid w:val="0029379A"/>
    <w:rsid w:val="00293905"/>
    <w:rsid w:val="002949DD"/>
    <w:rsid w:val="0029587C"/>
    <w:rsid w:val="002958E6"/>
    <w:rsid w:val="00295FDF"/>
    <w:rsid w:val="00297A63"/>
    <w:rsid w:val="002A04E8"/>
    <w:rsid w:val="002A214F"/>
    <w:rsid w:val="002A2A21"/>
    <w:rsid w:val="002A3531"/>
    <w:rsid w:val="002A36BC"/>
    <w:rsid w:val="002A460F"/>
    <w:rsid w:val="002A4993"/>
    <w:rsid w:val="002A60A1"/>
    <w:rsid w:val="002A6DC4"/>
    <w:rsid w:val="002A7334"/>
    <w:rsid w:val="002B163B"/>
    <w:rsid w:val="002B50CE"/>
    <w:rsid w:val="002B51E6"/>
    <w:rsid w:val="002B625D"/>
    <w:rsid w:val="002B6965"/>
    <w:rsid w:val="002B6A62"/>
    <w:rsid w:val="002B7A3B"/>
    <w:rsid w:val="002C1650"/>
    <w:rsid w:val="002C3F3D"/>
    <w:rsid w:val="002C3F7A"/>
    <w:rsid w:val="002C6454"/>
    <w:rsid w:val="002C6F67"/>
    <w:rsid w:val="002D13CF"/>
    <w:rsid w:val="002D2188"/>
    <w:rsid w:val="002D2E25"/>
    <w:rsid w:val="002D33F3"/>
    <w:rsid w:val="002D3DB3"/>
    <w:rsid w:val="002D4BC3"/>
    <w:rsid w:val="002D6622"/>
    <w:rsid w:val="002D6EC0"/>
    <w:rsid w:val="002D706F"/>
    <w:rsid w:val="002E0794"/>
    <w:rsid w:val="002E09EE"/>
    <w:rsid w:val="002E0C5C"/>
    <w:rsid w:val="002E3163"/>
    <w:rsid w:val="002E48C9"/>
    <w:rsid w:val="002E55FB"/>
    <w:rsid w:val="002E588E"/>
    <w:rsid w:val="002E7D63"/>
    <w:rsid w:val="002F2473"/>
    <w:rsid w:val="002F44B4"/>
    <w:rsid w:val="002F4C20"/>
    <w:rsid w:val="002F5634"/>
    <w:rsid w:val="002F62A8"/>
    <w:rsid w:val="002F6886"/>
    <w:rsid w:val="002F7929"/>
    <w:rsid w:val="003019F4"/>
    <w:rsid w:val="00301C83"/>
    <w:rsid w:val="00304F56"/>
    <w:rsid w:val="0030513C"/>
    <w:rsid w:val="00306B9A"/>
    <w:rsid w:val="00311EC7"/>
    <w:rsid w:val="003122F6"/>
    <w:rsid w:val="00314FD2"/>
    <w:rsid w:val="003154DC"/>
    <w:rsid w:val="0031583B"/>
    <w:rsid w:val="003178E8"/>
    <w:rsid w:val="00320304"/>
    <w:rsid w:val="003212C4"/>
    <w:rsid w:val="00321351"/>
    <w:rsid w:val="0032282D"/>
    <w:rsid w:val="00324B21"/>
    <w:rsid w:val="00325C52"/>
    <w:rsid w:val="00326C50"/>
    <w:rsid w:val="00327FA5"/>
    <w:rsid w:val="00330766"/>
    <w:rsid w:val="003312B7"/>
    <w:rsid w:val="00331D0B"/>
    <w:rsid w:val="00331D24"/>
    <w:rsid w:val="0033288C"/>
    <w:rsid w:val="003334ED"/>
    <w:rsid w:val="00333586"/>
    <w:rsid w:val="00333EE3"/>
    <w:rsid w:val="0033630A"/>
    <w:rsid w:val="00336DB5"/>
    <w:rsid w:val="003425F9"/>
    <w:rsid w:val="003447B7"/>
    <w:rsid w:val="00344B00"/>
    <w:rsid w:val="003462E5"/>
    <w:rsid w:val="00346950"/>
    <w:rsid w:val="00346E4A"/>
    <w:rsid w:val="003473AC"/>
    <w:rsid w:val="003511FE"/>
    <w:rsid w:val="00354211"/>
    <w:rsid w:val="00354E0E"/>
    <w:rsid w:val="00355292"/>
    <w:rsid w:val="00355409"/>
    <w:rsid w:val="00355875"/>
    <w:rsid w:val="003558CF"/>
    <w:rsid w:val="0035733A"/>
    <w:rsid w:val="0035739C"/>
    <w:rsid w:val="003603C9"/>
    <w:rsid w:val="00366493"/>
    <w:rsid w:val="00372994"/>
    <w:rsid w:val="003730E3"/>
    <w:rsid w:val="00376284"/>
    <w:rsid w:val="00376B79"/>
    <w:rsid w:val="00381B6D"/>
    <w:rsid w:val="00381E56"/>
    <w:rsid w:val="0038239D"/>
    <w:rsid w:val="00382994"/>
    <w:rsid w:val="00383047"/>
    <w:rsid w:val="00384F07"/>
    <w:rsid w:val="003856E8"/>
    <w:rsid w:val="00385F03"/>
    <w:rsid w:val="003865B0"/>
    <w:rsid w:val="00386896"/>
    <w:rsid w:val="00386D46"/>
    <w:rsid w:val="00391A71"/>
    <w:rsid w:val="00394827"/>
    <w:rsid w:val="00394B1C"/>
    <w:rsid w:val="00394D09"/>
    <w:rsid w:val="00396476"/>
    <w:rsid w:val="00397768"/>
    <w:rsid w:val="00397AAC"/>
    <w:rsid w:val="00397C0E"/>
    <w:rsid w:val="003A165F"/>
    <w:rsid w:val="003A2139"/>
    <w:rsid w:val="003A4E33"/>
    <w:rsid w:val="003A5492"/>
    <w:rsid w:val="003A5702"/>
    <w:rsid w:val="003A5AFC"/>
    <w:rsid w:val="003A76BD"/>
    <w:rsid w:val="003A78AA"/>
    <w:rsid w:val="003B0E93"/>
    <w:rsid w:val="003B15CD"/>
    <w:rsid w:val="003B1793"/>
    <w:rsid w:val="003B1E1C"/>
    <w:rsid w:val="003B1FD9"/>
    <w:rsid w:val="003B3F55"/>
    <w:rsid w:val="003B4107"/>
    <w:rsid w:val="003B6936"/>
    <w:rsid w:val="003B7C4E"/>
    <w:rsid w:val="003C0674"/>
    <w:rsid w:val="003C1A66"/>
    <w:rsid w:val="003C2EC4"/>
    <w:rsid w:val="003C6C9A"/>
    <w:rsid w:val="003C70D7"/>
    <w:rsid w:val="003C794C"/>
    <w:rsid w:val="003D0C10"/>
    <w:rsid w:val="003D1B7C"/>
    <w:rsid w:val="003D1EE1"/>
    <w:rsid w:val="003D2299"/>
    <w:rsid w:val="003D2E8D"/>
    <w:rsid w:val="003D4690"/>
    <w:rsid w:val="003D538B"/>
    <w:rsid w:val="003E3A8E"/>
    <w:rsid w:val="003E458B"/>
    <w:rsid w:val="003E5B80"/>
    <w:rsid w:val="003E7327"/>
    <w:rsid w:val="003F013E"/>
    <w:rsid w:val="003F1AC2"/>
    <w:rsid w:val="003F1BDD"/>
    <w:rsid w:val="003F3006"/>
    <w:rsid w:val="003F32B7"/>
    <w:rsid w:val="003F5260"/>
    <w:rsid w:val="003F56A4"/>
    <w:rsid w:val="003F5A38"/>
    <w:rsid w:val="00400376"/>
    <w:rsid w:val="004008C6"/>
    <w:rsid w:val="00400C01"/>
    <w:rsid w:val="00400D5E"/>
    <w:rsid w:val="00402033"/>
    <w:rsid w:val="004022E9"/>
    <w:rsid w:val="00402F77"/>
    <w:rsid w:val="00404363"/>
    <w:rsid w:val="00410C3E"/>
    <w:rsid w:val="00412128"/>
    <w:rsid w:val="00413F40"/>
    <w:rsid w:val="004148CE"/>
    <w:rsid w:val="00417059"/>
    <w:rsid w:val="00422FFD"/>
    <w:rsid w:val="00424D34"/>
    <w:rsid w:val="004253AF"/>
    <w:rsid w:val="00425977"/>
    <w:rsid w:val="00425F5B"/>
    <w:rsid w:val="00426292"/>
    <w:rsid w:val="004275E3"/>
    <w:rsid w:val="004303ED"/>
    <w:rsid w:val="0043221E"/>
    <w:rsid w:val="004338F8"/>
    <w:rsid w:val="004341A0"/>
    <w:rsid w:val="004344F3"/>
    <w:rsid w:val="00434802"/>
    <w:rsid w:val="00434A56"/>
    <w:rsid w:val="00435336"/>
    <w:rsid w:val="00435822"/>
    <w:rsid w:val="00436D82"/>
    <w:rsid w:val="004402CA"/>
    <w:rsid w:val="0044079F"/>
    <w:rsid w:val="0044094A"/>
    <w:rsid w:val="00443F08"/>
    <w:rsid w:val="004450D1"/>
    <w:rsid w:val="004510D6"/>
    <w:rsid w:val="00451B1A"/>
    <w:rsid w:val="00452418"/>
    <w:rsid w:val="00453F5A"/>
    <w:rsid w:val="00454726"/>
    <w:rsid w:val="00455188"/>
    <w:rsid w:val="0045541A"/>
    <w:rsid w:val="00457DEF"/>
    <w:rsid w:val="0046061D"/>
    <w:rsid w:val="00465D95"/>
    <w:rsid w:val="004662CB"/>
    <w:rsid w:val="00470293"/>
    <w:rsid w:val="004708A5"/>
    <w:rsid w:val="00470C10"/>
    <w:rsid w:val="004711C3"/>
    <w:rsid w:val="0047305B"/>
    <w:rsid w:val="00473F47"/>
    <w:rsid w:val="00475C4C"/>
    <w:rsid w:val="004766A7"/>
    <w:rsid w:val="00476A60"/>
    <w:rsid w:val="00476FB2"/>
    <w:rsid w:val="00480D6D"/>
    <w:rsid w:val="00481010"/>
    <w:rsid w:val="00481885"/>
    <w:rsid w:val="00482616"/>
    <w:rsid w:val="00482959"/>
    <w:rsid w:val="0048300B"/>
    <w:rsid w:val="0048390D"/>
    <w:rsid w:val="00483F07"/>
    <w:rsid w:val="004911B3"/>
    <w:rsid w:val="00492AC9"/>
    <w:rsid w:val="00492E5D"/>
    <w:rsid w:val="004931E4"/>
    <w:rsid w:val="00493234"/>
    <w:rsid w:val="004935BA"/>
    <w:rsid w:val="004A1C6B"/>
    <w:rsid w:val="004A1D91"/>
    <w:rsid w:val="004A309E"/>
    <w:rsid w:val="004A34F6"/>
    <w:rsid w:val="004A409B"/>
    <w:rsid w:val="004A4374"/>
    <w:rsid w:val="004A4AD0"/>
    <w:rsid w:val="004A5913"/>
    <w:rsid w:val="004A620F"/>
    <w:rsid w:val="004B1C7F"/>
    <w:rsid w:val="004B41BA"/>
    <w:rsid w:val="004B4E5C"/>
    <w:rsid w:val="004B60D4"/>
    <w:rsid w:val="004C12CB"/>
    <w:rsid w:val="004C1D85"/>
    <w:rsid w:val="004C3C3A"/>
    <w:rsid w:val="004C4403"/>
    <w:rsid w:val="004C459E"/>
    <w:rsid w:val="004C4D20"/>
    <w:rsid w:val="004C6DF3"/>
    <w:rsid w:val="004C7F51"/>
    <w:rsid w:val="004D1458"/>
    <w:rsid w:val="004D2041"/>
    <w:rsid w:val="004D250F"/>
    <w:rsid w:val="004D31B2"/>
    <w:rsid w:val="004D3395"/>
    <w:rsid w:val="004D404C"/>
    <w:rsid w:val="004D57BB"/>
    <w:rsid w:val="004D5A72"/>
    <w:rsid w:val="004D5D6E"/>
    <w:rsid w:val="004D60DE"/>
    <w:rsid w:val="004D60EC"/>
    <w:rsid w:val="004D65CA"/>
    <w:rsid w:val="004E0016"/>
    <w:rsid w:val="004E0CAD"/>
    <w:rsid w:val="004E14C6"/>
    <w:rsid w:val="004E180B"/>
    <w:rsid w:val="004E29F9"/>
    <w:rsid w:val="004E3FE4"/>
    <w:rsid w:val="004E4133"/>
    <w:rsid w:val="004E497E"/>
    <w:rsid w:val="004E4E82"/>
    <w:rsid w:val="004E5123"/>
    <w:rsid w:val="004F191B"/>
    <w:rsid w:val="004F1FE1"/>
    <w:rsid w:val="004F33D8"/>
    <w:rsid w:val="004F424E"/>
    <w:rsid w:val="004F4C84"/>
    <w:rsid w:val="004F5E34"/>
    <w:rsid w:val="004F68AA"/>
    <w:rsid w:val="004F6A81"/>
    <w:rsid w:val="004F7640"/>
    <w:rsid w:val="004F794B"/>
    <w:rsid w:val="005004D8"/>
    <w:rsid w:val="00501630"/>
    <w:rsid w:val="005019CC"/>
    <w:rsid w:val="0050442A"/>
    <w:rsid w:val="00505EEC"/>
    <w:rsid w:val="0050782E"/>
    <w:rsid w:val="00510B79"/>
    <w:rsid w:val="00511C7C"/>
    <w:rsid w:val="0051239B"/>
    <w:rsid w:val="0051247E"/>
    <w:rsid w:val="005138C3"/>
    <w:rsid w:val="00514BDB"/>
    <w:rsid w:val="005150D4"/>
    <w:rsid w:val="0051606E"/>
    <w:rsid w:val="00517339"/>
    <w:rsid w:val="0052002E"/>
    <w:rsid w:val="005207A3"/>
    <w:rsid w:val="00521269"/>
    <w:rsid w:val="00521798"/>
    <w:rsid w:val="00521DC8"/>
    <w:rsid w:val="00525E35"/>
    <w:rsid w:val="00526C53"/>
    <w:rsid w:val="005271EA"/>
    <w:rsid w:val="005274A8"/>
    <w:rsid w:val="00527C1E"/>
    <w:rsid w:val="00530710"/>
    <w:rsid w:val="005336A9"/>
    <w:rsid w:val="00535AB1"/>
    <w:rsid w:val="005408AD"/>
    <w:rsid w:val="0054103D"/>
    <w:rsid w:val="00541D84"/>
    <w:rsid w:val="00545455"/>
    <w:rsid w:val="005523E2"/>
    <w:rsid w:val="0055374B"/>
    <w:rsid w:val="00553F5E"/>
    <w:rsid w:val="005548A8"/>
    <w:rsid w:val="00554981"/>
    <w:rsid w:val="00555544"/>
    <w:rsid w:val="00555698"/>
    <w:rsid w:val="00557D58"/>
    <w:rsid w:val="00557EA9"/>
    <w:rsid w:val="005610FF"/>
    <w:rsid w:val="00561D23"/>
    <w:rsid w:val="00561DEB"/>
    <w:rsid w:val="00562A4F"/>
    <w:rsid w:val="00562B6C"/>
    <w:rsid w:val="0056385C"/>
    <w:rsid w:val="00564E25"/>
    <w:rsid w:val="00565305"/>
    <w:rsid w:val="005654B0"/>
    <w:rsid w:val="00565B3C"/>
    <w:rsid w:val="00565FC7"/>
    <w:rsid w:val="00567F7A"/>
    <w:rsid w:val="00570935"/>
    <w:rsid w:val="00571D6D"/>
    <w:rsid w:val="00572A93"/>
    <w:rsid w:val="0057487D"/>
    <w:rsid w:val="00574AD2"/>
    <w:rsid w:val="005762EC"/>
    <w:rsid w:val="00576EA3"/>
    <w:rsid w:val="005774CD"/>
    <w:rsid w:val="00577E85"/>
    <w:rsid w:val="00580312"/>
    <w:rsid w:val="0058445B"/>
    <w:rsid w:val="005846C4"/>
    <w:rsid w:val="00584D00"/>
    <w:rsid w:val="00585559"/>
    <w:rsid w:val="005856B7"/>
    <w:rsid w:val="00586BA6"/>
    <w:rsid w:val="00586C68"/>
    <w:rsid w:val="00591855"/>
    <w:rsid w:val="00591B16"/>
    <w:rsid w:val="00591B2C"/>
    <w:rsid w:val="00594583"/>
    <w:rsid w:val="00595CC1"/>
    <w:rsid w:val="005969E6"/>
    <w:rsid w:val="005A1E5C"/>
    <w:rsid w:val="005A36E2"/>
    <w:rsid w:val="005A4D95"/>
    <w:rsid w:val="005A547B"/>
    <w:rsid w:val="005A54EA"/>
    <w:rsid w:val="005A6A82"/>
    <w:rsid w:val="005A7968"/>
    <w:rsid w:val="005A7D99"/>
    <w:rsid w:val="005B0C78"/>
    <w:rsid w:val="005B0E17"/>
    <w:rsid w:val="005B0E70"/>
    <w:rsid w:val="005B25FC"/>
    <w:rsid w:val="005B4199"/>
    <w:rsid w:val="005B5618"/>
    <w:rsid w:val="005B5E24"/>
    <w:rsid w:val="005C028F"/>
    <w:rsid w:val="005C1590"/>
    <w:rsid w:val="005C1E1A"/>
    <w:rsid w:val="005C2C2A"/>
    <w:rsid w:val="005C310B"/>
    <w:rsid w:val="005C35CB"/>
    <w:rsid w:val="005C48F2"/>
    <w:rsid w:val="005C6E57"/>
    <w:rsid w:val="005C7A7A"/>
    <w:rsid w:val="005D09D0"/>
    <w:rsid w:val="005D31A9"/>
    <w:rsid w:val="005D36D3"/>
    <w:rsid w:val="005D3821"/>
    <w:rsid w:val="005D39ED"/>
    <w:rsid w:val="005D3C57"/>
    <w:rsid w:val="005D3E73"/>
    <w:rsid w:val="005D3F6A"/>
    <w:rsid w:val="005D51C8"/>
    <w:rsid w:val="005D58BC"/>
    <w:rsid w:val="005D63AA"/>
    <w:rsid w:val="005D6AF8"/>
    <w:rsid w:val="005D779C"/>
    <w:rsid w:val="005E1D64"/>
    <w:rsid w:val="005E290D"/>
    <w:rsid w:val="005E2978"/>
    <w:rsid w:val="005E4F22"/>
    <w:rsid w:val="005E5135"/>
    <w:rsid w:val="005E5C7D"/>
    <w:rsid w:val="005E76CF"/>
    <w:rsid w:val="005F1D6C"/>
    <w:rsid w:val="005F2E1C"/>
    <w:rsid w:val="005F41C5"/>
    <w:rsid w:val="005F4796"/>
    <w:rsid w:val="005F5951"/>
    <w:rsid w:val="005F5ACB"/>
    <w:rsid w:val="005F6519"/>
    <w:rsid w:val="005F71F4"/>
    <w:rsid w:val="005F76FD"/>
    <w:rsid w:val="005F7922"/>
    <w:rsid w:val="006020B5"/>
    <w:rsid w:val="00602FCF"/>
    <w:rsid w:val="0060380F"/>
    <w:rsid w:val="00603861"/>
    <w:rsid w:val="00604CE7"/>
    <w:rsid w:val="00605D65"/>
    <w:rsid w:val="0060676A"/>
    <w:rsid w:val="00606875"/>
    <w:rsid w:val="0060707B"/>
    <w:rsid w:val="00607319"/>
    <w:rsid w:val="00607DA1"/>
    <w:rsid w:val="00610014"/>
    <w:rsid w:val="00610051"/>
    <w:rsid w:val="00610F37"/>
    <w:rsid w:val="0061139A"/>
    <w:rsid w:val="00611F68"/>
    <w:rsid w:val="00614961"/>
    <w:rsid w:val="00614EDF"/>
    <w:rsid w:val="006161AC"/>
    <w:rsid w:val="006163DC"/>
    <w:rsid w:val="00616C79"/>
    <w:rsid w:val="00616EA0"/>
    <w:rsid w:val="006213C4"/>
    <w:rsid w:val="00622494"/>
    <w:rsid w:val="00626341"/>
    <w:rsid w:val="00626411"/>
    <w:rsid w:val="0062663D"/>
    <w:rsid w:val="00630446"/>
    <w:rsid w:val="0063051E"/>
    <w:rsid w:val="006307B9"/>
    <w:rsid w:val="0063176B"/>
    <w:rsid w:val="006319D8"/>
    <w:rsid w:val="00631A1D"/>
    <w:rsid w:val="0063272A"/>
    <w:rsid w:val="006350BE"/>
    <w:rsid w:val="00635C96"/>
    <w:rsid w:val="00636057"/>
    <w:rsid w:val="006369AE"/>
    <w:rsid w:val="00637899"/>
    <w:rsid w:val="00637A19"/>
    <w:rsid w:val="00637A40"/>
    <w:rsid w:val="0064090E"/>
    <w:rsid w:val="00642091"/>
    <w:rsid w:val="0064225E"/>
    <w:rsid w:val="00642525"/>
    <w:rsid w:val="00643116"/>
    <w:rsid w:val="00643AC0"/>
    <w:rsid w:val="006472A1"/>
    <w:rsid w:val="00651EFF"/>
    <w:rsid w:val="00652521"/>
    <w:rsid w:val="00652897"/>
    <w:rsid w:val="00653956"/>
    <w:rsid w:val="0065552B"/>
    <w:rsid w:val="006558EF"/>
    <w:rsid w:val="00655E31"/>
    <w:rsid w:val="00662742"/>
    <w:rsid w:val="00662962"/>
    <w:rsid w:val="00662F19"/>
    <w:rsid w:val="00665756"/>
    <w:rsid w:val="00666CFC"/>
    <w:rsid w:val="00670F06"/>
    <w:rsid w:val="006722BA"/>
    <w:rsid w:val="006738B3"/>
    <w:rsid w:val="006744D6"/>
    <w:rsid w:val="00674C54"/>
    <w:rsid w:val="00677687"/>
    <w:rsid w:val="0067780F"/>
    <w:rsid w:val="00677826"/>
    <w:rsid w:val="00680F92"/>
    <w:rsid w:val="00681833"/>
    <w:rsid w:val="00682F31"/>
    <w:rsid w:val="006831A9"/>
    <w:rsid w:val="00683C24"/>
    <w:rsid w:val="00684DEE"/>
    <w:rsid w:val="00685511"/>
    <w:rsid w:val="00686A1C"/>
    <w:rsid w:val="00687140"/>
    <w:rsid w:val="00687F63"/>
    <w:rsid w:val="00692749"/>
    <w:rsid w:val="0069323D"/>
    <w:rsid w:val="0069340A"/>
    <w:rsid w:val="006965D1"/>
    <w:rsid w:val="00696C9B"/>
    <w:rsid w:val="00697820"/>
    <w:rsid w:val="00697ADF"/>
    <w:rsid w:val="006A04EB"/>
    <w:rsid w:val="006A0E22"/>
    <w:rsid w:val="006A22DB"/>
    <w:rsid w:val="006A44B2"/>
    <w:rsid w:val="006A471A"/>
    <w:rsid w:val="006A5030"/>
    <w:rsid w:val="006A5F87"/>
    <w:rsid w:val="006A6729"/>
    <w:rsid w:val="006A68E3"/>
    <w:rsid w:val="006A6990"/>
    <w:rsid w:val="006A6AE1"/>
    <w:rsid w:val="006B0BC2"/>
    <w:rsid w:val="006B2C47"/>
    <w:rsid w:val="006B2EF2"/>
    <w:rsid w:val="006B3208"/>
    <w:rsid w:val="006B3C75"/>
    <w:rsid w:val="006B4964"/>
    <w:rsid w:val="006B70BF"/>
    <w:rsid w:val="006C19D0"/>
    <w:rsid w:val="006C285C"/>
    <w:rsid w:val="006C3268"/>
    <w:rsid w:val="006C3974"/>
    <w:rsid w:val="006C47E8"/>
    <w:rsid w:val="006C52C5"/>
    <w:rsid w:val="006C5A84"/>
    <w:rsid w:val="006C5BCE"/>
    <w:rsid w:val="006C5DB5"/>
    <w:rsid w:val="006C6012"/>
    <w:rsid w:val="006C7498"/>
    <w:rsid w:val="006C79FB"/>
    <w:rsid w:val="006C7EB3"/>
    <w:rsid w:val="006D02CA"/>
    <w:rsid w:val="006D2C8E"/>
    <w:rsid w:val="006D2D4D"/>
    <w:rsid w:val="006D2E33"/>
    <w:rsid w:val="006D4870"/>
    <w:rsid w:val="006D5094"/>
    <w:rsid w:val="006D5995"/>
    <w:rsid w:val="006D6299"/>
    <w:rsid w:val="006D634E"/>
    <w:rsid w:val="006D7C59"/>
    <w:rsid w:val="006E03B3"/>
    <w:rsid w:val="006E3939"/>
    <w:rsid w:val="006E403C"/>
    <w:rsid w:val="006E4808"/>
    <w:rsid w:val="006E519A"/>
    <w:rsid w:val="006E5982"/>
    <w:rsid w:val="006E68A4"/>
    <w:rsid w:val="006E6A58"/>
    <w:rsid w:val="006F25C8"/>
    <w:rsid w:val="006F301C"/>
    <w:rsid w:val="006F316E"/>
    <w:rsid w:val="006F4F53"/>
    <w:rsid w:val="006F54C1"/>
    <w:rsid w:val="006F5C59"/>
    <w:rsid w:val="006F615F"/>
    <w:rsid w:val="006F6585"/>
    <w:rsid w:val="006F7E5F"/>
    <w:rsid w:val="00700E72"/>
    <w:rsid w:val="00702627"/>
    <w:rsid w:val="007032D8"/>
    <w:rsid w:val="00704A2E"/>
    <w:rsid w:val="007055B6"/>
    <w:rsid w:val="007057C5"/>
    <w:rsid w:val="00705A63"/>
    <w:rsid w:val="00705D19"/>
    <w:rsid w:val="00706550"/>
    <w:rsid w:val="00706928"/>
    <w:rsid w:val="00706F8B"/>
    <w:rsid w:val="007103F8"/>
    <w:rsid w:val="00710985"/>
    <w:rsid w:val="007126FA"/>
    <w:rsid w:val="007143E8"/>
    <w:rsid w:val="00715C86"/>
    <w:rsid w:val="00716468"/>
    <w:rsid w:val="007167B9"/>
    <w:rsid w:val="00716DED"/>
    <w:rsid w:val="0071763B"/>
    <w:rsid w:val="0072049C"/>
    <w:rsid w:val="00720666"/>
    <w:rsid w:val="00721C36"/>
    <w:rsid w:val="00722AC2"/>
    <w:rsid w:val="0072399E"/>
    <w:rsid w:val="00724D82"/>
    <w:rsid w:val="00725711"/>
    <w:rsid w:val="0072585B"/>
    <w:rsid w:val="00725D15"/>
    <w:rsid w:val="00726BC7"/>
    <w:rsid w:val="00731B25"/>
    <w:rsid w:val="00732B33"/>
    <w:rsid w:val="00732D49"/>
    <w:rsid w:val="007332E4"/>
    <w:rsid w:val="00733507"/>
    <w:rsid w:val="00733D19"/>
    <w:rsid w:val="0073544F"/>
    <w:rsid w:val="00736EA6"/>
    <w:rsid w:val="00740A07"/>
    <w:rsid w:val="00741B89"/>
    <w:rsid w:val="0074274A"/>
    <w:rsid w:val="00742CD3"/>
    <w:rsid w:val="007430A7"/>
    <w:rsid w:val="007478EC"/>
    <w:rsid w:val="00747AF5"/>
    <w:rsid w:val="00750CF7"/>
    <w:rsid w:val="00751476"/>
    <w:rsid w:val="00751F55"/>
    <w:rsid w:val="00754129"/>
    <w:rsid w:val="00754591"/>
    <w:rsid w:val="00755156"/>
    <w:rsid w:val="00755571"/>
    <w:rsid w:val="00755AD4"/>
    <w:rsid w:val="00760B3A"/>
    <w:rsid w:val="00761472"/>
    <w:rsid w:val="007618F2"/>
    <w:rsid w:val="007619E8"/>
    <w:rsid w:val="007629D0"/>
    <w:rsid w:val="00762EF9"/>
    <w:rsid w:val="00762F8D"/>
    <w:rsid w:val="00765375"/>
    <w:rsid w:val="0076550B"/>
    <w:rsid w:val="00767ABE"/>
    <w:rsid w:val="00770C82"/>
    <w:rsid w:val="00770D41"/>
    <w:rsid w:val="007721FC"/>
    <w:rsid w:val="007728A9"/>
    <w:rsid w:val="00772DBC"/>
    <w:rsid w:val="007742EF"/>
    <w:rsid w:val="00774805"/>
    <w:rsid w:val="00775DD2"/>
    <w:rsid w:val="007800F4"/>
    <w:rsid w:val="00782D21"/>
    <w:rsid w:val="00782F2D"/>
    <w:rsid w:val="007837EB"/>
    <w:rsid w:val="00783A8A"/>
    <w:rsid w:val="0078463F"/>
    <w:rsid w:val="00786EA6"/>
    <w:rsid w:val="00786FDB"/>
    <w:rsid w:val="007908C6"/>
    <w:rsid w:val="0079126F"/>
    <w:rsid w:val="00791698"/>
    <w:rsid w:val="0079278B"/>
    <w:rsid w:val="007929B0"/>
    <w:rsid w:val="00792D86"/>
    <w:rsid w:val="007944B2"/>
    <w:rsid w:val="00794641"/>
    <w:rsid w:val="007960E0"/>
    <w:rsid w:val="007972AC"/>
    <w:rsid w:val="00797B93"/>
    <w:rsid w:val="007A18A5"/>
    <w:rsid w:val="007A1A77"/>
    <w:rsid w:val="007A1C19"/>
    <w:rsid w:val="007A253E"/>
    <w:rsid w:val="007A3D38"/>
    <w:rsid w:val="007A4035"/>
    <w:rsid w:val="007A7153"/>
    <w:rsid w:val="007A7BB4"/>
    <w:rsid w:val="007B0211"/>
    <w:rsid w:val="007B10E2"/>
    <w:rsid w:val="007B1292"/>
    <w:rsid w:val="007B149A"/>
    <w:rsid w:val="007B196D"/>
    <w:rsid w:val="007B1EAB"/>
    <w:rsid w:val="007B2CE1"/>
    <w:rsid w:val="007B6F29"/>
    <w:rsid w:val="007B759C"/>
    <w:rsid w:val="007C161D"/>
    <w:rsid w:val="007C1DDB"/>
    <w:rsid w:val="007C212B"/>
    <w:rsid w:val="007C65B2"/>
    <w:rsid w:val="007C6742"/>
    <w:rsid w:val="007C6AC0"/>
    <w:rsid w:val="007D0628"/>
    <w:rsid w:val="007D09FF"/>
    <w:rsid w:val="007D12F1"/>
    <w:rsid w:val="007D2D85"/>
    <w:rsid w:val="007D39A1"/>
    <w:rsid w:val="007D3D71"/>
    <w:rsid w:val="007D4DB6"/>
    <w:rsid w:val="007D4FC8"/>
    <w:rsid w:val="007E0CFF"/>
    <w:rsid w:val="007E2440"/>
    <w:rsid w:val="007E307B"/>
    <w:rsid w:val="007E34D4"/>
    <w:rsid w:val="007E34FE"/>
    <w:rsid w:val="007E38CA"/>
    <w:rsid w:val="007E3B0B"/>
    <w:rsid w:val="007E601C"/>
    <w:rsid w:val="007E677B"/>
    <w:rsid w:val="007E6BD3"/>
    <w:rsid w:val="007E7242"/>
    <w:rsid w:val="007E7595"/>
    <w:rsid w:val="007E7A56"/>
    <w:rsid w:val="007F0542"/>
    <w:rsid w:val="007F0BBB"/>
    <w:rsid w:val="007F218F"/>
    <w:rsid w:val="007F3E23"/>
    <w:rsid w:val="007F3ED7"/>
    <w:rsid w:val="007F527E"/>
    <w:rsid w:val="007F529C"/>
    <w:rsid w:val="007F6076"/>
    <w:rsid w:val="007F6FE0"/>
    <w:rsid w:val="00800F88"/>
    <w:rsid w:val="00802FC1"/>
    <w:rsid w:val="00803743"/>
    <w:rsid w:val="0080466D"/>
    <w:rsid w:val="0081072C"/>
    <w:rsid w:val="00810A09"/>
    <w:rsid w:val="00812105"/>
    <w:rsid w:val="008147B0"/>
    <w:rsid w:val="00814DF8"/>
    <w:rsid w:val="00817879"/>
    <w:rsid w:val="00820A38"/>
    <w:rsid w:val="00820A8F"/>
    <w:rsid w:val="00825840"/>
    <w:rsid w:val="00825FFF"/>
    <w:rsid w:val="0082694C"/>
    <w:rsid w:val="00831882"/>
    <w:rsid w:val="008326D8"/>
    <w:rsid w:val="00833747"/>
    <w:rsid w:val="00833989"/>
    <w:rsid w:val="00834D4A"/>
    <w:rsid w:val="00834FD4"/>
    <w:rsid w:val="008356F3"/>
    <w:rsid w:val="00836500"/>
    <w:rsid w:val="00836BB6"/>
    <w:rsid w:val="00836D50"/>
    <w:rsid w:val="00836F92"/>
    <w:rsid w:val="00837798"/>
    <w:rsid w:val="008403A3"/>
    <w:rsid w:val="00840581"/>
    <w:rsid w:val="00841E2D"/>
    <w:rsid w:val="0084236C"/>
    <w:rsid w:val="00842FD3"/>
    <w:rsid w:val="00843541"/>
    <w:rsid w:val="0084571C"/>
    <w:rsid w:val="00846049"/>
    <w:rsid w:val="00847F07"/>
    <w:rsid w:val="008506E8"/>
    <w:rsid w:val="00851913"/>
    <w:rsid w:val="00851923"/>
    <w:rsid w:val="0085338C"/>
    <w:rsid w:val="00854CF7"/>
    <w:rsid w:val="008560C1"/>
    <w:rsid w:val="008577D5"/>
    <w:rsid w:val="008623F6"/>
    <w:rsid w:val="0086368B"/>
    <w:rsid w:val="00863D9E"/>
    <w:rsid w:val="00864DC4"/>
    <w:rsid w:val="00865C13"/>
    <w:rsid w:val="00866360"/>
    <w:rsid w:val="00870A6F"/>
    <w:rsid w:val="00870AEA"/>
    <w:rsid w:val="008715AD"/>
    <w:rsid w:val="00872719"/>
    <w:rsid w:val="00872D98"/>
    <w:rsid w:val="00874C05"/>
    <w:rsid w:val="0087629B"/>
    <w:rsid w:val="008778DA"/>
    <w:rsid w:val="00881B25"/>
    <w:rsid w:val="00881BA7"/>
    <w:rsid w:val="00881BE6"/>
    <w:rsid w:val="00882440"/>
    <w:rsid w:val="00882DDB"/>
    <w:rsid w:val="00884AA9"/>
    <w:rsid w:val="00884EDB"/>
    <w:rsid w:val="008850C3"/>
    <w:rsid w:val="00887BDB"/>
    <w:rsid w:val="0089390E"/>
    <w:rsid w:val="00894EEB"/>
    <w:rsid w:val="00895803"/>
    <w:rsid w:val="00896136"/>
    <w:rsid w:val="00896273"/>
    <w:rsid w:val="008969CD"/>
    <w:rsid w:val="008A0B19"/>
    <w:rsid w:val="008A16F7"/>
    <w:rsid w:val="008A26CA"/>
    <w:rsid w:val="008A65A8"/>
    <w:rsid w:val="008A6CCC"/>
    <w:rsid w:val="008A6F63"/>
    <w:rsid w:val="008A7999"/>
    <w:rsid w:val="008A7CA5"/>
    <w:rsid w:val="008B01B8"/>
    <w:rsid w:val="008B0973"/>
    <w:rsid w:val="008B1D44"/>
    <w:rsid w:val="008B4B11"/>
    <w:rsid w:val="008C01A5"/>
    <w:rsid w:val="008C0859"/>
    <w:rsid w:val="008C1965"/>
    <w:rsid w:val="008C1EB1"/>
    <w:rsid w:val="008C225A"/>
    <w:rsid w:val="008C39EF"/>
    <w:rsid w:val="008C5BA7"/>
    <w:rsid w:val="008C6290"/>
    <w:rsid w:val="008C7083"/>
    <w:rsid w:val="008C7FA5"/>
    <w:rsid w:val="008D013E"/>
    <w:rsid w:val="008D150E"/>
    <w:rsid w:val="008D1E15"/>
    <w:rsid w:val="008D3CE9"/>
    <w:rsid w:val="008D406D"/>
    <w:rsid w:val="008D612C"/>
    <w:rsid w:val="008D6193"/>
    <w:rsid w:val="008D633F"/>
    <w:rsid w:val="008E034F"/>
    <w:rsid w:val="008E222A"/>
    <w:rsid w:val="008E39C5"/>
    <w:rsid w:val="008E6E0E"/>
    <w:rsid w:val="008F1EDA"/>
    <w:rsid w:val="008F35AB"/>
    <w:rsid w:val="008F4B00"/>
    <w:rsid w:val="008F4C08"/>
    <w:rsid w:val="008F5AB3"/>
    <w:rsid w:val="008F5F0D"/>
    <w:rsid w:val="008F644B"/>
    <w:rsid w:val="008F7A12"/>
    <w:rsid w:val="008F7BB0"/>
    <w:rsid w:val="00900CCD"/>
    <w:rsid w:val="00902AFA"/>
    <w:rsid w:val="0090374B"/>
    <w:rsid w:val="00903E97"/>
    <w:rsid w:val="00904044"/>
    <w:rsid w:val="009050A4"/>
    <w:rsid w:val="00905792"/>
    <w:rsid w:val="00905CF6"/>
    <w:rsid w:val="00907F9C"/>
    <w:rsid w:val="00910F43"/>
    <w:rsid w:val="009120DB"/>
    <w:rsid w:val="009127F0"/>
    <w:rsid w:val="009152E2"/>
    <w:rsid w:val="00916252"/>
    <w:rsid w:val="009221CF"/>
    <w:rsid w:val="009224A8"/>
    <w:rsid w:val="00924820"/>
    <w:rsid w:val="0092610D"/>
    <w:rsid w:val="009278A3"/>
    <w:rsid w:val="0093178F"/>
    <w:rsid w:val="00931EB4"/>
    <w:rsid w:val="0093419A"/>
    <w:rsid w:val="00934540"/>
    <w:rsid w:val="0093463D"/>
    <w:rsid w:val="0093477D"/>
    <w:rsid w:val="0093554B"/>
    <w:rsid w:val="00936E9C"/>
    <w:rsid w:val="00937098"/>
    <w:rsid w:val="009374B8"/>
    <w:rsid w:val="00937BA6"/>
    <w:rsid w:val="0094022E"/>
    <w:rsid w:val="009409F1"/>
    <w:rsid w:val="00945BBF"/>
    <w:rsid w:val="00950605"/>
    <w:rsid w:val="0095299F"/>
    <w:rsid w:val="00952D11"/>
    <w:rsid w:val="0095475F"/>
    <w:rsid w:val="00955F9B"/>
    <w:rsid w:val="009563F8"/>
    <w:rsid w:val="0095734A"/>
    <w:rsid w:val="00957492"/>
    <w:rsid w:val="00957A06"/>
    <w:rsid w:val="0096076A"/>
    <w:rsid w:val="00960BC7"/>
    <w:rsid w:val="00966B7F"/>
    <w:rsid w:val="00967EB6"/>
    <w:rsid w:val="00970ED6"/>
    <w:rsid w:val="00971204"/>
    <w:rsid w:val="00972F1E"/>
    <w:rsid w:val="00973191"/>
    <w:rsid w:val="00973BB9"/>
    <w:rsid w:val="00977DE7"/>
    <w:rsid w:val="00982DE6"/>
    <w:rsid w:val="00983A85"/>
    <w:rsid w:val="00986AE1"/>
    <w:rsid w:val="009876E8"/>
    <w:rsid w:val="00990CF1"/>
    <w:rsid w:val="00990E65"/>
    <w:rsid w:val="0099142D"/>
    <w:rsid w:val="00993C15"/>
    <w:rsid w:val="00994515"/>
    <w:rsid w:val="00995193"/>
    <w:rsid w:val="0099615F"/>
    <w:rsid w:val="009975B0"/>
    <w:rsid w:val="009A0E23"/>
    <w:rsid w:val="009A29D7"/>
    <w:rsid w:val="009A56A2"/>
    <w:rsid w:val="009B1CA1"/>
    <w:rsid w:val="009B1D60"/>
    <w:rsid w:val="009B2290"/>
    <w:rsid w:val="009B3393"/>
    <w:rsid w:val="009B6A24"/>
    <w:rsid w:val="009C0786"/>
    <w:rsid w:val="009C0990"/>
    <w:rsid w:val="009C0DFE"/>
    <w:rsid w:val="009C2F9F"/>
    <w:rsid w:val="009C430E"/>
    <w:rsid w:val="009C44F0"/>
    <w:rsid w:val="009C5261"/>
    <w:rsid w:val="009D1547"/>
    <w:rsid w:val="009D2BC1"/>
    <w:rsid w:val="009D3F75"/>
    <w:rsid w:val="009D5394"/>
    <w:rsid w:val="009D6380"/>
    <w:rsid w:val="009D74D3"/>
    <w:rsid w:val="009D7A75"/>
    <w:rsid w:val="009E1330"/>
    <w:rsid w:val="009E1612"/>
    <w:rsid w:val="009E1A30"/>
    <w:rsid w:val="009E31A0"/>
    <w:rsid w:val="009E4145"/>
    <w:rsid w:val="009E43F7"/>
    <w:rsid w:val="009E5D38"/>
    <w:rsid w:val="009E746B"/>
    <w:rsid w:val="009F1640"/>
    <w:rsid w:val="009F1F7E"/>
    <w:rsid w:val="009F2CCE"/>
    <w:rsid w:val="009F536B"/>
    <w:rsid w:val="009F6DE0"/>
    <w:rsid w:val="009F7709"/>
    <w:rsid w:val="009F777A"/>
    <w:rsid w:val="00A02E50"/>
    <w:rsid w:val="00A02EBF"/>
    <w:rsid w:val="00A06FC0"/>
    <w:rsid w:val="00A073F3"/>
    <w:rsid w:val="00A1301C"/>
    <w:rsid w:val="00A1587F"/>
    <w:rsid w:val="00A171AA"/>
    <w:rsid w:val="00A179F3"/>
    <w:rsid w:val="00A2007B"/>
    <w:rsid w:val="00A212D9"/>
    <w:rsid w:val="00A2376F"/>
    <w:rsid w:val="00A23856"/>
    <w:rsid w:val="00A23AEB"/>
    <w:rsid w:val="00A26532"/>
    <w:rsid w:val="00A269FA"/>
    <w:rsid w:val="00A2737A"/>
    <w:rsid w:val="00A27738"/>
    <w:rsid w:val="00A27AC8"/>
    <w:rsid w:val="00A300D6"/>
    <w:rsid w:val="00A33562"/>
    <w:rsid w:val="00A34AC9"/>
    <w:rsid w:val="00A34B57"/>
    <w:rsid w:val="00A350BC"/>
    <w:rsid w:val="00A37014"/>
    <w:rsid w:val="00A37CB4"/>
    <w:rsid w:val="00A4276D"/>
    <w:rsid w:val="00A455C5"/>
    <w:rsid w:val="00A46EAE"/>
    <w:rsid w:val="00A473F2"/>
    <w:rsid w:val="00A47797"/>
    <w:rsid w:val="00A565B1"/>
    <w:rsid w:val="00A57074"/>
    <w:rsid w:val="00A57D70"/>
    <w:rsid w:val="00A626E2"/>
    <w:rsid w:val="00A647DD"/>
    <w:rsid w:val="00A71EA8"/>
    <w:rsid w:val="00A74689"/>
    <w:rsid w:val="00A748E6"/>
    <w:rsid w:val="00A754C8"/>
    <w:rsid w:val="00A757A0"/>
    <w:rsid w:val="00A762EE"/>
    <w:rsid w:val="00A7657E"/>
    <w:rsid w:val="00A777B1"/>
    <w:rsid w:val="00A779F3"/>
    <w:rsid w:val="00A8067F"/>
    <w:rsid w:val="00A81AE0"/>
    <w:rsid w:val="00A820BC"/>
    <w:rsid w:val="00A83421"/>
    <w:rsid w:val="00A841CE"/>
    <w:rsid w:val="00A872D9"/>
    <w:rsid w:val="00A90040"/>
    <w:rsid w:val="00A90EAB"/>
    <w:rsid w:val="00A936A0"/>
    <w:rsid w:val="00A948CE"/>
    <w:rsid w:val="00A94969"/>
    <w:rsid w:val="00A95008"/>
    <w:rsid w:val="00A969E7"/>
    <w:rsid w:val="00A96D55"/>
    <w:rsid w:val="00A97749"/>
    <w:rsid w:val="00A97956"/>
    <w:rsid w:val="00AA0BF9"/>
    <w:rsid w:val="00AA13DE"/>
    <w:rsid w:val="00AA3A61"/>
    <w:rsid w:val="00AB3686"/>
    <w:rsid w:val="00AB799E"/>
    <w:rsid w:val="00AC027B"/>
    <w:rsid w:val="00AC07E4"/>
    <w:rsid w:val="00AC15C6"/>
    <w:rsid w:val="00AC21A9"/>
    <w:rsid w:val="00AC300D"/>
    <w:rsid w:val="00AC3245"/>
    <w:rsid w:val="00AC3290"/>
    <w:rsid w:val="00AC3881"/>
    <w:rsid w:val="00AC67F6"/>
    <w:rsid w:val="00AC6B97"/>
    <w:rsid w:val="00AC7548"/>
    <w:rsid w:val="00AD0488"/>
    <w:rsid w:val="00AD1334"/>
    <w:rsid w:val="00AD26C7"/>
    <w:rsid w:val="00AD2E29"/>
    <w:rsid w:val="00AD37AC"/>
    <w:rsid w:val="00AD3B51"/>
    <w:rsid w:val="00AD4853"/>
    <w:rsid w:val="00AD4C10"/>
    <w:rsid w:val="00AD5A9D"/>
    <w:rsid w:val="00AD62AE"/>
    <w:rsid w:val="00AD64C6"/>
    <w:rsid w:val="00AE5E37"/>
    <w:rsid w:val="00AE6A3F"/>
    <w:rsid w:val="00AF111E"/>
    <w:rsid w:val="00AF2367"/>
    <w:rsid w:val="00AF2C55"/>
    <w:rsid w:val="00AF35C7"/>
    <w:rsid w:val="00AF57E0"/>
    <w:rsid w:val="00AF59A7"/>
    <w:rsid w:val="00AF6062"/>
    <w:rsid w:val="00AF6740"/>
    <w:rsid w:val="00AF6F83"/>
    <w:rsid w:val="00B002A5"/>
    <w:rsid w:val="00B0092D"/>
    <w:rsid w:val="00B01EEC"/>
    <w:rsid w:val="00B024EF"/>
    <w:rsid w:val="00B03D36"/>
    <w:rsid w:val="00B04688"/>
    <w:rsid w:val="00B05255"/>
    <w:rsid w:val="00B05DE7"/>
    <w:rsid w:val="00B1080B"/>
    <w:rsid w:val="00B114AA"/>
    <w:rsid w:val="00B11850"/>
    <w:rsid w:val="00B12590"/>
    <w:rsid w:val="00B12FCD"/>
    <w:rsid w:val="00B14637"/>
    <w:rsid w:val="00B15D04"/>
    <w:rsid w:val="00B16369"/>
    <w:rsid w:val="00B17B3B"/>
    <w:rsid w:val="00B217C7"/>
    <w:rsid w:val="00B21F9B"/>
    <w:rsid w:val="00B2209A"/>
    <w:rsid w:val="00B22643"/>
    <w:rsid w:val="00B22BF8"/>
    <w:rsid w:val="00B22F70"/>
    <w:rsid w:val="00B249FE"/>
    <w:rsid w:val="00B26B59"/>
    <w:rsid w:val="00B270B7"/>
    <w:rsid w:val="00B304D7"/>
    <w:rsid w:val="00B30751"/>
    <w:rsid w:val="00B307DA"/>
    <w:rsid w:val="00B3108A"/>
    <w:rsid w:val="00B31F25"/>
    <w:rsid w:val="00B327CA"/>
    <w:rsid w:val="00B32897"/>
    <w:rsid w:val="00B32C52"/>
    <w:rsid w:val="00B353EC"/>
    <w:rsid w:val="00B362DD"/>
    <w:rsid w:val="00B37506"/>
    <w:rsid w:val="00B40997"/>
    <w:rsid w:val="00B40F8F"/>
    <w:rsid w:val="00B41AA6"/>
    <w:rsid w:val="00B423F2"/>
    <w:rsid w:val="00B42600"/>
    <w:rsid w:val="00B43606"/>
    <w:rsid w:val="00B43A20"/>
    <w:rsid w:val="00B447E2"/>
    <w:rsid w:val="00B45191"/>
    <w:rsid w:val="00B45292"/>
    <w:rsid w:val="00B4570F"/>
    <w:rsid w:val="00B46D52"/>
    <w:rsid w:val="00B46ECB"/>
    <w:rsid w:val="00B51544"/>
    <w:rsid w:val="00B51E22"/>
    <w:rsid w:val="00B52246"/>
    <w:rsid w:val="00B52CAC"/>
    <w:rsid w:val="00B54E28"/>
    <w:rsid w:val="00B57C10"/>
    <w:rsid w:val="00B6022C"/>
    <w:rsid w:val="00B611BB"/>
    <w:rsid w:val="00B62E0C"/>
    <w:rsid w:val="00B63E70"/>
    <w:rsid w:val="00B653F5"/>
    <w:rsid w:val="00B66388"/>
    <w:rsid w:val="00B67169"/>
    <w:rsid w:val="00B67241"/>
    <w:rsid w:val="00B70536"/>
    <w:rsid w:val="00B72F38"/>
    <w:rsid w:val="00B73BBB"/>
    <w:rsid w:val="00B741DC"/>
    <w:rsid w:val="00B74E94"/>
    <w:rsid w:val="00B77206"/>
    <w:rsid w:val="00B8764E"/>
    <w:rsid w:val="00B901E4"/>
    <w:rsid w:val="00B91FDF"/>
    <w:rsid w:val="00B92CDF"/>
    <w:rsid w:val="00B93126"/>
    <w:rsid w:val="00B94F04"/>
    <w:rsid w:val="00B9617F"/>
    <w:rsid w:val="00B9639F"/>
    <w:rsid w:val="00BA192E"/>
    <w:rsid w:val="00BA1D68"/>
    <w:rsid w:val="00BA2439"/>
    <w:rsid w:val="00BA4114"/>
    <w:rsid w:val="00BA4368"/>
    <w:rsid w:val="00BA52C6"/>
    <w:rsid w:val="00BA5FC2"/>
    <w:rsid w:val="00BA7ED8"/>
    <w:rsid w:val="00BB2015"/>
    <w:rsid w:val="00BB2A74"/>
    <w:rsid w:val="00BB2ECA"/>
    <w:rsid w:val="00BB48D5"/>
    <w:rsid w:val="00BB512B"/>
    <w:rsid w:val="00BB6AF5"/>
    <w:rsid w:val="00BB7186"/>
    <w:rsid w:val="00BB7578"/>
    <w:rsid w:val="00BC073F"/>
    <w:rsid w:val="00BC1374"/>
    <w:rsid w:val="00BC2A9A"/>
    <w:rsid w:val="00BC2B5F"/>
    <w:rsid w:val="00BC3BAA"/>
    <w:rsid w:val="00BC3ED4"/>
    <w:rsid w:val="00BC3F15"/>
    <w:rsid w:val="00BC5706"/>
    <w:rsid w:val="00BC5C8D"/>
    <w:rsid w:val="00BD043C"/>
    <w:rsid w:val="00BD12B8"/>
    <w:rsid w:val="00BD170E"/>
    <w:rsid w:val="00BD32F4"/>
    <w:rsid w:val="00BD3D86"/>
    <w:rsid w:val="00BD42FA"/>
    <w:rsid w:val="00BD4B0E"/>
    <w:rsid w:val="00BD5AD9"/>
    <w:rsid w:val="00BD5FD8"/>
    <w:rsid w:val="00BD6086"/>
    <w:rsid w:val="00BD68D3"/>
    <w:rsid w:val="00BE01BA"/>
    <w:rsid w:val="00BE0A1C"/>
    <w:rsid w:val="00BE0A55"/>
    <w:rsid w:val="00BE34F0"/>
    <w:rsid w:val="00BE5551"/>
    <w:rsid w:val="00BE5747"/>
    <w:rsid w:val="00BF01B1"/>
    <w:rsid w:val="00BF1292"/>
    <w:rsid w:val="00BF1AC4"/>
    <w:rsid w:val="00BF2740"/>
    <w:rsid w:val="00BF288E"/>
    <w:rsid w:val="00BF427D"/>
    <w:rsid w:val="00BF59A7"/>
    <w:rsid w:val="00BF6630"/>
    <w:rsid w:val="00BF7E20"/>
    <w:rsid w:val="00C002DE"/>
    <w:rsid w:val="00C00B35"/>
    <w:rsid w:val="00C01F60"/>
    <w:rsid w:val="00C03AB9"/>
    <w:rsid w:val="00C03E58"/>
    <w:rsid w:val="00C04E5B"/>
    <w:rsid w:val="00C067AA"/>
    <w:rsid w:val="00C079B5"/>
    <w:rsid w:val="00C10847"/>
    <w:rsid w:val="00C1196F"/>
    <w:rsid w:val="00C13063"/>
    <w:rsid w:val="00C13173"/>
    <w:rsid w:val="00C143AC"/>
    <w:rsid w:val="00C14ED8"/>
    <w:rsid w:val="00C174B5"/>
    <w:rsid w:val="00C179A1"/>
    <w:rsid w:val="00C21368"/>
    <w:rsid w:val="00C21771"/>
    <w:rsid w:val="00C22395"/>
    <w:rsid w:val="00C22533"/>
    <w:rsid w:val="00C274E3"/>
    <w:rsid w:val="00C27522"/>
    <w:rsid w:val="00C31588"/>
    <w:rsid w:val="00C33F6A"/>
    <w:rsid w:val="00C345E6"/>
    <w:rsid w:val="00C359BD"/>
    <w:rsid w:val="00C370EB"/>
    <w:rsid w:val="00C37113"/>
    <w:rsid w:val="00C37C2E"/>
    <w:rsid w:val="00C406A7"/>
    <w:rsid w:val="00C41B3E"/>
    <w:rsid w:val="00C439B5"/>
    <w:rsid w:val="00C43CEC"/>
    <w:rsid w:val="00C506D0"/>
    <w:rsid w:val="00C50B34"/>
    <w:rsid w:val="00C5243F"/>
    <w:rsid w:val="00C544F5"/>
    <w:rsid w:val="00C54E62"/>
    <w:rsid w:val="00C552BF"/>
    <w:rsid w:val="00C55837"/>
    <w:rsid w:val="00C601C0"/>
    <w:rsid w:val="00C60D37"/>
    <w:rsid w:val="00C612DE"/>
    <w:rsid w:val="00C620D7"/>
    <w:rsid w:val="00C62DD8"/>
    <w:rsid w:val="00C63A18"/>
    <w:rsid w:val="00C65DBA"/>
    <w:rsid w:val="00C66923"/>
    <w:rsid w:val="00C70A05"/>
    <w:rsid w:val="00C710E8"/>
    <w:rsid w:val="00C71E5A"/>
    <w:rsid w:val="00C72817"/>
    <w:rsid w:val="00C73C5E"/>
    <w:rsid w:val="00C743CB"/>
    <w:rsid w:val="00C74E80"/>
    <w:rsid w:val="00C76246"/>
    <w:rsid w:val="00C770CE"/>
    <w:rsid w:val="00C7730D"/>
    <w:rsid w:val="00C7762D"/>
    <w:rsid w:val="00C80A8C"/>
    <w:rsid w:val="00C80A96"/>
    <w:rsid w:val="00C81A59"/>
    <w:rsid w:val="00C833F5"/>
    <w:rsid w:val="00C83D9F"/>
    <w:rsid w:val="00C84A22"/>
    <w:rsid w:val="00C85656"/>
    <w:rsid w:val="00C872B4"/>
    <w:rsid w:val="00C94599"/>
    <w:rsid w:val="00C94B96"/>
    <w:rsid w:val="00C95886"/>
    <w:rsid w:val="00C9591F"/>
    <w:rsid w:val="00C96B8D"/>
    <w:rsid w:val="00C96EE7"/>
    <w:rsid w:val="00CA156E"/>
    <w:rsid w:val="00CA172E"/>
    <w:rsid w:val="00CA2E03"/>
    <w:rsid w:val="00CA341B"/>
    <w:rsid w:val="00CA72BE"/>
    <w:rsid w:val="00CB0C90"/>
    <w:rsid w:val="00CB2737"/>
    <w:rsid w:val="00CB2861"/>
    <w:rsid w:val="00CB33AB"/>
    <w:rsid w:val="00CB477F"/>
    <w:rsid w:val="00CB5715"/>
    <w:rsid w:val="00CC0D8A"/>
    <w:rsid w:val="00CC1E66"/>
    <w:rsid w:val="00CC2792"/>
    <w:rsid w:val="00CC4AFC"/>
    <w:rsid w:val="00CC5DEF"/>
    <w:rsid w:val="00CD0428"/>
    <w:rsid w:val="00CD0506"/>
    <w:rsid w:val="00CD1887"/>
    <w:rsid w:val="00CD1917"/>
    <w:rsid w:val="00CD2381"/>
    <w:rsid w:val="00CD39E8"/>
    <w:rsid w:val="00CD5FB9"/>
    <w:rsid w:val="00CD78A9"/>
    <w:rsid w:val="00CE0A51"/>
    <w:rsid w:val="00CE1D42"/>
    <w:rsid w:val="00CE2B12"/>
    <w:rsid w:val="00CE2C99"/>
    <w:rsid w:val="00CE5908"/>
    <w:rsid w:val="00CF05D5"/>
    <w:rsid w:val="00CF0E41"/>
    <w:rsid w:val="00CF199B"/>
    <w:rsid w:val="00CF1C20"/>
    <w:rsid w:val="00CF20AF"/>
    <w:rsid w:val="00CF213B"/>
    <w:rsid w:val="00CF43DE"/>
    <w:rsid w:val="00CF477B"/>
    <w:rsid w:val="00CF5F9C"/>
    <w:rsid w:val="00CF6C24"/>
    <w:rsid w:val="00CF710A"/>
    <w:rsid w:val="00D00581"/>
    <w:rsid w:val="00D00F52"/>
    <w:rsid w:val="00D0113D"/>
    <w:rsid w:val="00D0162B"/>
    <w:rsid w:val="00D01652"/>
    <w:rsid w:val="00D01AD7"/>
    <w:rsid w:val="00D0209D"/>
    <w:rsid w:val="00D04035"/>
    <w:rsid w:val="00D04B3F"/>
    <w:rsid w:val="00D074AA"/>
    <w:rsid w:val="00D07DFD"/>
    <w:rsid w:val="00D10ADD"/>
    <w:rsid w:val="00D10C43"/>
    <w:rsid w:val="00D1265E"/>
    <w:rsid w:val="00D128EB"/>
    <w:rsid w:val="00D12D6E"/>
    <w:rsid w:val="00D12FF6"/>
    <w:rsid w:val="00D13406"/>
    <w:rsid w:val="00D159F7"/>
    <w:rsid w:val="00D15DBC"/>
    <w:rsid w:val="00D1783C"/>
    <w:rsid w:val="00D17BC1"/>
    <w:rsid w:val="00D20104"/>
    <w:rsid w:val="00D20343"/>
    <w:rsid w:val="00D2209D"/>
    <w:rsid w:val="00D222FA"/>
    <w:rsid w:val="00D225F6"/>
    <w:rsid w:val="00D22B0C"/>
    <w:rsid w:val="00D255A8"/>
    <w:rsid w:val="00D26EC2"/>
    <w:rsid w:val="00D26F65"/>
    <w:rsid w:val="00D303CD"/>
    <w:rsid w:val="00D30821"/>
    <w:rsid w:val="00D319AD"/>
    <w:rsid w:val="00D31A91"/>
    <w:rsid w:val="00D31DA9"/>
    <w:rsid w:val="00D3203C"/>
    <w:rsid w:val="00D33CFF"/>
    <w:rsid w:val="00D34971"/>
    <w:rsid w:val="00D34FD4"/>
    <w:rsid w:val="00D3541E"/>
    <w:rsid w:val="00D401A1"/>
    <w:rsid w:val="00D40E1D"/>
    <w:rsid w:val="00D44EDD"/>
    <w:rsid w:val="00D474A1"/>
    <w:rsid w:val="00D47625"/>
    <w:rsid w:val="00D52A92"/>
    <w:rsid w:val="00D565CF"/>
    <w:rsid w:val="00D5761E"/>
    <w:rsid w:val="00D6000B"/>
    <w:rsid w:val="00D631BC"/>
    <w:rsid w:val="00D6469C"/>
    <w:rsid w:val="00D6608D"/>
    <w:rsid w:val="00D6655B"/>
    <w:rsid w:val="00D66ED8"/>
    <w:rsid w:val="00D6760F"/>
    <w:rsid w:val="00D67C07"/>
    <w:rsid w:val="00D7073D"/>
    <w:rsid w:val="00D70B00"/>
    <w:rsid w:val="00D71AE4"/>
    <w:rsid w:val="00D74D13"/>
    <w:rsid w:val="00D7629E"/>
    <w:rsid w:val="00D762C8"/>
    <w:rsid w:val="00D76C15"/>
    <w:rsid w:val="00D80AA8"/>
    <w:rsid w:val="00D817C3"/>
    <w:rsid w:val="00D81B86"/>
    <w:rsid w:val="00D8282B"/>
    <w:rsid w:val="00D832DA"/>
    <w:rsid w:val="00D8370D"/>
    <w:rsid w:val="00D85E30"/>
    <w:rsid w:val="00D8680D"/>
    <w:rsid w:val="00D877A5"/>
    <w:rsid w:val="00D87A78"/>
    <w:rsid w:val="00D90533"/>
    <w:rsid w:val="00D90DC9"/>
    <w:rsid w:val="00D93A29"/>
    <w:rsid w:val="00D95939"/>
    <w:rsid w:val="00D95C07"/>
    <w:rsid w:val="00D95C1C"/>
    <w:rsid w:val="00D97397"/>
    <w:rsid w:val="00DA0480"/>
    <w:rsid w:val="00DA3248"/>
    <w:rsid w:val="00DA387A"/>
    <w:rsid w:val="00DA4759"/>
    <w:rsid w:val="00DA4DD1"/>
    <w:rsid w:val="00DA6FAE"/>
    <w:rsid w:val="00DA7C3C"/>
    <w:rsid w:val="00DB1A72"/>
    <w:rsid w:val="00DB20A2"/>
    <w:rsid w:val="00DB2562"/>
    <w:rsid w:val="00DB2980"/>
    <w:rsid w:val="00DB6F3E"/>
    <w:rsid w:val="00DC095F"/>
    <w:rsid w:val="00DC0E8B"/>
    <w:rsid w:val="00DC1678"/>
    <w:rsid w:val="00DC1759"/>
    <w:rsid w:val="00DC274B"/>
    <w:rsid w:val="00DC4DD0"/>
    <w:rsid w:val="00DC4F0B"/>
    <w:rsid w:val="00DC508E"/>
    <w:rsid w:val="00DC53D7"/>
    <w:rsid w:val="00DC55D0"/>
    <w:rsid w:val="00DC5CAC"/>
    <w:rsid w:val="00DC6505"/>
    <w:rsid w:val="00DD074F"/>
    <w:rsid w:val="00DD0F78"/>
    <w:rsid w:val="00DD1177"/>
    <w:rsid w:val="00DD1EE2"/>
    <w:rsid w:val="00DD2FF4"/>
    <w:rsid w:val="00DD3F0C"/>
    <w:rsid w:val="00DD55E2"/>
    <w:rsid w:val="00DD5A9B"/>
    <w:rsid w:val="00DD7E4D"/>
    <w:rsid w:val="00DE00F3"/>
    <w:rsid w:val="00DE0724"/>
    <w:rsid w:val="00DE1060"/>
    <w:rsid w:val="00DE2D32"/>
    <w:rsid w:val="00DE2D8E"/>
    <w:rsid w:val="00DE5F13"/>
    <w:rsid w:val="00DE62E9"/>
    <w:rsid w:val="00DE6619"/>
    <w:rsid w:val="00DE7512"/>
    <w:rsid w:val="00DF3457"/>
    <w:rsid w:val="00DF3BA1"/>
    <w:rsid w:val="00DF3CBE"/>
    <w:rsid w:val="00DF3D98"/>
    <w:rsid w:val="00DF5010"/>
    <w:rsid w:val="00DF730E"/>
    <w:rsid w:val="00E0213C"/>
    <w:rsid w:val="00E03B7B"/>
    <w:rsid w:val="00E03DA3"/>
    <w:rsid w:val="00E0584C"/>
    <w:rsid w:val="00E05F1A"/>
    <w:rsid w:val="00E0644D"/>
    <w:rsid w:val="00E07CDC"/>
    <w:rsid w:val="00E106F5"/>
    <w:rsid w:val="00E1427D"/>
    <w:rsid w:val="00E1796B"/>
    <w:rsid w:val="00E223C7"/>
    <w:rsid w:val="00E22C4D"/>
    <w:rsid w:val="00E22D88"/>
    <w:rsid w:val="00E23770"/>
    <w:rsid w:val="00E24B45"/>
    <w:rsid w:val="00E27952"/>
    <w:rsid w:val="00E306D5"/>
    <w:rsid w:val="00E32770"/>
    <w:rsid w:val="00E32F7F"/>
    <w:rsid w:val="00E34CFC"/>
    <w:rsid w:val="00E355DC"/>
    <w:rsid w:val="00E403EA"/>
    <w:rsid w:val="00E40700"/>
    <w:rsid w:val="00E4088F"/>
    <w:rsid w:val="00E426EE"/>
    <w:rsid w:val="00E43B72"/>
    <w:rsid w:val="00E441C7"/>
    <w:rsid w:val="00E4485A"/>
    <w:rsid w:val="00E4577F"/>
    <w:rsid w:val="00E475E7"/>
    <w:rsid w:val="00E50192"/>
    <w:rsid w:val="00E5029F"/>
    <w:rsid w:val="00E51911"/>
    <w:rsid w:val="00E527E9"/>
    <w:rsid w:val="00E54D11"/>
    <w:rsid w:val="00E55227"/>
    <w:rsid w:val="00E553A2"/>
    <w:rsid w:val="00E55628"/>
    <w:rsid w:val="00E55F1A"/>
    <w:rsid w:val="00E57347"/>
    <w:rsid w:val="00E60085"/>
    <w:rsid w:val="00E6029A"/>
    <w:rsid w:val="00E60DEF"/>
    <w:rsid w:val="00E64142"/>
    <w:rsid w:val="00E64A6F"/>
    <w:rsid w:val="00E670BD"/>
    <w:rsid w:val="00E70335"/>
    <w:rsid w:val="00E714E6"/>
    <w:rsid w:val="00E72458"/>
    <w:rsid w:val="00E72705"/>
    <w:rsid w:val="00E72B74"/>
    <w:rsid w:val="00E746BF"/>
    <w:rsid w:val="00E75CD4"/>
    <w:rsid w:val="00E76A71"/>
    <w:rsid w:val="00E779FA"/>
    <w:rsid w:val="00E809DE"/>
    <w:rsid w:val="00E82BBB"/>
    <w:rsid w:val="00E830F8"/>
    <w:rsid w:val="00E857D5"/>
    <w:rsid w:val="00E87289"/>
    <w:rsid w:val="00E8733F"/>
    <w:rsid w:val="00E87B7C"/>
    <w:rsid w:val="00E91193"/>
    <w:rsid w:val="00E91A5E"/>
    <w:rsid w:val="00E91AA1"/>
    <w:rsid w:val="00E948BA"/>
    <w:rsid w:val="00E94904"/>
    <w:rsid w:val="00E96866"/>
    <w:rsid w:val="00E970C0"/>
    <w:rsid w:val="00EA05BA"/>
    <w:rsid w:val="00EA05E2"/>
    <w:rsid w:val="00EA0BAD"/>
    <w:rsid w:val="00EA2D67"/>
    <w:rsid w:val="00EA5968"/>
    <w:rsid w:val="00EA73C4"/>
    <w:rsid w:val="00EB10D7"/>
    <w:rsid w:val="00EB1278"/>
    <w:rsid w:val="00EB1BE8"/>
    <w:rsid w:val="00EB26B9"/>
    <w:rsid w:val="00EB3B54"/>
    <w:rsid w:val="00EB3B82"/>
    <w:rsid w:val="00EB4DD1"/>
    <w:rsid w:val="00EB4E71"/>
    <w:rsid w:val="00EB5D16"/>
    <w:rsid w:val="00EB5D17"/>
    <w:rsid w:val="00EB6919"/>
    <w:rsid w:val="00EC2D6F"/>
    <w:rsid w:val="00EC5D59"/>
    <w:rsid w:val="00EC61B6"/>
    <w:rsid w:val="00EC6AF1"/>
    <w:rsid w:val="00EC7543"/>
    <w:rsid w:val="00ED1263"/>
    <w:rsid w:val="00ED1664"/>
    <w:rsid w:val="00ED25ED"/>
    <w:rsid w:val="00ED37AA"/>
    <w:rsid w:val="00ED3E16"/>
    <w:rsid w:val="00ED4A0D"/>
    <w:rsid w:val="00ED7C91"/>
    <w:rsid w:val="00EE1D1B"/>
    <w:rsid w:val="00EE51D0"/>
    <w:rsid w:val="00EE5C74"/>
    <w:rsid w:val="00EF04C7"/>
    <w:rsid w:val="00EF15C7"/>
    <w:rsid w:val="00EF2E5A"/>
    <w:rsid w:val="00EF4744"/>
    <w:rsid w:val="00EF4E0E"/>
    <w:rsid w:val="00EF50B7"/>
    <w:rsid w:val="00EF6A38"/>
    <w:rsid w:val="00EF6B8B"/>
    <w:rsid w:val="00F014E3"/>
    <w:rsid w:val="00F01863"/>
    <w:rsid w:val="00F018CC"/>
    <w:rsid w:val="00F0204F"/>
    <w:rsid w:val="00F02CD2"/>
    <w:rsid w:val="00F0385B"/>
    <w:rsid w:val="00F06FE3"/>
    <w:rsid w:val="00F11117"/>
    <w:rsid w:val="00F12C4A"/>
    <w:rsid w:val="00F12EB6"/>
    <w:rsid w:val="00F1405E"/>
    <w:rsid w:val="00F149EA"/>
    <w:rsid w:val="00F14D2D"/>
    <w:rsid w:val="00F1592F"/>
    <w:rsid w:val="00F16C76"/>
    <w:rsid w:val="00F16F70"/>
    <w:rsid w:val="00F177AD"/>
    <w:rsid w:val="00F17895"/>
    <w:rsid w:val="00F2024B"/>
    <w:rsid w:val="00F219F7"/>
    <w:rsid w:val="00F22BF0"/>
    <w:rsid w:val="00F22EDD"/>
    <w:rsid w:val="00F22F22"/>
    <w:rsid w:val="00F23527"/>
    <w:rsid w:val="00F23E5D"/>
    <w:rsid w:val="00F24FCE"/>
    <w:rsid w:val="00F34348"/>
    <w:rsid w:val="00F3491B"/>
    <w:rsid w:val="00F34DF7"/>
    <w:rsid w:val="00F36156"/>
    <w:rsid w:val="00F40382"/>
    <w:rsid w:val="00F40A89"/>
    <w:rsid w:val="00F4215F"/>
    <w:rsid w:val="00F436D5"/>
    <w:rsid w:val="00F43E8D"/>
    <w:rsid w:val="00F443D9"/>
    <w:rsid w:val="00F44891"/>
    <w:rsid w:val="00F46096"/>
    <w:rsid w:val="00F5212A"/>
    <w:rsid w:val="00F53A1D"/>
    <w:rsid w:val="00F54AB4"/>
    <w:rsid w:val="00F55C83"/>
    <w:rsid w:val="00F563C2"/>
    <w:rsid w:val="00F567C8"/>
    <w:rsid w:val="00F56AF4"/>
    <w:rsid w:val="00F571E6"/>
    <w:rsid w:val="00F572E9"/>
    <w:rsid w:val="00F600C3"/>
    <w:rsid w:val="00F61B61"/>
    <w:rsid w:val="00F625E7"/>
    <w:rsid w:val="00F627EC"/>
    <w:rsid w:val="00F62EB5"/>
    <w:rsid w:val="00F63BAF"/>
    <w:rsid w:val="00F6593C"/>
    <w:rsid w:val="00F66B8C"/>
    <w:rsid w:val="00F671F6"/>
    <w:rsid w:val="00F67774"/>
    <w:rsid w:val="00F6777F"/>
    <w:rsid w:val="00F731ED"/>
    <w:rsid w:val="00F74742"/>
    <w:rsid w:val="00F7502B"/>
    <w:rsid w:val="00F767D4"/>
    <w:rsid w:val="00F7707C"/>
    <w:rsid w:val="00F774DA"/>
    <w:rsid w:val="00F80029"/>
    <w:rsid w:val="00F8195F"/>
    <w:rsid w:val="00F82AD7"/>
    <w:rsid w:val="00F863C1"/>
    <w:rsid w:val="00F9033D"/>
    <w:rsid w:val="00F90425"/>
    <w:rsid w:val="00F904A1"/>
    <w:rsid w:val="00F906C1"/>
    <w:rsid w:val="00F910F3"/>
    <w:rsid w:val="00F9220A"/>
    <w:rsid w:val="00F925B0"/>
    <w:rsid w:val="00F927ED"/>
    <w:rsid w:val="00F92C78"/>
    <w:rsid w:val="00F935F7"/>
    <w:rsid w:val="00F942B0"/>
    <w:rsid w:val="00F94B7A"/>
    <w:rsid w:val="00FA0BC6"/>
    <w:rsid w:val="00FA374E"/>
    <w:rsid w:val="00FA502D"/>
    <w:rsid w:val="00FA5B06"/>
    <w:rsid w:val="00FA6059"/>
    <w:rsid w:val="00FA6B19"/>
    <w:rsid w:val="00FA7602"/>
    <w:rsid w:val="00FA7935"/>
    <w:rsid w:val="00FB0744"/>
    <w:rsid w:val="00FB19E6"/>
    <w:rsid w:val="00FB3F2A"/>
    <w:rsid w:val="00FB41F0"/>
    <w:rsid w:val="00FB66C0"/>
    <w:rsid w:val="00FC02D2"/>
    <w:rsid w:val="00FC20B7"/>
    <w:rsid w:val="00FC23DB"/>
    <w:rsid w:val="00FC3777"/>
    <w:rsid w:val="00FC5537"/>
    <w:rsid w:val="00FC690C"/>
    <w:rsid w:val="00FC7C2A"/>
    <w:rsid w:val="00FD0C93"/>
    <w:rsid w:val="00FD1D10"/>
    <w:rsid w:val="00FD23E2"/>
    <w:rsid w:val="00FD4A93"/>
    <w:rsid w:val="00FD4BBD"/>
    <w:rsid w:val="00FD5AC8"/>
    <w:rsid w:val="00FD76C9"/>
    <w:rsid w:val="00FD794F"/>
    <w:rsid w:val="00FE3BE5"/>
    <w:rsid w:val="00FE4969"/>
    <w:rsid w:val="00FE5A5A"/>
    <w:rsid w:val="00FF0BC7"/>
    <w:rsid w:val="00FF17C4"/>
    <w:rsid w:val="00FF2030"/>
    <w:rsid w:val="00FF297D"/>
    <w:rsid w:val="00FF36D4"/>
    <w:rsid w:val="00FF3D49"/>
    <w:rsid w:val="00FF3E21"/>
    <w:rsid w:val="00FF5473"/>
    <w:rsid w:val="00FF5FA8"/>
    <w:rsid w:val="00FF6D75"/>
    <w:rsid w:val="00FF737F"/>
    <w:rsid w:val="00FF7A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BAC77"/>
  <w15:docId w15:val="{6A9C0B9E-01C0-4E2A-9794-FC79726A6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s-MX"/>
    </w:rPr>
  </w:style>
  <w:style w:type="paragraph" w:styleId="Ttulo1">
    <w:name w:val="heading 1"/>
    <w:basedOn w:val="Normal"/>
    <w:uiPriority w:val="1"/>
    <w:qFormat/>
    <w:pPr>
      <w:spacing w:before="114"/>
      <w:ind w:left="229" w:right="245"/>
      <w:jc w:val="center"/>
      <w:outlineLvl w:val="0"/>
    </w:pPr>
    <w:rPr>
      <w:b/>
      <w:bCs/>
      <w:sz w:val="28"/>
      <w:szCs w:val="28"/>
    </w:rPr>
  </w:style>
  <w:style w:type="paragraph" w:styleId="Ttulo2">
    <w:name w:val="heading 2"/>
    <w:basedOn w:val="Normal"/>
    <w:uiPriority w:val="1"/>
    <w:qFormat/>
    <w:pPr>
      <w:ind w:left="102"/>
      <w:jc w:val="center"/>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link w:val="PrrafodelistaCar"/>
    <w:uiPriority w:val="34"/>
    <w:qFormat/>
    <w:pPr>
      <w:ind w:left="1102" w:hanging="360"/>
    </w:pPr>
  </w:style>
  <w:style w:type="paragraph" w:customStyle="1" w:styleId="TableParagraph">
    <w:name w:val="Table Paragraph"/>
    <w:basedOn w:val="Normal"/>
    <w:uiPriority w:val="1"/>
    <w:qFormat/>
    <w:pPr>
      <w:ind w:left="60"/>
      <w:jc w:val="center"/>
    </w:pPr>
  </w:style>
  <w:style w:type="paragraph" w:styleId="Encabezado">
    <w:name w:val="header"/>
    <w:basedOn w:val="Normal"/>
    <w:link w:val="EncabezadoCar"/>
    <w:unhideWhenUsed/>
    <w:rsid w:val="00DC53D7"/>
    <w:pPr>
      <w:tabs>
        <w:tab w:val="center" w:pos="4419"/>
        <w:tab w:val="right" w:pos="8838"/>
      </w:tabs>
    </w:pPr>
  </w:style>
  <w:style w:type="character" w:customStyle="1" w:styleId="EncabezadoCar">
    <w:name w:val="Encabezado Car"/>
    <w:basedOn w:val="Fuentedeprrafopredeter"/>
    <w:link w:val="Encabezado"/>
    <w:rsid w:val="00DC53D7"/>
    <w:rPr>
      <w:rFonts w:ascii="Arial" w:eastAsia="Arial" w:hAnsi="Arial" w:cs="Arial"/>
    </w:rPr>
  </w:style>
  <w:style w:type="paragraph" w:styleId="Piedepgina">
    <w:name w:val="footer"/>
    <w:basedOn w:val="Normal"/>
    <w:link w:val="PiedepginaCar"/>
    <w:uiPriority w:val="99"/>
    <w:unhideWhenUsed/>
    <w:rsid w:val="00DC53D7"/>
    <w:pPr>
      <w:tabs>
        <w:tab w:val="center" w:pos="4419"/>
        <w:tab w:val="right" w:pos="8838"/>
      </w:tabs>
    </w:pPr>
  </w:style>
  <w:style w:type="character" w:customStyle="1" w:styleId="PiedepginaCar">
    <w:name w:val="Pie de página Car"/>
    <w:basedOn w:val="Fuentedeprrafopredeter"/>
    <w:link w:val="Piedepgina"/>
    <w:uiPriority w:val="99"/>
    <w:rsid w:val="00DC53D7"/>
    <w:rPr>
      <w:rFonts w:ascii="Arial" w:eastAsia="Arial" w:hAnsi="Arial" w:cs="Arial"/>
    </w:rPr>
  </w:style>
  <w:style w:type="character" w:styleId="Hipervnculo">
    <w:name w:val="Hyperlink"/>
    <w:basedOn w:val="Fuentedeprrafopredeter"/>
    <w:uiPriority w:val="99"/>
    <w:unhideWhenUsed/>
    <w:rsid w:val="003B0E93"/>
    <w:rPr>
      <w:color w:val="0000FF" w:themeColor="hyperlink"/>
      <w:u w:val="single"/>
    </w:rPr>
  </w:style>
  <w:style w:type="paragraph" w:styleId="NormalWeb">
    <w:name w:val="Normal (Web)"/>
    <w:basedOn w:val="Normal"/>
    <w:uiPriority w:val="99"/>
    <w:unhideWhenUsed/>
    <w:rsid w:val="00261365"/>
    <w:pPr>
      <w:widowControl/>
      <w:spacing w:before="100" w:beforeAutospacing="1" w:after="100" w:afterAutospacing="1"/>
    </w:pPr>
    <w:rPr>
      <w:rFonts w:ascii="Times New Roman" w:eastAsiaTheme="minorEastAsia" w:hAnsi="Times New Roman" w:cs="Times New Roman"/>
      <w:sz w:val="24"/>
      <w:szCs w:val="24"/>
      <w:lang w:eastAsia="es-MX"/>
    </w:rPr>
  </w:style>
  <w:style w:type="paragraph" w:styleId="Textodeglobo">
    <w:name w:val="Balloon Text"/>
    <w:basedOn w:val="Normal"/>
    <w:link w:val="TextodegloboCar"/>
    <w:uiPriority w:val="99"/>
    <w:semiHidden/>
    <w:unhideWhenUsed/>
    <w:rsid w:val="00C73C5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3C5E"/>
    <w:rPr>
      <w:rFonts w:ascii="Segoe UI" w:eastAsia="Arial" w:hAnsi="Segoe UI" w:cs="Segoe UI"/>
      <w:sz w:val="18"/>
      <w:szCs w:val="18"/>
      <w:lang w:val="es-MX"/>
    </w:rPr>
  </w:style>
  <w:style w:type="character" w:styleId="Refdecomentario">
    <w:name w:val="annotation reference"/>
    <w:basedOn w:val="Fuentedeprrafopredeter"/>
    <w:uiPriority w:val="99"/>
    <w:semiHidden/>
    <w:unhideWhenUsed/>
    <w:rsid w:val="005C1590"/>
    <w:rPr>
      <w:sz w:val="16"/>
      <w:szCs w:val="16"/>
    </w:rPr>
  </w:style>
  <w:style w:type="paragraph" w:styleId="Textocomentario">
    <w:name w:val="annotation text"/>
    <w:basedOn w:val="Normal"/>
    <w:link w:val="TextocomentarioCar"/>
    <w:uiPriority w:val="99"/>
    <w:unhideWhenUsed/>
    <w:rsid w:val="005C1590"/>
    <w:rPr>
      <w:sz w:val="20"/>
      <w:szCs w:val="20"/>
    </w:rPr>
  </w:style>
  <w:style w:type="character" w:customStyle="1" w:styleId="TextocomentarioCar">
    <w:name w:val="Texto comentario Car"/>
    <w:basedOn w:val="Fuentedeprrafopredeter"/>
    <w:link w:val="Textocomentario"/>
    <w:uiPriority w:val="99"/>
    <w:rsid w:val="005C1590"/>
    <w:rPr>
      <w:rFonts w:ascii="Arial" w:eastAsia="Arial" w:hAnsi="Arial" w:cs="Arial"/>
      <w:sz w:val="20"/>
      <w:szCs w:val="20"/>
      <w:lang w:val="es-MX"/>
    </w:rPr>
  </w:style>
  <w:style w:type="paragraph" w:styleId="Asuntodelcomentario">
    <w:name w:val="annotation subject"/>
    <w:basedOn w:val="Textocomentario"/>
    <w:next w:val="Textocomentario"/>
    <w:link w:val="AsuntodelcomentarioCar"/>
    <w:uiPriority w:val="99"/>
    <w:semiHidden/>
    <w:unhideWhenUsed/>
    <w:rsid w:val="005C1590"/>
    <w:rPr>
      <w:b/>
      <w:bCs/>
    </w:rPr>
  </w:style>
  <w:style w:type="character" w:customStyle="1" w:styleId="AsuntodelcomentarioCar">
    <w:name w:val="Asunto del comentario Car"/>
    <w:basedOn w:val="TextocomentarioCar"/>
    <w:link w:val="Asuntodelcomentario"/>
    <w:uiPriority w:val="99"/>
    <w:semiHidden/>
    <w:rsid w:val="005C1590"/>
    <w:rPr>
      <w:rFonts w:ascii="Arial" w:eastAsia="Arial" w:hAnsi="Arial" w:cs="Arial"/>
      <w:b/>
      <w:bCs/>
      <w:sz w:val="20"/>
      <w:szCs w:val="20"/>
      <w:lang w:val="es-MX"/>
    </w:rPr>
  </w:style>
  <w:style w:type="paragraph" w:styleId="Revisin">
    <w:name w:val="Revision"/>
    <w:hidden/>
    <w:uiPriority w:val="99"/>
    <w:semiHidden/>
    <w:rsid w:val="005C1590"/>
    <w:pPr>
      <w:widowControl/>
    </w:pPr>
    <w:rPr>
      <w:rFonts w:ascii="Arial" w:eastAsia="Arial" w:hAnsi="Arial" w:cs="Arial"/>
      <w:lang w:val="es-MX"/>
    </w:rPr>
  </w:style>
  <w:style w:type="character" w:styleId="Hipervnculovisitado">
    <w:name w:val="FollowedHyperlink"/>
    <w:basedOn w:val="Fuentedeprrafopredeter"/>
    <w:uiPriority w:val="99"/>
    <w:semiHidden/>
    <w:unhideWhenUsed/>
    <w:rsid w:val="00755AD4"/>
    <w:rPr>
      <w:color w:val="800080" w:themeColor="followedHyperlink"/>
      <w:u w:val="single"/>
    </w:rPr>
  </w:style>
  <w:style w:type="character" w:styleId="nfasis">
    <w:name w:val="Emphasis"/>
    <w:basedOn w:val="Fuentedeprrafopredeter"/>
    <w:uiPriority w:val="20"/>
    <w:qFormat/>
    <w:rsid w:val="00BB6AF5"/>
    <w:rPr>
      <w:i/>
      <w:iCs/>
    </w:rPr>
  </w:style>
  <w:style w:type="paragraph" w:customStyle="1" w:styleId="Default">
    <w:name w:val="Default"/>
    <w:rsid w:val="00EB1BE8"/>
    <w:pPr>
      <w:widowControl/>
      <w:autoSpaceDE w:val="0"/>
      <w:autoSpaceDN w:val="0"/>
      <w:adjustRightInd w:val="0"/>
    </w:pPr>
    <w:rPr>
      <w:rFonts w:ascii="Novarese Bk BT" w:hAnsi="Novarese Bk BT" w:cs="Novarese Bk BT"/>
      <w:color w:val="000000"/>
      <w:sz w:val="24"/>
      <w:szCs w:val="24"/>
      <w:lang w:val="es-MX"/>
    </w:rPr>
  </w:style>
  <w:style w:type="paragraph" w:styleId="Textonotapie">
    <w:name w:val="footnote text"/>
    <w:basedOn w:val="Normal"/>
    <w:link w:val="TextonotapieCar"/>
    <w:semiHidden/>
    <w:unhideWhenUsed/>
    <w:rsid w:val="00CF0E41"/>
    <w:pPr>
      <w:widowControl/>
    </w:pPr>
    <w:rPr>
      <w:rFonts w:asciiTheme="minorHAnsi" w:eastAsiaTheme="minorHAnsi" w:hAnsiTheme="minorHAnsi" w:cstheme="minorBidi"/>
      <w:sz w:val="20"/>
      <w:szCs w:val="20"/>
      <w:lang w:val="es-ES"/>
    </w:rPr>
  </w:style>
  <w:style w:type="character" w:customStyle="1" w:styleId="TextonotapieCar">
    <w:name w:val="Texto nota pie Car"/>
    <w:basedOn w:val="Fuentedeprrafopredeter"/>
    <w:link w:val="Textonotapie"/>
    <w:semiHidden/>
    <w:rsid w:val="00CF0E41"/>
    <w:rPr>
      <w:sz w:val="20"/>
      <w:szCs w:val="20"/>
      <w:lang w:val="es-ES"/>
    </w:rPr>
  </w:style>
  <w:style w:type="character" w:customStyle="1" w:styleId="PrrafodelistaCar">
    <w:name w:val="Párrafo de lista Car"/>
    <w:basedOn w:val="Fuentedeprrafopredeter"/>
    <w:link w:val="Prrafodelista"/>
    <w:uiPriority w:val="34"/>
    <w:locked/>
    <w:rsid w:val="00CF0E41"/>
    <w:rPr>
      <w:rFonts w:ascii="Arial" w:eastAsia="Arial" w:hAnsi="Arial" w:cs="Arial"/>
      <w:lang w:val="es-MX"/>
    </w:rPr>
  </w:style>
  <w:style w:type="character" w:styleId="Refdenotaalpie">
    <w:name w:val="footnote reference"/>
    <w:basedOn w:val="Fuentedeprrafopredeter"/>
    <w:semiHidden/>
    <w:unhideWhenUsed/>
    <w:rsid w:val="00CF0E41"/>
    <w:rPr>
      <w:vertAlign w:val="superscript"/>
    </w:rPr>
  </w:style>
  <w:style w:type="paragraph" w:styleId="Descripcin">
    <w:name w:val="caption"/>
    <w:basedOn w:val="Normal"/>
    <w:next w:val="Normal"/>
    <w:uiPriority w:val="35"/>
    <w:unhideWhenUsed/>
    <w:qFormat/>
    <w:rsid w:val="005E290D"/>
    <w:pPr>
      <w:widowControl/>
      <w:spacing w:after="200"/>
    </w:pPr>
    <w:rPr>
      <w:rFonts w:asciiTheme="minorHAnsi" w:eastAsiaTheme="minorHAnsi" w:hAnsiTheme="minorHAnsi" w:cstheme="minorBidi"/>
      <w:i/>
      <w:iCs/>
      <w:color w:val="1F497D" w:themeColor="text2"/>
      <w:sz w:val="18"/>
      <w:szCs w:val="18"/>
      <w:lang w:val="en-US"/>
    </w:rPr>
  </w:style>
  <w:style w:type="paragraph" w:styleId="Textonotaalfinal">
    <w:name w:val="endnote text"/>
    <w:basedOn w:val="Normal"/>
    <w:link w:val="TextonotaalfinalCar"/>
    <w:uiPriority w:val="99"/>
    <w:semiHidden/>
    <w:unhideWhenUsed/>
    <w:rsid w:val="0046061D"/>
    <w:rPr>
      <w:sz w:val="20"/>
      <w:szCs w:val="20"/>
    </w:rPr>
  </w:style>
  <w:style w:type="character" w:customStyle="1" w:styleId="TextonotaalfinalCar">
    <w:name w:val="Texto nota al final Car"/>
    <w:basedOn w:val="Fuentedeprrafopredeter"/>
    <w:link w:val="Textonotaalfinal"/>
    <w:uiPriority w:val="99"/>
    <w:semiHidden/>
    <w:rsid w:val="0046061D"/>
    <w:rPr>
      <w:rFonts w:ascii="Arial" w:eastAsia="Arial" w:hAnsi="Arial" w:cs="Arial"/>
      <w:sz w:val="20"/>
      <w:szCs w:val="20"/>
      <w:lang w:val="es-MX"/>
    </w:rPr>
  </w:style>
  <w:style w:type="character" w:styleId="Refdenotaalfinal">
    <w:name w:val="endnote reference"/>
    <w:basedOn w:val="Fuentedeprrafopredeter"/>
    <w:uiPriority w:val="99"/>
    <w:semiHidden/>
    <w:unhideWhenUsed/>
    <w:rsid w:val="0046061D"/>
    <w:rPr>
      <w:vertAlign w:val="superscript"/>
    </w:rPr>
  </w:style>
  <w:style w:type="character" w:styleId="Mencinsinresolver">
    <w:name w:val="Unresolved Mention"/>
    <w:basedOn w:val="Fuentedeprrafopredeter"/>
    <w:uiPriority w:val="99"/>
    <w:semiHidden/>
    <w:unhideWhenUsed/>
    <w:rsid w:val="00F149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9041">
      <w:bodyDiv w:val="1"/>
      <w:marLeft w:val="0"/>
      <w:marRight w:val="0"/>
      <w:marTop w:val="0"/>
      <w:marBottom w:val="0"/>
      <w:divBdr>
        <w:top w:val="none" w:sz="0" w:space="0" w:color="auto"/>
        <w:left w:val="none" w:sz="0" w:space="0" w:color="auto"/>
        <w:bottom w:val="none" w:sz="0" w:space="0" w:color="auto"/>
        <w:right w:val="none" w:sz="0" w:space="0" w:color="auto"/>
      </w:divBdr>
    </w:div>
    <w:div w:id="29770758">
      <w:bodyDiv w:val="1"/>
      <w:marLeft w:val="0"/>
      <w:marRight w:val="0"/>
      <w:marTop w:val="0"/>
      <w:marBottom w:val="0"/>
      <w:divBdr>
        <w:top w:val="none" w:sz="0" w:space="0" w:color="auto"/>
        <w:left w:val="none" w:sz="0" w:space="0" w:color="auto"/>
        <w:bottom w:val="none" w:sz="0" w:space="0" w:color="auto"/>
        <w:right w:val="none" w:sz="0" w:space="0" w:color="auto"/>
      </w:divBdr>
    </w:div>
    <w:div w:id="149256242">
      <w:bodyDiv w:val="1"/>
      <w:marLeft w:val="0"/>
      <w:marRight w:val="0"/>
      <w:marTop w:val="0"/>
      <w:marBottom w:val="0"/>
      <w:divBdr>
        <w:top w:val="none" w:sz="0" w:space="0" w:color="auto"/>
        <w:left w:val="none" w:sz="0" w:space="0" w:color="auto"/>
        <w:bottom w:val="none" w:sz="0" w:space="0" w:color="auto"/>
        <w:right w:val="none" w:sz="0" w:space="0" w:color="auto"/>
      </w:divBdr>
    </w:div>
    <w:div w:id="176121708">
      <w:bodyDiv w:val="1"/>
      <w:marLeft w:val="0"/>
      <w:marRight w:val="0"/>
      <w:marTop w:val="0"/>
      <w:marBottom w:val="0"/>
      <w:divBdr>
        <w:top w:val="none" w:sz="0" w:space="0" w:color="auto"/>
        <w:left w:val="none" w:sz="0" w:space="0" w:color="auto"/>
        <w:bottom w:val="none" w:sz="0" w:space="0" w:color="auto"/>
        <w:right w:val="none" w:sz="0" w:space="0" w:color="auto"/>
      </w:divBdr>
    </w:div>
    <w:div w:id="184056526">
      <w:bodyDiv w:val="1"/>
      <w:marLeft w:val="0"/>
      <w:marRight w:val="0"/>
      <w:marTop w:val="0"/>
      <w:marBottom w:val="0"/>
      <w:divBdr>
        <w:top w:val="none" w:sz="0" w:space="0" w:color="auto"/>
        <w:left w:val="none" w:sz="0" w:space="0" w:color="auto"/>
        <w:bottom w:val="none" w:sz="0" w:space="0" w:color="auto"/>
        <w:right w:val="none" w:sz="0" w:space="0" w:color="auto"/>
      </w:divBdr>
      <w:divsChild>
        <w:div w:id="839848961">
          <w:marLeft w:val="0"/>
          <w:marRight w:val="0"/>
          <w:marTop w:val="0"/>
          <w:marBottom w:val="0"/>
          <w:divBdr>
            <w:top w:val="none" w:sz="0" w:space="0" w:color="auto"/>
            <w:left w:val="none" w:sz="0" w:space="0" w:color="auto"/>
            <w:bottom w:val="none" w:sz="0" w:space="0" w:color="auto"/>
            <w:right w:val="none" w:sz="0" w:space="0" w:color="auto"/>
          </w:divBdr>
        </w:div>
      </w:divsChild>
    </w:div>
    <w:div w:id="190262835">
      <w:bodyDiv w:val="1"/>
      <w:marLeft w:val="0"/>
      <w:marRight w:val="0"/>
      <w:marTop w:val="0"/>
      <w:marBottom w:val="0"/>
      <w:divBdr>
        <w:top w:val="none" w:sz="0" w:space="0" w:color="auto"/>
        <w:left w:val="none" w:sz="0" w:space="0" w:color="auto"/>
        <w:bottom w:val="none" w:sz="0" w:space="0" w:color="auto"/>
        <w:right w:val="none" w:sz="0" w:space="0" w:color="auto"/>
      </w:divBdr>
    </w:div>
    <w:div w:id="204372041">
      <w:bodyDiv w:val="1"/>
      <w:marLeft w:val="0"/>
      <w:marRight w:val="0"/>
      <w:marTop w:val="0"/>
      <w:marBottom w:val="0"/>
      <w:divBdr>
        <w:top w:val="none" w:sz="0" w:space="0" w:color="auto"/>
        <w:left w:val="none" w:sz="0" w:space="0" w:color="auto"/>
        <w:bottom w:val="none" w:sz="0" w:space="0" w:color="auto"/>
        <w:right w:val="none" w:sz="0" w:space="0" w:color="auto"/>
      </w:divBdr>
    </w:div>
    <w:div w:id="253784752">
      <w:bodyDiv w:val="1"/>
      <w:marLeft w:val="0"/>
      <w:marRight w:val="0"/>
      <w:marTop w:val="0"/>
      <w:marBottom w:val="0"/>
      <w:divBdr>
        <w:top w:val="none" w:sz="0" w:space="0" w:color="auto"/>
        <w:left w:val="none" w:sz="0" w:space="0" w:color="auto"/>
        <w:bottom w:val="none" w:sz="0" w:space="0" w:color="auto"/>
        <w:right w:val="none" w:sz="0" w:space="0" w:color="auto"/>
      </w:divBdr>
      <w:divsChild>
        <w:div w:id="207765850">
          <w:marLeft w:val="0"/>
          <w:marRight w:val="0"/>
          <w:marTop w:val="0"/>
          <w:marBottom w:val="0"/>
          <w:divBdr>
            <w:top w:val="none" w:sz="0" w:space="0" w:color="auto"/>
            <w:left w:val="none" w:sz="0" w:space="0" w:color="auto"/>
            <w:bottom w:val="none" w:sz="0" w:space="0" w:color="auto"/>
            <w:right w:val="none" w:sz="0" w:space="0" w:color="auto"/>
          </w:divBdr>
        </w:div>
      </w:divsChild>
    </w:div>
    <w:div w:id="263734768">
      <w:bodyDiv w:val="1"/>
      <w:marLeft w:val="0"/>
      <w:marRight w:val="0"/>
      <w:marTop w:val="0"/>
      <w:marBottom w:val="0"/>
      <w:divBdr>
        <w:top w:val="none" w:sz="0" w:space="0" w:color="auto"/>
        <w:left w:val="none" w:sz="0" w:space="0" w:color="auto"/>
        <w:bottom w:val="none" w:sz="0" w:space="0" w:color="auto"/>
        <w:right w:val="none" w:sz="0" w:space="0" w:color="auto"/>
      </w:divBdr>
    </w:div>
    <w:div w:id="282003508">
      <w:bodyDiv w:val="1"/>
      <w:marLeft w:val="0"/>
      <w:marRight w:val="0"/>
      <w:marTop w:val="0"/>
      <w:marBottom w:val="0"/>
      <w:divBdr>
        <w:top w:val="none" w:sz="0" w:space="0" w:color="auto"/>
        <w:left w:val="none" w:sz="0" w:space="0" w:color="auto"/>
        <w:bottom w:val="none" w:sz="0" w:space="0" w:color="auto"/>
        <w:right w:val="none" w:sz="0" w:space="0" w:color="auto"/>
      </w:divBdr>
    </w:div>
    <w:div w:id="299194504">
      <w:bodyDiv w:val="1"/>
      <w:marLeft w:val="0"/>
      <w:marRight w:val="0"/>
      <w:marTop w:val="0"/>
      <w:marBottom w:val="0"/>
      <w:divBdr>
        <w:top w:val="none" w:sz="0" w:space="0" w:color="auto"/>
        <w:left w:val="none" w:sz="0" w:space="0" w:color="auto"/>
        <w:bottom w:val="none" w:sz="0" w:space="0" w:color="auto"/>
        <w:right w:val="none" w:sz="0" w:space="0" w:color="auto"/>
      </w:divBdr>
    </w:div>
    <w:div w:id="328604506">
      <w:bodyDiv w:val="1"/>
      <w:marLeft w:val="0"/>
      <w:marRight w:val="0"/>
      <w:marTop w:val="0"/>
      <w:marBottom w:val="0"/>
      <w:divBdr>
        <w:top w:val="none" w:sz="0" w:space="0" w:color="auto"/>
        <w:left w:val="none" w:sz="0" w:space="0" w:color="auto"/>
        <w:bottom w:val="none" w:sz="0" w:space="0" w:color="auto"/>
        <w:right w:val="none" w:sz="0" w:space="0" w:color="auto"/>
      </w:divBdr>
    </w:div>
    <w:div w:id="332538887">
      <w:bodyDiv w:val="1"/>
      <w:marLeft w:val="0"/>
      <w:marRight w:val="0"/>
      <w:marTop w:val="0"/>
      <w:marBottom w:val="0"/>
      <w:divBdr>
        <w:top w:val="none" w:sz="0" w:space="0" w:color="auto"/>
        <w:left w:val="none" w:sz="0" w:space="0" w:color="auto"/>
        <w:bottom w:val="none" w:sz="0" w:space="0" w:color="auto"/>
        <w:right w:val="none" w:sz="0" w:space="0" w:color="auto"/>
      </w:divBdr>
    </w:div>
    <w:div w:id="350492541">
      <w:bodyDiv w:val="1"/>
      <w:marLeft w:val="0"/>
      <w:marRight w:val="0"/>
      <w:marTop w:val="0"/>
      <w:marBottom w:val="0"/>
      <w:divBdr>
        <w:top w:val="none" w:sz="0" w:space="0" w:color="auto"/>
        <w:left w:val="none" w:sz="0" w:space="0" w:color="auto"/>
        <w:bottom w:val="none" w:sz="0" w:space="0" w:color="auto"/>
        <w:right w:val="none" w:sz="0" w:space="0" w:color="auto"/>
      </w:divBdr>
    </w:div>
    <w:div w:id="367725404">
      <w:bodyDiv w:val="1"/>
      <w:marLeft w:val="0"/>
      <w:marRight w:val="0"/>
      <w:marTop w:val="0"/>
      <w:marBottom w:val="0"/>
      <w:divBdr>
        <w:top w:val="none" w:sz="0" w:space="0" w:color="auto"/>
        <w:left w:val="none" w:sz="0" w:space="0" w:color="auto"/>
        <w:bottom w:val="none" w:sz="0" w:space="0" w:color="auto"/>
        <w:right w:val="none" w:sz="0" w:space="0" w:color="auto"/>
      </w:divBdr>
    </w:div>
    <w:div w:id="369110706">
      <w:bodyDiv w:val="1"/>
      <w:marLeft w:val="0"/>
      <w:marRight w:val="0"/>
      <w:marTop w:val="0"/>
      <w:marBottom w:val="0"/>
      <w:divBdr>
        <w:top w:val="none" w:sz="0" w:space="0" w:color="auto"/>
        <w:left w:val="none" w:sz="0" w:space="0" w:color="auto"/>
        <w:bottom w:val="none" w:sz="0" w:space="0" w:color="auto"/>
        <w:right w:val="none" w:sz="0" w:space="0" w:color="auto"/>
      </w:divBdr>
      <w:divsChild>
        <w:div w:id="82917164">
          <w:marLeft w:val="0"/>
          <w:marRight w:val="0"/>
          <w:marTop w:val="0"/>
          <w:marBottom w:val="0"/>
          <w:divBdr>
            <w:top w:val="none" w:sz="0" w:space="0" w:color="auto"/>
            <w:left w:val="none" w:sz="0" w:space="0" w:color="auto"/>
            <w:bottom w:val="none" w:sz="0" w:space="0" w:color="auto"/>
            <w:right w:val="none" w:sz="0" w:space="0" w:color="auto"/>
          </w:divBdr>
        </w:div>
      </w:divsChild>
    </w:div>
    <w:div w:id="393546251">
      <w:bodyDiv w:val="1"/>
      <w:marLeft w:val="0"/>
      <w:marRight w:val="0"/>
      <w:marTop w:val="0"/>
      <w:marBottom w:val="0"/>
      <w:divBdr>
        <w:top w:val="none" w:sz="0" w:space="0" w:color="auto"/>
        <w:left w:val="none" w:sz="0" w:space="0" w:color="auto"/>
        <w:bottom w:val="none" w:sz="0" w:space="0" w:color="auto"/>
        <w:right w:val="none" w:sz="0" w:space="0" w:color="auto"/>
      </w:divBdr>
    </w:div>
    <w:div w:id="402946551">
      <w:bodyDiv w:val="1"/>
      <w:marLeft w:val="0"/>
      <w:marRight w:val="0"/>
      <w:marTop w:val="0"/>
      <w:marBottom w:val="0"/>
      <w:divBdr>
        <w:top w:val="none" w:sz="0" w:space="0" w:color="auto"/>
        <w:left w:val="none" w:sz="0" w:space="0" w:color="auto"/>
        <w:bottom w:val="none" w:sz="0" w:space="0" w:color="auto"/>
        <w:right w:val="none" w:sz="0" w:space="0" w:color="auto"/>
      </w:divBdr>
    </w:div>
    <w:div w:id="469053231">
      <w:bodyDiv w:val="1"/>
      <w:marLeft w:val="0"/>
      <w:marRight w:val="0"/>
      <w:marTop w:val="0"/>
      <w:marBottom w:val="0"/>
      <w:divBdr>
        <w:top w:val="none" w:sz="0" w:space="0" w:color="auto"/>
        <w:left w:val="none" w:sz="0" w:space="0" w:color="auto"/>
        <w:bottom w:val="none" w:sz="0" w:space="0" w:color="auto"/>
        <w:right w:val="none" w:sz="0" w:space="0" w:color="auto"/>
      </w:divBdr>
    </w:div>
    <w:div w:id="535626122">
      <w:bodyDiv w:val="1"/>
      <w:marLeft w:val="0"/>
      <w:marRight w:val="0"/>
      <w:marTop w:val="0"/>
      <w:marBottom w:val="0"/>
      <w:divBdr>
        <w:top w:val="none" w:sz="0" w:space="0" w:color="auto"/>
        <w:left w:val="none" w:sz="0" w:space="0" w:color="auto"/>
        <w:bottom w:val="none" w:sz="0" w:space="0" w:color="auto"/>
        <w:right w:val="none" w:sz="0" w:space="0" w:color="auto"/>
      </w:divBdr>
    </w:div>
    <w:div w:id="541602508">
      <w:bodyDiv w:val="1"/>
      <w:marLeft w:val="0"/>
      <w:marRight w:val="0"/>
      <w:marTop w:val="0"/>
      <w:marBottom w:val="0"/>
      <w:divBdr>
        <w:top w:val="none" w:sz="0" w:space="0" w:color="auto"/>
        <w:left w:val="none" w:sz="0" w:space="0" w:color="auto"/>
        <w:bottom w:val="none" w:sz="0" w:space="0" w:color="auto"/>
        <w:right w:val="none" w:sz="0" w:space="0" w:color="auto"/>
      </w:divBdr>
    </w:div>
    <w:div w:id="570652332">
      <w:bodyDiv w:val="1"/>
      <w:marLeft w:val="0"/>
      <w:marRight w:val="0"/>
      <w:marTop w:val="0"/>
      <w:marBottom w:val="0"/>
      <w:divBdr>
        <w:top w:val="none" w:sz="0" w:space="0" w:color="auto"/>
        <w:left w:val="none" w:sz="0" w:space="0" w:color="auto"/>
        <w:bottom w:val="none" w:sz="0" w:space="0" w:color="auto"/>
        <w:right w:val="none" w:sz="0" w:space="0" w:color="auto"/>
      </w:divBdr>
    </w:div>
    <w:div w:id="578487949">
      <w:bodyDiv w:val="1"/>
      <w:marLeft w:val="0"/>
      <w:marRight w:val="0"/>
      <w:marTop w:val="0"/>
      <w:marBottom w:val="0"/>
      <w:divBdr>
        <w:top w:val="none" w:sz="0" w:space="0" w:color="auto"/>
        <w:left w:val="none" w:sz="0" w:space="0" w:color="auto"/>
        <w:bottom w:val="none" w:sz="0" w:space="0" w:color="auto"/>
        <w:right w:val="none" w:sz="0" w:space="0" w:color="auto"/>
      </w:divBdr>
    </w:div>
    <w:div w:id="587470565">
      <w:bodyDiv w:val="1"/>
      <w:marLeft w:val="0"/>
      <w:marRight w:val="0"/>
      <w:marTop w:val="0"/>
      <w:marBottom w:val="0"/>
      <w:divBdr>
        <w:top w:val="none" w:sz="0" w:space="0" w:color="auto"/>
        <w:left w:val="none" w:sz="0" w:space="0" w:color="auto"/>
        <w:bottom w:val="none" w:sz="0" w:space="0" w:color="auto"/>
        <w:right w:val="none" w:sz="0" w:space="0" w:color="auto"/>
      </w:divBdr>
    </w:div>
    <w:div w:id="691540127">
      <w:bodyDiv w:val="1"/>
      <w:marLeft w:val="0"/>
      <w:marRight w:val="0"/>
      <w:marTop w:val="0"/>
      <w:marBottom w:val="0"/>
      <w:divBdr>
        <w:top w:val="none" w:sz="0" w:space="0" w:color="auto"/>
        <w:left w:val="none" w:sz="0" w:space="0" w:color="auto"/>
        <w:bottom w:val="none" w:sz="0" w:space="0" w:color="auto"/>
        <w:right w:val="none" w:sz="0" w:space="0" w:color="auto"/>
      </w:divBdr>
    </w:div>
    <w:div w:id="692026837">
      <w:bodyDiv w:val="1"/>
      <w:marLeft w:val="0"/>
      <w:marRight w:val="0"/>
      <w:marTop w:val="0"/>
      <w:marBottom w:val="0"/>
      <w:divBdr>
        <w:top w:val="none" w:sz="0" w:space="0" w:color="auto"/>
        <w:left w:val="none" w:sz="0" w:space="0" w:color="auto"/>
        <w:bottom w:val="none" w:sz="0" w:space="0" w:color="auto"/>
        <w:right w:val="none" w:sz="0" w:space="0" w:color="auto"/>
      </w:divBdr>
    </w:div>
    <w:div w:id="701788020">
      <w:bodyDiv w:val="1"/>
      <w:marLeft w:val="0"/>
      <w:marRight w:val="0"/>
      <w:marTop w:val="0"/>
      <w:marBottom w:val="0"/>
      <w:divBdr>
        <w:top w:val="none" w:sz="0" w:space="0" w:color="auto"/>
        <w:left w:val="none" w:sz="0" w:space="0" w:color="auto"/>
        <w:bottom w:val="none" w:sz="0" w:space="0" w:color="auto"/>
        <w:right w:val="none" w:sz="0" w:space="0" w:color="auto"/>
      </w:divBdr>
    </w:div>
    <w:div w:id="719281007">
      <w:bodyDiv w:val="1"/>
      <w:marLeft w:val="0"/>
      <w:marRight w:val="0"/>
      <w:marTop w:val="0"/>
      <w:marBottom w:val="0"/>
      <w:divBdr>
        <w:top w:val="none" w:sz="0" w:space="0" w:color="auto"/>
        <w:left w:val="none" w:sz="0" w:space="0" w:color="auto"/>
        <w:bottom w:val="none" w:sz="0" w:space="0" w:color="auto"/>
        <w:right w:val="none" w:sz="0" w:space="0" w:color="auto"/>
      </w:divBdr>
      <w:divsChild>
        <w:div w:id="1200582446">
          <w:marLeft w:val="0"/>
          <w:marRight w:val="0"/>
          <w:marTop w:val="0"/>
          <w:marBottom w:val="0"/>
          <w:divBdr>
            <w:top w:val="none" w:sz="0" w:space="0" w:color="auto"/>
            <w:left w:val="none" w:sz="0" w:space="0" w:color="auto"/>
            <w:bottom w:val="none" w:sz="0" w:space="0" w:color="auto"/>
            <w:right w:val="none" w:sz="0" w:space="0" w:color="auto"/>
          </w:divBdr>
          <w:divsChild>
            <w:div w:id="1441102244">
              <w:marLeft w:val="0"/>
              <w:marRight w:val="0"/>
              <w:marTop w:val="0"/>
              <w:marBottom w:val="0"/>
              <w:divBdr>
                <w:top w:val="none" w:sz="0" w:space="0" w:color="auto"/>
                <w:left w:val="none" w:sz="0" w:space="0" w:color="auto"/>
                <w:bottom w:val="none" w:sz="0" w:space="0" w:color="auto"/>
                <w:right w:val="none" w:sz="0" w:space="0" w:color="auto"/>
              </w:divBdr>
            </w:div>
          </w:divsChild>
        </w:div>
        <w:div w:id="806628881">
          <w:marLeft w:val="0"/>
          <w:marRight w:val="0"/>
          <w:marTop w:val="150"/>
          <w:marBottom w:val="0"/>
          <w:divBdr>
            <w:top w:val="none" w:sz="0" w:space="0" w:color="auto"/>
            <w:left w:val="none" w:sz="0" w:space="0" w:color="auto"/>
            <w:bottom w:val="none" w:sz="0" w:space="0" w:color="auto"/>
            <w:right w:val="none" w:sz="0" w:space="0" w:color="auto"/>
          </w:divBdr>
          <w:divsChild>
            <w:div w:id="1507818092">
              <w:marLeft w:val="0"/>
              <w:marRight w:val="0"/>
              <w:marTop w:val="0"/>
              <w:marBottom w:val="0"/>
              <w:divBdr>
                <w:top w:val="none" w:sz="0" w:space="0" w:color="auto"/>
                <w:left w:val="none" w:sz="0" w:space="0" w:color="auto"/>
                <w:bottom w:val="none" w:sz="0" w:space="0" w:color="auto"/>
                <w:right w:val="none" w:sz="0" w:space="0" w:color="auto"/>
              </w:divBdr>
            </w:div>
          </w:divsChild>
        </w:div>
        <w:div w:id="1582983183">
          <w:marLeft w:val="0"/>
          <w:marRight w:val="0"/>
          <w:marTop w:val="225"/>
          <w:marBottom w:val="150"/>
          <w:divBdr>
            <w:top w:val="single" w:sz="6" w:space="4" w:color="EEEEEE"/>
            <w:left w:val="none" w:sz="0" w:space="0" w:color="auto"/>
            <w:bottom w:val="none" w:sz="0" w:space="0" w:color="auto"/>
            <w:right w:val="none" w:sz="0" w:space="0" w:color="auto"/>
          </w:divBdr>
          <w:divsChild>
            <w:div w:id="1249849642">
              <w:marLeft w:val="0"/>
              <w:marRight w:val="0"/>
              <w:marTop w:val="0"/>
              <w:marBottom w:val="225"/>
              <w:divBdr>
                <w:top w:val="none" w:sz="0" w:space="0" w:color="auto"/>
                <w:left w:val="none" w:sz="0" w:space="0" w:color="auto"/>
                <w:bottom w:val="none" w:sz="0" w:space="0" w:color="auto"/>
                <w:right w:val="none" w:sz="0" w:space="0" w:color="auto"/>
              </w:divBdr>
            </w:div>
            <w:div w:id="47908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364456">
      <w:bodyDiv w:val="1"/>
      <w:marLeft w:val="0"/>
      <w:marRight w:val="0"/>
      <w:marTop w:val="0"/>
      <w:marBottom w:val="0"/>
      <w:divBdr>
        <w:top w:val="none" w:sz="0" w:space="0" w:color="auto"/>
        <w:left w:val="none" w:sz="0" w:space="0" w:color="auto"/>
        <w:bottom w:val="none" w:sz="0" w:space="0" w:color="auto"/>
        <w:right w:val="none" w:sz="0" w:space="0" w:color="auto"/>
      </w:divBdr>
    </w:div>
    <w:div w:id="770854160">
      <w:bodyDiv w:val="1"/>
      <w:marLeft w:val="0"/>
      <w:marRight w:val="0"/>
      <w:marTop w:val="0"/>
      <w:marBottom w:val="0"/>
      <w:divBdr>
        <w:top w:val="none" w:sz="0" w:space="0" w:color="auto"/>
        <w:left w:val="none" w:sz="0" w:space="0" w:color="auto"/>
        <w:bottom w:val="none" w:sz="0" w:space="0" w:color="auto"/>
        <w:right w:val="none" w:sz="0" w:space="0" w:color="auto"/>
      </w:divBdr>
    </w:div>
    <w:div w:id="784737579">
      <w:bodyDiv w:val="1"/>
      <w:marLeft w:val="0"/>
      <w:marRight w:val="0"/>
      <w:marTop w:val="0"/>
      <w:marBottom w:val="0"/>
      <w:divBdr>
        <w:top w:val="none" w:sz="0" w:space="0" w:color="auto"/>
        <w:left w:val="none" w:sz="0" w:space="0" w:color="auto"/>
        <w:bottom w:val="none" w:sz="0" w:space="0" w:color="auto"/>
        <w:right w:val="none" w:sz="0" w:space="0" w:color="auto"/>
      </w:divBdr>
    </w:div>
    <w:div w:id="823090222">
      <w:bodyDiv w:val="1"/>
      <w:marLeft w:val="0"/>
      <w:marRight w:val="0"/>
      <w:marTop w:val="0"/>
      <w:marBottom w:val="0"/>
      <w:divBdr>
        <w:top w:val="none" w:sz="0" w:space="0" w:color="auto"/>
        <w:left w:val="none" w:sz="0" w:space="0" w:color="auto"/>
        <w:bottom w:val="none" w:sz="0" w:space="0" w:color="auto"/>
        <w:right w:val="none" w:sz="0" w:space="0" w:color="auto"/>
      </w:divBdr>
    </w:div>
    <w:div w:id="828980842">
      <w:bodyDiv w:val="1"/>
      <w:marLeft w:val="0"/>
      <w:marRight w:val="0"/>
      <w:marTop w:val="0"/>
      <w:marBottom w:val="0"/>
      <w:divBdr>
        <w:top w:val="none" w:sz="0" w:space="0" w:color="auto"/>
        <w:left w:val="none" w:sz="0" w:space="0" w:color="auto"/>
        <w:bottom w:val="none" w:sz="0" w:space="0" w:color="auto"/>
        <w:right w:val="none" w:sz="0" w:space="0" w:color="auto"/>
      </w:divBdr>
    </w:div>
    <w:div w:id="839613585">
      <w:bodyDiv w:val="1"/>
      <w:marLeft w:val="0"/>
      <w:marRight w:val="0"/>
      <w:marTop w:val="0"/>
      <w:marBottom w:val="0"/>
      <w:divBdr>
        <w:top w:val="none" w:sz="0" w:space="0" w:color="auto"/>
        <w:left w:val="none" w:sz="0" w:space="0" w:color="auto"/>
        <w:bottom w:val="none" w:sz="0" w:space="0" w:color="auto"/>
        <w:right w:val="none" w:sz="0" w:space="0" w:color="auto"/>
      </w:divBdr>
    </w:div>
    <w:div w:id="841092267">
      <w:bodyDiv w:val="1"/>
      <w:marLeft w:val="0"/>
      <w:marRight w:val="0"/>
      <w:marTop w:val="0"/>
      <w:marBottom w:val="0"/>
      <w:divBdr>
        <w:top w:val="none" w:sz="0" w:space="0" w:color="auto"/>
        <w:left w:val="none" w:sz="0" w:space="0" w:color="auto"/>
        <w:bottom w:val="none" w:sz="0" w:space="0" w:color="auto"/>
        <w:right w:val="none" w:sz="0" w:space="0" w:color="auto"/>
      </w:divBdr>
    </w:div>
    <w:div w:id="851456019">
      <w:bodyDiv w:val="1"/>
      <w:marLeft w:val="0"/>
      <w:marRight w:val="0"/>
      <w:marTop w:val="0"/>
      <w:marBottom w:val="0"/>
      <w:divBdr>
        <w:top w:val="none" w:sz="0" w:space="0" w:color="auto"/>
        <w:left w:val="none" w:sz="0" w:space="0" w:color="auto"/>
        <w:bottom w:val="none" w:sz="0" w:space="0" w:color="auto"/>
        <w:right w:val="none" w:sz="0" w:space="0" w:color="auto"/>
      </w:divBdr>
    </w:div>
    <w:div w:id="943682891">
      <w:bodyDiv w:val="1"/>
      <w:marLeft w:val="0"/>
      <w:marRight w:val="0"/>
      <w:marTop w:val="0"/>
      <w:marBottom w:val="0"/>
      <w:divBdr>
        <w:top w:val="none" w:sz="0" w:space="0" w:color="auto"/>
        <w:left w:val="none" w:sz="0" w:space="0" w:color="auto"/>
        <w:bottom w:val="none" w:sz="0" w:space="0" w:color="auto"/>
        <w:right w:val="none" w:sz="0" w:space="0" w:color="auto"/>
      </w:divBdr>
    </w:div>
    <w:div w:id="967973699">
      <w:bodyDiv w:val="1"/>
      <w:marLeft w:val="0"/>
      <w:marRight w:val="0"/>
      <w:marTop w:val="0"/>
      <w:marBottom w:val="0"/>
      <w:divBdr>
        <w:top w:val="none" w:sz="0" w:space="0" w:color="auto"/>
        <w:left w:val="none" w:sz="0" w:space="0" w:color="auto"/>
        <w:bottom w:val="none" w:sz="0" w:space="0" w:color="auto"/>
        <w:right w:val="none" w:sz="0" w:space="0" w:color="auto"/>
      </w:divBdr>
      <w:divsChild>
        <w:div w:id="1995067756">
          <w:marLeft w:val="0"/>
          <w:marRight w:val="0"/>
          <w:marTop w:val="0"/>
          <w:marBottom w:val="0"/>
          <w:divBdr>
            <w:top w:val="none" w:sz="0" w:space="0" w:color="auto"/>
            <w:left w:val="none" w:sz="0" w:space="0" w:color="auto"/>
            <w:bottom w:val="none" w:sz="0" w:space="0" w:color="auto"/>
            <w:right w:val="none" w:sz="0" w:space="0" w:color="auto"/>
          </w:divBdr>
        </w:div>
      </w:divsChild>
    </w:div>
    <w:div w:id="995382567">
      <w:bodyDiv w:val="1"/>
      <w:marLeft w:val="0"/>
      <w:marRight w:val="0"/>
      <w:marTop w:val="0"/>
      <w:marBottom w:val="0"/>
      <w:divBdr>
        <w:top w:val="none" w:sz="0" w:space="0" w:color="auto"/>
        <w:left w:val="none" w:sz="0" w:space="0" w:color="auto"/>
        <w:bottom w:val="none" w:sz="0" w:space="0" w:color="auto"/>
        <w:right w:val="none" w:sz="0" w:space="0" w:color="auto"/>
      </w:divBdr>
    </w:div>
    <w:div w:id="1005396353">
      <w:bodyDiv w:val="1"/>
      <w:marLeft w:val="0"/>
      <w:marRight w:val="0"/>
      <w:marTop w:val="0"/>
      <w:marBottom w:val="0"/>
      <w:divBdr>
        <w:top w:val="none" w:sz="0" w:space="0" w:color="auto"/>
        <w:left w:val="none" w:sz="0" w:space="0" w:color="auto"/>
        <w:bottom w:val="none" w:sz="0" w:space="0" w:color="auto"/>
        <w:right w:val="none" w:sz="0" w:space="0" w:color="auto"/>
      </w:divBdr>
    </w:div>
    <w:div w:id="1017542258">
      <w:bodyDiv w:val="1"/>
      <w:marLeft w:val="0"/>
      <w:marRight w:val="0"/>
      <w:marTop w:val="0"/>
      <w:marBottom w:val="0"/>
      <w:divBdr>
        <w:top w:val="none" w:sz="0" w:space="0" w:color="auto"/>
        <w:left w:val="none" w:sz="0" w:space="0" w:color="auto"/>
        <w:bottom w:val="none" w:sz="0" w:space="0" w:color="auto"/>
        <w:right w:val="none" w:sz="0" w:space="0" w:color="auto"/>
      </w:divBdr>
    </w:div>
    <w:div w:id="1050880712">
      <w:bodyDiv w:val="1"/>
      <w:marLeft w:val="0"/>
      <w:marRight w:val="0"/>
      <w:marTop w:val="0"/>
      <w:marBottom w:val="0"/>
      <w:divBdr>
        <w:top w:val="none" w:sz="0" w:space="0" w:color="auto"/>
        <w:left w:val="none" w:sz="0" w:space="0" w:color="auto"/>
        <w:bottom w:val="none" w:sz="0" w:space="0" w:color="auto"/>
        <w:right w:val="none" w:sz="0" w:space="0" w:color="auto"/>
      </w:divBdr>
    </w:div>
    <w:div w:id="1074201306">
      <w:bodyDiv w:val="1"/>
      <w:marLeft w:val="0"/>
      <w:marRight w:val="0"/>
      <w:marTop w:val="0"/>
      <w:marBottom w:val="0"/>
      <w:divBdr>
        <w:top w:val="none" w:sz="0" w:space="0" w:color="auto"/>
        <w:left w:val="none" w:sz="0" w:space="0" w:color="auto"/>
        <w:bottom w:val="none" w:sz="0" w:space="0" w:color="auto"/>
        <w:right w:val="none" w:sz="0" w:space="0" w:color="auto"/>
      </w:divBdr>
    </w:div>
    <w:div w:id="1075711716">
      <w:bodyDiv w:val="1"/>
      <w:marLeft w:val="0"/>
      <w:marRight w:val="0"/>
      <w:marTop w:val="0"/>
      <w:marBottom w:val="0"/>
      <w:divBdr>
        <w:top w:val="none" w:sz="0" w:space="0" w:color="auto"/>
        <w:left w:val="none" w:sz="0" w:space="0" w:color="auto"/>
        <w:bottom w:val="none" w:sz="0" w:space="0" w:color="auto"/>
        <w:right w:val="none" w:sz="0" w:space="0" w:color="auto"/>
      </w:divBdr>
    </w:div>
    <w:div w:id="1085806230">
      <w:bodyDiv w:val="1"/>
      <w:marLeft w:val="0"/>
      <w:marRight w:val="0"/>
      <w:marTop w:val="0"/>
      <w:marBottom w:val="0"/>
      <w:divBdr>
        <w:top w:val="none" w:sz="0" w:space="0" w:color="auto"/>
        <w:left w:val="none" w:sz="0" w:space="0" w:color="auto"/>
        <w:bottom w:val="none" w:sz="0" w:space="0" w:color="auto"/>
        <w:right w:val="none" w:sz="0" w:space="0" w:color="auto"/>
      </w:divBdr>
    </w:div>
    <w:div w:id="1094592268">
      <w:bodyDiv w:val="1"/>
      <w:marLeft w:val="0"/>
      <w:marRight w:val="0"/>
      <w:marTop w:val="0"/>
      <w:marBottom w:val="0"/>
      <w:divBdr>
        <w:top w:val="none" w:sz="0" w:space="0" w:color="auto"/>
        <w:left w:val="none" w:sz="0" w:space="0" w:color="auto"/>
        <w:bottom w:val="none" w:sz="0" w:space="0" w:color="auto"/>
        <w:right w:val="none" w:sz="0" w:space="0" w:color="auto"/>
      </w:divBdr>
    </w:div>
    <w:div w:id="1124887744">
      <w:bodyDiv w:val="1"/>
      <w:marLeft w:val="0"/>
      <w:marRight w:val="0"/>
      <w:marTop w:val="0"/>
      <w:marBottom w:val="0"/>
      <w:divBdr>
        <w:top w:val="none" w:sz="0" w:space="0" w:color="auto"/>
        <w:left w:val="none" w:sz="0" w:space="0" w:color="auto"/>
        <w:bottom w:val="none" w:sz="0" w:space="0" w:color="auto"/>
        <w:right w:val="none" w:sz="0" w:space="0" w:color="auto"/>
      </w:divBdr>
    </w:div>
    <w:div w:id="1155025631">
      <w:bodyDiv w:val="1"/>
      <w:marLeft w:val="0"/>
      <w:marRight w:val="0"/>
      <w:marTop w:val="0"/>
      <w:marBottom w:val="0"/>
      <w:divBdr>
        <w:top w:val="none" w:sz="0" w:space="0" w:color="auto"/>
        <w:left w:val="none" w:sz="0" w:space="0" w:color="auto"/>
        <w:bottom w:val="none" w:sz="0" w:space="0" w:color="auto"/>
        <w:right w:val="none" w:sz="0" w:space="0" w:color="auto"/>
      </w:divBdr>
    </w:div>
    <w:div w:id="1180582550">
      <w:bodyDiv w:val="1"/>
      <w:marLeft w:val="0"/>
      <w:marRight w:val="0"/>
      <w:marTop w:val="0"/>
      <w:marBottom w:val="0"/>
      <w:divBdr>
        <w:top w:val="none" w:sz="0" w:space="0" w:color="auto"/>
        <w:left w:val="none" w:sz="0" w:space="0" w:color="auto"/>
        <w:bottom w:val="none" w:sz="0" w:space="0" w:color="auto"/>
        <w:right w:val="none" w:sz="0" w:space="0" w:color="auto"/>
      </w:divBdr>
    </w:div>
    <w:div w:id="1205411209">
      <w:bodyDiv w:val="1"/>
      <w:marLeft w:val="0"/>
      <w:marRight w:val="0"/>
      <w:marTop w:val="0"/>
      <w:marBottom w:val="0"/>
      <w:divBdr>
        <w:top w:val="none" w:sz="0" w:space="0" w:color="auto"/>
        <w:left w:val="none" w:sz="0" w:space="0" w:color="auto"/>
        <w:bottom w:val="none" w:sz="0" w:space="0" w:color="auto"/>
        <w:right w:val="none" w:sz="0" w:space="0" w:color="auto"/>
      </w:divBdr>
    </w:div>
    <w:div w:id="1221097142">
      <w:bodyDiv w:val="1"/>
      <w:marLeft w:val="0"/>
      <w:marRight w:val="0"/>
      <w:marTop w:val="0"/>
      <w:marBottom w:val="0"/>
      <w:divBdr>
        <w:top w:val="none" w:sz="0" w:space="0" w:color="auto"/>
        <w:left w:val="none" w:sz="0" w:space="0" w:color="auto"/>
        <w:bottom w:val="none" w:sz="0" w:space="0" w:color="auto"/>
        <w:right w:val="none" w:sz="0" w:space="0" w:color="auto"/>
      </w:divBdr>
    </w:div>
    <w:div w:id="1304776420">
      <w:bodyDiv w:val="1"/>
      <w:marLeft w:val="0"/>
      <w:marRight w:val="0"/>
      <w:marTop w:val="0"/>
      <w:marBottom w:val="0"/>
      <w:divBdr>
        <w:top w:val="none" w:sz="0" w:space="0" w:color="auto"/>
        <w:left w:val="none" w:sz="0" w:space="0" w:color="auto"/>
        <w:bottom w:val="none" w:sz="0" w:space="0" w:color="auto"/>
        <w:right w:val="none" w:sz="0" w:space="0" w:color="auto"/>
      </w:divBdr>
    </w:div>
    <w:div w:id="1307509036">
      <w:bodyDiv w:val="1"/>
      <w:marLeft w:val="0"/>
      <w:marRight w:val="0"/>
      <w:marTop w:val="0"/>
      <w:marBottom w:val="0"/>
      <w:divBdr>
        <w:top w:val="none" w:sz="0" w:space="0" w:color="auto"/>
        <w:left w:val="none" w:sz="0" w:space="0" w:color="auto"/>
        <w:bottom w:val="none" w:sz="0" w:space="0" w:color="auto"/>
        <w:right w:val="none" w:sz="0" w:space="0" w:color="auto"/>
      </w:divBdr>
    </w:div>
    <w:div w:id="1350520360">
      <w:bodyDiv w:val="1"/>
      <w:marLeft w:val="0"/>
      <w:marRight w:val="0"/>
      <w:marTop w:val="0"/>
      <w:marBottom w:val="0"/>
      <w:divBdr>
        <w:top w:val="none" w:sz="0" w:space="0" w:color="auto"/>
        <w:left w:val="none" w:sz="0" w:space="0" w:color="auto"/>
        <w:bottom w:val="none" w:sz="0" w:space="0" w:color="auto"/>
        <w:right w:val="none" w:sz="0" w:space="0" w:color="auto"/>
      </w:divBdr>
    </w:div>
    <w:div w:id="1354572585">
      <w:bodyDiv w:val="1"/>
      <w:marLeft w:val="0"/>
      <w:marRight w:val="0"/>
      <w:marTop w:val="0"/>
      <w:marBottom w:val="0"/>
      <w:divBdr>
        <w:top w:val="none" w:sz="0" w:space="0" w:color="auto"/>
        <w:left w:val="none" w:sz="0" w:space="0" w:color="auto"/>
        <w:bottom w:val="none" w:sz="0" w:space="0" w:color="auto"/>
        <w:right w:val="none" w:sz="0" w:space="0" w:color="auto"/>
      </w:divBdr>
    </w:div>
    <w:div w:id="1367481660">
      <w:bodyDiv w:val="1"/>
      <w:marLeft w:val="0"/>
      <w:marRight w:val="0"/>
      <w:marTop w:val="0"/>
      <w:marBottom w:val="0"/>
      <w:divBdr>
        <w:top w:val="none" w:sz="0" w:space="0" w:color="auto"/>
        <w:left w:val="none" w:sz="0" w:space="0" w:color="auto"/>
        <w:bottom w:val="none" w:sz="0" w:space="0" w:color="auto"/>
        <w:right w:val="none" w:sz="0" w:space="0" w:color="auto"/>
      </w:divBdr>
    </w:div>
    <w:div w:id="1374037312">
      <w:bodyDiv w:val="1"/>
      <w:marLeft w:val="0"/>
      <w:marRight w:val="0"/>
      <w:marTop w:val="0"/>
      <w:marBottom w:val="0"/>
      <w:divBdr>
        <w:top w:val="none" w:sz="0" w:space="0" w:color="auto"/>
        <w:left w:val="none" w:sz="0" w:space="0" w:color="auto"/>
        <w:bottom w:val="none" w:sz="0" w:space="0" w:color="auto"/>
        <w:right w:val="none" w:sz="0" w:space="0" w:color="auto"/>
      </w:divBdr>
    </w:div>
    <w:div w:id="1374841276">
      <w:bodyDiv w:val="1"/>
      <w:marLeft w:val="0"/>
      <w:marRight w:val="0"/>
      <w:marTop w:val="0"/>
      <w:marBottom w:val="0"/>
      <w:divBdr>
        <w:top w:val="none" w:sz="0" w:space="0" w:color="auto"/>
        <w:left w:val="none" w:sz="0" w:space="0" w:color="auto"/>
        <w:bottom w:val="none" w:sz="0" w:space="0" w:color="auto"/>
        <w:right w:val="none" w:sz="0" w:space="0" w:color="auto"/>
      </w:divBdr>
    </w:div>
    <w:div w:id="1382172063">
      <w:bodyDiv w:val="1"/>
      <w:marLeft w:val="0"/>
      <w:marRight w:val="0"/>
      <w:marTop w:val="0"/>
      <w:marBottom w:val="0"/>
      <w:divBdr>
        <w:top w:val="none" w:sz="0" w:space="0" w:color="auto"/>
        <w:left w:val="none" w:sz="0" w:space="0" w:color="auto"/>
        <w:bottom w:val="none" w:sz="0" w:space="0" w:color="auto"/>
        <w:right w:val="none" w:sz="0" w:space="0" w:color="auto"/>
      </w:divBdr>
    </w:div>
    <w:div w:id="1445342682">
      <w:bodyDiv w:val="1"/>
      <w:marLeft w:val="0"/>
      <w:marRight w:val="0"/>
      <w:marTop w:val="0"/>
      <w:marBottom w:val="0"/>
      <w:divBdr>
        <w:top w:val="none" w:sz="0" w:space="0" w:color="auto"/>
        <w:left w:val="none" w:sz="0" w:space="0" w:color="auto"/>
        <w:bottom w:val="none" w:sz="0" w:space="0" w:color="auto"/>
        <w:right w:val="none" w:sz="0" w:space="0" w:color="auto"/>
      </w:divBdr>
    </w:div>
    <w:div w:id="1454669769">
      <w:bodyDiv w:val="1"/>
      <w:marLeft w:val="0"/>
      <w:marRight w:val="0"/>
      <w:marTop w:val="0"/>
      <w:marBottom w:val="0"/>
      <w:divBdr>
        <w:top w:val="none" w:sz="0" w:space="0" w:color="auto"/>
        <w:left w:val="none" w:sz="0" w:space="0" w:color="auto"/>
        <w:bottom w:val="none" w:sz="0" w:space="0" w:color="auto"/>
        <w:right w:val="none" w:sz="0" w:space="0" w:color="auto"/>
      </w:divBdr>
    </w:div>
    <w:div w:id="1471901020">
      <w:bodyDiv w:val="1"/>
      <w:marLeft w:val="0"/>
      <w:marRight w:val="0"/>
      <w:marTop w:val="0"/>
      <w:marBottom w:val="0"/>
      <w:divBdr>
        <w:top w:val="none" w:sz="0" w:space="0" w:color="auto"/>
        <w:left w:val="none" w:sz="0" w:space="0" w:color="auto"/>
        <w:bottom w:val="none" w:sz="0" w:space="0" w:color="auto"/>
        <w:right w:val="none" w:sz="0" w:space="0" w:color="auto"/>
      </w:divBdr>
    </w:div>
    <w:div w:id="1476028782">
      <w:bodyDiv w:val="1"/>
      <w:marLeft w:val="0"/>
      <w:marRight w:val="0"/>
      <w:marTop w:val="0"/>
      <w:marBottom w:val="0"/>
      <w:divBdr>
        <w:top w:val="none" w:sz="0" w:space="0" w:color="auto"/>
        <w:left w:val="none" w:sz="0" w:space="0" w:color="auto"/>
        <w:bottom w:val="none" w:sz="0" w:space="0" w:color="auto"/>
        <w:right w:val="none" w:sz="0" w:space="0" w:color="auto"/>
      </w:divBdr>
    </w:div>
    <w:div w:id="1512378844">
      <w:bodyDiv w:val="1"/>
      <w:marLeft w:val="0"/>
      <w:marRight w:val="0"/>
      <w:marTop w:val="0"/>
      <w:marBottom w:val="0"/>
      <w:divBdr>
        <w:top w:val="none" w:sz="0" w:space="0" w:color="auto"/>
        <w:left w:val="none" w:sz="0" w:space="0" w:color="auto"/>
        <w:bottom w:val="none" w:sz="0" w:space="0" w:color="auto"/>
        <w:right w:val="none" w:sz="0" w:space="0" w:color="auto"/>
      </w:divBdr>
    </w:div>
    <w:div w:id="1522815129">
      <w:bodyDiv w:val="1"/>
      <w:marLeft w:val="0"/>
      <w:marRight w:val="0"/>
      <w:marTop w:val="0"/>
      <w:marBottom w:val="0"/>
      <w:divBdr>
        <w:top w:val="none" w:sz="0" w:space="0" w:color="auto"/>
        <w:left w:val="none" w:sz="0" w:space="0" w:color="auto"/>
        <w:bottom w:val="none" w:sz="0" w:space="0" w:color="auto"/>
        <w:right w:val="none" w:sz="0" w:space="0" w:color="auto"/>
      </w:divBdr>
    </w:div>
    <w:div w:id="1547065110">
      <w:bodyDiv w:val="1"/>
      <w:marLeft w:val="0"/>
      <w:marRight w:val="0"/>
      <w:marTop w:val="0"/>
      <w:marBottom w:val="0"/>
      <w:divBdr>
        <w:top w:val="none" w:sz="0" w:space="0" w:color="auto"/>
        <w:left w:val="none" w:sz="0" w:space="0" w:color="auto"/>
        <w:bottom w:val="none" w:sz="0" w:space="0" w:color="auto"/>
        <w:right w:val="none" w:sz="0" w:space="0" w:color="auto"/>
      </w:divBdr>
    </w:div>
    <w:div w:id="1573193991">
      <w:bodyDiv w:val="1"/>
      <w:marLeft w:val="0"/>
      <w:marRight w:val="0"/>
      <w:marTop w:val="0"/>
      <w:marBottom w:val="0"/>
      <w:divBdr>
        <w:top w:val="none" w:sz="0" w:space="0" w:color="auto"/>
        <w:left w:val="none" w:sz="0" w:space="0" w:color="auto"/>
        <w:bottom w:val="none" w:sz="0" w:space="0" w:color="auto"/>
        <w:right w:val="none" w:sz="0" w:space="0" w:color="auto"/>
      </w:divBdr>
    </w:div>
    <w:div w:id="1624729897">
      <w:bodyDiv w:val="1"/>
      <w:marLeft w:val="0"/>
      <w:marRight w:val="0"/>
      <w:marTop w:val="0"/>
      <w:marBottom w:val="0"/>
      <w:divBdr>
        <w:top w:val="none" w:sz="0" w:space="0" w:color="auto"/>
        <w:left w:val="none" w:sz="0" w:space="0" w:color="auto"/>
        <w:bottom w:val="none" w:sz="0" w:space="0" w:color="auto"/>
        <w:right w:val="none" w:sz="0" w:space="0" w:color="auto"/>
      </w:divBdr>
    </w:div>
    <w:div w:id="1628075402">
      <w:bodyDiv w:val="1"/>
      <w:marLeft w:val="0"/>
      <w:marRight w:val="0"/>
      <w:marTop w:val="0"/>
      <w:marBottom w:val="0"/>
      <w:divBdr>
        <w:top w:val="none" w:sz="0" w:space="0" w:color="auto"/>
        <w:left w:val="none" w:sz="0" w:space="0" w:color="auto"/>
        <w:bottom w:val="none" w:sz="0" w:space="0" w:color="auto"/>
        <w:right w:val="none" w:sz="0" w:space="0" w:color="auto"/>
      </w:divBdr>
    </w:div>
    <w:div w:id="1644313975">
      <w:bodyDiv w:val="1"/>
      <w:marLeft w:val="0"/>
      <w:marRight w:val="0"/>
      <w:marTop w:val="0"/>
      <w:marBottom w:val="0"/>
      <w:divBdr>
        <w:top w:val="none" w:sz="0" w:space="0" w:color="auto"/>
        <w:left w:val="none" w:sz="0" w:space="0" w:color="auto"/>
        <w:bottom w:val="none" w:sz="0" w:space="0" w:color="auto"/>
        <w:right w:val="none" w:sz="0" w:space="0" w:color="auto"/>
      </w:divBdr>
    </w:div>
    <w:div w:id="1665014806">
      <w:bodyDiv w:val="1"/>
      <w:marLeft w:val="0"/>
      <w:marRight w:val="0"/>
      <w:marTop w:val="0"/>
      <w:marBottom w:val="0"/>
      <w:divBdr>
        <w:top w:val="none" w:sz="0" w:space="0" w:color="auto"/>
        <w:left w:val="none" w:sz="0" w:space="0" w:color="auto"/>
        <w:bottom w:val="none" w:sz="0" w:space="0" w:color="auto"/>
        <w:right w:val="none" w:sz="0" w:space="0" w:color="auto"/>
      </w:divBdr>
    </w:div>
    <w:div w:id="1723870719">
      <w:bodyDiv w:val="1"/>
      <w:marLeft w:val="0"/>
      <w:marRight w:val="0"/>
      <w:marTop w:val="0"/>
      <w:marBottom w:val="0"/>
      <w:divBdr>
        <w:top w:val="none" w:sz="0" w:space="0" w:color="auto"/>
        <w:left w:val="none" w:sz="0" w:space="0" w:color="auto"/>
        <w:bottom w:val="none" w:sz="0" w:space="0" w:color="auto"/>
        <w:right w:val="none" w:sz="0" w:space="0" w:color="auto"/>
      </w:divBdr>
    </w:div>
    <w:div w:id="1738624006">
      <w:bodyDiv w:val="1"/>
      <w:marLeft w:val="0"/>
      <w:marRight w:val="0"/>
      <w:marTop w:val="0"/>
      <w:marBottom w:val="0"/>
      <w:divBdr>
        <w:top w:val="none" w:sz="0" w:space="0" w:color="auto"/>
        <w:left w:val="none" w:sz="0" w:space="0" w:color="auto"/>
        <w:bottom w:val="none" w:sz="0" w:space="0" w:color="auto"/>
        <w:right w:val="none" w:sz="0" w:space="0" w:color="auto"/>
      </w:divBdr>
    </w:div>
    <w:div w:id="1753968788">
      <w:bodyDiv w:val="1"/>
      <w:marLeft w:val="0"/>
      <w:marRight w:val="0"/>
      <w:marTop w:val="0"/>
      <w:marBottom w:val="0"/>
      <w:divBdr>
        <w:top w:val="none" w:sz="0" w:space="0" w:color="auto"/>
        <w:left w:val="none" w:sz="0" w:space="0" w:color="auto"/>
        <w:bottom w:val="none" w:sz="0" w:space="0" w:color="auto"/>
        <w:right w:val="none" w:sz="0" w:space="0" w:color="auto"/>
      </w:divBdr>
    </w:div>
    <w:div w:id="1767536959">
      <w:bodyDiv w:val="1"/>
      <w:marLeft w:val="0"/>
      <w:marRight w:val="0"/>
      <w:marTop w:val="0"/>
      <w:marBottom w:val="0"/>
      <w:divBdr>
        <w:top w:val="none" w:sz="0" w:space="0" w:color="auto"/>
        <w:left w:val="none" w:sz="0" w:space="0" w:color="auto"/>
        <w:bottom w:val="none" w:sz="0" w:space="0" w:color="auto"/>
        <w:right w:val="none" w:sz="0" w:space="0" w:color="auto"/>
      </w:divBdr>
    </w:div>
    <w:div w:id="1774090328">
      <w:bodyDiv w:val="1"/>
      <w:marLeft w:val="0"/>
      <w:marRight w:val="0"/>
      <w:marTop w:val="0"/>
      <w:marBottom w:val="0"/>
      <w:divBdr>
        <w:top w:val="none" w:sz="0" w:space="0" w:color="auto"/>
        <w:left w:val="none" w:sz="0" w:space="0" w:color="auto"/>
        <w:bottom w:val="none" w:sz="0" w:space="0" w:color="auto"/>
        <w:right w:val="none" w:sz="0" w:space="0" w:color="auto"/>
      </w:divBdr>
    </w:div>
    <w:div w:id="1804082984">
      <w:bodyDiv w:val="1"/>
      <w:marLeft w:val="0"/>
      <w:marRight w:val="0"/>
      <w:marTop w:val="0"/>
      <w:marBottom w:val="0"/>
      <w:divBdr>
        <w:top w:val="none" w:sz="0" w:space="0" w:color="auto"/>
        <w:left w:val="none" w:sz="0" w:space="0" w:color="auto"/>
        <w:bottom w:val="none" w:sz="0" w:space="0" w:color="auto"/>
        <w:right w:val="none" w:sz="0" w:space="0" w:color="auto"/>
      </w:divBdr>
    </w:div>
    <w:div w:id="1813980731">
      <w:bodyDiv w:val="1"/>
      <w:marLeft w:val="0"/>
      <w:marRight w:val="0"/>
      <w:marTop w:val="0"/>
      <w:marBottom w:val="0"/>
      <w:divBdr>
        <w:top w:val="none" w:sz="0" w:space="0" w:color="auto"/>
        <w:left w:val="none" w:sz="0" w:space="0" w:color="auto"/>
        <w:bottom w:val="none" w:sz="0" w:space="0" w:color="auto"/>
        <w:right w:val="none" w:sz="0" w:space="0" w:color="auto"/>
      </w:divBdr>
    </w:div>
    <w:div w:id="1831019388">
      <w:bodyDiv w:val="1"/>
      <w:marLeft w:val="0"/>
      <w:marRight w:val="0"/>
      <w:marTop w:val="0"/>
      <w:marBottom w:val="0"/>
      <w:divBdr>
        <w:top w:val="none" w:sz="0" w:space="0" w:color="auto"/>
        <w:left w:val="none" w:sz="0" w:space="0" w:color="auto"/>
        <w:bottom w:val="none" w:sz="0" w:space="0" w:color="auto"/>
        <w:right w:val="none" w:sz="0" w:space="0" w:color="auto"/>
      </w:divBdr>
    </w:div>
    <w:div w:id="1835950446">
      <w:bodyDiv w:val="1"/>
      <w:marLeft w:val="0"/>
      <w:marRight w:val="0"/>
      <w:marTop w:val="0"/>
      <w:marBottom w:val="0"/>
      <w:divBdr>
        <w:top w:val="none" w:sz="0" w:space="0" w:color="auto"/>
        <w:left w:val="none" w:sz="0" w:space="0" w:color="auto"/>
        <w:bottom w:val="none" w:sz="0" w:space="0" w:color="auto"/>
        <w:right w:val="none" w:sz="0" w:space="0" w:color="auto"/>
      </w:divBdr>
    </w:div>
    <w:div w:id="1840388263">
      <w:bodyDiv w:val="1"/>
      <w:marLeft w:val="0"/>
      <w:marRight w:val="0"/>
      <w:marTop w:val="0"/>
      <w:marBottom w:val="0"/>
      <w:divBdr>
        <w:top w:val="none" w:sz="0" w:space="0" w:color="auto"/>
        <w:left w:val="none" w:sz="0" w:space="0" w:color="auto"/>
        <w:bottom w:val="none" w:sz="0" w:space="0" w:color="auto"/>
        <w:right w:val="none" w:sz="0" w:space="0" w:color="auto"/>
      </w:divBdr>
    </w:div>
    <w:div w:id="1889218979">
      <w:bodyDiv w:val="1"/>
      <w:marLeft w:val="0"/>
      <w:marRight w:val="0"/>
      <w:marTop w:val="0"/>
      <w:marBottom w:val="0"/>
      <w:divBdr>
        <w:top w:val="none" w:sz="0" w:space="0" w:color="auto"/>
        <w:left w:val="none" w:sz="0" w:space="0" w:color="auto"/>
        <w:bottom w:val="none" w:sz="0" w:space="0" w:color="auto"/>
        <w:right w:val="none" w:sz="0" w:space="0" w:color="auto"/>
      </w:divBdr>
    </w:div>
    <w:div w:id="1928348312">
      <w:bodyDiv w:val="1"/>
      <w:marLeft w:val="0"/>
      <w:marRight w:val="0"/>
      <w:marTop w:val="0"/>
      <w:marBottom w:val="0"/>
      <w:divBdr>
        <w:top w:val="none" w:sz="0" w:space="0" w:color="auto"/>
        <w:left w:val="none" w:sz="0" w:space="0" w:color="auto"/>
        <w:bottom w:val="none" w:sz="0" w:space="0" w:color="auto"/>
        <w:right w:val="none" w:sz="0" w:space="0" w:color="auto"/>
      </w:divBdr>
    </w:div>
    <w:div w:id="1930697665">
      <w:bodyDiv w:val="1"/>
      <w:marLeft w:val="0"/>
      <w:marRight w:val="0"/>
      <w:marTop w:val="0"/>
      <w:marBottom w:val="0"/>
      <w:divBdr>
        <w:top w:val="none" w:sz="0" w:space="0" w:color="auto"/>
        <w:left w:val="none" w:sz="0" w:space="0" w:color="auto"/>
        <w:bottom w:val="none" w:sz="0" w:space="0" w:color="auto"/>
        <w:right w:val="none" w:sz="0" w:space="0" w:color="auto"/>
      </w:divBdr>
    </w:div>
    <w:div w:id="1953786076">
      <w:bodyDiv w:val="1"/>
      <w:marLeft w:val="0"/>
      <w:marRight w:val="0"/>
      <w:marTop w:val="0"/>
      <w:marBottom w:val="0"/>
      <w:divBdr>
        <w:top w:val="none" w:sz="0" w:space="0" w:color="auto"/>
        <w:left w:val="none" w:sz="0" w:space="0" w:color="auto"/>
        <w:bottom w:val="none" w:sz="0" w:space="0" w:color="auto"/>
        <w:right w:val="none" w:sz="0" w:space="0" w:color="auto"/>
      </w:divBdr>
    </w:div>
    <w:div w:id="1963268734">
      <w:bodyDiv w:val="1"/>
      <w:marLeft w:val="0"/>
      <w:marRight w:val="0"/>
      <w:marTop w:val="0"/>
      <w:marBottom w:val="0"/>
      <w:divBdr>
        <w:top w:val="none" w:sz="0" w:space="0" w:color="auto"/>
        <w:left w:val="none" w:sz="0" w:space="0" w:color="auto"/>
        <w:bottom w:val="none" w:sz="0" w:space="0" w:color="auto"/>
        <w:right w:val="none" w:sz="0" w:space="0" w:color="auto"/>
      </w:divBdr>
    </w:div>
    <w:div w:id="1970700168">
      <w:bodyDiv w:val="1"/>
      <w:marLeft w:val="0"/>
      <w:marRight w:val="0"/>
      <w:marTop w:val="0"/>
      <w:marBottom w:val="0"/>
      <w:divBdr>
        <w:top w:val="none" w:sz="0" w:space="0" w:color="auto"/>
        <w:left w:val="none" w:sz="0" w:space="0" w:color="auto"/>
        <w:bottom w:val="none" w:sz="0" w:space="0" w:color="auto"/>
        <w:right w:val="none" w:sz="0" w:space="0" w:color="auto"/>
      </w:divBdr>
    </w:div>
    <w:div w:id="2038502435">
      <w:bodyDiv w:val="1"/>
      <w:marLeft w:val="0"/>
      <w:marRight w:val="0"/>
      <w:marTop w:val="0"/>
      <w:marBottom w:val="0"/>
      <w:divBdr>
        <w:top w:val="none" w:sz="0" w:space="0" w:color="auto"/>
        <w:left w:val="none" w:sz="0" w:space="0" w:color="auto"/>
        <w:bottom w:val="none" w:sz="0" w:space="0" w:color="auto"/>
        <w:right w:val="none" w:sz="0" w:space="0" w:color="auto"/>
      </w:divBdr>
    </w:div>
    <w:div w:id="2057509044">
      <w:bodyDiv w:val="1"/>
      <w:marLeft w:val="0"/>
      <w:marRight w:val="0"/>
      <w:marTop w:val="0"/>
      <w:marBottom w:val="0"/>
      <w:divBdr>
        <w:top w:val="none" w:sz="0" w:space="0" w:color="auto"/>
        <w:left w:val="none" w:sz="0" w:space="0" w:color="auto"/>
        <w:bottom w:val="none" w:sz="0" w:space="0" w:color="auto"/>
        <w:right w:val="none" w:sz="0" w:space="0" w:color="auto"/>
      </w:divBdr>
    </w:div>
    <w:div w:id="2134400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image" Target="media/image11.png"/><Relationship Id="rId39" Type="http://schemas.openxmlformats.org/officeDocument/2006/relationships/image" Target="media/image24.png"/><Relationship Id="rId21" Type="http://schemas.openxmlformats.org/officeDocument/2006/relationships/footer" Target="footer1.xml"/><Relationship Id="rId34" Type="http://schemas.openxmlformats.org/officeDocument/2006/relationships/image" Target="media/image19.png"/><Relationship Id="rId42" Type="http://schemas.openxmlformats.org/officeDocument/2006/relationships/image" Target="media/image27.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image" Target="media/image25.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21.png"/><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image" Target="media/image16.png"/><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 Id="rId43" Type="http://schemas.openxmlformats.org/officeDocument/2006/relationships/hyperlink" Target="https://www.worldbank.org/en/data/interactive/2021/01/19/covid-19-business-pulse-survey-dashboard" TargetMode="External"/><Relationship Id="rId8" Type="http://schemas.openxmlformats.org/officeDocument/2006/relationships/hyperlink" Target="https://www.inegi.org.mx/programas/ecovidie/" TargetMode="External"/><Relationship Id="rId3" Type="http://schemas.openxmlformats.org/officeDocument/2006/relationships/styles" Target="styl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image" Target="media/image23.png"/><Relationship Id="rId46" Type="http://schemas.openxmlformats.org/officeDocument/2006/relationships/theme" Target="theme/theme1.xml"/><Relationship Id="rId20" Type="http://schemas.openxmlformats.org/officeDocument/2006/relationships/header" Target="header1.xml"/><Relationship Id="rId41" Type="http://schemas.openxmlformats.org/officeDocument/2006/relationships/image" Target="media/image26.png"/></Relationships>
</file>

<file path=word/_rels/footnotes.xml.rels><?xml version="1.0" encoding="UTF-8" standalone="yes"?>
<Relationships xmlns="http://schemas.openxmlformats.org/package/2006/relationships"><Relationship Id="rId1" Type="http://schemas.openxmlformats.org/officeDocument/2006/relationships/hyperlink" Target="http://www.dof.gob.mx/nota_detalle_popup.php?codigo=509684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7160B-EB74-4DCD-B1E0-EF1435FB5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3826</Words>
  <Characters>21045</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Comunicado de Prensa. Encuesta Nacional sobre Disponibilidad y Uso de Tecnologías de la Información en los Hogares, 2016</vt:lpstr>
    </vt:vector>
  </TitlesOfParts>
  <Company/>
  <LinksUpToDate>false</LinksUpToDate>
  <CharactersWithSpaces>24822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Encuesta Nacional sobre Disponibilidad y Uso de Tecnologías de la Información en los Hogares, 2016</dc:title>
  <dc:subject/>
  <dc:creator>INEGI</dc:creator>
  <cp:keywords>Encuesta Nacional sobre Disponibilidad y Uso de Tecnologías de la Información en los Hogares</cp:keywords>
  <dc:description/>
  <cp:lastModifiedBy>GUILLEN MEDINA MOISES</cp:lastModifiedBy>
  <cp:revision>5</cp:revision>
  <cp:lastPrinted>2020-02-11T18:36:00Z</cp:lastPrinted>
  <dcterms:created xsi:type="dcterms:W3CDTF">2021-05-31T13:21:00Z</dcterms:created>
  <dcterms:modified xsi:type="dcterms:W3CDTF">2021-05-31T22:54:00Z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2017-03-23T00:00:00Z</vt:filetime>
  </property>
  <property fmtid="{D5CDD505-2E9C-101B-9397-08002B2CF9AE}" pid="3" name="Creator">
    <vt:lpwstr>Microsoft® Word 2016</vt:lpwstr>
  </property>
  <property fmtid="{D5CDD505-2E9C-101B-9397-08002B2CF9AE}" pid="4" name="LastSaved">
    <vt:filetime>2018-01-18T00:00:00Z</vt:filetime>
  </property>
</Properties>
</file>