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ABB51" w14:textId="77777777" w:rsidR="00BD2EB4" w:rsidRDefault="00BD2EB4" w:rsidP="00BD2EB4">
      <w:pPr>
        <w:pStyle w:val="Default"/>
        <w:ind w:left="-567" w:right="-142"/>
        <w:jc w:val="center"/>
        <w:rPr>
          <w:b/>
          <w:bCs/>
        </w:rPr>
      </w:pPr>
      <w:bookmarkStart w:id="0" w:name="_Hlk76733981"/>
      <w:bookmarkEnd w:id="0"/>
    </w:p>
    <w:p w14:paraId="35DF8465" w14:textId="267C5BCE" w:rsidR="00AF0E6A" w:rsidRPr="00D9195B" w:rsidRDefault="00AF0E6A" w:rsidP="00BD2EB4">
      <w:pPr>
        <w:pStyle w:val="Default"/>
        <w:ind w:left="-567" w:right="-142"/>
        <w:jc w:val="center"/>
        <w:rPr>
          <w:color w:val="auto"/>
        </w:rPr>
      </w:pPr>
      <w:r w:rsidRPr="00D9195B">
        <w:rPr>
          <w:b/>
          <w:bCs/>
          <w:color w:val="auto"/>
        </w:rPr>
        <w:t xml:space="preserve">RESULTADOS DEL CENSO NACIONAL </w:t>
      </w:r>
      <w:r w:rsidR="00BD2EB4" w:rsidRPr="00D9195B">
        <w:rPr>
          <w:b/>
          <w:bCs/>
          <w:color w:val="auto"/>
        </w:rPr>
        <w:t>DE GOBIERNOS ESTATALES</w:t>
      </w:r>
      <w:r w:rsidRPr="00D9195B">
        <w:rPr>
          <w:b/>
          <w:bCs/>
          <w:color w:val="auto"/>
        </w:rPr>
        <w:t xml:space="preserve"> (CN</w:t>
      </w:r>
      <w:r w:rsidR="00BD2EB4" w:rsidRPr="00D9195B">
        <w:rPr>
          <w:b/>
          <w:bCs/>
          <w:color w:val="auto"/>
        </w:rPr>
        <w:t>GE</w:t>
      </w:r>
      <w:r w:rsidRPr="00D9195B">
        <w:rPr>
          <w:b/>
          <w:bCs/>
          <w:color w:val="auto"/>
        </w:rPr>
        <w:t>) 202</w:t>
      </w:r>
      <w:r w:rsidR="00170036" w:rsidRPr="00D9195B">
        <w:rPr>
          <w:b/>
          <w:bCs/>
          <w:color w:val="auto"/>
        </w:rPr>
        <w:t>1</w:t>
      </w:r>
    </w:p>
    <w:p w14:paraId="5AE6E67D" w14:textId="77777777" w:rsidR="00AF0E6A" w:rsidRPr="00D9195B" w:rsidRDefault="00AF0E6A" w:rsidP="00AF0E6A">
      <w:pPr>
        <w:spacing w:after="0" w:line="240" w:lineRule="auto"/>
        <w:ind w:right="284"/>
        <w:jc w:val="both"/>
        <w:rPr>
          <w:rFonts w:ascii="Arial" w:hAnsi="Arial" w:cs="Arial"/>
          <w:b/>
          <w:bCs/>
          <w:sz w:val="24"/>
          <w:szCs w:val="24"/>
        </w:rPr>
      </w:pPr>
    </w:p>
    <w:p w14:paraId="46EE5AAD" w14:textId="77D81084" w:rsidR="00C14B4B" w:rsidRDefault="009F6FC8" w:rsidP="00807074">
      <w:pPr>
        <w:pStyle w:val="Prrafodelista"/>
        <w:numPr>
          <w:ilvl w:val="0"/>
          <w:numId w:val="1"/>
        </w:numPr>
        <w:autoSpaceDE w:val="0"/>
        <w:autoSpaceDN w:val="0"/>
        <w:adjustRightInd w:val="0"/>
        <w:spacing w:after="0" w:line="240" w:lineRule="auto"/>
        <w:ind w:left="0" w:right="142" w:hanging="426"/>
        <w:jc w:val="both"/>
        <w:rPr>
          <w:rFonts w:ascii="Arial" w:hAnsi="Arial" w:cs="Arial"/>
        </w:rPr>
      </w:pPr>
      <w:r>
        <w:rPr>
          <w:rFonts w:ascii="Arial" w:hAnsi="Arial" w:cs="Arial"/>
        </w:rPr>
        <w:t xml:space="preserve">Al cierre de 2020 se reportaron 2 239 instituciones en las administraciones públicas estatales; esto representa un promedio de 70 instituciones por </w:t>
      </w:r>
      <w:r w:rsidR="00C22F44">
        <w:rPr>
          <w:rFonts w:ascii="Arial" w:hAnsi="Arial" w:cs="Arial"/>
        </w:rPr>
        <w:t>e</w:t>
      </w:r>
      <w:r>
        <w:rPr>
          <w:rFonts w:ascii="Arial" w:hAnsi="Arial" w:cs="Arial"/>
        </w:rPr>
        <w:t xml:space="preserve">ntidad </w:t>
      </w:r>
      <w:r w:rsidR="00C22F44">
        <w:rPr>
          <w:rFonts w:ascii="Arial" w:hAnsi="Arial" w:cs="Arial"/>
        </w:rPr>
        <w:t>f</w:t>
      </w:r>
      <w:r>
        <w:rPr>
          <w:rFonts w:ascii="Arial" w:hAnsi="Arial" w:cs="Arial"/>
        </w:rPr>
        <w:t xml:space="preserve">ederativa, con un rango entre 37 y 107. </w:t>
      </w:r>
    </w:p>
    <w:p w14:paraId="66FD5FE5" w14:textId="22E1AE74" w:rsidR="00D9195B" w:rsidRPr="00BC5FD3" w:rsidRDefault="00D9195B" w:rsidP="00807074">
      <w:pPr>
        <w:pStyle w:val="Prrafodelista"/>
        <w:numPr>
          <w:ilvl w:val="0"/>
          <w:numId w:val="1"/>
        </w:numPr>
        <w:autoSpaceDE w:val="0"/>
        <w:autoSpaceDN w:val="0"/>
        <w:adjustRightInd w:val="0"/>
        <w:spacing w:after="0" w:line="240" w:lineRule="auto"/>
        <w:ind w:left="0" w:right="142" w:hanging="426"/>
        <w:jc w:val="both"/>
        <w:rPr>
          <w:rFonts w:ascii="Arial" w:hAnsi="Arial" w:cs="Arial"/>
        </w:rPr>
      </w:pPr>
      <w:r w:rsidRPr="00D9195B">
        <w:rPr>
          <w:rFonts w:ascii="Arial" w:hAnsi="Arial" w:cs="Arial"/>
        </w:rPr>
        <w:t xml:space="preserve">La cantidad de titulares al frente de las instituciones de las administraciones públicas </w:t>
      </w:r>
      <w:r w:rsidR="006E3681" w:rsidRPr="00D9195B">
        <w:rPr>
          <w:rFonts w:ascii="Arial" w:hAnsi="Arial" w:cs="Arial"/>
        </w:rPr>
        <w:t xml:space="preserve">estatales </w:t>
      </w:r>
      <w:r w:rsidR="006E3681">
        <w:rPr>
          <w:rFonts w:ascii="Arial" w:hAnsi="Arial" w:cs="Arial"/>
        </w:rPr>
        <w:t xml:space="preserve">al cierre de 2020 </w:t>
      </w:r>
      <w:r w:rsidRPr="00D9195B">
        <w:rPr>
          <w:rFonts w:ascii="Arial" w:hAnsi="Arial" w:cs="Arial"/>
        </w:rPr>
        <w:t xml:space="preserve">fue de 2 161. De ellos, 69.5% eran hombres, 25.5% eran mujeres y </w:t>
      </w:r>
      <w:r w:rsidRPr="00BC5FD3">
        <w:rPr>
          <w:rFonts w:ascii="Arial" w:hAnsi="Arial" w:cs="Arial"/>
        </w:rPr>
        <w:t xml:space="preserve">para el restante 5.0% no se especificó el sexo. </w:t>
      </w:r>
      <w:r w:rsidR="00E32FA8">
        <w:rPr>
          <w:rFonts w:ascii="Arial" w:hAnsi="Arial" w:cs="Arial"/>
        </w:rPr>
        <w:t>En contraste con 2019, la cantidad de titulares de sexo masculino disminuyó 2.2%, mientras que para el sexo femenino hubo un aumento de 3.6 por ciento.</w:t>
      </w:r>
    </w:p>
    <w:p w14:paraId="50992A1E" w14:textId="44BC54C3" w:rsidR="00807074" w:rsidRDefault="009C4780" w:rsidP="00807074">
      <w:pPr>
        <w:pStyle w:val="Prrafodelista"/>
        <w:numPr>
          <w:ilvl w:val="0"/>
          <w:numId w:val="1"/>
        </w:numPr>
        <w:autoSpaceDE w:val="0"/>
        <w:autoSpaceDN w:val="0"/>
        <w:adjustRightInd w:val="0"/>
        <w:spacing w:after="0" w:line="240" w:lineRule="auto"/>
        <w:ind w:left="0" w:right="142" w:hanging="426"/>
        <w:jc w:val="both"/>
        <w:rPr>
          <w:rFonts w:ascii="Arial" w:hAnsi="Arial" w:cs="Arial"/>
        </w:rPr>
      </w:pPr>
      <w:r w:rsidRPr="00807074">
        <w:rPr>
          <w:rFonts w:ascii="Arial" w:hAnsi="Arial" w:cs="Arial"/>
        </w:rPr>
        <w:t>En 2020</w:t>
      </w:r>
      <w:r w:rsidR="00874D50">
        <w:rPr>
          <w:rFonts w:ascii="Arial" w:hAnsi="Arial" w:cs="Arial"/>
        </w:rPr>
        <w:t xml:space="preserve"> se reportó que</w:t>
      </w:r>
      <w:r w:rsidRPr="00807074">
        <w:rPr>
          <w:rFonts w:ascii="Arial" w:hAnsi="Arial" w:cs="Arial"/>
        </w:rPr>
        <w:t xml:space="preserve"> 4 203 servidoras y servidores públicos fallecieron a causa de COVID-19. De ellos, 54.9% fueron hombres, 30.6% eran mujeres y para el restante 14.5% no </w:t>
      </w:r>
      <w:r w:rsidR="008A5F58" w:rsidRPr="00807074">
        <w:rPr>
          <w:rFonts w:ascii="Arial" w:hAnsi="Arial" w:cs="Arial"/>
        </w:rPr>
        <w:t>se especificó</w:t>
      </w:r>
      <w:r w:rsidRPr="00807074">
        <w:rPr>
          <w:rFonts w:ascii="Arial" w:hAnsi="Arial" w:cs="Arial"/>
        </w:rPr>
        <w:t xml:space="preserve"> el sexo. </w:t>
      </w:r>
    </w:p>
    <w:p w14:paraId="199D50B4" w14:textId="0E53C384" w:rsidR="00AF0E6A" w:rsidRDefault="00807074" w:rsidP="00807074">
      <w:pPr>
        <w:pStyle w:val="Prrafodelista"/>
        <w:numPr>
          <w:ilvl w:val="0"/>
          <w:numId w:val="1"/>
        </w:numPr>
        <w:autoSpaceDE w:val="0"/>
        <w:autoSpaceDN w:val="0"/>
        <w:adjustRightInd w:val="0"/>
        <w:spacing w:after="0" w:line="240" w:lineRule="auto"/>
        <w:ind w:left="0" w:right="142" w:hanging="426"/>
        <w:jc w:val="both"/>
        <w:rPr>
          <w:rFonts w:ascii="Arial" w:hAnsi="Arial" w:cs="Arial"/>
        </w:rPr>
      </w:pPr>
      <w:r w:rsidRPr="00807074">
        <w:rPr>
          <w:rFonts w:ascii="Arial" w:hAnsi="Arial" w:cs="Arial"/>
        </w:rPr>
        <w:t xml:space="preserve">Durante 2020 las administraciones públicas estatales realizaron 80 379 contratos, 89.5% </w:t>
      </w:r>
      <w:r w:rsidR="00C22F44">
        <w:rPr>
          <w:rFonts w:ascii="Arial" w:hAnsi="Arial" w:cs="Arial"/>
        </w:rPr>
        <w:t xml:space="preserve">      </w:t>
      </w:r>
      <w:proofErr w:type="gramStart"/>
      <w:r w:rsidR="00C22F44">
        <w:rPr>
          <w:rFonts w:ascii="Arial" w:hAnsi="Arial" w:cs="Arial"/>
        </w:rPr>
        <w:t xml:space="preserve">   </w:t>
      </w:r>
      <w:r w:rsidRPr="00807074">
        <w:rPr>
          <w:rFonts w:ascii="Arial" w:hAnsi="Arial" w:cs="Arial"/>
        </w:rPr>
        <w:t>(</w:t>
      </w:r>
      <w:proofErr w:type="gramEnd"/>
      <w:r w:rsidRPr="00807074">
        <w:rPr>
          <w:rFonts w:ascii="Arial" w:hAnsi="Arial" w:cs="Arial"/>
        </w:rPr>
        <w:t>71 910) en materia de adquisiciones, arrendamientos y servicios</w:t>
      </w:r>
      <w:r w:rsidR="00C22F44">
        <w:rPr>
          <w:rFonts w:ascii="Arial" w:hAnsi="Arial" w:cs="Arial"/>
        </w:rPr>
        <w:t>,</w:t>
      </w:r>
      <w:r w:rsidRPr="00807074">
        <w:rPr>
          <w:rFonts w:ascii="Arial" w:hAnsi="Arial" w:cs="Arial"/>
        </w:rPr>
        <w:t xml:space="preserve"> y 10.5% (8 469) en obra pública y servicios relacionados con la misma. El monto total de estos contratos fue de </w:t>
      </w:r>
      <w:r w:rsidR="00C22F44">
        <w:rPr>
          <w:rFonts w:ascii="Arial" w:hAnsi="Arial" w:cs="Arial"/>
        </w:rPr>
        <w:t xml:space="preserve">                                      </w:t>
      </w:r>
      <w:r w:rsidRPr="00807074">
        <w:rPr>
          <w:rFonts w:ascii="Arial" w:hAnsi="Arial" w:cs="Arial"/>
        </w:rPr>
        <w:t>160 814 631 131 pesos.</w:t>
      </w:r>
    </w:p>
    <w:p w14:paraId="7EE2D6BA" w14:textId="77777777" w:rsidR="00807074" w:rsidRPr="00807074" w:rsidRDefault="00807074" w:rsidP="00807074">
      <w:pPr>
        <w:pStyle w:val="Prrafodelista"/>
        <w:autoSpaceDE w:val="0"/>
        <w:autoSpaceDN w:val="0"/>
        <w:adjustRightInd w:val="0"/>
        <w:spacing w:after="0" w:line="240" w:lineRule="auto"/>
        <w:ind w:left="284" w:right="567"/>
        <w:jc w:val="both"/>
        <w:rPr>
          <w:rFonts w:ascii="Arial" w:hAnsi="Arial" w:cs="Arial"/>
        </w:rPr>
      </w:pPr>
    </w:p>
    <w:p w14:paraId="4E2ED140" w14:textId="6108C21B" w:rsidR="00AF0E6A" w:rsidRDefault="00AF0E6A" w:rsidP="006F3370">
      <w:pPr>
        <w:spacing w:after="0" w:line="240" w:lineRule="auto"/>
        <w:ind w:left="-567"/>
        <w:jc w:val="both"/>
        <w:rPr>
          <w:rFonts w:ascii="Arial" w:hAnsi="Arial" w:cs="Arial"/>
        </w:rPr>
      </w:pPr>
      <w:r w:rsidRPr="00234219">
        <w:rPr>
          <w:rFonts w:ascii="Arial" w:hAnsi="Arial" w:cs="Arial"/>
        </w:rPr>
        <w:t xml:space="preserve">El Instituto Nacional de Estadística y Geografía (INEGI) da a conocer el </w:t>
      </w:r>
      <w:bookmarkStart w:id="1" w:name="_GoBack"/>
      <w:bookmarkEnd w:id="1"/>
      <w:r w:rsidRPr="00234219">
        <w:rPr>
          <w:rFonts w:ascii="Arial" w:hAnsi="Arial" w:cs="Arial"/>
        </w:rPr>
        <w:t xml:space="preserve">Censo Nacional de </w:t>
      </w:r>
      <w:r w:rsidR="00BD2EB4" w:rsidRPr="00234219">
        <w:rPr>
          <w:rFonts w:ascii="Arial" w:hAnsi="Arial" w:cs="Arial"/>
        </w:rPr>
        <w:t>Gobiernos Estatales (CNGE</w:t>
      </w:r>
      <w:r w:rsidRPr="00234219">
        <w:rPr>
          <w:rFonts w:ascii="Arial" w:hAnsi="Arial" w:cs="Arial"/>
        </w:rPr>
        <w:t>) 202</w:t>
      </w:r>
      <w:r w:rsidR="006F3370" w:rsidRPr="00234219">
        <w:rPr>
          <w:rFonts w:ascii="Arial" w:hAnsi="Arial" w:cs="Arial"/>
        </w:rPr>
        <w:t>1</w:t>
      </w:r>
      <w:r w:rsidRPr="00234219">
        <w:rPr>
          <w:rFonts w:ascii="Arial" w:hAnsi="Arial" w:cs="Arial"/>
        </w:rPr>
        <w:t xml:space="preserve">, programa estadístico que ofrece información </w:t>
      </w:r>
      <w:r w:rsidR="00E32FA8">
        <w:rPr>
          <w:rFonts w:ascii="Arial" w:hAnsi="Arial" w:cs="Arial"/>
        </w:rPr>
        <w:t>estadística</w:t>
      </w:r>
      <w:r w:rsidR="00E32FA8" w:rsidRPr="00234219">
        <w:rPr>
          <w:rFonts w:ascii="Arial" w:hAnsi="Arial" w:cs="Arial"/>
        </w:rPr>
        <w:t xml:space="preserve"> </w:t>
      </w:r>
      <w:r w:rsidRPr="00234219">
        <w:rPr>
          <w:rFonts w:ascii="Arial" w:hAnsi="Arial" w:cs="Arial"/>
        </w:rPr>
        <w:t xml:space="preserve">sobre la gestión y desempeño </w:t>
      </w:r>
      <w:r w:rsidR="00BD2EB4" w:rsidRPr="00234219">
        <w:rPr>
          <w:rFonts w:ascii="Arial" w:hAnsi="Arial" w:cs="Arial"/>
        </w:rPr>
        <w:t>de las instituciones que integran a la Administración Pública de cada entidad federativa, específicamente en las funciones de gobierno, medio ambiente y justicia cívica (únicamente para la Ciudad de México), con la finalidad de que ésta se vincule con el quehacer gubernamental dentro del proceso de diseño, implementación, monitoreo y evaluación de las políticas públicas de alcance nacional en los referidos temas</w:t>
      </w:r>
      <w:r w:rsidR="007A76A1" w:rsidRPr="00234219">
        <w:rPr>
          <w:rStyle w:val="Refdenotaalpie"/>
          <w:rFonts w:ascii="Arial" w:hAnsi="Arial" w:cs="Arial"/>
        </w:rPr>
        <w:footnoteReference w:id="1"/>
      </w:r>
      <w:r w:rsidR="006F3370" w:rsidRPr="00234219">
        <w:rPr>
          <w:rFonts w:ascii="Arial" w:hAnsi="Arial" w:cs="Arial"/>
        </w:rPr>
        <w:t>.</w:t>
      </w:r>
    </w:p>
    <w:p w14:paraId="3939677A" w14:textId="182084BE" w:rsidR="00701903" w:rsidRDefault="00701903" w:rsidP="006F3370">
      <w:pPr>
        <w:spacing w:after="0" w:line="240" w:lineRule="auto"/>
        <w:ind w:left="-567"/>
        <w:jc w:val="both"/>
        <w:rPr>
          <w:rFonts w:ascii="Arial" w:hAnsi="Arial" w:cs="Arial"/>
        </w:rPr>
      </w:pPr>
    </w:p>
    <w:p w14:paraId="0810D837" w14:textId="61CFFA3A" w:rsidR="00701903" w:rsidRPr="006008C7" w:rsidRDefault="00701903" w:rsidP="00701903">
      <w:pPr>
        <w:spacing w:after="0" w:line="240" w:lineRule="auto"/>
        <w:ind w:left="-567"/>
        <w:jc w:val="both"/>
        <w:rPr>
          <w:rFonts w:ascii="Arial" w:hAnsi="Arial" w:cs="Arial"/>
        </w:rPr>
      </w:pPr>
      <w:r w:rsidRPr="00874D50">
        <w:rPr>
          <w:rFonts w:ascii="Arial" w:hAnsi="Arial" w:cs="Arial"/>
        </w:rPr>
        <w:t>Es preciso advertir que la contingencia sanitaria derivada de la pandemia generada por el virus SARS-COV2 (COVID</w:t>
      </w:r>
      <w:r w:rsidR="00841800">
        <w:rPr>
          <w:rFonts w:ascii="Arial" w:hAnsi="Arial" w:cs="Arial"/>
        </w:rPr>
        <w:t>-</w:t>
      </w:r>
      <w:r w:rsidRPr="00874D50">
        <w:rPr>
          <w:rFonts w:ascii="Arial" w:hAnsi="Arial" w:cs="Arial"/>
        </w:rPr>
        <w:t>19) y la implementación de medidas oficiales para evitar su propagación, como la disminución de la capacidad instalada y la reducción parcial de actividades, repercutieron en la cantidad de trámites, servicios</w:t>
      </w:r>
      <w:r w:rsidR="00EC165D" w:rsidRPr="00874D50">
        <w:rPr>
          <w:rFonts w:ascii="Arial" w:hAnsi="Arial" w:cs="Arial"/>
        </w:rPr>
        <w:t xml:space="preserve">, </w:t>
      </w:r>
      <w:r w:rsidRPr="00874D50">
        <w:rPr>
          <w:rFonts w:ascii="Arial" w:hAnsi="Arial" w:cs="Arial"/>
        </w:rPr>
        <w:t>solicitudes</w:t>
      </w:r>
      <w:r w:rsidR="00EC165D" w:rsidRPr="00874D50">
        <w:rPr>
          <w:rFonts w:ascii="Arial" w:hAnsi="Arial" w:cs="Arial"/>
        </w:rPr>
        <w:t xml:space="preserve"> y procedimientos</w:t>
      </w:r>
      <w:r w:rsidRPr="00874D50">
        <w:rPr>
          <w:rFonts w:ascii="Arial" w:hAnsi="Arial" w:cs="Arial"/>
        </w:rPr>
        <w:t xml:space="preserve"> que recibieron las instituciones de las Administraciones Públicas Estatales.</w:t>
      </w:r>
    </w:p>
    <w:p w14:paraId="329137A7" w14:textId="77777777" w:rsidR="00701903" w:rsidRPr="00234219" w:rsidRDefault="00701903" w:rsidP="006F3370">
      <w:pPr>
        <w:spacing w:after="0" w:line="240" w:lineRule="auto"/>
        <w:ind w:left="-567"/>
        <w:jc w:val="both"/>
        <w:rPr>
          <w:rFonts w:ascii="Arial" w:hAnsi="Arial" w:cs="Arial"/>
        </w:rPr>
      </w:pPr>
    </w:p>
    <w:p w14:paraId="751E56BE" w14:textId="1849CA05" w:rsidR="00AF0E6A" w:rsidRPr="00234219" w:rsidRDefault="00AF0E6A" w:rsidP="00AF0E6A">
      <w:pPr>
        <w:spacing w:after="0" w:line="240" w:lineRule="auto"/>
        <w:ind w:left="-567"/>
        <w:jc w:val="both"/>
        <w:rPr>
          <w:rFonts w:ascii="Arial" w:hAnsi="Arial" w:cs="Arial"/>
        </w:rPr>
      </w:pPr>
      <w:r w:rsidRPr="00234219">
        <w:rPr>
          <w:rFonts w:ascii="Arial" w:hAnsi="Arial" w:cs="Arial"/>
        </w:rPr>
        <w:t>Entre los datos que aporta este Censo, se encuentra que:</w:t>
      </w:r>
    </w:p>
    <w:p w14:paraId="27F2B6B4" w14:textId="77777777" w:rsidR="00AF0E6A" w:rsidRPr="00630CD4" w:rsidRDefault="00AF0E6A" w:rsidP="00AF0E6A">
      <w:pPr>
        <w:spacing w:after="0" w:line="240" w:lineRule="auto"/>
        <w:ind w:left="-284"/>
        <w:jc w:val="both"/>
        <w:rPr>
          <w:rFonts w:ascii="Arial" w:hAnsi="Arial" w:cs="Arial"/>
          <w:color w:val="FF0000"/>
        </w:rPr>
      </w:pPr>
    </w:p>
    <w:p w14:paraId="28ACF6D7" w14:textId="3E8048D7" w:rsidR="006E3681" w:rsidRPr="006E3681" w:rsidRDefault="006E3681" w:rsidP="006E3681">
      <w:pPr>
        <w:pStyle w:val="Default"/>
        <w:numPr>
          <w:ilvl w:val="0"/>
          <w:numId w:val="16"/>
        </w:numPr>
        <w:ind w:left="-284"/>
        <w:jc w:val="both"/>
        <w:rPr>
          <w:color w:val="auto"/>
          <w:sz w:val="22"/>
          <w:szCs w:val="22"/>
        </w:rPr>
      </w:pPr>
      <w:r w:rsidRPr="006E3681">
        <w:rPr>
          <w:color w:val="auto"/>
          <w:sz w:val="22"/>
          <w:szCs w:val="22"/>
        </w:rPr>
        <w:t xml:space="preserve">Al cierre de 2020 había 2 239 instituciones de las administraciones públicas estatales. Con respecto a 2019, se registró un aumento de 1.5 por ciento. </w:t>
      </w:r>
    </w:p>
    <w:p w14:paraId="413B8126" w14:textId="77777777" w:rsidR="006E3681" w:rsidRPr="006E3681" w:rsidRDefault="006E3681" w:rsidP="006E3681">
      <w:pPr>
        <w:pStyle w:val="Default"/>
        <w:ind w:left="-284"/>
        <w:jc w:val="both"/>
        <w:rPr>
          <w:color w:val="auto"/>
          <w:sz w:val="22"/>
          <w:szCs w:val="22"/>
        </w:rPr>
      </w:pPr>
    </w:p>
    <w:p w14:paraId="0E866B87" w14:textId="26B555DC" w:rsidR="006E3681" w:rsidRPr="006E3681" w:rsidRDefault="006E3681" w:rsidP="006E3681">
      <w:pPr>
        <w:pStyle w:val="Default"/>
        <w:numPr>
          <w:ilvl w:val="0"/>
          <w:numId w:val="16"/>
        </w:numPr>
        <w:ind w:left="-284"/>
        <w:jc w:val="both"/>
        <w:rPr>
          <w:color w:val="auto"/>
          <w:sz w:val="22"/>
          <w:szCs w:val="22"/>
        </w:rPr>
      </w:pPr>
      <w:r w:rsidRPr="006E3681">
        <w:rPr>
          <w:color w:val="auto"/>
          <w:sz w:val="22"/>
          <w:szCs w:val="22"/>
        </w:rPr>
        <w:t>La cantidad de titulares al frente de las instituciones de las administraciones públicas estatales fue de 2 161</w:t>
      </w:r>
      <w:r w:rsidR="00DC759F">
        <w:rPr>
          <w:color w:val="auto"/>
          <w:sz w:val="22"/>
          <w:szCs w:val="22"/>
        </w:rPr>
        <w:t xml:space="preserve"> en 2020</w:t>
      </w:r>
      <w:r w:rsidRPr="006E3681">
        <w:rPr>
          <w:color w:val="auto"/>
          <w:sz w:val="22"/>
          <w:szCs w:val="22"/>
        </w:rPr>
        <w:t xml:space="preserve">. </w:t>
      </w:r>
      <w:r w:rsidR="00D6128A" w:rsidRPr="006E3681">
        <w:rPr>
          <w:color w:val="auto"/>
          <w:sz w:val="22"/>
          <w:szCs w:val="22"/>
        </w:rPr>
        <w:t>Del total de titulares</w:t>
      </w:r>
      <w:r w:rsidRPr="006E3681">
        <w:rPr>
          <w:color w:val="auto"/>
          <w:sz w:val="22"/>
          <w:szCs w:val="22"/>
        </w:rPr>
        <w:t>, 69.5% eran hombres, 25.5% eran mujeres y para el restante 5.0% no se especificó el sexo.</w:t>
      </w:r>
      <w:r w:rsidR="00EC3F7B">
        <w:rPr>
          <w:color w:val="auto"/>
          <w:sz w:val="22"/>
          <w:szCs w:val="22"/>
        </w:rPr>
        <w:t xml:space="preserve"> </w:t>
      </w:r>
      <w:r w:rsidR="00D6128A">
        <w:rPr>
          <w:color w:val="auto"/>
          <w:sz w:val="22"/>
          <w:szCs w:val="22"/>
        </w:rPr>
        <w:t>Además</w:t>
      </w:r>
      <w:r w:rsidRPr="006E3681">
        <w:rPr>
          <w:color w:val="auto"/>
          <w:sz w:val="22"/>
          <w:szCs w:val="22"/>
        </w:rPr>
        <w:t xml:space="preserve">, </w:t>
      </w:r>
      <w:r w:rsidR="005464D0">
        <w:rPr>
          <w:color w:val="auto"/>
          <w:sz w:val="22"/>
          <w:szCs w:val="22"/>
        </w:rPr>
        <w:t>1.6</w:t>
      </w:r>
      <w:r w:rsidRPr="006E3681">
        <w:rPr>
          <w:color w:val="auto"/>
          <w:sz w:val="22"/>
          <w:szCs w:val="22"/>
        </w:rPr>
        <w:t>% pertenec</w:t>
      </w:r>
      <w:r w:rsidR="00D6128A">
        <w:rPr>
          <w:color w:val="auto"/>
          <w:sz w:val="22"/>
          <w:szCs w:val="22"/>
        </w:rPr>
        <w:t>ió</w:t>
      </w:r>
      <w:r w:rsidRPr="006E3681">
        <w:rPr>
          <w:color w:val="auto"/>
          <w:sz w:val="22"/>
          <w:szCs w:val="22"/>
        </w:rPr>
        <w:t xml:space="preserve"> a algún pueblo indígena, mientras que 0.</w:t>
      </w:r>
      <w:r w:rsidR="005464D0">
        <w:rPr>
          <w:color w:val="auto"/>
          <w:sz w:val="22"/>
          <w:szCs w:val="22"/>
        </w:rPr>
        <w:t>9</w:t>
      </w:r>
      <w:r w:rsidRPr="006E3681">
        <w:rPr>
          <w:color w:val="auto"/>
          <w:sz w:val="22"/>
          <w:szCs w:val="22"/>
        </w:rPr>
        <w:t>% presentaba alguna condición de discapacidad.</w:t>
      </w:r>
    </w:p>
    <w:p w14:paraId="159BFD93" w14:textId="77777777" w:rsidR="006E3681" w:rsidRPr="006E3681" w:rsidRDefault="006E3681" w:rsidP="006E3681">
      <w:pPr>
        <w:pStyle w:val="Default"/>
        <w:ind w:left="-284"/>
        <w:jc w:val="both"/>
        <w:rPr>
          <w:color w:val="auto"/>
          <w:sz w:val="22"/>
          <w:szCs w:val="22"/>
        </w:rPr>
      </w:pPr>
    </w:p>
    <w:p w14:paraId="55D7D037" w14:textId="6514FE8E" w:rsidR="006E3681" w:rsidRDefault="006E3681" w:rsidP="006E3681">
      <w:pPr>
        <w:pStyle w:val="Default"/>
        <w:numPr>
          <w:ilvl w:val="0"/>
          <w:numId w:val="16"/>
        </w:numPr>
        <w:ind w:left="-284"/>
        <w:jc w:val="both"/>
        <w:rPr>
          <w:color w:val="auto"/>
          <w:sz w:val="22"/>
          <w:szCs w:val="22"/>
        </w:rPr>
      </w:pPr>
      <w:r w:rsidRPr="006E3681">
        <w:rPr>
          <w:color w:val="auto"/>
          <w:sz w:val="22"/>
          <w:szCs w:val="22"/>
        </w:rPr>
        <w:t>En 2020, 4 203 servidoras y servidores públicos fallecieron a causa de COVID-19</w:t>
      </w:r>
      <w:r>
        <w:rPr>
          <w:color w:val="auto"/>
          <w:sz w:val="22"/>
          <w:szCs w:val="22"/>
        </w:rPr>
        <w:t>.</w:t>
      </w:r>
      <w:r w:rsidRPr="006E3681">
        <w:rPr>
          <w:color w:val="auto"/>
          <w:sz w:val="22"/>
          <w:szCs w:val="22"/>
        </w:rPr>
        <w:t xml:space="preserve"> De ellos, 54.9% fueron hombres, 30.6% eran mujeres y para el restante 14.5% no </w:t>
      </w:r>
      <w:r w:rsidR="0013056B">
        <w:rPr>
          <w:color w:val="auto"/>
          <w:sz w:val="22"/>
          <w:szCs w:val="22"/>
        </w:rPr>
        <w:t>se especificó</w:t>
      </w:r>
      <w:r w:rsidRPr="006E3681">
        <w:rPr>
          <w:color w:val="auto"/>
          <w:sz w:val="22"/>
          <w:szCs w:val="22"/>
        </w:rPr>
        <w:t xml:space="preserve"> el sexo</w:t>
      </w:r>
      <w:r w:rsidR="00012443">
        <w:rPr>
          <w:color w:val="auto"/>
          <w:sz w:val="22"/>
          <w:szCs w:val="22"/>
        </w:rPr>
        <w:t>;</w:t>
      </w:r>
      <w:r>
        <w:rPr>
          <w:color w:val="auto"/>
          <w:sz w:val="22"/>
          <w:szCs w:val="22"/>
        </w:rPr>
        <w:t xml:space="preserve"> además</w:t>
      </w:r>
      <w:r w:rsidR="00012443">
        <w:rPr>
          <w:color w:val="auto"/>
          <w:sz w:val="22"/>
          <w:szCs w:val="22"/>
        </w:rPr>
        <w:t>,</w:t>
      </w:r>
      <w:r>
        <w:rPr>
          <w:color w:val="auto"/>
          <w:sz w:val="22"/>
          <w:szCs w:val="22"/>
        </w:rPr>
        <w:t xml:space="preserve"> </w:t>
      </w:r>
      <w:r w:rsidRPr="006E3681">
        <w:rPr>
          <w:color w:val="auto"/>
          <w:sz w:val="22"/>
          <w:szCs w:val="22"/>
        </w:rPr>
        <w:t xml:space="preserve">47.6% </w:t>
      </w:r>
      <w:r>
        <w:rPr>
          <w:color w:val="auto"/>
          <w:sz w:val="22"/>
          <w:szCs w:val="22"/>
        </w:rPr>
        <w:t xml:space="preserve">del total </w:t>
      </w:r>
      <w:r w:rsidR="00012443">
        <w:rPr>
          <w:color w:val="auto"/>
          <w:sz w:val="22"/>
          <w:szCs w:val="22"/>
        </w:rPr>
        <w:t xml:space="preserve">de personal fallecido </w:t>
      </w:r>
      <w:r w:rsidRPr="006E3681">
        <w:rPr>
          <w:color w:val="auto"/>
          <w:sz w:val="22"/>
          <w:szCs w:val="22"/>
        </w:rPr>
        <w:t xml:space="preserve">estaba adscrito a la administración pública del estado de México. </w:t>
      </w:r>
    </w:p>
    <w:p w14:paraId="44557923" w14:textId="77777777" w:rsidR="006D1D9F" w:rsidRDefault="006D1D9F" w:rsidP="006D1D9F">
      <w:pPr>
        <w:pStyle w:val="Prrafodelista"/>
        <w:ind w:left="-284"/>
        <w:rPr>
          <w:rFonts w:ascii="Arial" w:hAnsi="Arial" w:cs="Arial"/>
        </w:rPr>
      </w:pPr>
    </w:p>
    <w:p w14:paraId="6E52D6AB" w14:textId="7B841287" w:rsidR="00BC5FD3" w:rsidRPr="00BC5FD3" w:rsidRDefault="00BC5FD3" w:rsidP="006D1D9F">
      <w:pPr>
        <w:pStyle w:val="Prrafodelista"/>
        <w:numPr>
          <w:ilvl w:val="0"/>
          <w:numId w:val="16"/>
        </w:numPr>
        <w:ind w:left="-284"/>
        <w:jc w:val="both"/>
        <w:rPr>
          <w:rFonts w:ascii="Arial" w:hAnsi="Arial" w:cs="Arial"/>
        </w:rPr>
      </w:pPr>
      <w:r w:rsidRPr="00BC5FD3">
        <w:rPr>
          <w:rFonts w:ascii="Arial" w:hAnsi="Arial" w:cs="Arial"/>
        </w:rPr>
        <w:t xml:space="preserve">Durante 2020 </w:t>
      </w:r>
      <w:r w:rsidR="00874D50">
        <w:rPr>
          <w:rFonts w:ascii="Arial" w:hAnsi="Arial" w:cs="Arial"/>
        </w:rPr>
        <w:t xml:space="preserve">las administraciones públicas estatales </w:t>
      </w:r>
      <w:r w:rsidRPr="00BC5FD3">
        <w:rPr>
          <w:rFonts w:ascii="Arial" w:hAnsi="Arial" w:cs="Arial"/>
        </w:rPr>
        <w:t>ejercieron</w:t>
      </w:r>
      <w:r w:rsidR="00874D50">
        <w:rPr>
          <w:rFonts w:ascii="Arial" w:hAnsi="Arial" w:cs="Arial"/>
        </w:rPr>
        <w:t xml:space="preserve"> un presupuesto total de</w:t>
      </w:r>
      <w:r w:rsidRPr="00BC5FD3">
        <w:rPr>
          <w:rFonts w:ascii="Arial" w:hAnsi="Arial" w:cs="Arial"/>
        </w:rPr>
        <w:t xml:space="preserve"> </w:t>
      </w:r>
      <w:r w:rsidR="006D1D9F">
        <w:rPr>
          <w:rFonts w:ascii="Arial" w:hAnsi="Arial" w:cs="Arial"/>
        </w:rPr>
        <w:t xml:space="preserve">                        </w:t>
      </w:r>
      <w:r w:rsidRPr="00BC5FD3">
        <w:rPr>
          <w:rFonts w:ascii="Arial" w:hAnsi="Arial" w:cs="Arial"/>
        </w:rPr>
        <w:t>1 799 264 042 353 pesos</w:t>
      </w:r>
      <w:r w:rsidR="00AC12A0">
        <w:rPr>
          <w:rStyle w:val="Refdenotaalpie"/>
          <w:rFonts w:ascii="Arial" w:hAnsi="Arial" w:cs="Arial"/>
        </w:rPr>
        <w:footnoteReference w:id="2"/>
      </w:r>
      <w:r w:rsidRPr="00BC5FD3">
        <w:rPr>
          <w:rFonts w:ascii="Arial" w:hAnsi="Arial" w:cs="Arial"/>
        </w:rPr>
        <w:t xml:space="preserve">. Con respecto a 2019, </w:t>
      </w:r>
      <w:r>
        <w:rPr>
          <w:rFonts w:ascii="Arial" w:hAnsi="Arial" w:cs="Arial"/>
        </w:rPr>
        <w:t xml:space="preserve">dicha cifra representó </w:t>
      </w:r>
      <w:r w:rsidRPr="00BC5FD3">
        <w:rPr>
          <w:rFonts w:ascii="Arial" w:hAnsi="Arial" w:cs="Arial"/>
        </w:rPr>
        <w:t xml:space="preserve">una disminución de 3.3 por ciento. </w:t>
      </w:r>
    </w:p>
    <w:p w14:paraId="57B67EF4" w14:textId="518ADF00" w:rsidR="00BC5FD3" w:rsidRDefault="00BC5FD3" w:rsidP="00BC5FD3">
      <w:pPr>
        <w:pStyle w:val="Default"/>
        <w:numPr>
          <w:ilvl w:val="0"/>
          <w:numId w:val="16"/>
        </w:numPr>
        <w:ind w:left="-284"/>
        <w:jc w:val="both"/>
        <w:rPr>
          <w:color w:val="auto"/>
          <w:sz w:val="22"/>
          <w:szCs w:val="22"/>
        </w:rPr>
      </w:pPr>
      <w:r>
        <w:rPr>
          <w:color w:val="auto"/>
          <w:sz w:val="22"/>
          <w:szCs w:val="22"/>
        </w:rPr>
        <w:t xml:space="preserve">En el mismo periodo </w:t>
      </w:r>
      <w:r w:rsidRPr="00BC5FD3">
        <w:rPr>
          <w:color w:val="auto"/>
          <w:sz w:val="22"/>
          <w:szCs w:val="22"/>
        </w:rPr>
        <w:t xml:space="preserve">las instituciones de las administraciones públicas estatales recibieron </w:t>
      </w:r>
      <w:r w:rsidR="006D1D9F">
        <w:rPr>
          <w:color w:val="auto"/>
          <w:sz w:val="22"/>
          <w:szCs w:val="22"/>
        </w:rPr>
        <w:t xml:space="preserve">              </w:t>
      </w:r>
      <w:r w:rsidRPr="00BC5FD3">
        <w:rPr>
          <w:color w:val="auto"/>
          <w:sz w:val="22"/>
          <w:szCs w:val="22"/>
        </w:rPr>
        <w:t>175 838 991 solicitudes de trámites y servicios</w:t>
      </w:r>
      <w:r w:rsidR="00821C00">
        <w:rPr>
          <w:rStyle w:val="Refdenotaalpie"/>
          <w:color w:val="auto"/>
          <w:sz w:val="22"/>
          <w:szCs w:val="22"/>
        </w:rPr>
        <w:footnoteReference w:id="3"/>
      </w:r>
      <w:r>
        <w:rPr>
          <w:color w:val="auto"/>
          <w:sz w:val="22"/>
          <w:szCs w:val="22"/>
        </w:rPr>
        <w:t xml:space="preserve">. </w:t>
      </w:r>
      <w:r w:rsidRPr="00BC5FD3">
        <w:rPr>
          <w:color w:val="auto"/>
          <w:sz w:val="22"/>
          <w:szCs w:val="22"/>
        </w:rPr>
        <w:t>En comparación con lo reportado en 2019, hubo una disminución de 41.1% en el total de las solicitudes recibidas.</w:t>
      </w:r>
    </w:p>
    <w:p w14:paraId="14905386" w14:textId="7FE0E82F" w:rsidR="00F66E35" w:rsidRDefault="00F66E35" w:rsidP="00F66E35">
      <w:pPr>
        <w:pStyle w:val="Default"/>
        <w:jc w:val="both"/>
        <w:rPr>
          <w:color w:val="auto"/>
          <w:sz w:val="22"/>
          <w:szCs w:val="22"/>
        </w:rPr>
      </w:pPr>
    </w:p>
    <w:p w14:paraId="3DE129BD" w14:textId="351015C5" w:rsidR="00BC5FD3" w:rsidRDefault="00BC5FD3" w:rsidP="00BC5FD3">
      <w:pPr>
        <w:pStyle w:val="Default"/>
        <w:numPr>
          <w:ilvl w:val="0"/>
          <w:numId w:val="16"/>
        </w:numPr>
        <w:ind w:left="-284"/>
        <w:jc w:val="both"/>
        <w:rPr>
          <w:color w:val="auto"/>
          <w:sz w:val="22"/>
          <w:szCs w:val="22"/>
        </w:rPr>
      </w:pPr>
      <w:r>
        <w:rPr>
          <w:color w:val="auto"/>
          <w:sz w:val="22"/>
          <w:szCs w:val="22"/>
        </w:rPr>
        <w:t>Las</w:t>
      </w:r>
      <w:r w:rsidRPr="00BC5FD3">
        <w:rPr>
          <w:color w:val="auto"/>
          <w:sz w:val="22"/>
          <w:szCs w:val="22"/>
        </w:rPr>
        <w:t xml:space="preserve"> instituciones de las administraciones públicas estatales recibieron 50 676 denuncias derivadas del incumplimiento de las obligaciones de sus servidores públicos</w:t>
      </w:r>
      <w:r>
        <w:rPr>
          <w:color w:val="auto"/>
          <w:sz w:val="22"/>
          <w:szCs w:val="22"/>
        </w:rPr>
        <w:t xml:space="preserve"> en 2020, lo que indica </w:t>
      </w:r>
      <w:r w:rsidRPr="00BC5FD3">
        <w:rPr>
          <w:color w:val="auto"/>
          <w:sz w:val="22"/>
          <w:szCs w:val="22"/>
        </w:rPr>
        <w:t xml:space="preserve">una diminución de 29.3% </w:t>
      </w:r>
      <w:r>
        <w:rPr>
          <w:color w:val="auto"/>
          <w:sz w:val="22"/>
          <w:szCs w:val="22"/>
        </w:rPr>
        <w:t>en contraste con 2019.</w:t>
      </w:r>
    </w:p>
    <w:p w14:paraId="4AD2BC51" w14:textId="77777777" w:rsidR="00F66E35" w:rsidRDefault="00F66E35" w:rsidP="00F66E35">
      <w:pPr>
        <w:pStyle w:val="Default"/>
        <w:ind w:left="-284"/>
        <w:jc w:val="both"/>
        <w:rPr>
          <w:color w:val="auto"/>
          <w:sz w:val="22"/>
          <w:szCs w:val="22"/>
        </w:rPr>
      </w:pPr>
    </w:p>
    <w:p w14:paraId="17730E0D" w14:textId="722F210B" w:rsidR="006E4C28" w:rsidRDefault="00A64C3E" w:rsidP="006E4C28">
      <w:pPr>
        <w:pStyle w:val="Default"/>
        <w:numPr>
          <w:ilvl w:val="0"/>
          <w:numId w:val="16"/>
        </w:numPr>
        <w:ind w:left="-284"/>
        <w:jc w:val="both"/>
        <w:rPr>
          <w:color w:val="auto"/>
          <w:sz w:val="22"/>
          <w:szCs w:val="22"/>
        </w:rPr>
      </w:pPr>
      <w:r w:rsidRPr="00A64C3E">
        <w:rPr>
          <w:color w:val="auto"/>
          <w:sz w:val="22"/>
          <w:szCs w:val="22"/>
        </w:rPr>
        <w:t>Se iniciaron 6 820 procedimientos de responsabilidad administrativa por parte de las áreas subs</w:t>
      </w:r>
      <w:r w:rsidR="00012443">
        <w:rPr>
          <w:color w:val="auto"/>
          <w:sz w:val="22"/>
          <w:szCs w:val="22"/>
        </w:rPr>
        <w:t>t</w:t>
      </w:r>
      <w:r w:rsidRPr="00A64C3E">
        <w:rPr>
          <w:color w:val="auto"/>
          <w:sz w:val="22"/>
          <w:szCs w:val="22"/>
        </w:rPr>
        <w:t>anciadoras a servidoras y servidores públicos de las administraciones públicas estatales y se concluyeron 2 796 procedimientos</w:t>
      </w:r>
      <w:r>
        <w:rPr>
          <w:color w:val="auto"/>
          <w:sz w:val="22"/>
          <w:szCs w:val="22"/>
        </w:rPr>
        <w:t xml:space="preserve">. </w:t>
      </w:r>
      <w:r w:rsidRPr="00A64C3E">
        <w:rPr>
          <w:color w:val="auto"/>
          <w:sz w:val="22"/>
          <w:szCs w:val="22"/>
        </w:rPr>
        <w:t>Derivado de procedimientos concluidos, 2 032 servidoras y servidores públicos fueron sancionados</w:t>
      </w:r>
      <w:r>
        <w:rPr>
          <w:color w:val="auto"/>
          <w:sz w:val="22"/>
          <w:szCs w:val="22"/>
        </w:rPr>
        <w:t>.</w:t>
      </w:r>
    </w:p>
    <w:p w14:paraId="33EEC5F1" w14:textId="77777777" w:rsidR="006E4C28" w:rsidRDefault="006E4C28" w:rsidP="006E4C28">
      <w:pPr>
        <w:pStyle w:val="Default"/>
        <w:ind w:left="-284"/>
        <w:jc w:val="both"/>
        <w:rPr>
          <w:color w:val="auto"/>
          <w:sz w:val="22"/>
          <w:szCs w:val="22"/>
        </w:rPr>
      </w:pPr>
    </w:p>
    <w:p w14:paraId="70998D37" w14:textId="34F92B92" w:rsidR="00F66E35" w:rsidRDefault="006E4C28" w:rsidP="006E4C28">
      <w:pPr>
        <w:pStyle w:val="Default"/>
        <w:numPr>
          <w:ilvl w:val="0"/>
          <w:numId w:val="16"/>
        </w:numPr>
        <w:ind w:left="-284"/>
        <w:jc w:val="both"/>
        <w:rPr>
          <w:color w:val="auto"/>
          <w:sz w:val="22"/>
          <w:szCs w:val="22"/>
        </w:rPr>
      </w:pPr>
      <w:r w:rsidRPr="006E4C28">
        <w:rPr>
          <w:color w:val="auto"/>
          <w:sz w:val="22"/>
          <w:szCs w:val="22"/>
        </w:rPr>
        <w:t>Durante 2020, las administraciones públicas estatales realizaron 80 379 contratos, 89.5% (71 910) en materia de adquisiciones, arrendamientos y servicios</w:t>
      </w:r>
      <w:r w:rsidR="006D1D9F">
        <w:rPr>
          <w:color w:val="auto"/>
          <w:sz w:val="22"/>
          <w:szCs w:val="22"/>
        </w:rPr>
        <w:t>,</w:t>
      </w:r>
      <w:r w:rsidRPr="006E4C28">
        <w:rPr>
          <w:color w:val="auto"/>
          <w:sz w:val="22"/>
          <w:szCs w:val="22"/>
        </w:rPr>
        <w:t xml:space="preserve"> y 10.5% (8 469) en obra pública y servicios relacionados con la misma.</w:t>
      </w:r>
    </w:p>
    <w:p w14:paraId="0BA87AF6" w14:textId="77777777" w:rsidR="006E4C28" w:rsidRPr="006E4C28" w:rsidRDefault="006E4C28" w:rsidP="006E4C28">
      <w:pPr>
        <w:pStyle w:val="Default"/>
        <w:jc w:val="both"/>
        <w:rPr>
          <w:color w:val="auto"/>
          <w:sz w:val="22"/>
          <w:szCs w:val="22"/>
        </w:rPr>
      </w:pPr>
    </w:p>
    <w:p w14:paraId="03663955" w14:textId="5FE1033E" w:rsidR="00F66E35" w:rsidRDefault="00F66E35" w:rsidP="00F66E35">
      <w:pPr>
        <w:pStyle w:val="Default"/>
        <w:numPr>
          <w:ilvl w:val="0"/>
          <w:numId w:val="16"/>
        </w:numPr>
        <w:ind w:left="-284"/>
        <w:jc w:val="both"/>
        <w:rPr>
          <w:color w:val="auto"/>
          <w:sz w:val="22"/>
          <w:szCs w:val="22"/>
        </w:rPr>
      </w:pPr>
      <w:r>
        <w:rPr>
          <w:color w:val="auto"/>
          <w:sz w:val="22"/>
          <w:szCs w:val="22"/>
        </w:rPr>
        <w:t xml:space="preserve">El </w:t>
      </w:r>
      <w:r w:rsidR="00A64C3E" w:rsidRPr="00A64C3E">
        <w:rPr>
          <w:color w:val="auto"/>
          <w:sz w:val="22"/>
          <w:szCs w:val="22"/>
        </w:rPr>
        <w:t>monto total de los contratos realizados por las administraciones públicas estatales</w:t>
      </w:r>
      <w:r>
        <w:rPr>
          <w:color w:val="auto"/>
          <w:sz w:val="22"/>
          <w:szCs w:val="22"/>
        </w:rPr>
        <w:t xml:space="preserve"> </w:t>
      </w:r>
      <w:r w:rsidR="00A64C3E" w:rsidRPr="00A64C3E">
        <w:rPr>
          <w:color w:val="auto"/>
          <w:sz w:val="22"/>
          <w:szCs w:val="22"/>
        </w:rPr>
        <w:t xml:space="preserve">fue de </w:t>
      </w:r>
      <w:r>
        <w:rPr>
          <w:color w:val="auto"/>
          <w:sz w:val="22"/>
          <w:szCs w:val="22"/>
        </w:rPr>
        <w:t xml:space="preserve">                     </w:t>
      </w:r>
      <w:r w:rsidR="00A64C3E" w:rsidRPr="00A64C3E">
        <w:rPr>
          <w:color w:val="auto"/>
          <w:sz w:val="22"/>
          <w:szCs w:val="22"/>
        </w:rPr>
        <w:t>160 814 631 131 pesos</w:t>
      </w:r>
      <w:r w:rsidR="006D1D9F">
        <w:rPr>
          <w:color w:val="auto"/>
          <w:sz w:val="22"/>
          <w:szCs w:val="22"/>
        </w:rPr>
        <w:t>. L</w:t>
      </w:r>
      <w:r w:rsidRPr="00F66E35">
        <w:rPr>
          <w:color w:val="auto"/>
          <w:sz w:val="22"/>
          <w:szCs w:val="22"/>
        </w:rPr>
        <w:t>a licitación pública nacional representó 47.8</w:t>
      </w:r>
      <w:r>
        <w:rPr>
          <w:color w:val="auto"/>
          <w:sz w:val="22"/>
          <w:szCs w:val="22"/>
        </w:rPr>
        <w:t xml:space="preserve"> por ciento. </w:t>
      </w:r>
    </w:p>
    <w:p w14:paraId="34C5F7D3" w14:textId="291A15E6" w:rsidR="008970EE" w:rsidRPr="006D1D9F" w:rsidRDefault="008970EE" w:rsidP="006D1D9F">
      <w:pPr>
        <w:tabs>
          <w:tab w:val="left" w:pos="-15"/>
        </w:tabs>
        <w:autoSpaceDE w:val="0"/>
        <w:autoSpaceDN w:val="0"/>
        <w:adjustRightInd w:val="0"/>
        <w:spacing w:after="0" w:line="240" w:lineRule="auto"/>
        <w:jc w:val="both"/>
        <w:rPr>
          <w:rFonts w:ascii="Arial" w:hAnsi="Arial" w:cs="Arial"/>
          <w:color w:val="FF0000"/>
        </w:rPr>
      </w:pPr>
    </w:p>
    <w:p w14:paraId="68C6DDB6" w14:textId="77777777" w:rsidR="00F66E35" w:rsidRPr="002E1F06" w:rsidRDefault="00F66E35" w:rsidP="002E1F06">
      <w:pPr>
        <w:pStyle w:val="Prrafodelista"/>
        <w:tabs>
          <w:tab w:val="left" w:pos="-15"/>
        </w:tabs>
        <w:autoSpaceDE w:val="0"/>
        <w:autoSpaceDN w:val="0"/>
        <w:adjustRightInd w:val="0"/>
        <w:spacing w:after="0" w:line="240" w:lineRule="auto"/>
        <w:ind w:left="-284"/>
        <w:jc w:val="both"/>
        <w:rPr>
          <w:rFonts w:ascii="Arial" w:hAnsi="Arial" w:cs="Arial"/>
          <w:color w:val="FF0000"/>
        </w:rPr>
      </w:pPr>
    </w:p>
    <w:p w14:paraId="36DCD33F" w14:textId="05CFB80A" w:rsidR="00E32FA8" w:rsidRDefault="000F0696" w:rsidP="00AF0E6A">
      <w:pPr>
        <w:spacing w:after="0" w:line="240" w:lineRule="auto"/>
        <w:ind w:left="-567"/>
        <w:jc w:val="both"/>
        <w:rPr>
          <w:rFonts w:ascii="Arial" w:hAnsi="Arial" w:cs="Arial"/>
          <w:color w:val="000000"/>
        </w:rPr>
      </w:pPr>
      <w:r>
        <w:rPr>
          <w:rFonts w:ascii="Arial" w:hAnsi="Arial" w:cs="Arial"/>
        </w:rPr>
        <w:t>L</w:t>
      </w:r>
      <w:r w:rsidR="00AF0E6A" w:rsidRPr="0041372E">
        <w:rPr>
          <w:rFonts w:ascii="Arial" w:hAnsi="Arial" w:cs="Arial"/>
        </w:rPr>
        <w:t xml:space="preserve">os resultados del </w:t>
      </w:r>
      <w:r w:rsidR="00236CC0">
        <w:rPr>
          <w:rFonts w:ascii="Arial" w:hAnsi="Arial" w:cs="Arial"/>
        </w:rPr>
        <w:t>CNGE</w:t>
      </w:r>
      <w:r w:rsidR="00AF0E6A" w:rsidRPr="0041372E">
        <w:rPr>
          <w:rFonts w:ascii="Arial" w:hAnsi="Arial" w:cs="Arial"/>
        </w:rPr>
        <w:t xml:space="preserve"> </w:t>
      </w:r>
      <w:r>
        <w:rPr>
          <w:rFonts w:ascii="Arial" w:hAnsi="Arial" w:cs="Arial"/>
        </w:rPr>
        <w:t xml:space="preserve">2021 </w:t>
      </w:r>
      <w:r w:rsidR="00AF0E6A" w:rsidRPr="0041372E">
        <w:rPr>
          <w:rFonts w:ascii="Arial" w:hAnsi="Arial" w:cs="Arial"/>
        </w:rPr>
        <w:t>integra</w:t>
      </w:r>
      <w:r w:rsidR="000A3B43" w:rsidRPr="0041372E">
        <w:rPr>
          <w:rFonts w:ascii="Arial" w:hAnsi="Arial" w:cs="Arial"/>
        </w:rPr>
        <w:t>n</w:t>
      </w:r>
      <w:r w:rsidR="00AF0E6A" w:rsidRPr="0041372E">
        <w:rPr>
          <w:rFonts w:ascii="Arial" w:hAnsi="Arial" w:cs="Arial"/>
        </w:rPr>
        <w:t xml:space="preserve"> información correspondiente </w:t>
      </w:r>
      <w:r w:rsidR="00AF0E6A" w:rsidRPr="0041372E">
        <w:rPr>
          <w:rFonts w:ascii="Arial" w:hAnsi="Arial" w:cs="Arial"/>
          <w:color w:val="000000"/>
        </w:rPr>
        <w:t>a 20</w:t>
      </w:r>
      <w:r w:rsidR="00D22581">
        <w:rPr>
          <w:rFonts w:ascii="Arial" w:hAnsi="Arial" w:cs="Arial"/>
          <w:color w:val="000000"/>
        </w:rPr>
        <w:t>20</w:t>
      </w:r>
      <w:r w:rsidR="00AF0E6A" w:rsidRPr="0041372E">
        <w:rPr>
          <w:rFonts w:ascii="Arial" w:hAnsi="Arial" w:cs="Arial"/>
          <w:color w:val="000000"/>
        </w:rPr>
        <w:t xml:space="preserve">, la cual se presenta mediante cuadros estadísticos organizados en </w:t>
      </w:r>
      <w:bookmarkStart w:id="2" w:name="_Hlk58488204"/>
      <w:r w:rsidR="00AF0E6A" w:rsidRPr="0041372E">
        <w:rPr>
          <w:rFonts w:ascii="Arial" w:hAnsi="Arial" w:cs="Arial"/>
          <w:color w:val="000000"/>
        </w:rPr>
        <w:t>los siguientes apartados:</w:t>
      </w:r>
      <w:r w:rsidR="00236CC0">
        <w:rPr>
          <w:rFonts w:ascii="Arial" w:hAnsi="Arial" w:cs="Arial"/>
          <w:color w:val="000000"/>
        </w:rPr>
        <w:t xml:space="preserve"> </w:t>
      </w:r>
      <w:r w:rsidR="006008C7" w:rsidRPr="006008C7">
        <w:rPr>
          <w:rFonts w:ascii="Arial" w:hAnsi="Arial" w:cs="Arial"/>
          <w:color w:val="000000"/>
        </w:rPr>
        <w:t>Estructura organizacional y recursos; Trámites y servicios; Protección civil; Catastro; Transparencia, acceso a la información pública y protección de datos personales; Control interno y anticorrupción; Defensoría pública o defensoría de oficio; Contrataciones públicas; Planeación y gestión territorial; Registro público de la propiedad; Administración de archivos y gestión documental; Medio ambiente</w:t>
      </w:r>
      <w:r w:rsidR="00E32FA8">
        <w:rPr>
          <w:rFonts w:ascii="Arial" w:hAnsi="Arial" w:cs="Arial"/>
          <w:color w:val="000000"/>
        </w:rPr>
        <w:t>,</w:t>
      </w:r>
      <w:r w:rsidR="006008C7" w:rsidRPr="006008C7">
        <w:rPr>
          <w:rFonts w:ascii="Arial" w:hAnsi="Arial" w:cs="Arial"/>
          <w:color w:val="000000"/>
        </w:rPr>
        <w:t xml:space="preserve"> y Justicia cívica</w:t>
      </w:r>
      <w:r w:rsidR="00E32FA8">
        <w:rPr>
          <w:rFonts w:ascii="Arial" w:hAnsi="Arial" w:cs="Arial"/>
          <w:color w:val="000000"/>
        </w:rPr>
        <w:t xml:space="preserve"> (únicamente para la Ciudad de México)</w:t>
      </w:r>
      <w:r w:rsidR="006008C7" w:rsidRPr="006008C7">
        <w:rPr>
          <w:rFonts w:ascii="Arial" w:hAnsi="Arial" w:cs="Arial"/>
          <w:color w:val="000000"/>
        </w:rPr>
        <w:t>.</w:t>
      </w:r>
      <w:bookmarkEnd w:id="2"/>
    </w:p>
    <w:p w14:paraId="48AE4685" w14:textId="77777777" w:rsidR="00E32FA8" w:rsidRDefault="00E32FA8" w:rsidP="00AF0E6A">
      <w:pPr>
        <w:spacing w:after="0" w:line="240" w:lineRule="auto"/>
        <w:ind w:left="-567"/>
        <w:jc w:val="both"/>
        <w:rPr>
          <w:rFonts w:ascii="Arial" w:hAnsi="Arial" w:cs="Arial"/>
          <w:color w:val="000000"/>
        </w:rPr>
      </w:pPr>
    </w:p>
    <w:p w14:paraId="515E9D98" w14:textId="431FD28A" w:rsidR="00AF0E6A" w:rsidRPr="0041372E" w:rsidRDefault="00AF0E6A" w:rsidP="00AF0E6A">
      <w:pPr>
        <w:spacing w:after="0" w:line="240" w:lineRule="auto"/>
        <w:ind w:left="-567"/>
        <w:jc w:val="both"/>
        <w:rPr>
          <w:rFonts w:ascii="Arial" w:hAnsi="Arial" w:cs="Arial"/>
          <w:color w:val="000000"/>
          <w:spacing w:val="-2"/>
        </w:rPr>
      </w:pPr>
      <w:r w:rsidRPr="003E4B31">
        <w:rPr>
          <w:rFonts w:ascii="Arial" w:hAnsi="Arial" w:cs="Arial"/>
          <w:color w:val="000000"/>
          <w:spacing w:val="-2"/>
        </w:rPr>
        <w:t>La información se puede consultar en</w:t>
      </w:r>
      <w:r w:rsidR="00630CD4" w:rsidRPr="003E4B31">
        <w:rPr>
          <w:rFonts w:ascii="Arial" w:hAnsi="Arial" w:cs="Arial"/>
          <w:color w:val="000000"/>
          <w:spacing w:val="-2"/>
        </w:rPr>
        <w:t xml:space="preserve"> </w:t>
      </w:r>
      <w:r w:rsidR="00236CC0">
        <w:rPr>
          <w:rFonts w:ascii="Arial" w:hAnsi="Arial" w:cs="Arial"/>
          <w:color w:val="000000"/>
          <w:spacing w:val="-2"/>
        </w:rPr>
        <w:t>el</w:t>
      </w:r>
      <w:r w:rsidRPr="003E4B31">
        <w:rPr>
          <w:rFonts w:ascii="Arial" w:hAnsi="Arial" w:cs="Arial"/>
          <w:color w:val="000000"/>
          <w:spacing w:val="-2"/>
        </w:rPr>
        <w:t xml:space="preserve"> sitio</w:t>
      </w:r>
      <w:r w:rsidR="00236CC0">
        <w:rPr>
          <w:rFonts w:ascii="Arial" w:hAnsi="Arial" w:cs="Arial"/>
          <w:color w:val="000000"/>
          <w:spacing w:val="-2"/>
        </w:rPr>
        <w:t>:</w:t>
      </w:r>
      <w:r w:rsidRPr="003E4B31">
        <w:rPr>
          <w:rFonts w:ascii="Arial" w:hAnsi="Arial" w:cs="Arial"/>
          <w:color w:val="000000"/>
          <w:spacing w:val="-2"/>
        </w:rPr>
        <w:t xml:space="preserve"> </w:t>
      </w:r>
      <w:hyperlink r:id="rId8" w:history="1">
        <w:r w:rsidR="00236CC0" w:rsidRPr="00D70158">
          <w:rPr>
            <w:rStyle w:val="Hipervnculo"/>
            <w:rFonts w:ascii="Arial" w:hAnsi="Arial" w:cs="Arial"/>
            <w:spacing w:val="-2"/>
          </w:rPr>
          <w:t>https://www.inegi.org.mx/programas/cnge/2021/</w:t>
        </w:r>
      </w:hyperlink>
    </w:p>
    <w:p w14:paraId="212C4EB2" w14:textId="6DA533DC" w:rsidR="00F336E8" w:rsidRDefault="00AF0E6A" w:rsidP="002E1F06">
      <w:pPr>
        <w:spacing w:after="0" w:line="240" w:lineRule="auto"/>
        <w:ind w:left="-567"/>
        <w:jc w:val="both"/>
        <w:rPr>
          <w:rFonts w:ascii="Arial" w:hAnsi="Arial" w:cs="Arial"/>
          <w:color w:val="000000"/>
        </w:rPr>
      </w:pPr>
      <w:r w:rsidRPr="0041372E">
        <w:rPr>
          <w:rFonts w:ascii="Arial" w:hAnsi="Arial" w:cs="Arial"/>
          <w:color w:val="000000"/>
        </w:rPr>
        <w:t xml:space="preserve"> </w:t>
      </w:r>
    </w:p>
    <w:p w14:paraId="0F20E655" w14:textId="41F85779" w:rsidR="00F66E35" w:rsidRDefault="00F66E35" w:rsidP="00E32FA8">
      <w:pPr>
        <w:pStyle w:val="Default"/>
        <w:ind w:left="-567"/>
        <w:rPr>
          <w:b/>
          <w:bCs/>
          <w:sz w:val="22"/>
          <w:szCs w:val="22"/>
        </w:rPr>
      </w:pPr>
    </w:p>
    <w:p w14:paraId="6F4081E3" w14:textId="77777777" w:rsidR="007D6DA8" w:rsidRDefault="007D6DA8" w:rsidP="00AF0E6A">
      <w:pPr>
        <w:pStyle w:val="Default"/>
        <w:ind w:left="-567"/>
        <w:jc w:val="center"/>
        <w:rPr>
          <w:b/>
          <w:bCs/>
          <w:sz w:val="22"/>
          <w:szCs w:val="22"/>
        </w:rPr>
      </w:pPr>
    </w:p>
    <w:p w14:paraId="176D9B33" w14:textId="0A23F6C7" w:rsidR="00AF0E6A" w:rsidRPr="0041372E" w:rsidRDefault="00AF0E6A" w:rsidP="00AF0E6A">
      <w:pPr>
        <w:pStyle w:val="Default"/>
        <w:ind w:left="-567"/>
        <w:jc w:val="center"/>
        <w:rPr>
          <w:b/>
          <w:bCs/>
          <w:sz w:val="22"/>
          <w:szCs w:val="22"/>
        </w:rPr>
      </w:pPr>
      <w:r w:rsidRPr="0041372E">
        <w:rPr>
          <w:b/>
          <w:bCs/>
          <w:sz w:val="22"/>
          <w:szCs w:val="22"/>
        </w:rPr>
        <w:t>Se anexa nota técnica</w:t>
      </w:r>
    </w:p>
    <w:p w14:paraId="16EF443D" w14:textId="5BF2241D" w:rsidR="00AE4A44" w:rsidRDefault="00AE4A44" w:rsidP="00AF0E6A">
      <w:pPr>
        <w:pStyle w:val="Default"/>
        <w:jc w:val="center"/>
        <w:rPr>
          <w:b/>
          <w:bCs/>
          <w:sz w:val="22"/>
          <w:szCs w:val="22"/>
        </w:rPr>
      </w:pPr>
    </w:p>
    <w:p w14:paraId="6C21217B" w14:textId="77777777" w:rsidR="00AF0E6A" w:rsidRPr="0041372E" w:rsidRDefault="00AF0E6A" w:rsidP="00AF0E6A">
      <w:pPr>
        <w:pStyle w:val="NormalWeb"/>
        <w:spacing w:before="0" w:beforeAutospacing="0" w:after="0" w:afterAutospacing="0"/>
        <w:ind w:left="-567"/>
        <w:contextualSpacing/>
        <w:jc w:val="center"/>
        <w:rPr>
          <w:rFonts w:ascii="Arial" w:hAnsi="Arial" w:cs="Arial"/>
          <w:sz w:val="22"/>
          <w:szCs w:val="22"/>
        </w:rPr>
      </w:pPr>
      <w:r w:rsidRPr="0041372E">
        <w:rPr>
          <w:rFonts w:ascii="Arial" w:hAnsi="Arial" w:cs="Arial"/>
          <w:sz w:val="22"/>
          <w:szCs w:val="22"/>
        </w:rPr>
        <w:t xml:space="preserve">Para consultas de medios y periodistas, contactar a: </w:t>
      </w:r>
      <w:hyperlink r:id="rId9" w:history="1">
        <w:r w:rsidRPr="0041372E">
          <w:rPr>
            <w:rStyle w:val="Hipervnculo"/>
            <w:rFonts w:ascii="Arial" w:hAnsi="Arial" w:cs="Arial"/>
            <w:sz w:val="22"/>
            <w:szCs w:val="22"/>
          </w:rPr>
          <w:t>comunicacionsocial@inegi.org.mx</w:t>
        </w:r>
      </w:hyperlink>
      <w:r w:rsidRPr="0041372E">
        <w:rPr>
          <w:rFonts w:ascii="Arial" w:hAnsi="Arial" w:cs="Arial"/>
          <w:sz w:val="22"/>
          <w:szCs w:val="22"/>
        </w:rPr>
        <w:t xml:space="preserve"> </w:t>
      </w:r>
    </w:p>
    <w:p w14:paraId="4E0E6059" w14:textId="77777777" w:rsidR="00AF0E6A" w:rsidRPr="0041372E" w:rsidRDefault="00AF0E6A" w:rsidP="00AF0E6A">
      <w:pPr>
        <w:pStyle w:val="NormalWeb"/>
        <w:spacing w:before="0" w:beforeAutospacing="0" w:after="0" w:afterAutospacing="0"/>
        <w:ind w:left="-567"/>
        <w:contextualSpacing/>
        <w:jc w:val="center"/>
        <w:rPr>
          <w:rFonts w:ascii="Arial" w:hAnsi="Arial" w:cs="Arial"/>
          <w:sz w:val="22"/>
          <w:szCs w:val="22"/>
        </w:rPr>
      </w:pPr>
      <w:r w:rsidRPr="0041372E">
        <w:rPr>
          <w:rFonts w:ascii="Arial" w:hAnsi="Arial" w:cs="Arial"/>
          <w:sz w:val="22"/>
          <w:szCs w:val="22"/>
        </w:rPr>
        <w:t xml:space="preserve">o llamar al teléfono (55) 52-78-10-00, </w:t>
      </w:r>
      <w:proofErr w:type="spellStart"/>
      <w:r w:rsidRPr="0041372E">
        <w:rPr>
          <w:rFonts w:ascii="Arial" w:hAnsi="Arial" w:cs="Arial"/>
          <w:sz w:val="22"/>
          <w:szCs w:val="22"/>
        </w:rPr>
        <w:t>exts</w:t>
      </w:r>
      <w:proofErr w:type="spellEnd"/>
      <w:r w:rsidRPr="0041372E">
        <w:rPr>
          <w:rFonts w:ascii="Arial" w:hAnsi="Arial" w:cs="Arial"/>
          <w:sz w:val="22"/>
          <w:szCs w:val="22"/>
        </w:rPr>
        <w:t>. 1134, 1260 y 1241.</w:t>
      </w:r>
    </w:p>
    <w:p w14:paraId="18930921" w14:textId="77777777" w:rsidR="00AF0E6A" w:rsidRPr="0041372E" w:rsidRDefault="00AF0E6A" w:rsidP="00AF0E6A">
      <w:pPr>
        <w:pStyle w:val="NormalWeb"/>
        <w:spacing w:before="0" w:beforeAutospacing="0" w:after="0" w:afterAutospacing="0"/>
        <w:ind w:left="-567"/>
        <w:contextualSpacing/>
        <w:jc w:val="center"/>
        <w:rPr>
          <w:rFonts w:ascii="Arial" w:hAnsi="Arial" w:cs="Arial"/>
          <w:sz w:val="22"/>
          <w:szCs w:val="22"/>
        </w:rPr>
      </w:pPr>
    </w:p>
    <w:p w14:paraId="5EEF7222" w14:textId="4FF71BAE" w:rsidR="00AE4A44" w:rsidRDefault="00AF0E6A" w:rsidP="00AF0E6A">
      <w:pPr>
        <w:ind w:left="-567"/>
        <w:contextualSpacing/>
        <w:jc w:val="center"/>
        <w:rPr>
          <w:rFonts w:ascii="Arial" w:hAnsi="Arial" w:cs="Arial"/>
        </w:rPr>
      </w:pPr>
      <w:r w:rsidRPr="0041372E">
        <w:rPr>
          <w:rFonts w:ascii="Arial" w:hAnsi="Arial" w:cs="Arial"/>
        </w:rPr>
        <w:t xml:space="preserve">Dirección de Atención a Medios / Dirección General Adjunta de Comunicación </w:t>
      </w:r>
    </w:p>
    <w:p w14:paraId="55EDC497" w14:textId="1D9BC1A7" w:rsidR="00894418" w:rsidRDefault="00894418" w:rsidP="00AF0E6A">
      <w:pPr>
        <w:ind w:left="-567"/>
        <w:contextualSpacing/>
        <w:jc w:val="center"/>
        <w:rPr>
          <w:rFonts w:ascii="Arial" w:hAnsi="Arial" w:cs="Arial"/>
        </w:rPr>
      </w:pPr>
    </w:p>
    <w:p w14:paraId="21D3F887" w14:textId="77777777" w:rsidR="00894418" w:rsidRPr="00AC0C6B" w:rsidRDefault="00894418" w:rsidP="00AF0E6A">
      <w:pPr>
        <w:ind w:left="-567"/>
        <w:contextualSpacing/>
        <w:jc w:val="center"/>
        <w:rPr>
          <w:rFonts w:ascii="Arial" w:hAnsi="Arial" w:cs="Arial"/>
          <w:sz w:val="20"/>
          <w:szCs w:val="20"/>
        </w:rPr>
      </w:pPr>
    </w:p>
    <w:p w14:paraId="67829525" w14:textId="77777777" w:rsidR="00AE4A44" w:rsidRDefault="00AF0E6A" w:rsidP="00AF0E6A">
      <w:pPr>
        <w:ind w:left="-567"/>
        <w:contextualSpacing/>
        <w:jc w:val="center"/>
        <w:rPr>
          <w:noProof/>
          <w:lang w:eastAsia="es-MX"/>
        </w:rPr>
        <w:sectPr w:rsidR="00AE4A44" w:rsidSect="00C22F44">
          <w:headerReference w:type="default" r:id="rId10"/>
          <w:footerReference w:type="default" r:id="rId11"/>
          <w:type w:val="continuous"/>
          <w:pgSz w:w="12240" w:h="15840"/>
          <w:pgMar w:top="1417" w:right="1183" w:bottom="993" w:left="1701" w:header="708" w:footer="708" w:gutter="0"/>
          <w:cols w:space="708"/>
          <w:docGrid w:linePitch="360"/>
        </w:sectPr>
      </w:pPr>
      <w:r w:rsidRPr="008F0992">
        <w:rPr>
          <w:noProof/>
          <w:lang w:eastAsia="es-MX"/>
        </w:rPr>
        <w:lastRenderedPageBreak/>
        <w:drawing>
          <wp:inline distT="0" distB="0" distL="0" distR="0" wp14:anchorId="31BDAC89" wp14:editId="5490CE06">
            <wp:extent cx="318472" cy="322419"/>
            <wp:effectExtent l="0" t="0" r="5715" b="1905"/>
            <wp:docPr id="49" name="Imagen 49" descr="C:\Users\saladeprensa\Desktop\NVOS LOGOS\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523C963E" wp14:editId="795CAF19">
            <wp:extent cx="327704" cy="325467"/>
            <wp:effectExtent l="0" t="0" r="0" b="0"/>
            <wp:docPr id="50" name="Imagen 50" descr="C:\Users\saladeprensa\Desktop\NVOS LOGO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73B64578" wp14:editId="3294024F">
            <wp:extent cx="321276" cy="324093"/>
            <wp:effectExtent l="0" t="0" r="3175" b="0"/>
            <wp:docPr id="35" name="Imagen 35" descr="C:\Users\saladeprensa\Desktop\NVOS LOGOS\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732951F5" wp14:editId="133A2C3A">
            <wp:extent cx="321276" cy="326574"/>
            <wp:effectExtent l="0" t="0" r="3175" b="0"/>
            <wp:docPr id="51" name="Imagen 51" descr="C:\Users\saladeprensa\Desktop\NVOS LOGOS\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lang w:eastAsia="es-MX"/>
        </w:rPr>
        <w:t xml:space="preserve">  </w:t>
      </w:r>
      <w:r w:rsidRPr="008F0992">
        <w:rPr>
          <w:noProof/>
          <w:sz w:val="14"/>
          <w:szCs w:val="18"/>
          <w:lang w:eastAsia="es-MX"/>
        </w:rPr>
        <w:drawing>
          <wp:inline distT="0" distB="0" distL="0" distR="0" wp14:anchorId="39BF693D" wp14:editId="7F351D87">
            <wp:extent cx="2323070" cy="319707"/>
            <wp:effectExtent l="0" t="0" r="1270" b="4445"/>
            <wp:docPr id="52" name="Imagen 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74CAED78" w14:textId="77777777" w:rsidR="005464D0" w:rsidRDefault="005464D0" w:rsidP="00032500">
      <w:pPr>
        <w:autoSpaceDE w:val="0"/>
        <w:autoSpaceDN w:val="0"/>
        <w:adjustRightInd w:val="0"/>
        <w:spacing w:after="0" w:line="240" w:lineRule="auto"/>
        <w:ind w:left="-567"/>
        <w:jc w:val="center"/>
        <w:rPr>
          <w:rFonts w:ascii="Arial" w:hAnsi="Arial" w:cs="Arial"/>
          <w:b/>
          <w:bCs/>
          <w:color w:val="000000"/>
          <w:sz w:val="24"/>
          <w:szCs w:val="24"/>
        </w:rPr>
      </w:pPr>
    </w:p>
    <w:p w14:paraId="4795098A" w14:textId="77777777" w:rsidR="006008C7" w:rsidRDefault="006008C7" w:rsidP="00032500">
      <w:pPr>
        <w:autoSpaceDE w:val="0"/>
        <w:autoSpaceDN w:val="0"/>
        <w:adjustRightInd w:val="0"/>
        <w:spacing w:after="0" w:line="240" w:lineRule="auto"/>
        <w:ind w:left="-567"/>
        <w:jc w:val="center"/>
        <w:rPr>
          <w:rFonts w:ascii="Arial" w:hAnsi="Arial" w:cs="Arial"/>
          <w:b/>
          <w:bCs/>
          <w:color w:val="000000"/>
          <w:sz w:val="24"/>
          <w:szCs w:val="24"/>
        </w:rPr>
      </w:pPr>
    </w:p>
    <w:p w14:paraId="74F43B4B" w14:textId="06950CD9" w:rsidR="008A3846" w:rsidRDefault="008A3846" w:rsidP="00032500">
      <w:pPr>
        <w:autoSpaceDE w:val="0"/>
        <w:autoSpaceDN w:val="0"/>
        <w:adjustRightInd w:val="0"/>
        <w:spacing w:after="0" w:line="240" w:lineRule="auto"/>
        <w:ind w:left="-567"/>
        <w:jc w:val="center"/>
        <w:rPr>
          <w:rFonts w:ascii="Arial" w:hAnsi="Arial" w:cs="Arial"/>
          <w:b/>
          <w:bCs/>
          <w:color w:val="000000"/>
          <w:sz w:val="24"/>
          <w:szCs w:val="24"/>
        </w:rPr>
      </w:pPr>
      <w:r w:rsidRPr="00532488">
        <w:rPr>
          <w:rFonts w:ascii="Arial" w:hAnsi="Arial" w:cs="Arial"/>
          <w:b/>
          <w:bCs/>
          <w:color w:val="000000"/>
          <w:sz w:val="24"/>
          <w:szCs w:val="24"/>
        </w:rPr>
        <w:t xml:space="preserve">INEGI PRESENTA </w:t>
      </w:r>
      <w:r>
        <w:rPr>
          <w:rFonts w:ascii="Arial" w:hAnsi="Arial" w:cs="Arial"/>
          <w:b/>
          <w:bCs/>
          <w:color w:val="000000"/>
          <w:sz w:val="24"/>
          <w:szCs w:val="24"/>
        </w:rPr>
        <w:t>EL</w:t>
      </w:r>
      <w:r w:rsidR="007217C9">
        <w:rPr>
          <w:rFonts w:ascii="Arial" w:hAnsi="Arial" w:cs="Arial"/>
          <w:b/>
          <w:bCs/>
          <w:color w:val="000000"/>
          <w:sz w:val="24"/>
          <w:szCs w:val="24"/>
        </w:rPr>
        <w:t xml:space="preserve"> CENSO </w:t>
      </w:r>
      <w:r w:rsidR="000F0696">
        <w:rPr>
          <w:rFonts w:ascii="Arial" w:hAnsi="Arial" w:cs="Arial"/>
          <w:b/>
          <w:bCs/>
          <w:color w:val="000000"/>
          <w:sz w:val="24"/>
          <w:szCs w:val="24"/>
        </w:rPr>
        <w:t xml:space="preserve">NACIONAL </w:t>
      </w:r>
      <w:r w:rsidR="007217C9">
        <w:rPr>
          <w:rFonts w:ascii="Arial" w:hAnsi="Arial" w:cs="Arial"/>
          <w:b/>
          <w:bCs/>
          <w:color w:val="000000"/>
          <w:sz w:val="24"/>
          <w:szCs w:val="24"/>
        </w:rPr>
        <w:t xml:space="preserve">DE </w:t>
      </w:r>
      <w:r w:rsidR="00236CC0">
        <w:rPr>
          <w:rFonts w:ascii="Arial" w:hAnsi="Arial" w:cs="Arial"/>
          <w:b/>
          <w:bCs/>
          <w:color w:val="000000"/>
          <w:sz w:val="24"/>
          <w:szCs w:val="24"/>
        </w:rPr>
        <w:t>GOBIERNOS</w:t>
      </w:r>
      <w:r w:rsidR="007217C9">
        <w:rPr>
          <w:rFonts w:ascii="Arial" w:hAnsi="Arial" w:cs="Arial"/>
          <w:b/>
          <w:bCs/>
          <w:color w:val="000000"/>
          <w:sz w:val="24"/>
          <w:szCs w:val="24"/>
        </w:rPr>
        <w:t xml:space="preserve"> ESTATALES</w:t>
      </w:r>
      <w:r w:rsidR="000F0696">
        <w:rPr>
          <w:rFonts w:ascii="Arial" w:hAnsi="Arial" w:cs="Arial"/>
          <w:b/>
          <w:bCs/>
          <w:color w:val="000000"/>
          <w:sz w:val="24"/>
          <w:szCs w:val="24"/>
        </w:rPr>
        <w:t xml:space="preserve"> 2021</w:t>
      </w:r>
    </w:p>
    <w:p w14:paraId="5893A2DB" w14:textId="77777777" w:rsidR="008A3846" w:rsidRDefault="008A3846" w:rsidP="008A3846">
      <w:pPr>
        <w:autoSpaceDE w:val="0"/>
        <w:autoSpaceDN w:val="0"/>
        <w:adjustRightInd w:val="0"/>
        <w:spacing w:after="0" w:line="240" w:lineRule="auto"/>
        <w:ind w:left="-567"/>
        <w:jc w:val="center"/>
        <w:rPr>
          <w:rFonts w:ascii="Arial" w:hAnsi="Arial" w:cs="Arial"/>
          <w:b/>
          <w:bCs/>
          <w:color w:val="000000"/>
        </w:rPr>
      </w:pPr>
    </w:p>
    <w:p w14:paraId="32DB9A14" w14:textId="45030E87" w:rsidR="008A3846" w:rsidRPr="009F01A0" w:rsidRDefault="008A3846" w:rsidP="00EC3F7B">
      <w:pPr>
        <w:pStyle w:val="Prrafodelista"/>
        <w:autoSpaceDE w:val="0"/>
        <w:autoSpaceDN w:val="0"/>
        <w:adjustRightInd w:val="0"/>
        <w:spacing w:after="0" w:line="240" w:lineRule="auto"/>
        <w:ind w:left="709" w:right="333"/>
        <w:jc w:val="both"/>
        <w:rPr>
          <w:rFonts w:ascii="Arial" w:hAnsi="Arial" w:cs="Arial"/>
          <w:color w:val="000000"/>
          <w:sz w:val="24"/>
        </w:rPr>
      </w:pPr>
      <w:r w:rsidRPr="009F01A0">
        <w:rPr>
          <w:rFonts w:ascii="Arial" w:hAnsi="Arial" w:cs="Arial"/>
          <w:b/>
          <w:bCs/>
          <w:color w:val="000000"/>
        </w:rPr>
        <w:t xml:space="preserve">Se constituye como un programa estadístico que se realiza en </w:t>
      </w:r>
      <w:r w:rsidR="00236CC0">
        <w:rPr>
          <w:rFonts w:ascii="Arial" w:hAnsi="Arial" w:cs="Arial"/>
          <w:b/>
          <w:bCs/>
          <w:color w:val="000000"/>
        </w:rPr>
        <w:t>el</w:t>
      </w:r>
      <w:r w:rsidRPr="009F01A0">
        <w:rPr>
          <w:rFonts w:ascii="Arial" w:hAnsi="Arial" w:cs="Arial"/>
          <w:b/>
          <w:bCs/>
          <w:color w:val="000000"/>
        </w:rPr>
        <w:t xml:space="preserve"> ámbito</w:t>
      </w:r>
      <w:r w:rsidR="007217C9">
        <w:rPr>
          <w:rFonts w:ascii="Arial" w:hAnsi="Arial" w:cs="Arial"/>
          <w:b/>
          <w:bCs/>
          <w:color w:val="000000"/>
        </w:rPr>
        <w:t xml:space="preserve"> estatal </w:t>
      </w:r>
      <w:r w:rsidRPr="009F01A0">
        <w:rPr>
          <w:rFonts w:ascii="Arial" w:hAnsi="Arial" w:cs="Arial"/>
          <w:b/>
          <w:bCs/>
          <w:color w:val="000000"/>
        </w:rPr>
        <w:t xml:space="preserve">del Estado Mexicano y ofrece información </w:t>
      </w:r>
      <w:r w:rsidR="00E32FA8">
        <w:rPr>
          <w:rFonts w:ascii="Arial" w:hAnsi="Arial" w:cs="Arial"/>
          <w:b/>
          <w:bCs/>
          <w:color w:val="000000"/>
        </w:rPr>
        <w:t>estadística</w:t>
      </w:r>
      <w:r w:rsidR="00E32FA8" w:rsidRPr="009F01A0">
        <w:rPr>
          <w:rFonts w:ascii="Arial" w:hAnsi="Arial" w:cs="Arial"/>
          <w:b/>
          <w:bCs/>
          <w:color w:val="000000"/>
        </w:rPr>
        <w:t xml:space="preserve"> </w:t>
      </w:r>
      <w:r w:rsidRPr="009F01A0">
        <w:rPr>
          <w:rFonts w:ascii="Arial" w:hAnsi="Arial" w:cs="Arial"/>
          <w:b/>
          <w:bCs/>
          <w:color w:val="000000"/>
        </w:rPr>
        <w:t xml:space="preserve">sobre la estructura, organización, recursos y ejercicio de la función </w:t>
      </w:r>
      <w:r w:rsidR="00E34765" w:rsidRPr="00E34765">
        <w:rPr>
          <w:rFonts w:ascii="Arial" w:hAnsi="Arial" w:cs="Arial"/>
          <w:b/>
          <w:bCs/>
          <w:color w:val="000000"/>
        </w:rPr>
        <w:t>las instituciones que integran a la Administración Pública de cada entidad federativa</w:t>
      </w:r>
      <w:r w:rsidR="00033488">
        <w:rPr>
          <w:rFonts w:ascii="Arial" w:hAnsi="Arial" w:cs="Arial"/>
          <w:b/>
          <w:bCs/>
          <w:color w:val="000000"/>
        </w:rPr>
        <w:t>.</w:t>
      </w:r>
    </w:p>
    <w:p w14:paraId="2DB2C809" w14:textId="4CDB7B66" w:rsidR="008A3846" w:rsidRDefault="008A3846" w:rsidP="008A3846">
      <w:pPr>
        <w:pStyle w:val="Prrafodelista"/>
        <w:autoSpaceDE w:val="0"/>
        <w:autoSpaceDN w:val="0"/>
        <w:adjustRightInd w:val="0"/>
        <w:spacing w:after="0" w:line="240" w:lineRule="auto"/>
        <w:ind w:left="-567" w:right="333"/>
        <w:jc w:val="both"/>
        <w:rPr>
          <w:rFonts w:ascii="Arial" w:hAnsi="Arial" w:cs="Arial"/>
          <w:color w:val="000000"/>
          <w:sz w:val="24"/>
        </w:rPr>
      </w:pPr>
    </w:p>
    <w:p w14:paraId="1B19E381" w14:textId="77777777" w:rsidR="00AE4A44" w:rsidRPr="009F01A0" w:rsidRDefault="00AE4A44" w:rsidP="008A3846">
      <w:pPr>
        <w:pStyle w:val="Prrafodelista"/>
        <w:autoSpaceDE w:val="0"/>
        <w:autoSpaceDN w:val="0"/>
        <w:adjustRightInd w:val="0"/>
        <w:spacing w:after="0" w:line="240" w:lineRule="auto"/>
        <w:ind w:left="-567" w:right="333"/>
        <w:jc w:val="both"/>
        <w:rPr>
          <w:rFonts w:ascii="Arial" w:hAnsi="Arial" w:cs="Arial"/>
          <w:color w:val="000000"/>
          <w:sz w:val="24"/>
        </w:rPr>
      </w:pPr>
    </w:p>
    <w:p w14:paraId="3EB0C1C8" w14:textId="3719698D" w:rsidR="008A3846" w:rsidRDefault="008A3846" w:rsidP="008A3846">
      <w:pPr>
        <w:autoSpaceDE w:val="0"/>
        <w:autoSpaceDN w:val="0"/>
        <w:adjustRightInd w:val="0"/>
        <w:spacing w:after="0" w:line="240" w:lineRule="auto"/>
        <w:ind w:left="-567"/>
        <w:jc w:val="both"/>
        <w:rPr>
          <w:rFonts w:ascii="Arial" w:hAnsi="Arial" w:cs="Arial"/>
          <w:color w:val="000000"/>
          <w:sz w:val="24"/>
        </w:rPr>
      </w:pPr>
      <w:r w:rsidRPr="001D20DC">
        <w:rPr>
          <w:rFonts w:ascii="Arial" w:hAnsi="Arial" w:cs="Arial"/>
          <w:color w:val="000000"/>
          <w:sz w:val="24"/>
        </w:rPr>
        <w:t>El Instituto Nacional de Estadística y Geografía (INEGI) da a conocer hoy la información</w:t>
      </w:r>
      <w:r>
        <w:rPr>
          <w:rFonts w:ascii="Arial" w:hAnsi="Arial" w:cs="Arial"/>
          <w:color w:val="000000"/>
          <w:sz w:val="24"/>
        </w:rPr>
        <w:t xml:space="preserve"> </w:t>
      </w:r>
      <w:r w:rsidRPr="001D20DC">
        <w:rPr>
          <w:rFonts w:ascii="Arial" w:hAnsi="Arial" w:cs="Arial"/>
          <w:color w:val="000000"/>
          <w:sz w:val="24"/>
        </w:rPr>
        <w:t xml:space="preserve">del </w:t>
      </w:r>
      <w:r w:rsidR="00AE5900" w:rsidRPr="00AE5900">
        <w:rPr>
          <w:rFonts w:ascii="Arial" w:hAnsi="Arial" w:cs="Arial"/>
          <w:color w:val="000000"/>
          <w:sz w:val="24"/>
        </w:rPr>
        <w:t xml:space="preserve">Censo Nacional de </w:t>
      </w:r>
      <w:r w:rsidR="00E34765">
        <w:rPr>
          <w:rFonts w:ascii="Arial" w:hAnsi="Arial" w:cs="Arial"/>
          <w:color w:val="000000"/>
          <w:sz w:val="24"/>
        </w:rPr>
        <w:t>Gobiernos Estatales</w:t>
      </w:r>
      <w:r w:rsidR="00AE5900" w:rsidRPr="00AE5900">
        <w:rPr>
          <w:rFonts w:ascii="Arial" w:hAnsi="Arial" w:cs="Arial"/>
          <w:color w:val="000000"/>
          <w:sz w:val="24"/>
        </w:rPr>
        <w:t xml:space="preserve"> (CN</w:t>
      </w:r>
      <w:r w:rsidR="00E34765">
        <w:rPr>
          <w:rFonts w:ascii="Arial" w:hAnsi="Arial" w:cs="Arial"/>
          <w:color w:val="000000"/>
          <w:sz w:val="24"/>
        </w:rPr>
        <w:t>GE</w:t>
      </w:r>
      <w:r w:rsidR="00AE5900" w:rsidRPr="00AE5900">
        <w:rPr>
          <w:rFonts w:ascii="Arial" w:hAnsi="Arial" w:cs="Arial"/>
          <w:color w:val="000000"/>
          <w:sz w:val="24"/>
        </w:rPr>
        <w:t>) 2021</w:t>
      </w:r>
      <w:r w:rsidR="00B13C4E">
        <w:rPr>
          <w:rStyle w:val="Refdenotaalpie"/>
          <w:rFonts w:ascii="Arial" w:hAnsi="Arial" w:cs="Arial"/>
          <w:color w:val="000000"/>
          <w:sz w:val="24"/>
        </w:rPr>
        <w:footnoteReference w:id="4"/>
      </w:r>
      <w:r>
        <w:rPr>
          <w:rFonts w:ascii="Arial" w:hAnsi="Arial" w:cs="Arial"/>
          <w:color w:val="000000"/>
          <w:sz w:val="24"/>
        </w:rPr>
        <w:t>.</w:t>
      </w:r>
      <w:r w:rsidR="00874D50">
        <w:rPr>
          <w:rFonts w:ascii="Arial" w:hAnsi="Arial" w:cs="Arial"/>
          <w:color w:val="000000"/>
          <w:sz w:val="24"/>
        </w:rPr>
        <w:t xml:space="preserve"> Este programa de información da continuidad a la serie </w:t>
      </w:r>
      <w:r w:rsidR="0070416A">
        <w:rPr>
          <w:rFonts w:ascii="Arial" w:hAnsi="Arial" w:cs="Arial"/>
          <w:color w:val="000000"/>
          <w:sz w:val="24"/>
        </w:rPr>
        <w:t>estadística</w:t>
      </w:r>
      <w:r w:rsidR="00874D50">
        <w:rPr>
          <w:rFonts w:ascii="Arial" w:hAnsi="Arial" w:cs="Arial"/>
          <w:color w:val="000000"/>
          <w:sz w:val="24"/>
        </w:rPr>
        <w:t xml:space="preserve"> generada por el Censo Nacional de Gobierno, Seguridad Pública y Sistema Penitenciario Estatales (CNGSPSPE) de 2011 a 2020</w:t>
      </w:r>
      <w:r w:rsidR="000F0696">
        <w:rPr>
          <w:rFonts w:ascii="Arial" w:hAnsi="Arial" w:cs="Arial"/>
          <w:color w:val="000000"/>
          <w:sz w:val="24"/>
        </w:rPr>
        <w:t>, específica</w:t>
      </w:r>
      <w:r w:rsidR="00E32FA8">
        <w:rPr>
          <w:rFonts w:ascii="Arial" w:hAnsi="Arial" w:cs="Arial"/>
          <w:color w:val="000000"/>
          <w:sz w:val="24"/>
        </w:rPr>
        <w:t>mente</w:t>
      </w:r>
      <w:r w:rsidR="000F0696">
        <w:rPr>
          <w:rFonts w:ascii="Arial" w:hAnsi="Arial" w:cs="Arial"/>
          <w:color w:val="000000"/>
          <w:sz w:val="24"/>
        </w:rPr>
        <w:t xml:space="preserve"> para el tema de Gobierno</w:t>
      </w:r>
      <w:r w:rsidR="00874D50">
        <w:rPr>
          <w:rFonts w:ascii="Arial" w:hAnsi="Arial" w:cs="Arial"/>
          <w:color w:val="000000"/>
          <w:sz w:val="24"/>
        </w:rPr>
        <w:t>.</w:t>
      </w:r>
      <w:r w:rsidR="009F6FC8">
        <w:rPr>
          <w:rStyle w:val="Refdenotaalpie"/>
          <w:rFonts w:ascii="Arial" w:hAnsi="Arial" w:cs="Arial"/>
          <w:color w:val="000000"/>
          <w:sz w:val="24"/>
        </w:rPr>
        <w:footnoteReference w:id="5"/>
      </w:r>
      <w:r w:rsidR="00874D50">
        <w:rPr>
          <w:rFonts w:ascii="Arial" w:hAnsi="Arial" w:cs="Arial"/>
          <w:color w:val="000000"/>
          <w:sz w:val="24"/>
        </w:rPr>
        <w:t xml:space="preserve"> </w:t>
      </w:r>
    </w:p>
    <w:p w14:paraId="1E06FE8F" w14:textId="77777777" w:rsidR="008A3846" w:rsidRPr="00670E94" w:rsidRDefault="008A3846" w:rsidP="008A3846">
      <w:pPr>
        <w:autoSpaceDE w:val="0"/>
        <w:autoSpaceDN w:val="0"/>
        <w:adjustRightInd w:val="0"/>
        <w:spacing w:after="0" w:line="240" w:lineRule="auto"/>
        <w:ind w:left="-567"/>
        <w:jc w:val="both"/>
        <w:rPr>
          <w:rFonts w:ascii="Arial" w:hAnsi="Arial" w:cs="Arial"/>
          <w:color w:val="000000"/>
          <w:sz w:val="24"/>
        </w:rPr>
      </w:pPr>
    </w:p>
    <w:p w14:paraId="48217E9D" w14:textId="0EE88340" w:rsidR="008A3846" w:rsidRDefault="008A3846" w:rsidP="008A3846">
      <w:pPr>
        <w:autoSpaceDE w:val="0"/>
        <w:autoSpaceDN w:val="0"/>
        <w:adjustRightInd w:val="0"/>
        <w:spacing w:after="0" w:line="240" w:lineRule="auto"/>
        <w:ind w:left="-567"/>
        <w:jc w:val="both"/>
        <w:rPr>
          <w:rFonts w:ascii="Arial" w:hAnsi="Arial" w:cs="Arial"/>
          <w:color w:val="000000"/>
          <w:sz w:val="24"/>
        </w:rPr>
      </w:pPr>
      <w:r w:rsidRPr="00670E94">
        <w:rPr>
          <w:rFonts w:ascii="Arial" w:hAnsi="Arial" w:cs="Arial"/>
          <w:color w:val="000000"/>
          <w:sz w:val="24"/>
        </w:rPr>
        <w:t>E</w:t>
      </w:r>
      <w:r>
        <w:rPr>
          <w:rFonts w:ascii="Arial" w:hAnsi="Arial" w:cs="Arial"/>
          <w:color w:val="000000"/>
          <w:sz w:val="24"/>
        </w:rPr>
        <w:t>l objetivo general es</w:t>
      </w:r>
      <w:r w:rsidRPr="00670E94">
        <w:rPr>
          <w:sz w:val="24"/>
        </w:rPr>
        <w:t xml:space="preserve"> </w:t>
      </w:r>
      <w:r w:rsidR="00033488" w:rsidRPr="00033488">
        <w:rPr>
          <w:rFonts w:ascii="Arial" w:hAnsi="Arial" w:cs="Arial"/>
          <w:color w:val="000000"/>
          <w:sz w:val="24"/>
        </w:rPr>
        <w:t xml:space="preserve">generar </w:t>
      </w:r>
      <w:r w:rsidR="00E34765" w:rsidRPr="00E34765">
        <w:rPr>
          <w:rFonts w:ascii="Arial" w:hAnsi="Arial" w:cs="Arial"/>
          <w:color w:val="000000"/>
          <w:sz w:val="24"/>
        </w:rPr>
        <w:t>información estadística y geográfica sobre la gestión y desempeño de las instituciones que integran a la Administración Pública de cada entidad federativa, específicamente en las funciones de gobierno, medio ambiente y justicia cívica (únicamente la Ciudad de México), con la finalidad de que ésta se vincule con el quehacer gubernamental dentro del proceso de diseño, implementación, monitoreo y evaluación de las políticas públicas de alcance nacional en los referidos temas.</w:t>
      </w:r>
    </w:p>
    <w:p w14:paraId="36D334F2" w14:textId="77777777" w:rsidR="00D22581" w:rsidRDefault="00D22581" w:rsidP="008A3846">
      <w:pPr>
        <w:autoSpaceDE w:val="0"/>
        <w:autoSpaceDN w:val="0"/>
        <w:adjustRightInd w:val="0"/>
        <w:spacing w:after="0" w:line="240" w:lineRule="auto"/>
        <w:ind w:left="-567"/>
        <w:jc w:val="both"/>
        <w:rPr>
          <w:rFonts w:ascii="Arial" w:hAnsi="Arial" w:cs="Arial"/>
          <w:color w:val="000000"/>
          <w:sz w:val="24"/>
        </w:rPr>
      </w:pPr>
    </w:p>
    <w:p w14:paraId="2C3D5F3B" w14:textId="77777777" w:rsidR="00701903" w:rsidRDefault="008A3846" w:rsidP="009C7665">
      <w:pPr>
        <w:ind w:left="-567"/>
        <w:jc w:val="both"/>
        <w:rPr>
          <w:rFonts w:ascii="Arial" w:hAnsi="Arial" w:cs="Arial"/>
          <w:color w:val="000000"/>
          <w:sz w:val="24"/>
          <w:szCs w:val="24"/>
        </w:rPr>
      </w:pPr>
      <w:r w:rsidRPr="006627FE">
        <w:rPr>
          <w:rFonts w:ascii="Arial" w:hAnsi="Arial" w:cs="Arial"/>
          <w:color w:val="000000"/>
          <w:sz w:val="24"/>
        </w:rPr>
        <w:t xml:space="preserve">En relación con los aspectos metodológicos del </w:t>
      </w:r>
      <w:r w:rsidR="00A649DC">
        <w:rPr>
          <w:rFonts w:ascii="Arial" w:hAnsi="Arial" w:cs="Arial"/>
          <w:color w:val="000000"/>
          <w:sz w:val="24"/>
        </w:rPr>
        <w:t>CNGE</w:t>
      </w:r>
      <w:r w:rsidRPr="006627FE">
        <w:rPr>
          <w:rFonts w:ascii="Arial" w:hAnsi="Arial" w:cs="Arial"/>
          <w:color w:val="000000"/>
          <w:sz w:val="24"/>
        </w:rPr>
        <w:t xml:space="preserve"> 20</w:t>
      </w:r>
      <w:r>
        <w:rPr>
          <w:rFonts w:ascii="Arial" w:hAnsi="Arial" w:cs="Arial"/>
          <w:color w:val="000000"/>
          <w:sz w:val="24"/>
        </w:rPr>
        <w:t>2</w:t>
      </w:r>
      <w:r w:rsidR="00D22581">
        <w:rPr>
          <w:rFonts w:ascii="Arial" w:hAnsi="Arial" w:cs="Arial"/>
          <w:color w:val="000000"/>
          <w:sz w:val="24"/>
        </w:rPr>
        <w:t>1</w:t>
      </w:r>
      <w:r>
        <w:rPr>
          <w:rFonts w:ascii="Arial" w:hAnsi="Arial" w:cs="Arial"/>
          <w:color w:val="000000"/>
          <w:sz w:val="24"/>
        </w:rPr>
        <w:t xml:space="preserve">, </w:t>
      </w:r>
      <w:r w:rsidRPr="006627FE">
        <w:rPr>
          <w:rFonts w:ascii="Arial" w:hAnsi="Arial" w:cs="Arial"/>
          <w:color w:val="000000"/>
          <w:sz w:val="24"/>
        </w:rPr>
        <w:t xml:space="preserve">se destaca que la cobertura geográfica es </w:t>
      </w:r>
      <w:r w:rsidR="002C31B0">
        <w:rPr>
          <w:rFonts w:ascii="Arial" w:hAnsi="Arial" w:cs="Arial"/>
          <w:color w:val="000000"/>
          <w:sz w:val="24"/>
        </w:rPr>
        <w:t>estatal</w:t>
      </w:r>
      <w:r>
        <w:rPr>
          <w:rFonts w:ascii="Arial" w:hAnsi="Arial" w:cs="Arial"/>
          <w:color w:val="000000"/>
          <w:sz w:val="24"/>
        </w:rPr>
        <w:t xml:space="preserve">, en tanto que </w:t>
      </w:r>
      <w:r w:rsidRPr="006627FE">
        <w:rPr>
          <w:rFonts w:ascii="Arial" w:hAnsi="Arial" w:cs="Arial"/>
          <w:color w:val="000000"/>
          <w:sz w:val="24"/>
        </w:rPr>
        <w:t xml:space="preserve">la temporalidad de la información corresponde a </w:t>
      </w:r>
      <w:r w:rsidR="008630FC">
        <w:rPr>
          <w:rFonts w:ascii="Arial" w:hAnsi="Arial" w:cs="Arial"/>
          <w:color w:val="000000"/>
          <w:sz w:val="24"/>
        </w:rPr>
        <w:t xml:space="preserve">2020 </w:t>
      </w:r>
      <w:r w:rsidRPr="008B1D16">
        <w:rPr>
          <w:rFonts w:ascii="Arial" w:hAnsi="Arial" w:cs="Arial"/>
          <w:color w:val="000000"/>
          <w:sz w:val="24"/>
        </w:rPr>
        <w:t>y 202</w:t>
      </w:r>
      <w:r w:rsidR="008630FC">
        <w:rPr>
          <w:rFonts w:ascii="Arial" w:hAnsi="Arial" w:cs="Arial"/>
          <w:color w:val="000000"/>
          <w:sz w:val="24"/>
        </w:rPr>
        <w:t>1</w:t>
      </w:r>
      <w:r w:rsidRPr="008B1D16">
        <w:rPr>
          <w:rFonts w:ascii="Arial" w:hAnsi="Arial" w:cs="Arial"/>
          <w:color w:val="000000"/>
          <w:sz w:val="24"/>
        </w:rPr>
        <w:t xml:space="preserve">, </w:t>
      </w:r>
      <w:r>
        <w:rPr>
          <w:rFonts w:ascii="Arial" w:hAnsi="Arial" w:cs="Arial"/>
          <w:color w:val="000000"/>
          <w:sz w:val="24"/>
        </w:rPr>
        <w:t>é</w:t>
      </w:r>
      <w:r w:rsidRPr="008B1D16">
        <w:rPr>
          <w:rFonts w:ascii="Arial" w:hAnsi="Arial" w:cs="Arial"/>
          <w:color w:val="000000"/>
          <w:sz w:val="24"/>
        </w:rPr>
        <w:t>ste último solo para las preguntas que solicitan datos al momento de la aplicación del cuestionario.</w:t>
      </w:r>
      <w:r>
        <w:rPr>
          <w:rFonts w:ascii="Arial" w:hAnsi="Arial" w:cs="Arial"/>
          <w:color w:val="000000"/>
          <w:sz w:val="24"/>
        </w:rPr>
        <w:t xml:space="preserve"> Las unidades de análisis son</w:t>
      </w:r>
      <w:r w:rsidR="002E6C78">
        <w:rPr>
          <w:rFonts w:ascii="Arial" w:hAnsi="Arial" w:cs="Arial"/>
          <w:color w:val="000000"/>
          <w:sz w:val="24"/>
        </w:rPr>
        <w:t xml:space="preserve"> </w:t>
      </w:r>
      <w:r w:rsidR="00A2091F">
        <w:rPr>
          <w:rFonts w:ascii="Arial" w:hAnsi="Arial" w:cs="Arial"/>
          <w:color w:val="000000"/>
          <w:sz w:val="24"/>
        </w:rPr>
        <w:t>las instituciones de la Administración Pública de cada entidad federativa</w:t>
      </w:r>
      <w:r w:rsidR="002E6C78" w:rsidRPr="009C7665">
        <w:rPr>
          <w:rFonts w:ascii="Arial" w:hAnsi="Arial" w:cs="Arial"/>
          <w:color w:val="000000"/>
          <w:sz w:val="24"/>
          <w:szCs w:val="24"/>
        </w:rPr>
        <w:t>.</w:t>
      </w:r>
      <w:r w:rsidRPr="009C7665">
        <w:rPr>
          <w:rFonts w:ascii="Arial" w:hAnsi="Arial" w:cs="Arial"/>
          <w:color w:val="000000"/>
          <w:sz w:val="24"/>
          <w:szCs w:val="24"/>
        </w:rPr>
        <w:t xml:space="preserve"> El periodo de levantamiento </w:t>
      </w:r>
      <w:r w:rsidR="000B52C6">
        <w:rPr>
          <w:rFonts w:ascii="Arial" w:hAnsi="Arial" w:cs="Arial"/>
          <w:color w:val="000000"/>
          <w:sz w:val="24"/>
          <w:szCs w:val="24"/>
        </w:rPr>
        <w:t>fue del</w:t>
      </w:r>
      <w:r w:rsidRPr="009C7665">
        <w:rPr>
          <w:rFonts w:ascii="Arial" w:hAnsi="Arial" w:cs="Arial"/>
          <w:color w:val="000000"/>
          <w:sz w:val="24"/>
          <w:szCs w:val="24"/>
        </w:rPr>
        <w:t xml:space="preserve"> </w:t>
      </w:r>
      <w:r w:rsidR="008E7128" w:rsidRPr="008E7128">
        <w:rPr>
          <w:rFonts w:ascii="Arial" w:hAnsi="Arial" w:cs="Arial"/>
          <w:color w:val="000000"/>
          <w:sz w:val="24"/>
          <w:szCs w:val="24"/>
        </w:rPr>
        <w:t>15</w:t>
      </w:r>
      <w:r w:rsidR="00C21117" w:rsidRPr="008E7128">
        <w:rPr>
          <w:rFonts w:ascii="Arial" w:hAnsi="Arial" w:cs="Arial"/>
          <w:color w:val="000000"/>
          <w:sz w:val="24"/>
          <w:szCs w:val="24"/>
        </w:rPr>
        <w:t xml:space="preserve"> de </w:t>
      </w:r>
      <w:r w:rsidR="008E7128" w:rsidRPr="008E7128">
        <w:rPr>
          <w:rFonts w:ascii="Arial" w:hAnsi="Arial" w:cs="Arial"/>
          <w:color w:val="000000"/>
          <w:sz w:val="24"/>
          <w:szCs w:val="24"/>
        </w:rPr>
        <w:t>marzo</w:t>
      </w:r>
      <w:r w:rsidR="00C21117" w:rsidRPr="008E7128">
        <w:rPr>
          <w:rFonts w:ascii="Arial" w:hAnsi="Arial" w:cs="Arial"/>
          <w:color w:val="000000"/>
          <w:sz w:val="24"/>
          <w:szCs w:val="24"/>
        </w:rPr>
        <w:t xml:space="preserve"> al </w:t>
      </w:r>
      <w:r w:rsidR="008E7128" w:rsidRPr="008E7128">
        <w:rPr>
          <w:rFonts w:ascii="Arial" w:hAnsi="Arial" w:cs="Arial"/>
          <w:color w:val="000000"/>
          <w:sz w:val="24"/>
          <w:szCs w:val="24"/>
        </w:rPr>
        <w:t>03</w:t>
      </w:r>
      <w:r w:rsidR="00C21117" w:rsidRPr="008E7128">
        <w:rPr>
          <w:rFonts w:ascii="Arial" w:hAnsi="Arial" w:cs="Arial"/>
          <w:color w:val="000000"/>
          <w:sz w:val="24"/>
          <w:szCs w:val="24"/>
        </w:rPr>
        <w:t xml:space="preserve"> de </w:t>
      </w:r>
      <w:r w:rsidR="008E7128" w:rsidRPr="008E7128">
        <w:rPr>
          <w:rFonts w:ascii="Arial" w:hAnsi="Arial" w:cs="Arial"/>
          <w:color w:val="000000"/>
          <w:sz w:val="24"/>
          <w:szCs w:val="24"/>
        </w:rPr>
        <w:t>agosto</w:t>
      </w:r>
      <w:r w:rsidRPr="009C7665">
        <w:rPr>
          <w:rFonts w:ascii="Arial" w:hAnsi="Arial" w:cs="Arial"/>
          <w:color w:val="000000"/>
          <w:sz w:val="24"/>
          <w:szCs w:val="24"/>
        </w:rPr>
        <w:t>.</w:t>
      </w:r>
    </w:p>
    <w:p w14:paraId="56F21F50" w14:textId="7D3BE73A" w:rsidR="00701903" w:rsidRPr="00701903" w:rsidRDefault="00701903" w:rsidP="009C7665">
      <w:pPr>
        <w:ind w:left="-567"/>
        <w:jc w:val="both"/>
        <w:rPr>
          <w:rFonts w:ascii="Arial" w:hAnsi="Arial" w:cs="Arial"/>
          <w:color w:val="000000"/>
          <w:sz w:val="24"/>
          <w:szCs w:val="24"/>
        </w:rPr>
      </w:pPr>
      <w:r w:rsidRPr="0070416A">
        <w:rPr>
          <w:rFonts w:ascii="Arial" w:hAnsi="Arial" w:cs="Arial"/>
          <w:color w:val="000000"/>
          <w:sz w:val="24"/>
          <w:szCs w:val="24"/>
        </w:rPr>
        <w:t>Es preciso advertir que la contingencia sanitaria derivada de la pandemia generada por el virus SARS-COV2 (COVID 19) y la implementación de medidas oficiales para evitar su propagación, como la disminución de la capacidad instalada y la reducción parcial de actividades, repercutieron en la cantidad de trámites, servicios</w:t>
      </w:r>
      <w:r w:rsidR="00EC165D" w:rsidRPr="002B0A3D">
        <w:rPr>
          <w:rFonts w:ascii="Arial" w:hAnsi="Arial" w:cs="Arial"/>
          <w:color w:val="000000"/>
          <w:sz w:val="24"/>
          <w:szCs w:val="24"/>
        </w:rPr>
        <w:t>,</w:t>
      </w:r>
      <w:r w:rsidRPr="002B0A3D">
        <w:rPr>
          <w:rFonts w:ascii="Arial" w:hAnsi="Arial" w:cs="Arial"/>
          <w:color w:val="000000"/>
          <w:sz w:val="24"/>
          <w:szCs w:val="24"/>
        </w:rPr>
        <w:t xml:space="preserve"> solicitudes</w:t>
      </w:r>
      <w:r w:rsidR="00EC165D" w:rsidRPr="002B0A3D">
        <w:rPr>
          <w:rFonts w:ascii="Arial" w:hAnsi="Arial" w:cs="Arial"/>
          <w:color w:val="000000"/>
          <w:sz w:val="24"/>
          <w:szCs w:val="24"/>
        </w:rPr>
        <w:t xml:space="preserve"> y procedimientos</w:t>
      </w:r>
      <w:r w:rsidRPr="007D6DA8">
        <w:rPr>
          <w:rFonts w:ascii="Arial" w:hAnsi="Arial" w:cs="Arial"/>
          <w:color w:val="000000"/>
          <w:sz w:val="24"/>
          <w:szCs w:val="24"/>
        </w:rPr>
        <w:t xml:space="preserve"> que recibieron las instituciones de las Administraciones Públicas Estatales.</w:t>
      </w:r>
    </w:p>
    <w:p w14:paraId="71D94971" w14:textId="21A82FA2" w:rsidR="009C7665" w:rsidRDefault="008A3846" w:rsidP="009C7665">
      <w:pPr>
        <w:ind w:left="-567"/>
        <w:jc w:val="both"/>
        <w:rPr>
          <w:rStyle w:val="Hipervnculo"/>
          <w:rFonts w:ascii="Arial" w:hAnsi="Arial" w:cs="Arial"/>
          <w:spacing w:val="-2"/>
        </w:rPr>
      </w:pPr>
      <w:r w:rsidRPr="009C7665">
        <w:rPr>
          <w:rFonts w:ascii="Arial" w:hAnsi="Arial" w:cs="Arial"/>
          <w:color w:val="000000"/>
          <w:sz w:val="24"/>
          <w:szCs w:val="24"/>
        </w:rPr>
        <w:t xml:space="preserve">La publicación de resultados se realiza el </w:t>
      </w:r>
      <w:r w:rsidR="002F1502">
        <w:rPr>
          <w:rFonts w:ascii="Arial" w:hAnsi="Arial" w:cs="Arial"/>
          <w:color w:val="000000"/>
          <w:sz w:val="24"/>
          <w:szCs w:val="24"/>
        </w:rPr>
        <w:t>01</w:t>
      </w:r>
      <w:r w:rsidRPr="009C7665">
        <w:rPr>
          <w:rFonts w:ascii="Arial" w:hAnsi="Arial" w:cs="Arial"/>
          <w:color w:val="000000"/>
          <w:sz w:val="24"/>
          <w:szCs w:val="24"/>
        </w:rPr>
        <w:t xml:space="preserve"> de </w:t>
      </w:r>
      <w:r w:rsidR="002F1502">
        <w:rPr>
          <w:rFonts w:ascii="Arial" w:hAnsi="Arial" w:cs="Arial"/>
          <w:color w:val="000000"/>
          <w:sz w:val="24"/>
          <w:szCs w:val="24"/>
        </w:rPr>
        <w:t>septiembre</w:t>
      </w:r>
      <w:r w:rsidRPr="009C7665">
        <w:rPr>
          <w:rFonts w:ascii="Arial" w:hAnsi="Arial" w:cs="Arial"/>
          <w:color w:val="000000"/>
          <w:sz w:val="24"/>
          <w:szCs w:val="24"/>
        </w:rPr>
        <w:t xml:space="preserve"> de 2021. La información se puede consultar en </w:t>
      </w:r>
      <w:r w:rsidR="002F1502">
        <w:rPr>
          <w:rFonts w:ascii="Arial" w:hAnsi="Arial" w:cs="Arial"/>
          <w:color w:val="000000"/>
          <w:sz w:val="24"/>
          <w:szCs w:val="24"/>
        </w:rPr>
        <w:t>el</w:t>
      </w:r>
      <w:r w:rsidRPr="009C7665">
        <w:rPr>
          <w:rFonts w:ascii="Arial" w:hAnsi="Arial" w:cs="Arial"/>
          <w:color w:val="000000"/>
          <w:sz w:val="24"/>
          <w:szCs w:val="24"/>
        </w:rPr>
        <w:t xml:space="preserve"> sitio: </w:t>
      </w:r>
      <w:hyperlink r:id="rId22" w:history="1">
        <w:r w:rsidR="002F1502" w:rsidRPr="00D70158">
          <w:rPr>
            <w:rStyle w:val="Hipervnculo"/>
            <w:rFonts w:ascii="Arial" w:hAnsi="Arial" w:cs="Arial"/>
            <w:spacing w:val="-2"/>
            <w:sz w:val="24"/>
            <w:szCs w:val="24"/>
          </w:rPr>
          <w:t>https://www.inegi.org.mx/programas/cnge/2021/</w:t>
        </w:r>
      </w:hyperlink>
    </w:p>
    <w:p w14:paraId="214579C7" w14:textId="5172B9D4" w:rsidR="008A3846" w:rsidRDefault="008A3846" w:rsidP="009C7665">
      <w:pPr>
        <w:ind w:left="-567"/>
        <w:jc w:val="both"/>
        <w:rPr>
          <w:rFonts w:ascii="Arial" w:hAnsi="Arial" w:cs="Arial"/>
          <w:b/>
          <w:bCs/>
          <w:sz w:val="24"/>
          <w:szCs w:val="24"/>
        </w:rPr>
      </w:pPr>
      <w:r w:rsidRPr="003E3C38">
        <w:rPr>
          <w:rFonts w:ascii="Arial" w:hAnsi="Arial" w:cs="Arial"/>
          <w:color w:val="000000"/>
          <w:sz w:val="24"/>
        </w:rPr>
        <w:t>Los resultados del CN</w:t>
      </w:r>
      <w:r w:rsidR="002F1502">
        <w:rPr>
          <w:rFonts w:ascii="Arial" w:hAnsi="Arial" w:cs="Arial"/>
          <w:color w:val="000000"/>
          <w:sz w:val="24"/>
        </w:rPr>
        <w:t>GE</w:t>
      </w:r>
      <w:r w:rsidRPr="003E3C38">
        <w:rPr>
          <w:rFonts w:ascii="Arial" w:hAnsi="Arial" w:cs="Arial"/>
          <w:color w:val="000000"/>
          <w:sz w:val="24"/>
        </w:rPr>
        <w:t xml:space="preserve"> 202</w:t>
      </w:r>
      <w:r w:rsidR="001829D4">
        <w:rPr>
          <w:rFonts w:ascii="Arial" w:hAnsi="Arial" w:cs="Arial"/>
          <w:color w:val="000000"/>
          <w:sz w:val="24"/>
        </w:rPr>
        <w:t>1</w:t>
      </w:r>
      <w:r w:rsidRPr="003E3C38">
        <w:rPr>
          <w:rFonts w:ascii="Arial" w:hAnsi="Arial" w:cs="Arial"/>
          <w:color w:val="000000"/>
          <w:sz w:val="24"/>
        </w:rPr>
        <w:t xml:space="preserve"> se presentan en cuadros </w:t>
      </w:r>
      <w:r w:rsidRPr="001B0877">
        <w:rPr>
          <w:rFonts w:ascii="Arial" w:hAnsi="Arial" w:cs="Arial"/>
          <w:color w:val="000000"/>
          <w:sz w:val="24"/>
        </w:rPr>
        <w:t>estadísticos organizados en los siguientes apartados</w:t>
      </w:r>
      <w:r w:rsidR="002F1502">
        <w:rPr>
          <w:rFonts w:ascii="Arial" w:hAnsi="Arial" w:cs="Arial"/>
          <w:color w:val="000000"/>
          <w:sz w:val="24"/>
        </w:rPr>
        <w:t xml:space="preserve"> </w:t>
      </w:r>
      <w:r w:rsidR="006008C7" w:rsidRPr="006008C7">
        <w:rPr>
          <w:rFonts w:ascii="Arial" w:hAnsi="Arial" w:cs="Arial"/>
          <w:color w:val="000000"/>
          <w:sz w:val="24"/>
        </w:rPr>
        <w:t xml:space="preserve">Estructura organizacional y recursos; Trámites y servicios; Protección </w:t>
      </w:r>
      <w:r w:rsidR="006008C7" w:rsidRPr="006008C7">
        <w:rPr>
          <w:rFonts w:ascii="Arial" w:hAnsi="Arial" w:cs="Arial"/>
          <w:color w:val="000000"/>
          <w:sz w:val="24"/>
        </w:rPr>
        <w:lastRenderedPageBreak/>
        <w:t>civil; Catastro; Transparencia, acceso a la información pública y protección de datos personales; Control interno y anticorrupción; Defensoría pública o defensoría de oficio; Contrataciones públicas; Planeación y gestión territorial; Registro público de la propiedad; Administración de archivos y gestión documental; Medio ambiente</w:t>
      </w:r>
      <w:r w:rsidR="00E32FA8">
        <w:rPr>
          <w:rFonts w:ascii="Arial" w:hAnsi="Arial" w:cs="Arial"/>
          <w:color w:val="000000"/>
          <w:sz w:val="24"/>
        </w:rPr>
        <w:t>,</w:t>
      </w:r>
      <w:r w:rsidR="006008C7" w:rsidRPr="006008C7">
        <w:rPr>
          <w:rFonts w:ascii="Arial" w:hAnsi="Arial" w:cs="Arial"/>
          <w:color w:val="000000"/>
          <w:sz w:val="24"/>
        </w:rPr>
        <w:t xml:space="preserve"> y Justicia cívica.</w:t>
      </w:r>
    </w:p>
    <w:p w14:paraId="015D7AB3" w14:textId="77777777" w:rsidR="008A3846" w:rsidRDefault="008A3846" w:rsidP="008A3846">
      <w:pPr>
        <w:autoSpaceDE w:val="0"/>
        <w:autoSpaceDN w:val="0"/>
        <w:adjustRightInd w:val="0"/>
        <w:spacing w:after="0" w:line="240" w:lineRule="auto"/>
        <w:ind w:left="-567"/>
        <w:jc w:val="both"/>
        <w:rPr>
          <w:rFonts w:ascii="Arial" w:hAnsi="Arial" w:cs="Arial"/>
          <w:b/>
          <w:bCs/>
          <w:sz w:val="24"/>
          <w:szCs w:val="24"/>
        </w:rPr>
      </w:pPr>
    </w:p>
    <w:p w14:paraId="7764FAF7" w14:textId="3C8A0FEA" w:rsidR="00827EBE" w:rsidRPr="00827EBE" w:rsidRDefault="008A3846" w:rsidP="00827EBE">
      <w:pPr>
        <w:autoSpaceDE w:val="0"/>
        <w:autoSpaceDN w:val="0"/>
        <w:adjustRightInd w:val="0"/>
        <w:spacing w:after="0" w:line="240" w:lineRule="auto"/>
        <w:ind w:left="-567"/>
        <w:rPr>
          <w:rFonts w:ascii="Arial" w:hAnsi="Arial" w:cs="Arial"/>
          <w:b/>
          <w:bCs/>
          <w:sz w:val="24"/>
          <w:szCs w:val="24"/>
        </w:rPr>
      </w:pPr>
      <w:r w:rsidRPr="008B2F29">
        <w:rPr>
          <w:rFonts w:ascii="Arial" w:hAnsi="Arial" w:cs="Arial"/>
          <w:b/>
          <w:bCs/>
          <w:sz w:val="24"/>
          <w:szCs w:val="24"/>
        </w:rPr>
        <w:t>Estructura organizacional y recursos</w:t>
      </w:r>
    </w:p>
    <w:p w14:paraId="375AC599" w14:textId="77777777" w:rsidR="008A3846" w:rsidRPr="0030324F" w:rsidRDefault="008A3846" w:rsidP="008A3846">
      <w:pPr>
        <w:pStyle w:val="Default"/>
        <w:ind w:left="-567"/>
        <w:rPr>
          <w:color w:val="FF0000"/>
        </w:rPr>
      </w:pPr>
    </w:p>
    <w:p w14:paraId="0E284C0D" w14:textId="0BC4A2A8" w:rsidR="00592A96" w:rsidRDefault="008A3846" w:rsidP="009C06D2">
      <w:pPr>
        <w:pStyle w:val="Default"/>
        <w:ind w:left="-567"/>
        <w:jc w:val="both"/>
        <w:rPr>
          <w:color w:val="auto"/>
        </w:rPr>
      </w:pPr>
      <w:bookmarkStart w:id="3" w:name="_Hlk56788583"/>
      <w:r w:rsidRPr="008B2F29">
        <w:rPr>
          <w:color w:val="auto"/>
        </w:rPr>
        <w:t>A partir de la información, es posible conocer las características de la estructura organizacional y recursos con los que c</w:t>
      </w:r>
      <w:r w:rsidR="00A96CD1" w:rsidRPr="008B2F29">
        <w:rPr>
          <w:color w:val="auto"/>
        </w:rPr>
        <w:t>ontaba</w:t>
      </w:r>
      <w:r w:rsidR="00290825" w:rsidRPr="008B2F29">
        <w:rPr>
          <w:color w:val="auto"/>
        </w:rPr>
        <w:t>n</w:t>
      </w:r>
      <w:r w:rsidR="00BA67F3" w:rsidRPr="008B2F29">
        <w:rPr>
          <w:color w:val="auto"/>
        </w:rPr>
        <w:t xml:space="preserve"> </w:t>
      </w:r>
      <w:bookmarkEnd w:id="3"/>
      <w:r w:rsidR="008B64DB">
        <w:rPr>
          <w:color w:val="auto"/>
        </w:rPr>
        <w:t>las instituciones de la</w:t>
      </w:r>
      <w:r w:rsidR="00687334">
        <w:rPr>
          <w:color w:val="auto"/>
        </w:rPr>
        <w:t>s administraciones públicas estatales</w:t>
      </w:r>
      <w:r w:rsidR="0070416A">
        <w:rPr>
          <w:rStyle w:val="Refdenotaalpie"/>
          <w:color w:val="auto"/>
        </w:rPr>
        <w:footnoteReference w:id="6"/>
      </w:r>
      <w:r w:rsidRPr="008B2F29">
        <w:rPr>
          <w:color w:val="auto"/>
        </w:rPr>
        <w:t xml:space="preserve">. Al </w:t>
      </w:r>
      <w:r w:rsidRPr="00267490">
        <w:rPr>
          <w:color w:val="auto"/>
        </w:rPr>
        <w:t xml:space="preserve">respecto, se destaca </w:t>
      </w:r>
      <w:r w:rsidR="00B13C4E" w:rsidRPr="00267490">
        <w:rPr>
          <w:color w:val="auto"/>
        </w:rPr>
        <w:t>que,</w:t>
      </w:r>
      <w:r w:rsidRPr="00267490">
        <w:rPr>
          <w:color w:val="auto"/>
        </w:rPr>
        <w:t xml:space="preserve"> al cierre de 20</w:t>
      </w:r>
      <w:r w:rsidR="00C5617A" w:rsidRPr="00267490">
        <w:rPr>
          <w:color w:val="auto"/>
        </w:rPr>
        <w:t>20</w:t>
      </w:r>
      <w:r w:rsidRPr="00267490">
        <w:rPr>
          <w:color w:val="auto"/>
        </w:rPr>
        <w:t>,</w:t>
      </w:r>
      <w:r w:rsidR="00243A00" w:rsidRPr="00267490">
        <w:rPr>
          <w:color w:val="auto"/>
        </w:rPr>
        <w:t xml:space="preserve"> </w:t>
      </w:r>
      <w:r w:rsidR="006D5B2B" w:rsidRPr="00267490">
        <w:rPr>
          <w:color w:val="auto"/>
        </w:rPr>
        <w:t>se reportaron</w:t>
      </w:r>
      <w:r w:rsidR="00687334" w:rsidRPr="00267490">
        <w:rPr>
          <w:color w:val="auto"/>
        </w:rPr>
        <w:t xml:space="preserve"> en total</w:t>
      </w:r>
      <w:r w:rsidR="006D5B2B" w:rsidRPr="00267490">
        <w:rPr>
          <w:color w:val="auto"/>
        </w:rPr>
        <w:t xml:space="preserve"> </w:t>
      </w:r>
      <w:r w:rsidR="00571F1E" w:rsidRPr="00267490">
        <w:rPr>
          <w:color w:val="auto"/>
        </w:rPr>
        <w:t>2 239 instituciones</w:t>
      </w:r>
      <w:r w:rsidR="006D6634" w:rsidRPr="00267490">
        <w:rPr>
          <w:color w:val="auto"/>
        </w:rPr>
        <w:t>; de ellas</w:t>
      </w:r>
      <w:r w:rsidR="00012443">
        <w:rPr>
          <w:color w:val="auto"/>
        </w:rPr>
        <w:t>,</w:t>
      </w:r>
      <w:r w:rsidR="006D6634" w:rsidRPr="00267490">
        <w:rPr>
          <w:color w:val="auto"/>
        </w:rPr>
        <w:t xml:space="preserve"> 33.9% correspondía a la administración pública centralizada y 66.1% a la paraestatal.</w:t>
      </w:r>
      <w:r w:rsidR="006D6634">
        <w:rPr>
          <w:color w:val="auto"/>
        </w:rPr>
        <w:t xml:space="preserve"> </w:t>
      </w:r>
      <w:bookmarkStart w:id="4" w:name="_Hlk58235553"/>
      <w:r w:rsidR="00477C83">
        <w:rPr>
          <w:color w:val="auto"/>
        </w:rPr>
        <w:t>El estado de México reportó la mayor cantidad de instituciones con 107.</w:t>
      </w:r>
    </w:p>
    <w:p w14:paraId="32819DEC" w14:textId="172EE2AD" w:rsidR="00A83F82" w:rsidRDefault="00A83F82" w:rsidP="009C06D2">
      <w:pPr>
        <w:pStyle w:val="Default"/>
        <w:ind w:left="-567"/>
        <w:jc w:val="both"/>
        <w:rPr>
          <w:color w:val="auto"/>
        </w:rPr>
      </w:pPr>
    </w:p>
    <w:p w14:paraId="4B214AF3" w14:textId="77777777" w:rsidR="00A83F82" w:rsidRDefault="00A83F82" w:rsidP="00A83F82">
      <w:pPr>
        <w:pStyle w:val="Default"/>
        <w:ind w:left="-567"/>
        <w:jc w:val="both"/>
      </w:pPr>
    </w:p>
    <w:p w14:paraId="7CBABF91" w14:textId="371D5636" w:rsidR="00A83F82" w:rsidRDefault="00A83F82" w:rsidP="00A83F82">
      <w:pPr>
        <w:pStyle w:val="Default"/>
        <w:ind w:left="-567"/>
        <w:jc w:val="center"/>
        <w:rPr>
          <w:b/>
          <w:bCs/>
          <w:i/>
          <w:iCs/>
          <w:color w:val="706F6F"/>
          <w:sz w:val="18"/>
        </w:rPr>
      </w:pPr>
      <w:r>
        <w:rPr>
          <w:b/>
          <w:bCs/>
          <w:i/>
          <w:iCs/>
          <w:color w:val="706F6F"/>
          <w:sz w:val="18"/>
        </w:rPr>
        <w:t>Mapa</w:t>
      </w:r>
      <w:r w:rsidRPr="00087BF8">
        <w:rPr>
          <w:b/>
          <w:bCs/>
          <w:i/>
          <w:iCs/>
          <w:color w:val="706F6F"/>
          <w:sz w:val="18"/>
        </w:rPr>
        <w:t xml:space="preserve"> </w:t>
      </w:r>
      <w:r>
        <w:rPr>
          <w:b/>
          <w:bCs/>
          <w:i/>
          <w:iCs/>
          <w:color w:val="706F6F"/>
          <w:sz w:val="18"/>
        </w:rPr>
        <w:t>1</w:t>
      </w:r>
      <w:r w:rsidRPr="00087BF8">
        <w:rPr>
          <w:b/>
          <w:bCs/>
          <w:i/>
          <w:iCs/>
          <w:color w:val="706F6F"/>
          <w:sz w:val="18"/>
        </w:rPr>
        <w:t xml:space="preserve">. </w:t>
      </w:r>
      <w:r>
        <w:rPr>
          <w:b/>
          <w:bCs/>
          <w:i/>
          <w:iCs/>
          <w:color w:val="706F6F"/>
          <w:sz w:val="18"/>
        </w:rPr>
        <w:t>Instituciones de las administraciones públicas estatales, por entidad federativa, 2020</w:t>
      </w:r>
    </w:p>
    <w:p w14:paraId="7B812184" w14:textId="23EFC53B" w:rsidR="00A83F82" w:rsidRDefault="00A83F82" w:rsidP="00A83F82">
      <w:pPr>
        <w:pStyle w:val="Default"/>
        <w:ind w:left="-567"/>
        <w:jc w:val="center"/>
        <w:rPr>
          <w:b/>
          <w:bCs/>
          <w:i/>
          <w:iCs/>
          <w:color w:val="706F6F"/>
          <w:sz w:val="18"/>
        </w:rPr>
      </w:pPr>
    </w:p>
    <w:p w14:paraId="406E4113" w14:textId="49A5074A" w:rsidR="00A83F82" w:rsidRDefault="00A83F82" w:rsidP="00A83F82">
      <w:pPr>
        <w:pStyle w:val="Default"/>
        <w:ind w:left="-567"/>
        <w:jc w:val="center"/>
        <w:rPr>
          <w:color w:val="auto"/>
        </w:rPr>
      </w:pPr>
    </w:p>
    <w:p w14:paraId="2198B54B" w14:textId="5B158CCE" w:rsidR="00A83F82" w:rsidRDefault="00A01C0D" w:rsidP="00A01C0D">
      <w:pPr>
        <w:pStyle w:val="Default"/>
        <w:ind w:left="-567"/>
        <w:jc w:val="center"/>
        <w:rPr>
          <w:color w:val="auto"/>
        </w:rPr>
      </w:pPr>
      <w:r>
        <w:rPr>
          <w:noProof/>
        </w:rPr>
        <mc:AlternateContent>
          <mc:Choice Requires="wpg">
            <w:drawing>
              <wp:anchor distT="0" distB="0" distL="114300" distR="114300" simplePos="0" relativeHeight="251661312" behindDoc="0" locked="0" layoutInCell="1" allowOverlap="1" wp14:anchorId="56EB7587" wp14:editId="601FD1F2">
                <wp:simplePos x="0" y="0"/>
                <wp:positionH relativeFrom="margin">
                  <wp:align>right</wp:align>
                </wp:positionH>
                <wp:positionV relativeFrom="paragraph">
                  <wp:posOffset>255182</wp:posOffset>
                </wp:positionV>
                <wp:extent cx="2697480" cy="713104"/>
                <wp:effectExtent l="0" t="0" r="0" b="0"/>
                <wp:wrapNone/>
                <wp:docPr id="38" name="Grupo 6"/>
                <wp:cNvGraphicFramePr/>
                <a:graphic xmlns:a="http://schemas.openxmlformats.org/drawingml/2006/main">
                  <a:graphicData uri="http://schemas.microsoft.com/office/word/2010/wordprocessingGroup">
                    <wpg:wgp>
                      <wpg:cNvGrpSpPr/>
                      <wpg:grpSpPr>
                        <a:xfrm>
                          <a:off x="0" y="0"/>
                          <a:ext cx="2697480" cy="713104"/>
                          <a:chOff x="0" y="0"/>
                          <a:chExt cx="2697705" cy="713667"/>
                        </a:xfrm>
                      </wpg:grpSpPr>
                      <wpg:grpSp>
                        <wpg:cNvPr id="39" name="Grupo 39"/>
                        <wpg:cNvGrpSpPr/>
                        <wpg:grpSpPr>
                          <a:xfrm>
                            <a:off x="0" y="0"/>
                            <a:ext cx="2697705" cy="550972"/>
                            <a:chOff x="0" y="0"/>
                            <a:chExt cx="2814416" cy="667438"/>
                          </a:xfrm>
                        </wpg:grpSpPr>
                        <wps:wsp>
                          <wps:cNvPr id="40" name="Rectángulo: esquinas redondeadas 40"/>
                          <wps:cNvSpPr/>
                          <wps:spPr>
                            <a:xfrm>
                              <a:off x="0" y="33511"/>
                              <a:ext cx="157615" cy="168851"/>
                            </a:xfrm>
                            <a:prstGeom prst="roundRect">
                              <a:avLst/>
                            </a:prstGeom>
                            <a:solidFill>
                              <a:srgbClr val="8C1B6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41" name="Rectángulo: esquinas redondeadas 41"/>
                          <wps:cNvSpPr/>
                          <wps:spPr>
                            <a:xfrm>
                              <a:off x="838" y="230500"/>
                              <a:ext cx="157614" cy="168851"/>
                            </a:xfrm>
                            <a:prstGeom prst="roundRect">
                              <a:avLst/>
                            </a:prstGeom>
                            <a:solidFill>
                              <a:srgbClr val="FADAE9"/>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42" name="Rectángulo: esquinas redondeadas 42"/>
                          <wps:cNvSpPr/>
                          <wps:spPr>
                            <a:xfrm>
                              <a:off x="3248" y="428891"/>
                              <a:ext cx="156028" cy="167959"/>
                            </a:xfrm>
                            <a:prstGeom prst="roundRect">
                              <a:avLst/>
                            </a:prstGeom>
                            <a:solidFill>
                              <a:srgbClr val="BAB4B4"/>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43" name="Rectángulo 43"/>
                          <wps:cNvSpPr/>
                          <wps:spPr>
                            <a:xfrm>
                              <a:off x="127315" y="379835"/>
                              <a:ext cx="2687101" cy="287603"/>
                            </a:xfrm>
                            <a:prstGeom prst="rect">
                              <a:avLst/>
                            </a:prstGeom>
                          </wps:spPr>
                          <wps:txbx>
                            <w:txbxContent>
                              <w:p w14:paraId="0FFA60FA"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De 51 a 70 instituciones (12 entidades)</w:t>
                                </w:r>
                              </w:p>
                            </w:txbxContent>
                          </wps:txbx>
                          <wps:bodyPr wrap="square">
                            <a:noAutofit/>
                          </wps:bodyPr>
                        </wps:wsp>
                        <wps:wsp>
                          <wps:cNvPr id="44" name="Rectángulo 44"/>
                          <wps:cNvSpPr/>
                          <wps:spPr>
                            <a:xfrm>
                              <a:off x="115256" y="192905"/>
                              <a:ext cx="2579675" cy="287603"/>
                            </a:xfrm>
                            <a:prstGeom prst="rect">
                              <a:avLst/>
                            </a:prstGeom>
                          </wps:spPr>
                          <wps:txbx>
                            <w:txbxContent>
                              <w:p w14:paraId="7498250B"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De 71 a 90 instituciones (14 entidades)</w:t>
                                </w:r>
                              </w:p>
                            </w:txbxContent>
                          </wps:txbx>
                          <wps:bodyPr wrap="square">
                            <a:noAutofit/>
                          </wps:bodyPr>
                        </wps:wsp>
                        <wps:wsp>
                          <wps:cNvPr id="45" name="Rectángulo 45"/>
                          <wps:cNvSpPr/>
                          <wps:spPr>
                            <a:xfrm>
                              <a:off x="115257" y="0"/>
                              <a:ext cx="2649374" cy="287603"/>
                            </a:xfrm>
                            <a:prstGeom prst="rect">
                              <a:avLst/>
                            </a:prstGeom>
                          </wps:spPr>
                          <wps:txbx>
                            <w:txbxContent>
                              <w:p w14:paraId="14E7FBD4" w14:textId="37351468"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Más de 90 instituciones (3 entidades)</w:t>
                                </w:r>
                              </w:p>
                            </w:txbxContent>
                          </wps:txbx>
                          <wps:bodyPr wrap="square">
                            <a:noAutofit/>
                          </wps:bodyPr>
                        </wps:wsp>
                      </wpg:grpSp>
                      <wps:wsp>
                        <wps:cNvPr id="46" name="Rectángulo: esquinas redondeadas 46"/>
                        <wps:cNvSpPr/>
                        <wps:spPr>
                          <a:xfrm>
                            <a:off x="2721" y="522189"/>
                            <a:ext cx="149256" cy="138651"/>
                          </a:xfrm>
                          <a:prstGeom prst="roundRect">
                            <a:avLst/>
                          </a:prstGeom>
                          <a:solidFill>
                            <a:srgbClr val="706F6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0" tIns="0" rIns="0" bIns="0" numCol="1" spcCol="38100" rtlCol="0" anchor="ctr">
                          <a:noAutofit/>
                        </wps:bodyPr>
                      </wps:wsp>
                      <wps:wsp>
                        <wps:cNvPr id="47" name="Rectángulo 47"/>
                        <wps:cNvSpPr/>
                        <wps:spPr>
                          <a:xfrm>
                            <a:off x="99632" y="476250"/>
                            <a:ext cx="2575910" cy="237417"/>
                          </a:xfrm>
                          <a:prstGeom prst="rect">
                            <a:avLst/>
                          </a:prstGeom>
                        </wps:spPr>
                        <wps:txbx>
                          <w:txbxContent>
                            <w:p w14:paraId="07D7FAF5"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 xml:space="preserve"> Hasta 50 instituciones (3 entidades)</w:t>
                              </w:r>
                            </w:p>
                          </w:txbxContent>
                        </wps:txbx>
                        <wps:bodyPr wrap="square">
                          <a:noAutofit/>
                        </wps:bodyPr>
                      </wps:wsp>
                    </wpg:wgp>
                  </a:graphicData>
                </a:graphic>
              </wp:anchor>
            </w:drawing>
          </mc:Choice>
          <mc:Fallback>
            <w:pict>
              <v:group w14:anchorId="56EB7587" id="Grupo 6" o:spid="_x0000_s1026" style="position:absolute;left:0;text-align:left;margin-left:161.2pt;margin-top:20.1pt;width:212.4pt;height:56.15pt;z-index:251661312;mso-position-horizontal:right;mso-position-horizontal-relative:margin" coordsize="26977,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">
                <v:group id="Grupo 39" o:spid="_x0000_s1027" style="position:absolute;width:26977;height:5509" coordsize="28144,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ectángulo: esquinas redondeadas 40" o:spid="_x0000_s1028" style="position:absolute;top:335;width:1576;height:1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" fillcolor="#8c1b67" stroked="f" strokeweight="2pt">
                    <v:textbox inset="0,0,0,0"/>
                  </v:roundrect>
                  <v:roundrect id="Rectángulo: esquinas redondeadas 41" o:spid="_x0000_s1029" style="position:absolute;left:8;top:2305;width:1576;height:1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" fillcolor="#fadae9" stroked="f" strokeweight="2pt">
                    <v:textbox inset="0,0,0,0"/>
                  </v:roundrect>
                  <v:roundrect id="Rectángulo: esquinas redondeadas 42" o:spid="_x0000_s1030" style="position:absolute;left:32;top:4288;width:1560;height:1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" fillcolor="#bab4b4" stroked="f" strokeweight="2pt">
                    <v:textbox inset="0,0,0,0"/>
                  </v:roundrect>
                  <v:rect id="Rectángulo 43" o:spid="_x0000_s1031" style="position:absolute;left:1273;top:3798;width:2687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0FFA60FA"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De 51 a 70 instituciones (12 entidades)</w:t>
                          </w:r>
                        </w:p>
                      </w:txbxContent>
                    </v:textbox>
                  </v:rect>
                  <v:rect id="Rectángulo 44" o:spid="_x0000_s1032" style="position:absolute;left:1152;top:1929;width:2579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7498250B"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De 71 a 90 instituciones (14 entidades)</w:t>
                          </w:r>
                        </w:p>
                      </w:txbxContent>
                    </v:textbox>
                  </v:rect>
                  <v:rect id="Rectángulo 45" o:spid="_x0000_s1033" style="position:absolute;left:1152;width:2649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14E7FBD4" w14:textId="37351468"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Más de 90 instituciones (3 entidades)</w:t>
                          </w:r>
                        </w:p>
                      </w:txbxContent>
                    </v:textbox>
                  </v:rect>
                </v:group>
                <v:roundrect id="Rectángulo: esquinas redondeadas 46" o:spid="_x0000_s1034" style="position:absolute;left:27;top:5221;width:1492;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" fillcolor="#706f6f" stroked="f" strokeweight="2pt">
                  <v:textbox inset="0,0,0,0"/>
                </v:roundrect>
                <v:rect id="Rectángulo 47" o:spid="_x0000_s1035" style="position:absolute;left:996;top:4762;width:2575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07D7FAF5" w14:textId="77777777" w:rsidR="00C22F44" w:rsidRDefault="00C22F44" w:rsidP="00A01C0D">
                        <w:pPr>
                          <w:overflowPunct w:val="0"/>
                          <w:spacing w:line="256" w:lineRule="auto"/>
                          <w:rPr>
                            <w:rFonts w:ascii="Arial" w:eastAsia="Helvetica Neue Medium" w:hAnsi="Arial"/>
                            <w:color w:val="000000"/>
                            <w:sz w:val="16"/>
                            <w:szCs w:val="16"/>
                          </w:rPr>
                        </w:pPr>
                        <w:r>
                          <w:rPr>
                            <w:rFonts w:ascii="Arial" w:eastAsia="Helvetica Neue Medium" w:hAnsi="Arial"/>
                            <w:color w:val="000000"/>
                            <w:sz w:val="16"/>
                            <w:szCs w:val="16"/>
                          </w:rPr>
                          <w:t xml:space="preserve"> Hasta 50 instituciones (3 entidades)</w:t>
                        </w:r>
                      </w:p>
                    </w:txbxContent>
                  </v:textbox>
                </v:rect>
                <w10:wrap anchorx="margin"/>
              </v:group>
            </w:pict>
          </mc:Fallback>
        </mc:AlternateContent>
      </w:r>
      <w:r>
        <w:rPr>
          <w:noProof/>
          <w:color w:val="auto"/>
        </w:rPr>
        <w:t xml:space="preserve"> </w:t>
      </w:r>
      <w:r>
        <w:rPr>
          <w:noProof/>
          <w:color w:val="auto"/>
        </w:rPr>
        <w:drawing>
          <wp:inline distT="0" distB="0" distL="0" distR="0" wp14:anchorId="694F3436" wp14:editId="6881F0C8">
            <wp:extent cx="5503309" cy="360087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0811" cy="3605779"/>
                    </a:xfrm>
                    <a:prstGeom prst="rect">
                      <a:avLst/>
                    </a:prstGeom>
                    <a:noFill/>
                  </pic:spPr>
                </pic:pic>
              </a:graphicData>
            </a:graphic>
          </wp:inline>
        </w:drawing>
      </w:r>
    </w:p>
    <w:p w14:paraId="2A3E352A" w14:textId="2F8A5BE8" w:rsidR="00A83F82" w:rsidRDefault="00A83F82" w:rsidP="009C06D2">
      <w:pPr>
        <w:pStyle w:val="Default"/>
        <w:ind w:left="-567"/>
        <w:jc w:val="both"/>
        <w:rPr>
          <w:color w:val="auto"/>
        </w:rPr>
      </w:pPr>
    </w:p>
    <w:p w14:paraId="69F4B057" w14:textId="3FC60941" w:rsidR="00A83F82" w:rsidRDefault="00A83F82" w:rsidP="009C06D2">
      <w:pPr>
        <w:pStyle w:val="Default"/>
        <w:ind w:left="-567"/>
        <w:jc w:val="both"/>
        <w:rPr>
          <w:color w:val="auto"/>
        </w:rPr>
      </w:pPr>
    </w:p>
    <w:p w14:paraId="2B5DE260" w14:textId="7FCA6B9F" w:rsidR="00A01C0D" w:rsidRDefault="00A01C0D" w:rsidP="009C06D2">
      <w:pPr>
        <w:pStyle w:val="Default"/>
        <w:ind w:left="-567"/>
        <w:jc w:val="both"/>
        <w:rPr>
          <w:color w:val="auto"/>
        </w:rPr>
      </w:pPr>
    </w:p>
    <w:p w14:paraId="138FC1E1" w14:textId="0D0D85D2" w:rsidR="00A01C0D" w:rsidRDefault="00A01C0D" w:rsidP="009C06D2">
      <w:pPr>
        <w:pStyle w:val="Default"/>
        <w:ind w:left="-567"/>
        <w:jc w:val="both"/>
        <w:rPr>
          <w:color w:val="auto"/>
        </w:rPr>
      </w:pPr>
    </w:p>
    <w:p w14:paraId="5AD37BCA" w14:textId="7E40DE8D" w:rsidR="00A01C0D" w:rsidRDefault="00A01C0D" w:rsidP="009C06D2">
      <w:pPr>
        <w:pStyle w:val="Default"/>
        <w:ind w:left="-567"/>
        <w:jc w:val="both"/>
        <w:rPr>
          <w:color w:val="auto"/>
        </w:rPr>
      </w:pPr>
    </w:p>
    <w:p w14:paraId="19A6D630" w14:textId="3073B8CB" w:rsidR="00A01C0D" w:rsidRDefault="00A01C0D" w:rsidP="009C06D2">
      <w:pPr>
        <w:pStyle w:val="Default"/>
        <w:ind w:left="-567"/>
        <w:jc w:val="both"/>
        <w:rPr>
          <w:color w:val="auto"/>
        </w:rPr>
      </w:pPr>
    </w:p>
    <w:p w14:paraId="628516EA" w14:textId="26CD00AD" w:rsidR="00A01C0D" w:rsidRDefault="00A01C0D" w:rsidP="009C06D2">
      <w:pPr>
        <w:pStyle w:val="Default"/>
        <w:ind w:left="-567"/>
        <w:jc w:val="both"/>
        <w:rPr>
          <w:color w:val="auto"/>
        </w:rPr>
      </w:pPr>
    </w:p>
    <w:p w14:paraId="219FB561" w14:textId="06FE1D7D" w:rsidR="00A01C0D" w:rsidRDefault="00A01C0D" w:rsidP="009C06D2">
      <w:pPr>
        <w:pStyle w:val="Default"/>
        <w:ind w:left="-567"/>
        <w:jc w:val="both"/>
        <w:rPr>
          <w:color w:val="auto"/>
        </w:rPr>
      </w:pPr>
    </w:p>
    <w:p w14:paraId="5DBDF051" w14:textId="5AB93E33" w:rsidR="00A01C0D" w:rsidRDefault="00A01C0D" w:rsidP="009C06D2">
      <w:pPr>
        <w:pStyle w:val="Default"/>
        <w:ind w:left="-567"/>
        <w:jc w:val="both"/>
        <w:rPr>
          <w:color w:val="auto"/>
        </w:rPr>
      </w:pPr>
    </w:p>
    <w:p w14:paraId="0F93FE27" w14:textId="3B89C68E" w:rsidR="00A01C0D" w:rsidRDefault="00A01C0D" w:rsidP="009C06D2">
      <w:pPr>
        <w:pStyle w:val="Default"/>
        <w:ind w:left="-567"/>
        <w:jc w:val="both"/>
        <w:rPr>
          <w:color w:val="auto"/>
        </w:rPr>
      </w:pPr>
    </w:p>
    <w:p w14:paraId="2F930BC1" w14:textId="3736C09B" w:rsidR="00A01C0D" w:rsidRDefault="00A01C0D" w:rsidP="009C06D2">
      <w:pPr>
        <w:pStyle w:val="Default"/>
        <w:ind w:left="-567"/>
        <w:jc w:val="both"/>
        <w:rPr>
          <w:color w:val="auto"/>
        </w:rPr>
      </w:pPr>
    </w:p>
    <w:p w14:paraId="6B6D2D1A" w14:textId="28050A15" w:rsidR="00327DBE" w:rsidRDefault="00B618A1" w:rsidP="009C06D2">
      <w:pPr>
        <w:pStyle w:val="Default"/>
        <w:ind w:left="-567"/>
        <w:jc w:val="both"/>
        <w:rPr>
          <w:color w:val="auto"/>
        </w:rPr>
      </w:pPr>
      <w:r>
        <w:rPr>
          <w:color w:val="auto"/>
        </w:rPr>
        <w:t>E</w:t>
      </w:r>
      <w:r w:rsidR="00F536B0">
        <w:rPr>
          <w:color w:val="auto"/>
        </w:rPr>
        <w:t xml:space="preserve">n 2020 </w:t>
      </w:r>
      <w:r w:rsidR="00F536B0" w:rsidRPr="00F536B0">
        <w:rPr>
          <w:color w:val="auto"/>
        </w:rPr>
        <w:t xml:space="preserve">hubo un aumento de 1.5% en la cantidad de instituciones </w:t>
      </w:r>
      <w:r w:rsidR="00F536B0">
        <w:rPr>
          <w:color w:val="auto"/>
        </w:rPr>
        <w:t>de las administraciones públicas estatales con respecto a 2019</w:t>
      </w:r>
      <w:r w:rsidR="00F536B0" w:rsidRPr="00F536B0">
        <w:rPr>
          <w:color w:val="auto"/>
        </w:rPr>
        <w:t>.</w:t>
      </w:r>
      <w:r w:rsidR="00687334">
        <w:rPr>
          <w:color w:val="auto"/>
        </w:rPr>
        <w:t xml:space="preserve"> A continuación</w:t>
      </w:r>
      <w:r w:rsidR="00012443">
        <w:rPr>
          <w:color w:val="auto"/>
        </w:rPr>
        <w:t>,</w:t>
      </w:r>
      <w:r w:rsidR="00687334">
        <w:rPr>
          <w:color w:val="auto"/>
        </w:rPr>
        <w:t xml:space="preserve"> se presenta la cantidad de instituciones </w:t>
      </w:r>
      <w:r w:rsidR="00F66E35">
        <w:rPr>
          <w:color w:val="auto"/>
        </w:rPr>
        <w:t>en el periodo de</w:t>
      </w:r>
      <w:r w:rsidR="00687334">
        <w:rPr>
          <w:color w:val="auto"/>
        </w:rPr>
        <w:t xml:space="preserve"> 2010 a 2020.</w:t>
      </w:r>
    </w:p>
    <w:p w14:paraId="7D9AC42A" w14:textId="771B1021" w:rsidR="00687334" w:rsidRDefault="00687334" w:rsidP="00F66E35">
      <w:pPr>
        <w:pStyle w:val="Default"/>
        <w:jc w:val="both"/>
      </w:pPr>
    </w:p>
    <w:p w14:paraId="6713007A" w14:textId="41B770E4" w:rsidR="00F536B0" w:rsidRDefault="00F536B0" w:rsidP="009C06D2">
      <w:pPr>
        <w:pStyle w:val="Default"/>
        <w:ind w:left="-567"/>
        <w:jc w:val="both"/>
      </w:pPr>
    </w:p>
    <w:p w14:paraId="3572B81D" w14:textId="77777777" w:rsidR="005A2FEB" w:rsidRDefault="005A2FEB" w:rsidP="009C06D2">
      <w:pPr>
        <w:pStyle w:val="Default"/>
        <w:ind w:left="-567"/>
        <w:jc w:val="both"/>
      </w:pPr>
    </w:p>
    <w:p w14:paraId="6E1AB1A1" w14:textId="77777777" w:rsidR="00E20189" w:rsidRDefault="00D24467" w:rsidP="00592A96">
      <w:pPr>
        <w:pStyle w:val="Default"/>
        <w:ind w:left="-567"/>
        <w:jc w:val="center"/>
        <w:rPr>
          <w:b/>
          <w:bCs/>
          <w:i/>
          <w:iCs/>
          <w:color w:val="706F6F"/>
          <w:sz w:val="18"/>
        </w:rPr>
      </w:pPr>
      <w:r w:rsidRPr="00087BF8">
        <w:rPr>
          <w:b/>
          <w:bCs/>
          <w:i/>
          <w:iCs/>
          <w:color w:val="706F6F"/>
          <w:sz w:val="18"/>
        </w:rPr>
        <w:t xml:space="preserve">Gráfica </w:t>
      </w:r>
      <w:r w:rsidR="00E5559C">
        <w:rPr>
          <w:b/>
          <w:bCs/>
          <w:i/>
          <w:iCs/>
          <w:color w:val="706F6F"/>
          <w:sz w:val="18"/>
        </w:rPr>
        <w:t>1</w:t>
      </w:r>
      <w:r w:rsidRPr="00087BF8">
        <w:rPr>
          <w:b/>
          <w:bCs/>
          <w:i/>
          <w:iCs/>
          <w:color w:val="706F6F"/>
          <w:sz w:val="18"/>
        </w:rPr>
        <w:t xml:space="preserve">. </w:t>
      </w:r>
      <w:r w:rsidR="00087BF8">
        <w:rPr>
          <w:b/>
          <w:bCs/>
          <w:i/>
          <w:iCs/>
          <w:color w:val="706F6F"/>
          <w:sz w:val="18"/>
        </w:rPr>
        <w:t>Instituciones de la</w:t>
      </w:r>
      <w:r w:rsidR="00E20189">
        <w:rPr>
          <w:b/>
          <w:bCs/>
          <w:i/>
          <w:iCs/>
          <w:color w:val="706F6F"/>
          <w:sz w:val="18"/>
        </w:rPr>
        <w:t>s</w:t>
      </w:r>
      <w:r w:rsidR="00087BF8">
        <w:rPr>
          <w:b/>
          <w:bCs/>
          <w:i/>
          <w:iCs/>
          <w:color w:val="706F6F"/>
          <w:sz w:val="18"/>
        </w:rPr>
        <w:t xml:space="preserve"> administraci</w:t>
      </w:r>
      <w:r w:rsidR="00E20189">
        <w:rPr>
          <w:b/>
          <w:bCs/>
          <w:i/>
          <w:iCs/>
          <w:color w:val="706F6F"/>
          <w:sz w:val="18"/>
        </w:rPr>
        <w:t>ones</w:t>
      </w:r>
      <w:r w:rsidR="00087BF8">
        <w:rPr>
          <w:b/>
          <w:bCs/>
          <w:i/>
          <w:iCs/>
          <w:color w:val="706F6F"/>
          <w:sz w:val="18"/>
        </w:rPr>
        <w:t xml:space="preserve"> pública</w:t>
      </w:r>
      <w:r w:rsidR="00E20189">
        <w:rPr>
          <w:b/>
          <w:bCs/>
          <w:i/>
          <w:iCs/>
          <w:color w:val="706F6F"/>
          <w:sz w:val="18"/>
        </w:rPr>
        <w:t>s estatales</w:t>
      </w:r>
      <w:r w:rsidR="00087BF8" w:rsidRPr="005D54AA">
        <w:rPr>
          <w:b/>
          <w:bCs/>
          <w:i/>
          <w:iCs/>
          <w:color w:val="706F6F"/>
          <w:sz w:val="18"/>
        </w:rPr>
        <w:t xml:space="preserve">, por entidad federativa al cierre del año, </w:t>
      </w:r>
    </w:p>
    <w:p w14:paraId="5329ED67" w14:textId="7B224E17" w:rsidR="00327DBE" w:rsidRPr="00087BF8" w:rsidRDefault="00087BF8" w:rsidP="00592A96">
      <w:pPr>
        <w:pStyle w:val="Default"/>
        <w:ind w:left="-567"/>
        <w:jc w:val="center"/>
        <w:rPr>
          <w:b/>
          <w:bCs/>
          <w:i/>
          <w:iCs/>
          <w:color w:val="706F6F"/>
          <w:sz w:val="18"/>
        </w:rPr>
      </w:pPr>
      <w:r>
        <w:rPr>
          <w:b/>
          <w:bCs/>
          <w:i/>
          <w:iCs/>
          <w:color w:val="706F6F"/>
          <w:sz w:val="18"/>
        </w:rPr>
        <w:t xml:space="preserve">2010 a </w:t>
      </w:r>
      <w:r w:rsidRPr="005D54AA">
        <w:rPr>
          <w:b/>
          <w:bCs/>
          <w:i/>
          <w:iCs/>
          <w:color w:val="706F6F"/>
          <w:sz w:val="18"/>
        </w:rPr>
        <w:t>2020</w:t>
      </w:r>
    </w:p>
    <w:p w14:paraId="47A81F8C" w14:textId="356470C6" w:rsidR="00A2184D" w:rsidRDefault="00A2184D" w:rsidP="00327DBE">
      <w:pPr>
        <w:pStyle w:val="Default"/>
        <w:ind w:left="-567"/>
        <w:jc w:val="center"/>
        <w:rPr>
          <w:b/>
          <w:bCs/>
          <w:i/>
          <w:iCs/>
          <w:color w:val="56402E"/>
          <w:sz w:val="18"/>
        </w:rPr>
      </w:pPr>
    </w:p>
    <w:p w14:paraId="69473CF6" w14:textId="6CFA8BD2" w:rsidR="00687334" w:rsidRDefault="00687334" w:rsidP="00327DBE">
      <w:pPr>
        <w:pStyle w:val="Default"/>
        <w:ind w:left="-567"/>
        <w:jc w:val="center"/>
        <w:rPr>
          <w:b/>
          <w:bCs/>
          <w:i/>
          <w:iCs/>
          <w:color w:val="56402E"/>
          <w:sz w:val="18"/>
        </w:rPr>
      </w:pPr>
    </w:p>
    <w:p w14:paraId="62D2EB0D" w14:textId="77777777" w:rsidR="00687334" w:rsidRDefault="00687334" w:rsidP="00327DBE">
      <w:pPr>
        <w:pStyle w:val="Default"/>
        <w:ind w:left="-567"/>
        <w:jc w:val="center"/>
        <w:rPr>
          <w:b/>
          <w:bCs/>
          <w:i/>
          <w:iCs/>
          <w:color w:val="56402E"/>
          <w:sz w:val="18"/>
        </w:rPr>
      </w:pPr>
    </w:p>
    <w:p w14:paraId="3F553397" w14:textId="665A38C7" w:rsidR="00087BF8" w:rsidRPr="00A2184D" w:rsidRDefault="00087BF8" w:rsidP="00327DBE">
      <w:pPr>
        <w:pStyle w:val="Default"/>
        <w:ind w:left="-567"/>
        <w:jc w:val="center"/>
        <w:rPr>
          <w:b/>
          <w:bCs/>
          <w:i/>
          <w:iCs/>
          <w:color w:val="56402E"/>
          <w:sz w:val="18"/>
        </w:rPr>
      </w:pPr>
      <w:r>
        <w:rPr>
          <w:noProof/>
        </w:rPr>
        <w:drawing>
          <wp:inline distT="0" distB="0" distL="0" distR="0" wp14:anchorId="2E411451" wp14:editId="647728A0">
            <wp:extent cx="5941060" cy="2724150"/>
            <wp:effectExtent l="0" t="0" r="2540" b="0"/>
            <wp:docPr id="77" name="Gráfico 77">
              <a:extLst xmlns:a="http://schemas.openxmlformats.org/drawingml/2006/main">
                <a:ext uri="{FF2B5EF4-FFF2-40B4-BE49-F238E27FC236}">
                  <a16:creationId xmlns:a16="http://schemas.microsoft.com/office/drawing/2014/main" id="{A2331ACD-731F-44A9-B387-A4D37B4FE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B8B271" w14:textId="1E393119" w:rsidR="00070E31" w:rsidRPr="00632875" w:rsidRDefault="00070E31" w:rsidP="00327DBE">
      <w:pPr>
        <w:pStyle w:val="Default"/>
        <w:ind w:left="-567"/>
        <w:jc w:val="center"/>
        <w:rPr>
          <w:b/>
          <w:bCs/>
          <w:i/>
          <w:iCs/>
          <w:color w:val="D1622F"/>
          <w:sz w:val="18"/>
        </w:rPr>
      </w:pPr>
    </w:p>
    <w:p w14:paraId="2FADD8C4" w14:textId="4A298F5E" w:rsidR="0030324F" w:rsidRDefault="0030324F" w:rsidP="00327DBE">
      <w:pPr>
        <w:pStyle w:val="Default"/>
        <w:ind w:left="-567"/>
        <w:jc w:val="center"/>
        <w:rPr>
          <w:noProof/>
          <w:lang w:eastAsia="es-MX"/>
        </w:rPr>
      </w:pPr>
    </w:p>
    <w:p w14:paraId="376DD44D" w14:textId="30C1EACD" w:rsidR="00E5559C" w:rsidRDefault="00E5559C" w:rsidP="00327DBE">
      <w:pPr>
        <w:pStyle w:val="Default"/>
        <w:ind w:left="-567"/>
        <w:jc w:val="center"/>
        <w:rPr>
          <w:noProof/>
          <w:lang w:eastAsia="es-MX"/>
        </w:rPr>
      </w:pPr>
    </w:p>
    <w:p w14:paraId="1A5985EE" w14:textId="5A7F7A4E" w:rsidR="00E5559C" w:rsidRDefault="00E5559C" w:rsidP="00327DBE">
      <w:pPr>
        <w:pStyle w:val="Default"/>
        <w:ind w:left="-567"/>
        <w:jc w:val="center"/>
        <w:rPr>
          <w:noProof/>
          <w:lang w:eastAsia="es-MX"/>
        </w:rPr>
      </w:pPr>
    </w:p>
    <w:p w14:paraId="6783ED08" w14:textId="5AED2E1A" w:rsidR="00E5559C" w:rsidRDefault="00E5559C" w:rsidP="00327DBE">
      <w:pPr>
        <w:pStyle w:val="Default"/>
        <w:ind w:left="-567"/>
        <w:jc w:val="center"/>
        <w:rPr>
          <w:noProof/>
          <w:lang w:eastAsia="es-MX"/>
        </w:rPr>
      </w:pPr>
    </w:p>
    <w:p w14:paraId="580E7475" w14:textId="4CFA1BCC" w:rsidR="00E5559C" w:rsidRDefault="00E5559C" w:rsidP="00327DBE">
      <w:pPr>
        <w:pStyle w:val="Default"/>
        <w:ind w:left="-567"/>
        <w:jc w:val="center"/>
        <w:rPr>
          <w:noProof/>
          <w:lang w:eastAsia="es-MX"/>
        </w:rPr>
      </w:pPr>
    </w:p>
    <w:p w14:paraId="32092D3D" w14:textId="2524E53E" w:rsidR="00E5559C" w:rsidRDefault="00E5559C" w:rsidP="00327DBE">
      <w:pPr>
        <w:pStyle w:val="Default"/>
        <w:ind w:left="-567"/>
        <w:jc w:val="center"/>
        <w:rPr>
          <w:noProof/>
          <w:lang w:eastAsia="es-MX"/>
        </w:rPr>
      </w:pPr>
    </w:p>
    <w:p w14:paraId="137B3F90" w14:textId="0A2E6391" w:rsidR="00E5559C" w:rsidRDefault="00E5559C" w:rsidP="00327DBE">
      <w:pPr>
        <w:pStyle w:val="Default"/>
        <w:ind w:left="-567"/>
        <w:jc w:val="center"/>
        <w:rPr>
          <w:noProof/>
          <w:lang w:eastAsia="es-MX"/>
        </w:rPr>
      </w:pPr>
    </w:p>
    <w:p w14:paraId="30AE59FD" w14:textId="5055FF26" w:rsidR="00E5559C" w:rsidRDefault="00E5559C" w:rsidP="00327DBE">
      <w:pPr>
        <w:pStyle w:val="Default"/>
        <w:ind w:left="-567"/>
        <w:jc w:val="center"/>
        <w:rPr>
          <w:noProof/>
          <w:lang w:eastAsia="es-MX"/>
        </w:rPr>
      </w:pPr>
    </w:p>
    <w:p w14:paraId="0E2A3A90" w14:textId="595556CB" w:rsidR="00E5559C" w:rsidRDefault="00E5559C" w:rsidP="00327DBE">
      <w:pPr>
        <w:pStyle w:val="Default"/>
        <w:ind w:left="-567"/>
        <w:jc w:val="center"/>
        <w:rPr>
          <w:noProof/>
          <w:lang w:eastAsia="es-MX"/>
        </w:rPr>
      </w:pPr>
    </w:p>
    <w:p w14:paraId="39EF889B" w14:textId="35587A80" w:rsidR="00A01C0D" w:rsidRDefault="00A01C0D" w:rsidP="00327DBE">
      <w:pPr>
        <w:pStyle w:val="Default"/>
        <w:ind w:left="-567"/>
        <w:jc w:val="center"/>
        <w:rPr>
          <w:noProof/>
          <w:lang w:eastAsia="es-MX"/>
        </w:rPr>
      </w:pPr>
    </w:p>
    <w:p w14:paraId="1E605253" w14:textId="7042FB1D" w:rsidR="00A01C0D" w:rsidRDefault="00A01C0D" w:rsidP="00327DBE">
      <w:pPr>
        <w:pStyle w:val="Default"/>
        <w:ind w:left="-567"/>
        <w:jc w:val="center"/>
        <w:rPr>
          <w:noProof/>
          <w:lang w:eastAsia="es-MX"/>
        </w:rPr>
      </w:pPr>
    </w:p>
    <w:p w14:paraId="54A873E1" w14:textId="5D7271C0" w:rsidR="00A01C0D" w:rsidRDefault="00A01C0D" w:rsidP="00327DBE">
      <w:pPr>
        <w:pStyle w:val="Default"/>
        <w:ind w:left="-567"/>
        <w:jc w:val="center"/>
        <w:rPr>
          <w:noProof/>
          <w:lang w:eastAsia="es-MX"/>
        </w:rPr>
      </w:pPr>
    </w:p>
    <w:p w14:paraId="0A82CBFD" w14:textId="56D85857" w:rsidR="00A01C0D" w:rsidRDefault="00A01C0D" w:rsidP="00327DBE">
      <w:pPr>
        <w:pStyle w:val="Default"/>
        <w:ind w:left="-567"/>
        <w:jc w:val="center"/>
        <w:rPr>
          <w:noProof/>
          <w:lang w:eastAsia="es-MX"/>
        </w:rPr>
      </w:pPr>
    </w:p>
    <w:p w14:paraId="44C1DA9F" w14:textId="5BECD782" w:rsidR="00A01C0D" w:rsidRDefault="00A01C0D" w:rsidP="00327DBE">
      <w:pPr>
        <w:pStyle w:val="Default"/>
        <w:ind w:left="-567"/>
        <w:jc w:val="center"/>
        <w:rPr>
          <w:noProof/>
          <w:lang w:eastAsia="es-MX"/>
        </w:rPr>
      </w:pPr>
    </w:p>
    <w:p w14:paraId="28147696" w14:textId="34162299" w:rsidR="00A01C0D" w:rsidRDefault="00A01C0D" w:rsidP="00327DBE">
      <w:pPr>
        <w:pStyle w:val="Default"/>
        <w:ind w:left="-567"/>
        <w:jc w:val="center"/>
        <w:rPr>
          <w:noProof/>
          <w:lang w:eastAsia="es-MX"/>
        </w:rPr>
      </w:pPr>
    </w:p>
    <w:p w14:paraId="503A13B5" w14:textId="5F12F592" w:rsidR="00A01C0D" w:rsidRDefault="00A01C0D" w:rsidP="00327DBE">
      <w:pPr>
        <w:pStyle w:val="Default"/>
        <w:ind w:left="-567"/>
        <w:jc w:val="center"/>
        <w:rPr>
          <w:noProof/>
          <w:lang w:eastAsia="es-MX"/>
        </w:rPr>
      </w:pPr>
    </w:p>
    <w:p w14:paraId="7563D4AD" w14:textId="77777777" w:rsidR="00A01C0D" w:rsidRDefault="00A01C0D" w:rsidP="00327DBE">
      <w:pPr>
        <w:pStyle w:val="Default"/>
        <w:ind w:left="-567"/>
        <w:jc w:val="center"/>
        <w:rPr>
          <w:noProof/>
          <w:lang w:eastAsia="es-MX"/>
        </w:rPr>
      </w:pPr>
    </w:p>
    <w:p w14:paraId="668E8A13" w14:textId="660752B6" w:rsidR="00E5559C" w:rsidRDefault="00E5559C" w:rsidP="00327DBE">
      <w:pPr>
        <w:pStyle w:val="Default"/>
        <w:ind w:left="-567"/>
        <w:jc w:val="center"/>
        <w:rPr>
          <w:noProof/>
          <w:lang w:eastAsia="es-MX"/>
        </w:rPr>
      </w:pPr>
    </w:p>
    <w:p w14:paraId="41FD0C20" w14:textId="67C311D8" w:rsidR="00E5559C" w:rsidRDefault="00E5559C" w:rsidP="00327DBE">
      <w:pPr>
        <w:pStyle w:val="Default"/>
        <w:ind w:left="-567"/>
        <w:jc w:val="center"/>
        <w:rPr>
          <w:noProof/>
          <w:lang w:eastAsia="es-MX"/>
        </w:rPr>
      </w:pPr>
    </w:p>
    <w:p w14:paraId="419082FB" w14:textId="77777777" w:rsidR="00E5559C" w:rsidRDefault="00E5559C" w:rsidP="00327DBE">
      <w:pPr>
        <w:pStyle w:val="Default"/>
        <w:ind w:left="-567"/>
        <w:jc w:val="center"/>
        <w:rPr>
          <w:noProof/>
          <w:lang w:eastAsia="es-MX"/>
        </w:rPr>
      </w:pPr>
    </w:p>
    <w:bookmarkEnd w:id="4"/>
    <w:p w14:paraId="4AEF30DB" w14:textId="3B4DFE70" w:rsidR="00212B1E" w:rsidRDefault="00687334" w:rsidP="00687334">
      <w:pPr>
        <w:pStyle w:val="Default"/>
        <w:ind w:left="-567"/>
        <w:jc w:val="both"/>
        <w:rPr>
          <w:color w:val="auto"/>
        </w:rPr>
      </w:pPr>
      <w:r>
        <w:rPr>
          <w:color w:val="auto"/>
        </w:rPr>
        <w:t xml:space="preserve">Con respecto a las funciones </w:t>
      </w:r>
      <w:r w:rsidR="005A2FEB">
        <w:rPr>
          <w:color w:val="auto"/>
        </w:rPr>
        <w:t>ejercidas</w:t>
      </w:r>
      <w:r>
        <w:rPr>
          <w:color w:val="auto"/>
        </w:rPr>
        <w:t xml:space="preserve"> por las instituciones de las administraciones públicas estatales, destaca que la principal fue educación con </w:t>
      </w:r>
      <w:r w:rsidR="00D12093">
        <w:rPr>
          <w:color w:val="auto"/>
        </w:rPr>
        <w:t xml:space="preserve">587. </w:t>
      </w:r>
    </w:p>
    <w:p w14:paraId="2981AC39" w14:textId="6EB8E2DE" w:rsidR="00687334" w:rsidRDefault="00687334" w:rsidP="00687334">
      <w:pPr>
        <w:pStyle w:val="Default"/>
        <w:ind w:left="-567"/>
        <w:jc w:val="both"/>
        <w:rPr>
          <w:color w:val="auto"/>
        </w:rPr>
      </w:pPr>
    </w:p>
    <w:p w14:paraId="20525A17" w14:textId="77777777" w:rsidR="00687334" w:rsidRDefault="00687334" w:rsidP="00687334">
      <w:pPr>
        <w:pStyle w:val="Default"/>
        <w:ind w:left="-567"/>
        <w:jc w:val="center"/>
        <w:rPr>
          <w:b/>
          <w:bCs/>
          <w:i/>
          <w:iCs/>
          <w:color w:val="706F6F"/>
          <w:sz w:val="18"/>
        </w:rPr>
      </w:pPr>
    </w:p>
    <w:p w14:paraId="2C76E58E" w14:textId="77777777" w:rsidR="00E20189" w:rsidRDefault="00687334" w:rsidP="00687334">
      <w:pPr>
        <w:pStyle w:val="Default"/>
        <w:ind w:left="-567"/>
        <w:jc w:val="center"/>
        <w:rPr>
          <w:b/>
          <w:bCs/>
          <w:i/>
          <w:iCs/>
          <w:color w:val="706F6F"/>
          <w:sz w:val="18"/>
        </w:rPr>
      </w:pPr>
      <w:r w:rsidRPr="00087BF8">
        <w:rPr>
          <w:b/>
          <w:bCs/>
          <w:i/>
          <w:iCs/>
          <w:color w:val="706F6F"/>
          <w:sz w:val="18"/>
        </w:rPr>
        <w:t xml:space="preserve">Gráfica </w:t>
      </w:r>
      <w:r w:rsidR="00E5559C">
        <w:rPr>
          <w:b/>
          <w:bCs/>
          <w:i/>
          <w:iCs/>
          <w:color w:val="706F6F"/>
          <w:sz w:val="18"/>
        </w:rPr>
        <w:t>2</w:t>
      </w:r>
      <w:r w:rsidRPr="00087BF8">
        <w:rPr>
          <w:b/>
          <w:bCs/>
          <w:i/>
          <w:iCs/>
          <w:color w:val="706F6F"/>
          <w:sz w:val="18"/>
        </w:rPr>
        <w:t xml:space="preserve">. </w:t>
      </w:r>
      <w:r>
        <w:rPr>
          <w:b/>
          <w:bCs/>
          <w:i/>
          <w:iCs/>
          <w:color w:val="706F6F"/>
          <w:sz w:val="18"/>
        </w:rPr>
        <w:t>Instituciones de la</w:t>
      </w:r>
      <w:r w:rsidR="00E20189">
        <w:rPr>
          <w:b/>
          <w:bCs/>
          <w:i/>
          <w:iCs/>
          <w:color w:val="706F6F"/>
          <w:sz w:val="18"/>
        </w:rPr>
        <w:t xml:space="preserve">s </w:t>
      </w:r>
      <w:r w:rsidR="00E20189" w:rsidRPr="00E20189">
        <w:rPr>
          <w:b/>
          <w:bCs/>
          <w:i/>
          <w:iCs/>
          <w:color w:val="706F6F"/>
          <w:sz w:val="18"/>
        </w:rPr>
        <w:t>administraciones públicas estatales</w:t>
      </w:r>
      <w:r w:rsidR="00E20189">
        <w:rPr>
          <w:b/>
          <w:bCs/>
          <w:i/>
          <w:iCs/>
          <w:color w:val="706F6F"/>
          <w:sz w:val="18"/>
        </w:rPr>
        <w:t xml:space="preserve"> </w:t>
      </w:r>
      <w:r w:rsidRPr="005D54AA">
        <w:rPr>
          <w:b/>
          <w:bCs/>
          <w:i/>
          <w:iCs/>
          <w:color w:val="706F6F"/>
          <w:sz w:val="18"/>
        </w:rPr>
        <w:t>al cierre del año,</w:t>
      </w:r>
      <w:r w:rsidR="00592A96">
        <w:rPr>
          <w:b/>
          <w:bCs/>
          <w:i/>
          <w:iCs/>
          <w:color w:val="706F6F"/>
          <w:sz w:val="18"/>
        </w:rPr>
        <w:t xml:space="preserve"> </w:t>
      </w:r>
    </w:p>
    <w:p w14:paraId="454AE94B" w14:textId="111D4F46" w:rsidR="00687334" w:rsidRPr="00087BF8" w:rsidRDefault="00592A96" w:rsidP="00687334">
      <w:pPr>
        <w:pStyle w:val="Default"/>
        <w:ind w:left="-567"/>
        <w:jc w:val="center"/>
        <w:rPr>
          <w:b/>
          <w:bCs/>
          <w:i/>
          <w:iCs/>
          <w:color w:val="706F6F"/>
          <w:sz w:val="18"/>
        </w:rPr>
      </w:pPr>
      <w:r>
        <w:rPr>
          <w:b/>
          <w:bCs/>
          <w:i/>
          <w:iCs/>
          <w:color w:val="706F6F"/>
          <w:sz w:val="18"/>
        </w:rPr>
        <w:t>p</w:t>
      </w:r>
      <w:r w:rsidR="00E20189">
        <w:rPr>
          <w:b/>
          <w:bCs/>
          <w:i/>
          <w:iCs/>
          <w:color w:val="706F6F"/>
          <w:sz w:val="18"/>
        </w:rPr>
        <w:t>or p</w:t>
      </w:r>
      <w:r>
        <w:rPr>
          <w:b/>
          <w:bCs/>
          <w:i/>
          <w:iCs/>
          <w:color w:val="706F6F"/>
          <w:sz w:val="18"/>
        </w:rPr>
        <w:t xml:space="preserve">rincipal función </w:t>
      </w:r>
      <w:r w:rsidR="005A2FEB">
        <w:rPr>
          <w:b/>
          <w:bCs/>
          <w:i/>
          <w:iCs/>
          <w:color w:val="706F6F"/>
          <w:sz w:val="18"/>
        </w:rPr>
        <w:t>ejercida</w:t>
      </w:r>
      <w:r>
        <w:rPr>
          <w:b/>
          <w:bCs/>
          <w:i/>
          <w:iCs/>
          <w:color w:val="706F6F"/>
          <w:sz w:val="18"/>
        </w:rPr>
        <w:t>, 2020</w:t>
      </w:r>
    </w:p>
    <w:p w14:paraId="7D52153C" w14:textId="1FFD2C69" w:rsidR="00212B1E" w:rsidRDefault="00D12093" w:rsidP="00D12093">
      <w:pPr>
        <w:pStyle w:val="Default"/>
        <w:ind w:left="-567"/>
        <w:jc w:val="center"/>
        <w:rPr>
          <w:color w:val="auto"/>
        </w:rPr>
      </w:pPr>
      <w:r>
        <w:rPr>
          <w:noProof/>
        </w:rPr>
        <w:drawing>
          <wp:inline distT="0" distB="0" distL="0" distR="0" wp14:anchorId="4E9D6C72" wp14:editId="02AFDEBC">
            <wp:extent cx="5534025" cy="5353050"/>
            <wp:effectExtent l="0" t="0" r="0" b="0"/>
            <wp:docPr id="25" name="Gráfico 25">
              <a:extLst xmlns:a="http://schemas.openxmlformats.org/drawingml/2006/main">
                <a:ext uri="{FF2B5EF4-FFF2-40B4-BE49-F238E27FC236}">
                  <a16:creationId xmlns:a16="http://schemas.microsoft.com/office/drawing/2014/main" id="{080FFE7A-4DCA-4112-BCC4-0407094A3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19928B" w14:textId="77777777" w:rsidR="00212B1E" w:rsidRDefault="00212B1E" w:rsidP="00DC3137">
      <w:pPr>
        <w:pStyle w:val="Default"/>
        <w:ind w:left="-567"/>
        <w:jc w:val="both"/>
        <w:rPr>
          <w:color w:val="auto"/>
        </w:rPr>
      </w:pPr>
    </w:p>
    <w:p w14:paraId="62A4F7C2" w14:textId="77777777" w:rsidR="00212B1E" w:rsidRDefault="00212B1E" w:rsidP="00DC3137">
      <w:pPr>
        <w:pStyle w:val="Default"/>
        <w:ind w:left="-567"/>
        <w:jc w:val="both"/>
        <w:rPr>
          <w:color w:val="auto"/>
        </w:rPr>
      </w:pPr>
    </w:p>
    <w:p w14:paraId="415D353D" w14:textId="77777777" w:rsidR="00592A96" w:rsidRDefault="00592A96" w:rsidP="00821C00">
      <w:pPr>
        <w:pStyle w:val="Default"/>
        <w:jc w:val="both"/>
        <w:rPr>
          <w:noProof/>
        </w:rPr>
      </w:pPr>
    </w:p>
    <w:p w14:paraId="60BD8F50" w14:textId="77777777" w:rsidR="00592A96" w:rsidRDefault="00592A96" w:rsidP="00DC3137">
      <w:pPr>
        <w:pStyle w:val="Default"/>
        <w:ind w:left="-567"/>
        <w:jc w:val="both"/>
        <w:rPr>
          <w:noProof/>
        </w:rPr>
      </w:pPr>
    </w:p>
    <w:p w14:paraId="4E92A662" w14:textId="5BE5324E" w:rsidR="00D12093" w:rsidRDefault="00291E8E" w:rsidP="00DC3137">
      <w:pPr>
        <w:pStyle w:val="Default"/>
        <w:ind w:left="-567"/>
        <w:jc w:val="both"/>
        <w:rPr>
          <w:noProof/>
        </w:rPr>
      </w:pPr>
      <w:r>
        <w:rPr>
          <w:noProof/>
        </w:rPr>
        <w:lastRenderedPageBreak/>
        <w:t>Al cierre de 2020, había 2 161 titulares</w:t>
      </w:r>
      <w:r w:rsidR="0076449D">
        <w:rPr>
          <w:rStyle w:val="Refdenotaalpie"/>
          <w:noProof/>
        </w:rPr>
        <w:footnoteReference w:id="7"/>
      </w:r>
      <w:r>
        <w:rPr>
          <w:noProof/>
        </w:rPr>
        <w:t xml:space="preserve"> al frente de las instituciones de las administraciones públicas estatales, 69.5% eran hombres, 25.5% eran mujeres </w:t>
      </w:r>
      <w:r w:rsidR="008D4494">
        <w:rPr>
          <w:noProof/>
        </w:rPr>
        <w:t xml:space="preserve">y para el restante 5.0% no se especificó el sexo. </w:t>
      </w:r>
      <w:r w:rsidR="00B618A1">
        <w:rPr>
          <w:noProof/>
        </w:rPr>
        <w:t>En contraste con 2019, la cantidad de titulares del sexo masculino disminuyó 2.2%, mientras que para el sexo femenino hubo un aumento de 3.6 por ciento.</w:t>
      </w:r>
      <w:r w:rsidR="000E74C8" w:rsidRPr="000E74C8">
        <w:t xml:space="preserve"> </w:t>
      </w:r>
    </w:p>
    <w:p w14:paraId="093275C8" w14:textId="6FDD40D6" w:rsidR="008D4494" w:rsidRDefault="008D4494" w:rsidP="00DC3137">
      <w:pPr>
        <w:pStyle w:val="Default"/>
        <w:ind w:left="-567"/>
        <w:jc w:val="both"/>
        <w:rPr>
          <w:noProof/>
        </w:rPr>
      </w:pPr>
    </w:p>
    <w:p w14:paraId="160D4103" w14:textId="77777777" w:rsidR="008D4494" w:rsidRDefault="008D4494" w:rsidP="00DC3137">
      <w:pPr>
        <w:pStyle w:val="Default"/>
        <w:ind w:left="-567"/>
        <w:jc w:val="both"/>
        <w:rPr>
          <w:color w:val="auto"/>
        </w:rPr>
      </w:pPr>
    </w:p>
    <w:p w14:paraId="0DBAC228" w14:textId="02D9BE48" w:rsidR="008D4494" w:rsidRDefault="008D4494" w:rsidP="008D4494">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3</w:t>
      </w:r>
      <w:r w:rsidRPr="00087BF8">
        <w:rPr>
          <w:b/>
          <w:bCs/>
          <w:i/>
          <w:iCs/>
          <w:color w:val="706F6F"/>
          <w:sz w:val="18"/>
        </w:rPr>
        <w:t xml:space="preserve">. </w:t>
      </w:r>
      <w:r>
        <w:rPr>
          <w:b/>
          <w:bCs/>
          <w:i/>
          <w:iCs/>
          <w:color w:val="706F6F"/>
          <w:sz w:val="18"/>
        </w:rPr>
        <w:t xml:space="preserve">Titulares de las instituciones de las </w:t>
      </w:r>
      <w:r w:rsidRPr="00E20189">
        <w:rPr>
          <w:b/>
          <w:bCs/>
          <w:i/>
          <w:iCs/>
          <w:color w:val="706F6F"/>
          <w:sz w:val="18"/>
        </w:rPr>
        <w:t>administraciones públicas estatales</w:t>
      </w:r>
      <w:r>
        <w:rPr>
          <w:b/>
          <w:bCs/>
          <w:i/>
          <w:iCs/>
          <w:color w:val="706F6F"/>
          <w:sz w:val="18"/>
        </w:rPr>
        <w:t xml:space="preserve"> </w:t>
      </w:r>
      <w:r w:rsidRPr="005D54AA">
        <w:rPr>
          <w:b/>
          <w:bCs/>
          <w:i/>
          <w:iCs/>
          <w:color w:val="706F6F"/>
          <w:sz w:val="18"/>
        </w:rPr>
        <w:t>al cierre del año,</w:t>
      </w:r>
      <w:r>
        <w:rPr>
          <w:b/>
          <w:bCs/>
          <w:i/>
          <w:iCs/>
          <w:color w:val="706F6F"/>
          <w:sz w:val="18"/>
        </w:rPr>
        <w:t xml:space="preserve"> </w:t>
      </w:r>
      <w:r w:rsidR="00E058F3">
        <w:rPr>
          <w:b/>
          <w:bCs/>
          <w:i/>
          <w:iCs/>
          <w:color w:val="706F6F"/>
          <w:sz w:val="18"/>
        </w:rPr>
        <w:t xml:space="preserve">2010 a </w:t>
      </w:r>
      <w:r>
        <w:rPr>
          <w:b/>
          <w:bCs/>
          <w:i/>
          <w:iCs/>
          <w:color w:val="706F6F"/>
          <w:sz w:val="18"/>
        </w:rPr>
        <w:t>2020</w:t>
      </w:r>
    </w:p>
    <w:p w14:paraId="4E939F8C" w14:textId="105C9ED2" w:rsidR="008D4494" w:rsidRDefault="008D4494" w:rsidP="008D4494">
      <w:pPr>
        <w:pStyle w:val="Default"/>
        <w:ind w:left="-567"/>
        <w:jc w:val="center"/>
        <w:rPr>
          <w:b/>
          <w:bCs/>
          <w:i/>
          <w:iCs/>
          <w:color w:val="706F6F"/>
          <w:sz w:val="18"/>
        </w:rPr>
      </w:pPr>
    </w:p>
    <w:p w14:paraId="4C45936A" w14:textId="4CF97ACB" w:rsidR="008D4494" w:rsidRDefault="008D4494" w:rsidP="008D4494">
      <w:pPr>
        <w:pStyle w:val="Default"/>
        <w:ind w:left="-567"/>
        <w:jc w:val="center"/>
        <w:rPr>
          <w:b/>
          <w:bCs/>
          <w:i/>
          <w:iCs/>
          <w:color w:val="706F6F"/>
          <w:sz w:val="18"/>
        </w:rPr>
      </w:pPr>
      <w:r>
        <w:rPr>
          <w:noProof/>
        </w:rPr>
        <w:drawing>
          <wp:inline distT="0" distB="0" distL="0" distR="0" wp14:anchorId="19E8903F" wp14:editId="59D30F4F">
            <wp:extent cx="5391150" cy="2286000"/>
            <wp:effectExtent l="0" t="0" r="0" b="0"/>
            <wp:docPr id="9" name="Gráfico 9">
              <a:extLst xmlns:a="http://schemas.openxmlformats.org/drawingml/2006/main">
                <a:ext uri="{FF2B5EF4-FFF2-40B4-BE49-F238E27FC236}">
                  <a16:creationId xmlns:a16="http://schemas.microsoft.com/office/drawing/2014/main" id="{F4848322-2523-4E1A-9138-3F995A463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75A8AA" w14:textId="68D1D52E" w:rsidR="002961D7" w:rsidRPr="00BE61E3" w:rsidRDefault="00BE61E3" w:rsidP="00BE61E3">
      <w:pPr>
        <w:pStyle w:val="Default"/>
        <w:ind w:left="-567"/>
        <w:jc w:val="center"/>
        <w:rPr>
          <w:color w:val="auto"/>
          <w:sz w:val="16"/>
          <w:szCs w:val="16"/>
        </w:rPr>
      </w:pPr>
      <w:r>
        <w:rPr>
          <w:color w:val="auto"/>
          <w:sz w:val="16"/>
          <w:szCs w:val="16"/>
        </w:rPr>
        <w:t>Nota: h</w:t>
      </w:r>
      <w:r w:rsidRPr="00BE61E3">
        <w:rPr>
          <w:color w:val="auto"/>
          <w:sz w:val="16"/>
          <w:szCs w:val="16"/>
        </w:rPr>
        <w:t>asta el año 2013</w:t>
      </w:r>
      <w:r w:rsidR="001E7168">
        <w:rPr>
          <w:color w:val="auto"/>
          <w:sz w:val="16"/>
          <w:szCs w:val="16"/>
        </w:rPr>
        <w:t>,</w:t>
      </w:r>
      <w:r w:rsidRPr="00BE61E3">
        <w:rPr>
          <w:color w:val="auto"/>
          <w:sz w:val="16"/>
          <w:szCs w:val="16"/>
        </w:rPr>
        <w:t xml:space="preserve"> el programa estadístico captaba únicamente la información de las y los titulares de las instituciones más relevantes por tipo de función principal. A partir de 2014, </w:t>
      </w:r>
      <w:r>
        <w:rPr>
          <w:color w:val="auto"/>
          <w:sz w:val="16"/>
          <w:szCs w:val="16"/>
        </w:rPr>
        <w:t>se</w:t>
      </w:r>
      <w:r w:rsidRPr="00BE61E3">
        <w:rPr>
          <w:color w:val="auto"/>
          <w:sz w:val="16"/>
          <w:szCs w:val="16"/>
        </w:rPr>
        <w:t xml:space="preserve"> comenzó a captar los datos de</w:t>
      </w:r>
      <w:r>
        <w:rPr>
          <w:color w:val="auto"/>
          <w:sz w:val="16"/>
          <w:szCs w:val="16"/>
        </w:rPr>
        <w:t xml:space="preserve"> la totalidad de</w:t>
      </w:r>
      <w:r w:rsidRPr="00BE61E3">
        <w:rPr>
          <w:color w:val="auto"/>
          <w:sz w:val="16"/>
          <w:szCs w:val="16"/>
        </w:rPr>
        <w:t xml:space="preserve"> titulares de la estr</w:t>
      </w:r>
      <w:r>
        <w:rPr>
          <w:color w:val="auto"/>
          <w:sz w:val="16"/>
          <w:szCs w:val="16"/>
        </w:rPr>
        <w:t>u</w:t>
      </w:r>
      <w:r w:rsidRPr="00BE61E3">
        <w:rPr>
          <w:color w:val="auto"/>
          <w:sz w:val="16"/>
          <w:szCs w:val="16"/>
        </w:rPr>
        <w:t>ctura orgánica de las administraciones públicas.</w:t>
      </w:r>
    </w:p>
    <w:p w14:paraId="4CC8F3A6" w14:textId="10D21375" w:rsidR="00FD123A" w:rsidRDefault="00FD123A" w:rsidP="00FD123A">
      <w:pPr>
        <w:pStyle w:val="Default"/>
        <w:ind w:left="-567"/>
        <w:jc w:val="both"/>
        <w:rPr>
          <w:color w:val="auto"/>
        </w:rPr>
      </w:pPr>
    </w:p>
    <w:p w14:paraId="1CB2FB2A" w14:textId="7129FAE9" w:rsidR="007F0D32" w:rsidRDefault="008D4494" w:rsidP="008D4494">
      <w:pPr>
        <w:ind w:left="-567"/>
        <w:rPr>
          <w:rFonts w:ascii="Arial" w:hAnsi="Arial" w:cs="Arial"/>
          <w:sz w:val="24"/>
          <w:szCs w:val="24"/>
        </w:rPr>
      </w:pPr>
      <w:r w:rsidRPr="008D4494">
        <w:rPr>
          <w:rFonts w:ascii="Arial" w:hAnsi="Arial" w:cs="Arial"/>
          <w:sz w:val="24"/>
          <w:szCs w:val="24"/>
        </w:rPr>
        <w:t xml:space="preserve">Sobre el tiempo de antigüedad </w:t>
      </w:r>
      <w:r w:rsidR="00012443">
        <w:rPr>
          <w:rFonts w:ascii="Arial" w:hAnsi="Arial" w:cs="Arial"/>
          <w:sz w:val="24"/>
          <w:szCs w:val="24"/>
        </w:rPr>
        <w:t xml:space="preserve">de las personas titulares </w:t>
      </w:r>
      <w:r w:rsidRPr="008D4494">
        <w:rPr>
          <w:rFonts w:ascii="Arial" w:hAnsi="Arial" w:cs="Arial"/>
          <w:sz w:val="24"/>
          <w:szCs w:val="24"/>
        </w:rPr>
        <w:t xml:space="preserve">en el cargo, </w:t>
      </w:r>
      <w:r w:rsidR="007F0D32">
        <w:rPr>
          <w:rFonts w:ascii="Arial" w:hAnsi="Arial" w:cs="Arial"/>
          <w:sz w:val="24"/>
          <w:szCs w:val="24"/>
        </w:rPr>
        <w:t>el rango</w:t>
      </w:r>
      <w:r w:rsidR="00080C28">
        <w:rPr>
          <w:rFonts w:ascii="Arial" w:hAnsi="Arial" w:cs="Arial"/>
          <w:sz w:val="24"/>
          <w:szCs w:val="24"/>
        </w:rPr>
        <w:t xml:space="preserve"> principal</w:t>
      </w:r>
      <w:r w:rsidR="007F0D32">
        <w:rPr>
          <w:rFonts w:ascii="Arial" w:hAnsi="Arial" w:cs="Arial"/>
          <w:sz w:val="24"/>
          <w:szCs w:val="24"/>
        </w:rPr>
        <w:t xml:space="preserve"> fue de 1 a 3 años</w:t>
      </w:r>
      <w:r w:rsidR="00E32FA8">
        <w:rPr>
          <w:rFonts w:ascii="Arial" w:hAnsi="Arial" w:cs="Arial"/>
          <w:sz w:val="24"/>
          <w:szCs w:val="24"/>
        </w:rPr>
        <w:t>;</w:t>
      </w:r>
      <w:r w:rsidR="00B618A1">
        <w:rPr>
          <w:rFonts w:ascii="Arial" w:hAnsi="Arial" w:cs="Arial"/>
          <w:sz w:val="24"/>
          <w:szCs w:val="24"/>
        </w:rPr>
        <w:t xml:space="preserve"> </w:t>
      </w:r>
      <w:r w:rsidR="007F0D32">
        <w:rPr>
          <w:rFonts w:ascii="Arial" w:hAnsi="Arial" w:cs="Arial"/>
          <w:sz w:val="24"/>
          <w:szCs w:val="24"/>
        </w:rPr>
        <w:t>en el caso de los hombres representó 55.4% y en el de las mujeres, 52.5</w:t>
      </w:r>
      <w:r w:rsidR="00010846">
        <w:rPr>
          <w:rFonts w:ascii="Arial" w:hAnsi="Arial" w:cs="Arial"/>
          <w:sz w:val="24"/>
          <w:szCs w:val="24"/>
        </w:rPr>
        <w:t xml:space="preserve"> por ciento.</w:t>
      </w:r>
    </w:p>
    <w:p w14:paraId="3DBA1536" w14:textId="1D479BC5" w:rsidR="007F0D32" w:rsidRDefault="007F0D32" w:rsidP="007F0D32">
      <w:pPr>
        <w:pStyle w:val="Default"/>
        <w:ind w:left="-567"/>
        <w:jc w:val="center"/>
        <w:rPr>
          <w:b/>
          <w:bCs/>
          <w:i/>
          <w:iCs/>
          <w:color w:val="706F6F"/>
          <w:sz w:val="18"/>
        </w:rPr>
      </w:pPr>
      <w:r w:rsidRPr="00087BF8">
        <w:rPr>
          <w:b/>
          <w:bCs/>
          <w:i/>
          <w:iCs/>
          <w:color w:val="706F6F"/>
          <w:sz w:val="18"/>
        </w:rPr>
        <w:t xml:space="preserve">Gráfica </w:t>
      </w:r>
      <w:r w:rsidR="00306EFA">
        <w:rPr>
          <w:b/>
          <w:bCs/>
          <w:i/>
          <w:iCs/>
          <w:color w:val="706F6F"/>
          <w:sz w:val="18"/>
        </w:rPr>
        <w:t>4</w:t>
      </w:r>
      <w:r w:rsidRPr="00087BF8">
        <w:rPr>
          <w:b/>
          <w:bCs/>
          <w:i/>
          <w:iCs/>
          <w:color w:val="706F6F"/>
          <w:sz w:val="18"/>
        </w:rPr>
        <w:t xml:space="preserve">. </w:t>
      </w:r>
      <w:r>
        <w:rPr>
          <w:b/>
          <w:bCs/>
          <w:i/>
          <w:iCs/>
          <w:color w:val="706F6F"/>
          <w:sz w:val="18"/>
        </w:rPr>
        <w:t xml:space="preserve">Titulares de las instituciones de las </w:t>
      </w:r>
      <w:r w:rsidRPr="00E20189">
        <w:rPr>
          <w:b/>
          <w:bCs/>
          <w:i/>
          <w:iCs/>
          <w:color w:val="706F6F"/>
          <w:sz w:val="18"/>
        </w:rPr>
        <w:t>administraciones públicas estatales</w:t>
      </w:r>
      <w:r>
        <w:rPr>
          <w:b/>
          <w:bCs/>
          <w:i/>
          <w:iCs/>
          <w:color w:val="706F6F"/>
          <w:sz w:val="18"/>
        </w:rPr>
        <w:t xml:space="preserve"> </w:t>
      </w:r>
      <w:r w:rsidRPr="005D54AA">
        <w:rPr>
          <w:b/>
          <w:bCs/>
          <w:i/>
          <w:iCs/>
          <w:color w:val="706F6F"/>
          <w:sz w:val="18"/>
        </w:rPr>
        <w:t>al cierre del año,</w:t>
      </w:r>
      <w:r>
        <w:rPr>
          <w:b/>
          <w:bCs/>
          <w:i/>
          <w:iCs/>
          <w:color w:val="706F6F"/>
          <w:sz w:val="18"/>
        </w:rPr>
        <w:t xml:space="preserve"> por antigüedad en el cargo, 2020</w:t>
      </w:r>
    </w:p>
    <w:p w14:paraId="61497891" w14:textId="14E0C397" w:rsidR="007F0D32" w:rsidRDefault="004E6FA5" w:rsidP="007F0D32">
      <w:pPr>
        <w:pStyle w:val="Default"/>
        <w:ind w:left="-567"/>
        <w:jc w:val="center"/>
        <w:rPr>
          <w:b/>
          <w:bCs/>
          <w:i/>
          <w:iCs/>
          <w:color w:val="706F6F"/>
          <w:sz w:val="18"/>
        </w:rPr>
      </w:pPr>
      <w:r>
        <w:rPr>
          <w:b/>
          <w:bCs/>
          <w:i/>
          <w:iCs/>
          <w:color w:val="706F6F"/>
          <w:sz w:val="18"/>
        </w:rPr>
        <w:t>(Años)</w:t>
      </w:r>
    </w:p>
    <w:p w14:paraId="7938E247" w14:textId="77777777" w:rsidR="008F52CC" w:rsidRDefault="007F0D32" w:rsidP="004E6FA5">
      <w:pPr>
        <w:pStyle w:val="Default"/>
        <w:ind w:left="-567"/>
        <w:jc w:val="center"/>
      </w:pPr>
      <w:r>
        <w:rPr>
          <w:noProof/>
        </w:rPr>
        <w:drawing>
          <wp:inline distT="0" distB="0" distL="0" distR="0" wp14:anchorId="63D73D8A" wp14:editId="5769B82B">
            <wp:extent cx="4617720" cy="2190307"/>
            <wp:effectExtent l="0" t="0" r="0" b="635"/>
            <wp:docPr id="10" name="Gráfico 10">
              <a:extLst xmlns:a="http://schemas.openxmlformats.org/drawingml/2006/main">
                <a:ext uri="{FF2B5EF4-FFF2-40B4-BE49-F238E27FC236}">
                  <a16:creationId xmlns:a16="http://schemas.microsoft.com/office/drawing/2014/main" id="{2FC1D7A6-024D-495C-84AE-5D66BF0AC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016BF" w14:textId="77777777" w:rsidR="00F8760B" w:rsidRDefault="00F8760B" w:rsidP="004E6FA5">
      <w:pPr>
        <w:pStyle w:val="Default"/>
        <w:ind w:left="-567"/>
        <w:jc w:val="center"/>
        <w:rPr>
          <w:sz w:val="16"/>
          <w:szCs w:val="16"/>
        </w:rPr>
      </w:pPr>
    </w:p>
    <w:p w14:paraId="7E6EC373" w14:textId="4A2C9CBA" w:rsidR="004E6FA5" w:rsidRDefault="008F52CC" w:rsidP="004E6FA5">
      <w:pPr>
        <w:pStyle w:val="Default"/>
        <w:ind w:left="-567"/>
        <w:jc w:val="center"/>
      </w:pPr>
      <w:r>
        <w:rPr>
          <w:sz w:val="16"/>
          <w:szCs w:val="16"/>
        </w:rPr>
        <w:t xml:space="preserve">Nota: </w:t>
      </w:r>
      <w:r w:rsidR="0093432C">
        <w:rPr>
          <w:sz w:val="16"/>
          <w:szCs w:val="16"/>
        </w:rPr>
        <w:t>las distribuciones porcentuales se calcularon con base en 2,053 servidoras y servidores públicos para los que se identificó el sexo</w:t>
      </w:r>
      <w:r w:rsidR="00B41FFA">
        <w:rPr>
          <w:sz w:val="16"/>
          <w:szCs w:val="16"/>
        </w:rPr>
        <w:t xml:space="preserve">. </w:t>
      </w:r>
      <w:r w:rsidR="0093432C">
        <w:rPr>
          <w:sz w:val="16"/>
          <w:szCs w:val="16"/>
        </w:rPr>
        <w:t xml:space="preserve"> </w:t>
      </w:r>
      <w:r w:rsidR="00B41FFA">
        <w:rPr>
          <w:sz w:val="16"/>
          <w:szCs w:val="16"/>
        </w:rPr>
        <w:t>N</w:t>
      </w:r>
      <w:r>
        <w:rPr>
          <w:sz w:val="16"/>
          <w:szCs w:val="16"/>
        </w:rPr>
        <w:t xml:space="preserve">o se incluye la categoría </w:t>
      </w:r>
      <w:r>
        <w:rPr>
          <w:i/>
          <w:iCs/>
          <w:sz w:val="16"/>
          <w:szCs w:val="16"/>
        </w:rPr>
        <w:t>No se sabe</w:t>
      </w:r>
      <w:r>
        <w:rPr>
          <w:sz w:val="16"/>
          <w:szCs w:val="16"/>
        </w:rPr>
        <w:t xml:space="preserve"> que para los hombres correspondió a 8.4% y 10.7</w:t>
      </w:r>
      <w:r w:rsidR="008E7B1F">
        <w:rPr>
          <w:sz w:val="16"/>
          <w:szCs w:val="16"/>
        </w:rPr>
        <w:t>% para las mujeres</w:t>
      </w:r>
      <w:r>
        <w:rPr>
          <w:sz w:val="16"/>
          <w:szCs w:val="16"/>
        </w:rPr>
        <w:t>.</w:t>
      </w:r>
      <w:r w:rsidR="00AC40B6" w:rsidRPr="008D4494">
        <w:br w:type="page"/>
      </w:r>
    </w:p>
    <w:p w14:paraId="5BAB3BC5" w14:textId="77777777" w:rsidR="004E6FA5" w:rsidRDefault="004E6FA5" w:rsidP="004E6FA5">
      <w:pPr>
        <w:pStyle w:val="Default"/>
        <w:ind w:left="-567"/>
        <w:jc w:val="both"/>
        <w:rPr>
          <w:color w:val="auto"/>
        </w:rPr>
      </w:pPr>
    </w:p>
    <w:p w14:paraId="12B77274" w14:textId="012F3E85" w:rsidR="00CA0CE6" w:rsidRPr="00AC40B6" w:rsidRDefault="00CA0CE6" w:rsidP="00CA0CE6">
      <w:pPr>
        <w:pStyle w:val="Default"/>
        <w:ind w:left="-567"/>
        <w:jc w:val="both"/>
        <w:rPr>
          <w:color w:val="auto"/>
        </w:rPr>
      </w:pPr>
      <w:r w:rsidRPr="00AC40B6">
        <w:rPr>
          <w:color w:val="auto"/>
        </w:rPr>
        <w:t>Referente a las característica</w:t>
      </w:r>
      <w:r w:rsidR="002B0A3D">
        <w:rPr>
          <w:color w:val="auto"/>
        </w:rPr>
        <w:t>s sociodemográficas de</w:t>
      </w:r>
      <w:r w:rsidRPr="00AC40B6">
        <w:rPr>
          <w:color w:val="auto"/>
        </w:rPr>
        <w:t xml:space="preserve"> </w:t>
      </w:r>
      <w:r w:rsidR="004C7CB2">
        <w:rPr>
          <w:color w:val="auto"/>
        </w:rPr>
        <w:t>las personas titulares</w:t>
      </w:r>
      <w:r w:rsidRPr="00AC40B6">
        <w:rPr>
          <w:color w:val="auto"/>
        </w:rPr>
        <w:t xml:space="preserve">, </w:t>
      </w:r>
      <w:r>
        <w:rPr>
          <w:color w:val="auto"/>
        </w:rPr>
        <w:t>1.6</w:t>
      </w:r>
      <w:r w:rsidRPr="00AC40B6">
        <w:rPr>
          <w:color w:val="auto"/>
        </w:rPr>
        <w:t>% pertenecía a algún pueblo indígena</w:t>
      </w:r>
      <w:r>
        <w:rPr>
          <w:color w:val="auto"/>
        </w:rPr>
        <w:t>, mientras que</w:t>
      </w:r>
      <w:r w:rsidRPr="00AC40B6">
        <w:rPr>
          <w:color w:val="auto"/>
        </w:rPr>
        <w:t xml:space="preserve"> 0.</w:t>
      </w:r>
      <w:r>
        <w:rPr>
          <w:color w:val="auto"/>
        </w:rPr>
        <w:t>9</w:t>
      </w:r>
      <w:r w:rsidRPr="00AC40B6">
        <w:rPr>
          <w:color w:val="auto"/>
        </w:rPr>
        <w:t xml:space="preserve">% </w:t>
      </w:r>
      <w:r>
        <w:rPr>
          <w:color w:val="auto"/>
        </w:rPr>
        <w:t>presentaba</w:t>
      </w:r>
      <w:r w:rsidRPr="00AC40B6">
        <w:rPr>
          <w:color w:val="auto"/>
        </w:rPr>
        <w:t xml:space="preserve"> alguna condición de discapacidad</w:t>
      </w:r>
      <w:r>
        <w:rPr>
          <w:color w:val="auto"/>
        </w:rPr>
        <w:t>.</w:t>
      </w:r>
    </w:p>
    <w:p w14:paraId="22AE8430" w14:textId="77777777" w:rsidR="00CA0CE6" w:rsidRPr="00AE7483" w:rsidRDefault="00CA0CE6" w:rsidP="00CA0CE6">
      <w:pPr>
        <w:pStyle w:val="Default"/>
        <w:ind w:left="-567"/>
        <w:jc w:val="both"/>
        <w:rPr>
          <w:color w:val="183051"/>
        </w:rPr>
      </w:pPr>
    </w:p>
    <w:p w14:paraId="1C11FA2F" w14:textId="3F434B7E" w:rsidR="00CA0CE6" w:rsidRDefault="00CA0CE6" w:rsidP="00CA0CE6">
      <w:pPr>
        <w:pStyle w:val="Default"/>
        <w:ind w:left="-567"/>
        <w:jc w:val="center"/>
        <w:rPr>
          <w:b/>
          <w:bCs/>
          <w:i/>
          <w:iCs/>
          <w:color w:val="706F6F"/>
          <w:sz w:val="18"/>
        </w:rPr>
      </w:pPr>
      <w:r w:rsidRPr="00087BF8">
        <w:rPr>
          <w:b/>
          <w:bCs/>
          <w:i/>
          <w:iCs/>
          <w:color w:val="706F6F"/>
          <w:sz w:val="18"/>
        </w:rPr>
        <w:t xml:space="preserve">Gráfica </w:t>
      </w:r>
      <w:r w:rsidR="00306EFA">
        <w:rPr>
          <w:b/>
          <w:bCs/>
          <w:i/>
          <w:iCs/>
          <w:color w:val="706F6F"/>
          <w:sz w:val="18"/>
        </w:rPr>
        <w:t>5</w:t>
      </w:r>
      <w:r w:rsidRPr="00087BF8">
        <w:rPr>
          <w:b/>
          <w:bCs/>
          <w:i/>
          <w:iCs/>
          <w:color w:val="706F6F"/>
          <w:sz w:val="18"/>
        </w:rPr>
        <w:t xml:space="preserve">. </w:t>
      </w:r>
      <w:r>
        <w:rPr>
          <w:b/>
          <w:bCs/>
          <w:i/>
          <w:iCs/>
          <w:color w:val="706F6F"/>
          <w:sz w:val="18"/>
        </w:rPr>
        <w:t xml:space="preserve">Titulares de las instituciones de las </w:t>
      </w:r>
      <w:r w:rsidRPr="00E20189">
        <w:rPr>
          <w:b/>
          <w:bCs/>
          <w:i/>
          <w:iCs/>
          <w:color w:val="706F6F"/>
          <w:sz w:val="18"/>
        </w:rPr>
        <w:t>administraciones públicas estatales</w:t>
      </w:r>
      <w:r w:rsidRPr="005D54AA">
        <w:rPr>
          <w:b/>
          <w:bCs/>
          <w:i/>
          <w:iCs/>
          <w:color w:val="706F6F"/>
          <w:sz w:val="18"/>
        </w:rPr>
        <w:t xml:space="preserve">, </w:t>
      </w:r>
      <w:r>
        <w:rPr>
          <w:b/>
          <w:bCs/>
          <w:i/>
          <w:iCs/>
          <w:color w:val="706F6F"/>
          <w:sz w:val="18"/>
        </w:rPr>
        <w:t>por condición de pertenencia a algún pueblo indígena y condición de discapacidad, 2020</w:t>
      </w:r>
    </w:p>
    <w:p w14:paraId="78B7A141" w14:textId="3FC2A9FD" w:rsidR="00CA0CE6" w:rsidRPr="00087BF8" w:rsidRDefault="00CA0CE6" w:rsidP="00CA0CE6">
      <w:pPr>
        <w:pStyle w:val="Default"/>
        <w:ind w:left="-567"/>
        <w:jc w:val="center"/>
        <w:rPr>
          <w:b/>
          <w:bCs/>
          <w:i/>
          <w:iCs/>
          <w:color w:val="706F6F"/>
          <w:sz w:val="18"/>
        </w:rPr>
      </w:pPr>
    </w:p>
    <w:p w14:paraId="37B2460E" w14:textId="2A0013FF" w:rsidR="00CA0CE6" w:rsidRPr="00AE7483" w:rsidRDefault="00413DD5" w:rsidP="00CA0CE6">
      <w:pPr>
        <w:pStyle w:val="Default"/>
        <w:ind w:left="-567"/>
        <w:jc w:val="center"/>
        <w:rPr>
          <w:b/>
          <w:bCs/>
          <w:i/>
          <w:iCs/>
          <w:color w:val="auto"/>
          <w:sz w:val="18"/>
        </w:rPr>
      </w:pPr>
      <w:r>
        <w:rPr>
          <w:noProof/>
        </w:rPr>
        <mc:AlternateContent>
          <mc:Choice Requires="wpg">
            <w:drawing>
              <wp:anchor distT="0" distB="0" distL="114300" distR="114300" simplePos="0" relativeHeight="251663360" behindDoc="0" locked="0" layoutInCell="1" allowOverlap="1" wp14:anchorId="2C1884B5" wp14:editId="301AC598">
                <wp:simplePos x="0" y="0"/>
                <wp:positionH relativeFrom="column">
                  <wp:posOffset>277977</wp:posOffset>
                </wp:positionH>
                <wp:positionV relativeFrom="paragraph">
                  <wp:posOffset>18644</wp:posOffset>
                </wp:positionV>
                <wp:extent cx="4857749" cy="2447925"/>
                <wp:effectExtent l="0" t="0" r="635" b="0"/>
                <wp:wrapNone/>
                <wp:docPr id="30" name="Grupo 5"/>
                <wp:cNvGraphicFramePr/>
                <a:graphic xmlns:a="http://schemas.openxmlformats.org/drawingml/2006/main">
                  <a:graphicData uri="http://schemas.microsoft.com/office/word/2010/wordprocessingGroup">
                    <wpg:wgp>
                      <wpg:cNvGrpSpPr/>
                      <wpg:grpSpPr>
                        <a:xfrm>
                          <a:off x="0" y="0"/>
                          <a:ext cx="4857749" cy="2447925"/>
                          <a:chOff x="0" y="0"/>
                          <a:chExt cx="4857749" cy="2447925"/>
                        </a:xfrm>
                      </wpg:grpSpPr>
                      <wpg:graphicFrame>
                        <wpg:cNvPr id="34" name="Gráfico 34"/>
                        <wpg:cNvFrPr>
                          <a:graphicFrameLocks/>
                        </wpg:cNvFrPr>
                        <wpg:xfrm>
                          <a:off x="0" y="47625"/>
                          <a:ext cx="2400300" cy="24003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48" name="Gráfico 48"/>
                        <wpg:cNvFrPr>
                          <a:graphicFrameLocks/>
                        </wpg:cNvFrPr>
                        <wpg:xfrm>
                          <a:off x="2381250" y="0"/>
                          <a:ext cx="2476499" cy="2428875"/>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anchor>
            </w:drawing>
          </mc:Choice>
          <mc:Fallback xmlns:w16sdtdh="http://schemas.microsoft.com/office/word/2020/wordml/sdtdatahash" xmlns:w16="http://schemas.microsoft.com/office/word/2018/wordml" xmlns:w16cex="http://schemas.microsoft.com/office/word/2018/wordml/cex">
            <w:pict>
              <v:group w14:anchorId="179A18B0" id="Grupo 5" o:spid="_x0000_s1026" style="position:absolute;margin-left:21.9pt;margin-top:1.45pt;width:382.5pt;height:192.75pt;z-index:251663360" coordsize="48577,2447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4" o:spid="_x0000_s1027" type="#_x0000_t75" style="position:absolute;top:487;width:24018;height:2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">
                  <v:imagedata r:id="rId34" o:title=""/>
                  <o:lock v:ext="edit" aspectratio="f"/>
                </v:shape>
                <v:shape id="Gráfico 48" o:spid="_x0000_s1028" type="#_x0000_t75" style="position:absolute;left:23835;width:24750;height:24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">
                  <v:imagedata r:id="rId35" o:title=""/>
                  <o:lock v:ext="edit" aspectratio="f"/>
                </v:shape>
              </v:group>
            </w:pict>
          </mc:Fallback>
        </mc:AlternateContent>
      </w:r>
    </w:p>
    <w:p w14:paraId="4D366246" w14:textId="77777777" w:rsidR="00CA0CE6" w:rsidRDefault="00CA0CE6" w:rsidP="00CA0CE6">
      <w:pPr>
        <w:pStyle w:val="Default"/>
        <w:ind w:left="-993"/>
        <w:jc w:val="center"/>
        <w:rPr>
          <w:b/>
          <w:bCs/>
          <w:i/>
          <w:iCs/>
          <w:color w:val="183051"/>
          <w:sz w:val="18"/>
        </w:rPr>
      </w:pPr>
    </w:p>
    <w:p w14:paraId="3A64F371" w14:textId="77777777" w:rsidR="00CA0CE6" w:rsidRPr="00AE7483" w:rsidRDefault="00CA0CE6" w:rsidP="00CA0CE6">
      <w:pPr>
        <w:pStyle w:val="Default"/>
        <w:ind w:left="-851"/>
        <w:jc w:val="center"/>
        <w:rPr>
          <w:b/>
          <w:bCs/>
          <w:i/>
          <w:iCs/>
          <w:color w:val="auto"/>
          <w:sz w:val="18"/>
        </w:rPr>
      </w:pPr>
    </w:p>
    <w:p w14:paraId="4DDC11FD" w14:textId="77777777" w:rsidR="00CA0CE6" w:rsidRDefault="00CA0CE6" w:rsidP="00CA0CE6">
      <w:pPr>
        <w:pStyle w:val="Default"/>
        <w:ind w:left="-567"/>
        <w:jc w:val="center"/>
        <w:rPr>
          <w:b/>
          <w:bCs/>
          <w:i/>
          <w:iCs/>
          <w:color w:val="183051"/>
          <w:sz w:val="18"/>
        </w:rPr>
      </w:pPr>
    </w:p>
    <w:p w14:paraId="0EAAEBE2" w14:textId="77777777" w:rsidR="00CA0CE6" w:rsidRDefault="00CA0CE6" w:rsidP="00CA0CE6">
      <w:pPr>
        <w:pStyle w:val="Default"/>
        <w:ind w:left="-567"/>
        <w:jc w:val="center"/>
        <w:rPr>
          <w:b/>
          <w:bCs/>
          <w:i/>
          <w:iCs/>
          <w:color w:val="285172"/>
          <w:sz w:val="18"/>
        </w:rPr>
      </w:pPr>
    </w:p>
    <w:p w14:paraId="6966DC5A" w14:textId="77777777" w:rsidR="00CA0CE6" w:rsidRDefault="00CA0CE6" w:rsidP="004E6FA5">
      <w:pPr>
        <w:pStyle w:val="Default"/>
        <w:ind w:left="-567"/>
        <w:jc w:val="both"/>
        <w:rPr>
          <w:color w:val="auto"/>
        </w:rPr>
      </w:pPr>
    </w:p>
    <w:p w14:paraId="346B7F02" w14:textId="77777777" w:rsidR="00CA0CE6" w:rsidRDefault="00CA0CE6" w:rsidP="004E6FA5">
      <w:pPr>
        <w:pStyle w:val="Default"/>
        <w:ind w:left="-567"/>
        <w:jc w:val="both"/>
        <w:rPr>
          <w:color w:val="auto"/>
        </w:rPr>
      </w:pPr>
    </w:p>
    <w:p w14:paraId="28CE1051" w14:textId="77777777" w:rsidR="00CA0CE6" w:rsidRDefault="00CA0CE6" w:rsidP="004E6FA5">
      <w:pPr>
        <w:pStyle w:val="Default"/>
        <w:ind w:left="-567"/>
        <w:jc w:val="both"/>
        <w:rPr>
          <w:color w:val="auto"/>
        </w:rPr>
      </w:pPr>
    </w:p>
    <w:p w14:paraId="3F51750E" w14:textId="77777777" w:rsidR="00CA0CE6" w:rsidRDefault="00CA0CE6" w:rsidP="004E6FA5">
      <w:pPr>
        <w:pStyle w:val="Default"/>
        <w:ind w:left="-567"/>
        <w:jc w:val="both"/>
        <w:rPr>
          <w:color w:val="auto"/>
        </w:rPr>
      </w:pPr>
    </w:p>
    <w:p w14:paraId="4C4AA37E" w14:textId="77777777" w:rsidR="00CA0CE6" w:rsidRDefault="00CA0CE6" w:rsidP="004E6FA5">
      <w:pPr>
        <w:pStyle w:val="Default"/>
        <w:ind w:left="-567"/>
        <w:jc w:val="both"/>
        <w:rPr>
          <w:color w:val="auto"/>
        </w:rPr>
      </w:pPr>
    </w:p>
    <w:p w14:paraId="4CAB5CAF" w14:textId="77777777" w:rsidR="00CA0CE6" w:rsidRDefault="00CA0CE6" w:rsidP="004E6FA5">
      <w:pPr>
        <w:pStyle w:val="Default"/>
        <w:ind w:left="-567"/>
        <w:jc w:val="both"/>
        <w:rPr>
          <w:color w:val="auto"/>
        </w:rPr>
      </w:pPr>
    </w:p>
    <w:p w14:paraId="20EDBC48" w14:textId="77777777" w:rsidR="00CA0CE6" w:rsidRDefault="00CA0CE6" w:rsidP="004E6FA5">
      <w:pPr>
        <w:pStyle w:val="Default"/>
        <w:ind w:left="-567"/>
        <w:jc w:val="both"/>
        <w:rPr>
          <w:color w:val="auto"/>
        </w:rPr>
      </w:pPr>
    </w:p>
    <w:p w14:paraId="1564B2D9" w14:textId="77777777" w:rsidR="00CA0CE6" w:rsidRDefault="00CA0CE6" w:rsidP="004E6FA5">
      <w:pPr>
        <w:pStyle w:val="Default"/>
        <w:ind w:left="-567"/>
        <w:jc w:val="both"/>
        <w:rPr>
          <w:color w:val="auto"/>
        </w:rPr>
      </w:pPr>
    </w:p>
    <w:p w14:paraId="25691EAE" w14:textId="77777777" w:rsidR="00CA0CE6" w:rsidRDefault="00CA0CE6" w:rsidP="004E6FA5">
      <w:pPr>
        <w:pStyle w:val="Default"/>
        <w:ind w:left="-567"/>
        <w:jc w:val="both"/>
        <w:rPr>
          <w:color w:val="auto"/>
        </w:rPr>
      </w:pPr>
    </w:p>
    <w:p w14:paraId="1843D71C" w14:textId="77777777" w:rsidR="00CA0CE6" w:rsidRDefault="00CA0CE6" w:rsidP="004E6FA5">
      <w:pPr>
        <w:pStyle w:val="Default"/>
        <w:ind w:left="-567"/>
        <w:jc w:val="both"/>
        <w:rPr>
          <w:color w:val="auto"/>
        </w:rPr>
      </w:pPr>
    </w:p>
    <w:p w14:paraId="7FFA9E51" w14:textId="77777777" w:rsidR="00CA0CE6" w:rsidRDefault="00CA0CE6" w:rsidP="004E6FA5">
      <w:pPr>
        <w:pStyle w:val="Default"/>
        <w:ind w:left="-567"/>
        <w:jc w:val="both"/>
        <w:rPr>
          <w:color w:val="auto"/>
        </w:rPr>
      </w:pPr>
    </w:p>
    <w:p w14:paraId="10F64D7B" w14:textId="77777777" w:rsidR="00CA0CE6" w:rsidRDefault="00CA0CE6" w:rsidP="004E6FA5">
      <w:pPr>
        <w:pStyle w:val="Default"/>
        <w:ind w:left="-567"/>
        <w:jc w:val="both"/>
        <w:rPr>
          <w:color w:val="auto"/>
        </w:rPr>
      </w:pPr>
    </w:p>
    <w:p w14:paraId="5AF8B7FE" w14:textId="77777777" w:rsidR="00CA0CE6" w:rsidRDefault="00CA0CE6" w:rsidP="004E6FA5">
      <w:pPr>
        <w:pStyle w:val="Default"/>
        <w:ind w:left="-567"/>
        <w:jc w:val="both"/>
        <w:rPr>
          <w:color w:val="auto"/>
        </w:rPr>
      </w:pPr>
    </w:p>
    <w:p w14:paraId="6E0FF4B3" w14:textId="79A5714E" w:rsidR="00D12093" w:rsidRPr="005A2FEB" w:rsidRDefault="003C020C" w:rsidP="004E6FA5">
      <w:pPr>
        <w:pStyle w:val="Default"/>
        <w:ind w:left="-567"/>
        <w:jc w:val="both"/>
        <w:rPr>
          <w:color w:val="auto"/>
        </w:rPr>
      </w:pPr>
      <w:r>
        <w:rPr>
          <w:color w:val="auto"/>
        </w:rPr>
        <w:t>En 2020, p</w:t>
      </w:r>
      <w:r w:rsidR="00B618A1">
        <w:rPr>
          <w:color w:val="auto"/>
        </w:rPr>
        <w:t xml:space="preserve">ara el desempeño de sus funciones, las instituciones </w:t>
      </w:r>
      <w:r w:rsidR="0063203E" w:rsidRPr="0063203E">
        <w:rPr>
          <w:color w:val="auto"/>
        </w:rPr>
        <w:t>de las administraciones públicas estatales</w:t>
      </w:r>
      <w:r w:rsidR="00585263">
        <w:rPr>
          <w:color w:val="auto"/>
        </w:rPr>
        <w:t xml:space="preserve"> </w:t>
      </w:r>
      <w:r w:rsidR="008B1465">
        <w:rPr>
          <w:color w:val="auto"/>
        </w:rPr>
        <w:t>contaron con</w:t>
      </w:r>
      <w:r w:rsidR="00585263">
        <w:rPr>
          <w:color w:val="auto"/>
        </w:rPr>
        <w:t xml:space="preserve"> </w:t>
      </w:r>
      <w:r w:rsidR="00585263" w:rsidRPr="00585263">
        <w:rPr>
          <w:color w:val="auto"/>
        </w:rPr>
        <w:t>2</w:t>
      </w:r>
      <w:r w:rsidR="00585263">
        <w:rPr>
          <w:color w:val="auto"/>
        </w:rPr>
        <w:t xml:space="preserve"> </w:t>
      </w:r>
      <w:r w:rsidR="00585263" w:rsidRPr="00585263">
        <w:rPr>
          <w:color w:val="auto"/>
        </w:rPr>
        <w:t>386</w:t>
      </w:r>
      <w:r w:rsidR="00585263">
        <w:rPr>
          <w:color w:val="auto"/>
        </w:rPr>
        <w:t xml:space="preserve"> </w:t>
      </w:r>
      <w:r w:rsidR="00585263" w:rsidRPr="00585263">
        <w:rPr>
          <w:color w:val="auto"/>
        </w:rPr>
        <w:t>206</w:t>
      </w:r>
      <w:r w:rsidR="008B1465">
        <w:rPr>
          <w:color w:val="auto"/>
        </w:rPr>
        <w:t xml:space="preserve"> servidoras y servidores públicos, </w:t>
      </w:r>
      <w:r w:rsidR="00585263">
        <w:rPr>
          <w:color w:val="auto"/>
        </w:rPr>
        <w:t xml:space="preserve">de </w:t>
      </w:r>
      <w:r w:rsidR="008B1465">
        <w:rPr>
          <w:color w:val="auto"/>
        </w:rPr>
        <w:t>ellos</w:t>
      </w:r>
      <w:r w:rsidR="00D7499D">
        <w:rPr>
          <w:color w:val="auto"/>
        </w:rPr>
        <w:t>,</w:t>
      </w:r>
      <w:r w:rsidR="00585263">
        <w:rPr>
          <w:color w:val="auto"/>
        </w:rPr>
        <w:t xml:space="preserve"> 56.3% </w:t>
      </w:r>
      <w:r w:rsidR="008B1465">
        <w:rPr>
          <w:color w:val="auto"/>
        </w:rPr>
        <w:t>fueron</w:t>
      </w:r>
      <w:r w:rsidR="00585263">
        <w:rPr>
          <w:color w:val="auto"/>
        </w:rPr>
        <w:t xml:space="preserve"> mujeres y 43.7%</w:t>
      </w:r>
      <w:r w:rsidR="008B1465">
        <w:rPr>
          <w:color w:val="auto"/>
        </w:rPr>
        <w:t>,</w:t>
      </w:r>
      <w:r w:rsidR="00585263">
        <w:rPr>
          <w:color w:val="auto"/>
        </w:rPr>
        <w:t xml:space="preserve"> hombres. En comparación con 2019, hubo una disminución de 7.2% en la cantidad total de personal.</w:t>
      </w:r>
    </w:p>
    <w:p w14:paraId="00AC35C2" w14:textId="6260FDE8" w:rsidR="00592A96" w:rsidRDefault="00592A96" w:rsidP="00DC3137">
      <w:pPr>
        <w:pStyle w:val="Default"/>
        <w:ind w:left="-567"/>
        <w:jc w:val="both"/>
        <w:rPr>
          <w:noProof/>
        </w:rPr>
      </w:pPr>
    </w:p>
    <w:p w14:paraId="3DF9A637" w14:textId="77777777" w:rsidR="000C1673" w:rsidRDefault="000C1673" w:rsidP="00DC3137">
      <w:pPr>
        <w:pStyle w:val="Default"/>
        <w:ind w:left="-567"/>
        <w:jc w:val="both"/>
        <w:rPr>
          <w:noProof/>
        </w:rPr>
      </w:pPr>
    </w:p>
    <w:p w14:paraId="0E2F9080" w14:textId="7BF55B71" w:rsidR="00E20189" w:rsidRDefault="0063203E" w:rsidP="0063203E">
      <w:pPr>
        <w:pStyle w:val="Default"/>
        <w:ind w:left="-567"/>
        <w:jc w:val="center"/>
        <w:rPr>
          <w:b/>
          <w:bCs/>
          <w:i/>
          <w:iCs/>
          <w:color w:val="706F6F"/>
          <w:sz w:val="18"/>
        </w:rPr>
      </w:pPr>
      <w:r w:rsidRPr="00087BF8">
        <w:rPr>
          <w:b/>
          <w:bCs/>
          <w:i/>
          <w:iCs/>
          <w:color w:val="706F6F"/>
          <w:sz w:val="18"/>
        </w:rPr>
        <w:t xml:space="preserve">Gráfica </w:t>
      </w:r>
      <w:r w:rsidR="00306EFA">
        <w:rPr>
          <w:b/>
          <w:bCs/>
          <w:i/>
          <w:iCs/>
          <w:color w:val="706F6F"/>
          <w:sz w:val="18"/>
        </w:rPr>
        <w:t>6</w:t>
      </w:r>
      <w:r w:rsidRPr="00087BF8">
        <w:rPr>
          <w:b/>
          <w:bCs/>
          <w:i/>
          <w:iCs/>
          <w:color w:val="706F6F"/>
          <w:sz w:val="18"/>
        </w:rPr>
        <w:t xml:space="preserve">. </w:t>
      </w:r>
      <w:r w:rsidR="00585263">
        <w:rPr>
          <w:b/>
          <w:bCs/>
          <w:i/>
          <w:iCs/>
          <w:color w:val="706F6F"/>
          <w:sz w:val="18"/>
        </w:rPr>
        <w:t>Personal adscrito a las i</w:t>
      </w:r>
      <w:r>
        <w:rPr>
          <w:b/>
          <w:bCs/>
          <w:i/>
          <w:iCs/>
          <w:color w:val="706F6F"/>
          <w:sz w:val="18"/>
        </w:rPr>
        <w:t>nstituciones de la</w:t>
      </w:r>
      <w:r w:rsidR="00E20189">
        <w:rPr>
          <w:b/>
          <w:bCs/>
          <w:i/>
          <w:iCs/>
          <w:color w:val="706F6F"/>
          <w:sz w:val="18"/>
        </w:rPr>
        <w:t>s</w:t>
      </w:r>
      <w:r>
        <w:rPr>
          <w:b/>
          <w:bCs/>
          <w:i/>
          <w:iCs/>
          <w:color w:val="706F6F"/>
          <w:sz w:val="18"/>
        </w:rPr>
        <w:t xml:space="preserve"> </w:t>
      </w:r>
      <w:r w:rsidR="00E20189" w:rsidRPr="00E20189">
        <w:rPr>
          <w:b/>
          <w:bCs/>
          <w:i/>
          <w:iCs/>
          <w:color w:val="706F6F"/>
          <w:sz w:val="18"/>
        </w:rPr>
        <w:t>administraciones públicas estatales</w:t>
      </w:r>
      <w:r w:rsidRPr="005D54AA">
        <w:rPr>
          <w:b/>
          <w:bCs/>
          <w:i/>
          <w:iCs/>
          <w:color w:val="706F6F"/>
          <w:sz w:val="18"/>
        </w:rPr>
        <w:t xml:space="preserve">, </w:t>
      </w:r>
    </w:p>
    <w:p w14:paraId="02906A34" w14:textId="3A489958" w:rsidR="0063203E" w:rsidRPr="00087BF8" w:rsidRDefault="00585263" w:rsidP="0063203E">
      <w:pPr>
        <w:pStyle w:val="Default"/>
        <w:ind w:left="-567"/>
        <w:jc w:val="center"/>
        <w:rPr>
          <w:b/>
          <w:bCs/>
          <w:i/>
          <w:iCs/>
          <w:color w:val="706F6F"/>
          <w:sz w:val="18"/>
        </w:rPr>
      </w:pPr>
      <w:r>
        <w:rPr>
          <w:b/>
          <w:bCs/>
          <w:i/>
          <w:iCs/>
          <w:color w:val="706F6F"/>
          <w:sz w:val="18"/>
        </w:rPr>
        <w:t>por sexo</w:t>
      </w:r>
      <w:r w:rsidR="0063203E">
        <w:rPr>
          <w:b/>
          <w:bCs/>
          <w:i/>
          <w:iCs/>
          <w:color w:val="706F6F"/>
          <w:sz w:val="18"/>
        </w:rPr>
        <w:t xml:space="preserve">, </w:t>
      </w:r>
      <w:r>
        <w:rPr>
          <w:b/>
          <w:bCs/>
          <w:i/>
          <w:iCs/>
          <w:color w:val="706F6F"/>
          <w:sz w:val="18"/>
        </w:rPr>
        <w:t xml:space="preserve">2010 a </w:t>
      </w:r>
      <w:r w:rsidR="0063203E">
        <w:rPr>
          <w:b/>
          <w:bCs/>
          <w:i/>
          <w:iCs/>
          <w:color w:val="706F6F"/>
          <w:sz w:val="18"/>
        </w:rPr>
        <w:t>2020</w:t>
      </w:r>
    </w:p>
    <w:p w14:paraId="6376D78E" w14:textId="4E2F9959" w:rsidR="00592A96" w:rsidRDefault="00306EFA" w:rsidP="00585263">
      <w:pPr>
        <w:pStyle w:val="Default"/>
        <w:ind w:left="-567"/>
        <w:jc w:val="center"/>
        <w:rPr>
          <w:noProof/>
        </w:rPr>
      </w:pPr>
      <w:r>
        <w:rPr>
          <w:noProof/>
        </w:rPr>
        <w:drawing>
          <wp:inline distT="0" distB="0" distL="0" distR="0" wp14:anchorId="131AC7A6" wp14:editId="2389283C">
            <wp:extent cx="5854065" cy="2386941"/>
            <wp:effectExtent l="0" t="0" r="0" b="0"/>
            <wp:docPr id="53" name="Gráfico 53">
              <a:extLst xmlns:a="http://schemas.openxmlformats.org/drawingml/2006/main">
                <a:ext uri="{FF2B5EF4-FFF2-40B4-BE49-F238E27FC236}">
                  <a16:creationId xmlns:a16="http://schemas.microsoft.com/office/drawing/2014/main" id="{3AA852D1-5943-4BF3-81C6-6C2D5FA13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B0A4A9" w14:textId="77777777" w:rsidR="00F8760B" w:rsidRDefault="00F8760B" w:rsidP="00A7516A">
      <w:pPr>
        <w:pStyle w:val="Default"/>
        <w:ind w:left="-567"/>
        <w:jc w:val="center"/>
        <w:rPr>
          <w:color w:val="auto"/>
          <w:sz w:val="16"/>
          <w:szCs w:val="16"/>
        </w:rPr>
      </w:pPr>
    </w:p>
    <w:p w14:paraId="52C8E118" w14:textId="523E2D1F" w:rsidR="00DC3137" w:rsidRPr="00A7516A" w:rsidRDefault="00A7516A" w:rsidP="00A7516A">
      <w:pPr>
        <w:pStyle w:val="Default"/>
        <w:ind w:left="-567"/>
        <w:jc w:val="center"/>
        <w:rPr>
          <w:color w:val="auto"/>
          <w:sz w:val="16"/>
          <w:szCs w:val="16"/>
        </w:rPr>
      </w:pPr>
      <w:r w:rsidRPr="00A7516A">
        <w:rPr>
          <w:color w:val="auto"/>
          <w:sz w:val="16"/>
          <w:szCs w:val="16"/>
        </w:rPr>
        <w:t xml:space="preserve">Nota: </w:t>
      </w:r>
      <w:r>
        <w:rPr>
          <w:color w:val="auto"/>
          <w:sz w:val="16"/>
          <w:szCs w:val="16"/>
        </w:rPr>
        <w:t xml:space="preserve">para </w:t>
      </w:r>
      <w:r w:rsidR="00306EFA">
        <w:rPr>
          <w:color w:val="auto"/>
          <w:sz w:val="16"/>
          <w:szCs w:val="16"/>
        </w:rPr>
        <w:t>los</w:t>
      </w:r>
      <w:r>
        <w:rPr>
          <w:color w:val="auto"/>
          <w:sz w:val="16"/>
          <w:szCs w:val="16"/>
        </w:rPr>
        <w:t xml:space="preserve"> año</w:t>
      </w:r>
      <w:r w:rsidR="00306EFA">
        <w:rPr>
          <w:color w:val="auto"/>
          <w:sz w:val="16"/>
          <w:szCs w:val="16"/>
        </w:rPr>
        <w:t>s</w:t>
      </w:r>
      <w:r>
        <w:rPr>
          <w:color w:val="auto"/>
          <w:sz w:val="16"/>
          <w:szCs w:val="16"/>
        </w:rPr>
        <w:t xml:space="preserve"> 2012</w:t>
      </w:r>
      <w:r w:rsidR="00306EFA">
        <w:rPr>
          <w:color w:val="auto"/>
          <w:sz w:val="16"/>
          <w:szCs w:val="16"/>
        </w:rPr>
        <w:t xml:space="preserve"> y 2013</w:t>
      </w:r>
      <w:r>
        <w:rPr>
          <w:color w:val="auto"/>
          <w:sz w:val="16"/>
          <w:szCs w:val="16"/>
        </w:rPr>
        <w:t xml:space="preserve"> no se incluye la categoría </w:t>
      </w:r>
      <w:r>
        <w:rPr>
          <w:i/>
          <w:iCs/>
          <w:color w:val="auto"/>
          <w:sz w:val="16"/>
          <w:szCs w:val="16"/>
        </w:rPr>
        <w:t>No especificado</w:t>
      </w:r>
      <w:r>
        <w:rPr>
          <w:color w:val="auto"/>
          <w:sz w:val="16"/>
          <w:szCs w:val="16"/>
        </w:rPr>
        <w:t xml:space="preserve"> que correspondió a 26,896 </w:t>
      </w:r>
      <w:r w:rsidR="00306EFA">
        <w:rPr>
          <w:color w:val="auto"/>
          <w:sz w:val="16"/>
          <w:szCs w:val="16"/>
        </w:rPr>
        <w:t>y 11</w:t>
      </w:r>
      <w:r w:rsidR="008E7B1F">
        <w:rPr>
          <w:color w:val="auto"/>
          <w:sz w:val="16"/>
          <w:szCs w:val="16"/>
        </w:rPr>
        <w:t>0</w:t>
      </w:r>
      <w:r w:rsidR="00AF54E2">
        <w:rPr>
          <w:color w:val="auto"/>
          <w:sz w:val="16"/>
          <w:szCs w:val="16"/>
        </w:rPr>
        <w:t>,</w:t>
      </w:r>
      <w:r w:rsidR="008E7B1F">
        <w:rPr>
          <w:color w:val="auto"/>
          <w:sz w:val="16"/>
          <w:szCs w:val="16"/>
        </w:rPr>
        <w:t>1</w:t>
      </w:r>
      <w:r w:rsidR="00306EFA">
        <w:rPr>
          <w:color w:val="auto"/>
          <w:sz w:val="16"/>
          <w:szCs w:val="16"/>
        </w:rPr>
        <w:t>34 personas, respectivamente.</w:t>
      </w:r>
    </w:p>
    <w:p w14:paraId="06D1875C" w14:textId="2F428534" w:rsidR="00A7516A" w:rsidRDefault="00A7516A" w:rsidP="00DC3137">
      <w:pPr>
        <w:pStyle w:val="Default"/>
        <w:ind w:left="-567"/>
        <w:jc w:val="both"/>
        <w:rPr>
          <w:color w:val="auto"/>
        </w:rPr>
      </w:pPr>
    </w:p>
    <w:p w14:paraId="482EFDAA" w14:textId="7C86EC33" w:rsidR="00ED554E" w:rsidRDefault="00B1498A" w:rsidP="00AC40B6">
      <w:pPr>
        <w:pStyle w:val="Default"/>
        <w:ind w:left="-567"/>
        <w:jc w:val="both"/>
        <w:rPr>
          <w:color w:val="auto"/>
        </w:rPr>
      </w:pPr>
      <w:r>
        <w:rPr>
          <w:color w:val="auto"/>
        </w:rPr>
        <w:t>Además</w:t>
      </w:r>
      <w:r w:rsidR="00ED554E">
        <w:rPr>
          <w:color w:val="auto"/>
        </w:rPr>
        <w:t>,</w:t>
      </w:r>
      <w:r>
        <w:rPr>
          <w:color w:val="auto"/>
        </w:rPr>
        <w:t xml:space="preserve"> </w:t>
      </w:r>
      <w:r w:rsidR="00DC6100">
        <w:rPr>
          <w:color w:val="auto"/>
        </w:rPr>
        <w:t>del total de personal</w:t>
      </w:r>
      <w:r>
        <w:rPr>
          <w:color w:val="auto"/>
        </w:rPr>
        <w:t xml:space="preserve">, </w:t>
      </w:r>
      <w:r w:rsidR="002B0A3D">
        <w:rPr>
          <w:color w:val="auto"/>
        </w:rPr>
        <w:t xml:space="preserve">las administraciones públicas estatales reportaron que </w:t>
      </w:r>
      <w:r>
        <w:rPr>
          <w:color w:val="auto"/>
        </w:rPr>
        <w:t>4 203 servidoras y servidores públicos fallecieron a causa de COVID-19</w:t>
      </w:r>
      <w:r w:rsidR="00DC6100">
        <w:rPr>
          <w:color w:val="auto"/>
        </w:rPr>
        <w:t xml:space="preserve"> en 2020</w:t>
      </w:r>
      <w:r w:rsidR="00ED554E">
        <w:rPr>
          <w:color w:val="auto"/>
        </w:rPr>
        <w:t xml:space="preserve">. De ellos, 54.9% fueron hombres, 30.6% eran mujeres y para el restante 14.5% no </w:t>
      </w:r>
      <w:r w:rsidR="00131D10">
        <w:rPr>
          <w:color w:val="auto"/>
        </w:rPr>
        <w:t>se especificó</w:t>
      </w:r>
      <w:r w:rsidR="00ED554E">
        <w:rPr>
          <w:color w:val="auto"/>
        </w:rPr>
        <w:t xml:space="preserve"> el sexo. La entidad donde ocurrieron más decesos fue el estado de México, que concentró 47.6% del total nacional.  </w:t>
      </w:r>
    </w:p>
    <w:p w14:paraId="15798F38" w14:textId="73781382" w:rsidR="00E20189" w:rsidRDefault="00E20189" w:rsidP="00AC40B6">
      <w:pPr>
        <w:pStyle w:val="Default"/>
        <w:ind w:left="-567"/>
        <w:jc w:val="both"/>
        <w:rPr>
          <w:color w:val="auto"/>
        </w:rPr>
      </w:pPr>
    </w:p>
    <w:p w14:paraId="43A81139" w14:textId="4E8D2A49" w:rsidR="00E20189" w:rsidRDefault="009F6FC8" w:rsidP="00E20189">
      <w:pPr>
        <w:pStyle w:val="Default"/>
        <w:ind w:left="-567"/>
        <w:jc w:val="center"/>
        <w:rPr>
          <w:b/>
          <w:bCs/>
          <w:i/>
          <w:iCs/>
          <w:color w:val="285172"/>
          <w:sz w:val="18"/>
        </w:rPr>
      </w:pPr>
      <w:r>
        <w:rPr>
          <w:b/>
          <w:bCs/>
          <w:i/>
          <w:iCs/>
          <w:color w:val="706F6F"/>
          <w:sz w:val="18"/>
        </w:rPr>
        <w:t>Cuadro</w:t>
      </w:r>
      <w:r w:rsidRPr="00E20189">
        <w:rPr>
          <w:b/>
          <w:bCs/>
          <w:i/>
          <w:iCs/>
          <w:color w:val="706F6F"/>
          <w:sz w:val="18"/>
        </w:rPr>
        <w:t xml:space="preserve"> </w:t>
      </w:r>
      <w:r w:rsidR="00E20189" w:rsidRPr="00E20189">
        <w:rPr>
          <w:b/>
          <w:bCs/>
          <w:i/>
          <w:iCs/>
          <w:color w:val="706F6F"/>
          <w:sz w:val="18"/>
        </w:rPr>
        <w:t>1. Personal adscrito a las instituciones de la</w:t>
      </w:r>
      <w:r w:rsidR="00E20189">
        <w:rPr>
          <w:b/>
          <w:bCs/>
          <w:i/>
          <w:iCs/>
          <w:color w:val="706F6F"/>
          <w:sz w:val="18"/>
        </w:rPr>
        <w:t>s</w:t>
      </w:r>
      <w:r w:rsidR="00E20189" w:rsidRPr="00E20189">
        <w:rPr>
          <w:b/>
          <w:bCs/>
          <w:i/>
          <w:iCs/>
          <w:color w:val="706F6F"/>
          <w:sz w:val="18"/>
        </w:rPr>
        <w:t xml:space="preserve"> administraciones públicas estatales, </w:t>
      </w:r>
      <w:r w:rsidR="00E20189">
        <w:rPr>
          <w:b/>
          <w:bCs/>
          <w:i/>
          <w:iCs/>
          <w:color w:val="706F6F"/>
          <w:sz w:val="18"/>
        </w:rPr>
        <w:t>fallecido por COVID-19, por entidad federativa, 2020</w:t>
      </w:r>
    </w:p>
    <w:p w14:paraId="123C9AB1" w14:textId="3A0745F7" w:rsidR="00E20189" w:rsidRDefault="00E20189" w:rsidP="00AE7483">
      <w:pPr>
        <w:pStyle w:val="Default"/>
        <w:ind w:left="-567"/>
        <w:jc w:val="center"/>
        <w:rPr>
          <w:b/>
          <w:bCs/>
          <w:i/>
          <w:iCs/>
          <w:color w:val="285172"/>
          <w:sz w:val="18"/>
        </w:rPr>
      </w:pPr>
    </w:p>
    <w:tbl>
      <w:tblPr>
        <w:tblW w:w="4626" w:type="dxa"/>
        <w:jc w:val="center"/>
        <w:tblCellMar>
          <w:left w:w="70" w:type="dxa"/>
          <w:right w:w="70" w:type="dxa"/>
        </w:tblCellMar>
        <w:tblLook w:val="04A0" w:firstRow="1" w:lastRow="0" w:firstColumn="1" w:lastColumn="0" w:noHBand="0" w:noVBand="1"/>
      </w:tblPr>
      <w:tblGrid>
        <w:gridCol w:w="1884"/>
        <w:gridCol w:w="1371"/>
        <w:gridCol w:w="1371"/>
      </w:tblGrid>
      <w:tr w:rsidR="00E20189" w:rsidRPr="00E20189" w14:paraId="5344AAD0" w14:textId="77777777" w:rsidTr="00195DAE">
        <w:trPr>
          <w:trHeight w:val="270"/>
          <w:jc w:val="center"/>
        </w:trPr>
        <w:tc>
          <w:tcPr>
            <w:tcW w:w="1884" w:type="dxa"/>
            <w:tcBorders>
              <w:top w:val="nil"/>
              <w:left w:val="nil"/>
              <w:bottom w:val="nil"/>
              <w:right w:val="nil"/>
            </w:tcBorders>
            <w:shd w:val="clear" w:color="000000" w:fill="006098"/>
            <w:noWrap/>
            <w:vAlign w:val="center"/>
            <w:hideMark/>
          </w:tcPr>
          <w:p w14:paraId="02FE7BE5" w14:textId="77777777" w:rsidR="00E20189" w:rsidRPr="00E20189" w:rsidRDefault="00E20189" w:rsidP="00E20189">
            <w:pPr>
              <w:spacing w:after="0" w:line="240" w:lineRule="auto"/>
              <w:rPr>
                <w:rFonts w:ascii="Arial" w:eastAsia="Times New Roman" w:hAnsi="Arial" w:cs="Arial"/>
                <w:b/>
                <w:bCs/>
                <w:color w:val="FFFFFF"/>
                <w:sz w:val="18"/>
                <w:szCs w:val="18"/>
                <w:lang w:eastAsia="es-MX"/>
              </w:rPr>
            </w:pPr>
            <w:r w:rsidRPr="00E20189">
              <w:rPr>
                <w:rFonts w:ascii="Arial" w:eastAsia="Times New Roman" w:hAnsi="Arial" w:cs="Arial"/>
                <w:b/>
                <w:bCs/>
                <w:color w:val="FFFFFF"/>
                <w:sz w:val="18"/>
                <w:szCs w:val="18"/>
                <w:lang w:eastAsia="es-MX"/>
              </w:rPr>
              <w:t>Entidad federativa</w:t>
            </w:r>
          </w:p>
        </w:tc>
        <w:tc>
          <w:tcPr>
            <w:tcW w:w="1371" w:type="dxa"/>
            <w:tcBorders>
              <w:top w:val="nil"/>
              <w:left w:val="nil"/>
              <w:bottom w:val="nil"/>
              <w:right w:val="nil"/>
            </w:tcBorders>
            <w:shd w:val="clear" w:color="000000" w:fill="006098"/>
            <w:noWrap/>
            <w:vAlign w:val="center"/>
            <w:hideMark/>
          </w:tcPr>
          <w:p w14:paraId="77E3B8AF" w14:textId="77777777" w:rsidR="00E20189" w:rsidRPr="00E20189" w:rsidRDefault="00E20189" w:rsidP="00E20189">
            <w:pPr>
              <w:spacing w:after="0" w:line="240" w:lineRule="auto"/>
              <w:jc w:val="right"/>
              <w:rPr>
                <w:rFonts w:ascii="Arial" w:eastAsia="Times New Roman" w:hAnsi="Arial" w:cs="Arial"/>
                <w:b/>
                <w:bCs/>
                <w:color w:val="FFFFFF"/>
                <w:sz w:val="18"/>
                <w:szCs w:val="18"/>
                <w:lang w:eastAsia="es-MX"/>
              </w:rPr>
            </w:pPr>
            <w:r w:rsidRPr="00E20189">
              <w:rPr>
                <w:rFonts w:ascii="Arial" w:eastAsia="Times New Roman" w:hAnsi="Arial" w:cs="Arial"/>
                <w:b/>
                <w:bCs/>
                <w:color w:val="FFFFFF"/>
                <w:sz w:val="18"/>
                <w:szCs w:val="18"/>
                <w:lang w:eastAsia="es-MX"/>
              </w:rPr>
              <w:t>Total</w:t>
            </w:r>
          </w:p>
        </w:tc>
        <w:tc>
          <w:tcPr>
            <w:tcW w:w="1371" w:type="dxa"/>
            <w:tcBorders>
              <w:top w:val="nil"/>
              <w:left w:val="nil"/>
              <w:bottom w:val="nil"/>
              <w:right w:val="nil"/>
            </w:tcBorders>
            <w:shd w:val="clear" w:color="000000" w:fill="006098"/>
            <w:noWrap/>
            <w:vAlign w:val="center"/>
            <w:hideMark/>
          </w:tcPr>
          <w:p w14:paraId="76311021" w14:textId="77777777" w:rsidR="00E20189" w:rsidRPr="00E20189" w:rsidRDefault="00E20189" w:rsidP="00E20189">
            <w:pPr>
              <w:spacing w:after="0" w:line="240" w:lineRule="auto"/>
              <w:jc w:val="right"/>
              <w:rPr>
                <w:rFonts w:ascii="Arial" w:eastAsia="Times New Roman" w:hAnsi="Arial" w:cs="Arial"/>
                <w:b/>
                <w:bCs/>
                <w:color w:val="FFFFFF"/>
                <w:sz w:val="18"/>
                <w:szCs w:val="18"/>
                <w:lang w:eastAsia="es-MX"/>
              </w:rPr>
            </w:pPr>
            <w:r w:rsidRPr="00E20189">
              <w:rPr>
                <w:rFonts w:ascii="Arial" w:eastAsia="Times New Roman" w:hAnsi="Arial" w:cs="Arial"/>
                <w:b/>
                <w:bCs/>
                <w:color w:val="FFFFFF"/>
                <w:sz w:val="18"/>
                <w:szCs w:val="18"/>
                <w:lang w:eastAsia="es-MX"/>
              </w:rPr>
              <w:t>Porcentaje</w:t>
            </w:r>
          </w:p>
        </w:tc>
      </w:tr>
      <w:tr w:rsidR="00E20189" w:rsidRPr="00E20189" w14:paraId="2B7E64DB"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0C59CBE7"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MEX</w:t>
            </w:r>
          </w:p>
        </w:tc>
        <w:tc>
          <w:tcPr>
            <w:tcW w:w="1371" w:type="dxa"/>
            <w:tcBorders>
              <w:top w:val="nil"/>
              <w:left w:val="nil"/>
              <w:bottom w:val="nil"/>
              <w:right w:val="nil"/>
            </w:tcBorders>
            <w:shd w:val="clear" w:color="000000" w:fill="D5E4F2"/>
            <w:noWrap/>
            <w:vAlign w:val="bottom"/>
            <w:hideMark/>
          </w:tcPr>
          <w:p w14:paraId="6BF00454"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2,001</w:t>
            </w:r>
          </w:p>
        </w:tc>
        <w:tc>
          <w:tcPr>
            <w:tcW w:w="1371" w:type="dxa"/>
            <w:tcBorders>
              <w:top w:val="nil"/>
              <w:left w:val="nil"/>
              <w:bottom w:val="nil"/>
              <w:right w:val="nil"/>
            </w:tcBorders>
            <w:shd w:val="clear" w:color="000000" w:fill="D5E4F2"/>
            <w:noWrap/>
            <w:vAlign w:val="bottom"/>
            <w:hideMark/>
          </w:tcPr>
          <w:p w14:paraId="71E2F92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47.6%</w:t>
            </w:r>
          </w:p>
        </w:tc>
      </w:tr>
      <w:tr w:rsidR="00E20189" w:rsidRPr="00E20189" w14:paraId="65F000D0"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2AEFE4E0"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TAB</w:t>
            </w:r>
          </w:p>
        </w:tc>
        <w:tc>
          <w:tcPr>
            <w:tcW w:w="1371" w:type="dxa"/>
            <w:tcBorders>
              <w:top w:val="nil"/>
              <w:left w:val="nil"/>
              <w:bottom w:val="nil"/>
              <w:right w:val="nil"/>
            </w:tcBorders>
            <w:shd w:val="clear" w:color="000000" w:fill="FFFFFF"/>
            <w:noWrap/>
            <w:vAlign w:val="bottom"/>
            <w:hideMark/>
          </w:tcPr>
          <w:p w14:paraId="502C2B8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365</w:t>
            </w:r>
          </w:p>
        </w:tc>
        <w:tc>
          <w:tcPr>
            <w:tcW w:w="1371" w:type="dxa"/>
            <w:tcBorders>
              <w:top w:val="nil"/>
              <w:left w:val="nil"/>
              <w:bottom w:val="nil"/>
              <w:right w:val="nil"/>
            </w:tcBorders>
            <w:shd w:val="clear" w:color="000000" w:fill="FFFFFF"/>
            <w:noWrap/>
            <w:vAlign w:val="bottom"/>
            <w:hideMark/>
          </w:tcPr>
          <w:p w14:paraId="498DF4AA"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8.7%</w:t>
            </w:r>
          </w:p>
        </w:tc>
      </w:tr>
      <w:tr w:rsidR="00E20189" w:rsidRPr="00E20189" w14:paraId="2CC37BFF"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435C0A59"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HGO</w:t>
            </w:r>
          </w:p>
        </w:tc>
        <w:tc>
          <w:tcPr>
            <w:tcW w:w="1371" w:type="dxa"/>
            <w:tcBorders>
              <w:top w:val="nil"/>
              <w:left w:val="nil"/>
              <w:bottom w:val="nil"/>
              <w:right w:val="nil"/>
            </w:tcBorders>
            <w:shd w:val="clear" w:color="000000" w:fill="D5E4F2"/>
            <w:noWrap/>
            <w:vAlign w:val="bottom"/>
            <w:hideMark/>
          </w:tcPr>
          <w:p w14:paraId="3D05C98E"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183</w:t>
            </w:r>
          </w:p>
        </w:tc>
        <w:tc>
          <w:tcPr>
            <w:tcW w:w="1371" w:type="dxa"/>
            <w:tcBorders>
              <w:top w:val="nil"/>
              <w:left w:val="nil"/>
              <w:bottom w:val="nil"/>
              <w:right w:val="nil"/>
            </w:tcBorders>
            <w:shd w:val="clear" w:color="000000" w:fill="D5E4F2"/>
            <w:noWrap/>
            <w:vAlign w:val="bottom"/>
            <w:hideMark/>
          </w:tcPr>
          <w:p w14:paraId="22122288"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4.4%</w:t>
            </w:r>
          </w:p>
        </w:tc>
      </w:tr>
      <w:tr w:rsidR="00E20189" w:rsidRPr="00E20189" w14:paraId="52B1FCC7"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6278AF24"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AGS</w:t>
            </w:r>
          </w:p>
        </w:tc>
        <w:tc>
          <w:tcPr>
            <w:tcW w:w="1371" w:type="dxa"/>
            <w:tcBorders>
              <w:top w:val="nil"/>
              <w:left w:val="nil"/>
              <w:bottom w:val="nil"/>
              <w:right w:val="nil"/>
            </w:tcBorders>
            <w:shd w:val="clear" w:color="000000" w:fill="FFFFFF"/>
            <w:noWrap/>
            <w:vAlign w:val="bottom"/>
            <w:hideMark/>
          </w:tcPr>
          <w:p w14:paraId="4AE3D92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133</w:t>
            </w:r>
          </w:p>
        </w:tc>
        <w:tc>
          <w:tcPr>
            <w:tcW w:w="1371" w:type="dxa"/>
            <w:tcBorders>
              <w:top w:val="nil"/>
              <w:left w:val="nil"/>
              <w:bottom w:val="nil"/>
              <w:right w:val="nil"/>
            </w:tcBorders>
            <w:shd w:val="clear" w:color="000000" w:fill="FFFFFF"/>
            <w:noWrap/>
            <w:vAlign w:val="bottom"/>
            <w:hideMark/>
          </w:tcPr>
          <w:p w14:paraId="220FC980"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3.2%</w:t>
            </w:r>
          </w:p>
        </w:tc>
      </w:tr>
      <w:tr w:rsidR="00E20189" w:rsidRPr="00E20189" w14:paraId="0C95472E"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113B50DD"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BC</w:t>
            </w:r>
          </w:p>
        </w:tc>
        <w:tc>
          <w:tcPr>
            <w:tcW w:w="1371" w:type="dxa"/>
            <w:tcBorders>
              <w:top w:val="nil"/>
              <w:left w:val="nil"/>
              <w:bottom w:val="nil"/>
              <w:right w:val="nil"/>
            </w:tcBorders>
            <w:shd w:val="clear" w:color="000000" w:fill="D5E4F2"/>
            <w:noWrap/>
            <w:vAlign w:val="bottom"/>
            <w:hideMark/>
          </w:tcPr>
          <w:p w14:paraId="2B99D759"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125</w:t>
            </w:r>
          </w:p>
        </w:tc>
        <w:tc>
          <w:tcPr>
            <w:tcW w:w="1371" w:type="dxa"/>
            <w:tcBorders>
              <w:top w:val="nil"/>
              <w:left w:val="nil"/>
              <w:bottom w:val="nil"/>
              <w:right w:val="nil"/>
            </w:tcBorders>
            <w:shd w:val="clear" w:color="000000" w:fill="D5E4F2"/>
            <w:noWrap/>
            <w:vAlign w:val="bottom"/>
            <w:hideMark/>
          </w:tcPr>
          <w:p w14:paraId="47E7397D"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3.0%</w:t>
            </w:r>
          </w:p>
        </w:tc>
      </w:tr>
      <w:tr w:rsidR="00E20189" w:rsidRPr="00E20189" w14:paraId="4F532EE5"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55D87039"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GRO</w:t>
            </w:r>
          </w:p>
        </w:tc>
        <w:tc>
          <w:tcPr>
            <w:tcW w:w="1371" w:type="dxa"/>
            <w:tcBorders>
              <w:top w:val="nil"/>
              <w:left w:val="nil"/>
              <w:bottom w:val="nil"/>
              <w:right w:val="nil"/>
            </w:tcBorders>
            <w:shd w:val="clear" w:color="000000" w:fill="FFFFFF"/>
            <w:noWrap/>
            <w:vAlign w:val="bottom"/>
            <w:hideMark/>
          </w:tcPr>
          <w:p w14:paraId="6B56239B"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118</w:t>
            </w:r>
          </w:p>
        </w:tc>
        <w:tc>
          <w:tcPr>
            <w:tcW w:w="1371" w:type="dxa"/>
            <w:tcBorders>
              <w:top w:val="nil"/>
              <w:left w:val="nil"/>
              <w:bottom w:val="nil"/>
              <w:right w:val="nil"/>
            </w:tcBorders>
            <w:shd w:val="clear" w:color="000000" w:fill="FFFFFF"/>
            <w:noWrap/>
            <w:vAlign w:val="bottom"/>
            <w:hideMark/>
          </w:tcPr>
          <w:p w14:paraId="62A0D689"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2.8%</w:t>
            </w:r>
          </w:p>
        </w:tc>
      </w:tr>
      <w:tr w:rsidR="00E20189" w:rsidRPr="00E20189" w14:paraId="7E948054"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453ADAF6"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VER</w:t>
            </w:r>
          </w:p>
        </w:tc>
        <w:tc>
          <w:tcPr>
            <w:tcW w:w="1371" w:type="dxa"/>
            <w:tcBorders>
              <w:top w:val="nil"/>
              <w:left w:val="nil"/>
              <w:bottom w:val="nil"/>
              <w:right w:val="nil"/>
            </w:tcBorders>
            <w:shd w:val="clear" w:color="000000" w:fill="D5E4F2"/>
            <w:noWrap/>
            <w:vAlign w:val="bottom"/>
            <w:hideMark/>
          </w:tcPr>
          <w:p w14:paraId="7DEEEC0D"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118</w:t>
            </w:r>
          </w:p>
        </w:tc>
        <w:tc>
          <w:tcPr>
            <w:tcW w:w="1371" w:type="dxa"/>
            <w:tcBorders>
              <w:top w:val="nil"/>
              <w:left w:val="nil"/>
              <w:bottom w:val="nil"/>
              <w:right w:val="nil"/>
            </w:tcBorders>
            <w:shd w:val="clear" w:color="000000" w:fill="D5E4F2"/>
            <w:noWrap/>
            <w:vAlign w:val="bottom"/>
            <w:hideMark/>
          </w:tcPr>
          <w:p w14:paraId="51E2A303"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2.8%</w:t>
            </w:r>
          </w:p>
        </w:tc>
      </w:tr>
      <w:tr w:rsidR="00E20189" w:rsidRPr="00E20189" w14:paraId="1BCD3813"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220C1958"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DGO</w:t>
            </w:r>
          </w:p>
        </w:tc>
        <w:tc>
          <w:tcPr>
            <w:tcW w:w="1371" w:type="dxa"/>
            <w:tcBorders>
              <w:top w:val="nil"/>
              <w:left w:val="nil"/>
              <w:bottom w:val="nil"/>
              <w:right w:val="nil"/>
            </w:tcBorders>
            <w:shd w:val="clear" w:color="000000" w:fill="FFFFFF"/>
            <w:noWrap/>
            <w:vAlign w:val="bottom"/>
            <w:hideMark/>
          </w:tcPr>
          <w:p w14:paraId="4534FE24"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115</w:t>
            </w:r>
          </w:p>
        </w:tc>
        <w:tc>
          <w:tcPr>
            <w:tcW w:w="1371" w:type="dxa"/>
            <w:tcBorders>
              <w:top w:val="nil"/>
              <w:left w:val="nil"/>
              <w:bottom w:val="nil"/>
              <w:right w:val="nil"/>
            </w:tcBorders>
            <w:shd w:val="clear" w:color="000000" w:fill="FFFFFF"/>
            <w:noWrap/>
            <w:vAlign w:val="bottom"/>
            <w:hideMark/>
          </w:tcPr>
          <w:p w14:paraId="1D06754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2.7%</w:t>
            </w:r>
          </w:p>
        </w:tc>
      </w:tr>
      <w:tr w:rsidR="00E20189" w:rsidRPr="00E20189" w14:paraId="6D3EF71D"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2AECF53D"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GTO</w:t>
            </w:r>
          </w:p>
        </w:tc>
        <w:tc>
          <w:tcPr>
            <w:tcW w:w="1371" w:type="dxa"/>
            <w:tcBorders>
              <w:top w:val="nil"/>
              <w:left w:val="nil"/>
              <w:bottom w:val="nil"/>
              <w:right w:val="nil"/>
            </w:tcBorders>
            <w:shd w:val="clear" w:color="000000" w:fill="D5E4F2"/>
            <w:noWrap/>
            <w:vAlign w:val="bottom"/>
            <w:hideMark/>
          </w:tcPr>
          <w:p w14:paraId="5F88F1C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106</w:t>
            </w:r>
          </w:p>
        </w:tc>
        <w:tc>
          <w:tcPr>
            <w:tcW w:w="1371" w:type="dxa"/>
            <w:tcBorders>
              <w:top w:val="nil"/>
              <w:left w:val="nil"/>
              <w:bottom w:val="nil"/>
              <w:right w:val="nil"/>
            </w:tcBorders>
            <w:shd w:val="clear" w:color="000000" w:fill="D5E4F2"/>
            <w:noWrap/>
            <w:vAlign w:val="bottom"/>
            <w:hideMark/>
          </w:tcPr>
          <w:p w14:paraId="23B18B6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2.5%</w:t>
            </w:r>
          </w:p>
        </w:tc>
      </w:tr>
      <w:tr w:rsidR="00E20189" w:rsidRPr="00E20189" w14:paraId="2C1FD410"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239B12EA"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YUC</w:t>
            </w:r>
          </w:p>
        </w:tc>
        <w:tc>
          <w:tcPr>
            <w:tcW w:w="1371" w:type="dxa"/>
            <w:tcBorders>
              <w:top w:val="nil"/>
              <w:left w:val="nil"/>
              <w:bottom w:val="nil"/>
              <w:right w:val="nil"/>
            </w:tcBorders>
            <w:shd w:val="clear" w:color="000000" w:fill="FFFFFF"/>
            <w:noWrap/>
            <w:vAlign w:val="bottom"/>
            <w:hideMark/>
          </w:tcPr>
          <w:p w14:paraId="0F316CC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106</w:t>
            </w:r>
          </w:p>
        </w:tc>
        <w:tc>
          <w:tcPr>
            <w:tcW w:w="1371" w:type="dxa"/>
            <w:tcBorders>
              <w:top w:val="nil"/>
              <w:left w:val="nil"/>
              <w:bottom w:val="nil"/>
              <w:right w:val="nil"/>
            </w:tcBorders>
            <w:shd w:val="clear" w:color="000000" w:fill="FFFFFF"/>
            <w:noWrap/>
            <w:vAlign w:val="bottom"/>
            <w:hideMark/>
          </w:tcPr>
          <w:p w14:paraId="76260878"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2.5%</w:t>
            </w:r>
          </w:p>
        </w:tc>
      </w:tr>
      <w:tr w:rsidR="00E20189" w:rsidRPr="00E20189" w14:paraId="0DE000F7"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5C173603"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QRO</w:t>
            </w:r>
          </w:p>
        </w:tc>
        <w:tc>
          <w:tcPr>
            <w:tcW w:w="1371" w:type="dxa"/>
            <w:tcBorders>
              <w:top w:val="nil"/>
              <w:left w:val="nil"/>
              <w:bottom w:val="nil"/>
              <w:right w:val="nil"/>
            </w:tcBorders>
            <w:shd w:val="clear" w:color="000000" w:fill="D5E4F2"/>
            <w:noWrap/>
            <w:vAlign w:val="bottom"/>
            <w:hideMark/>
          </w:tcPr>
          <w:p w14:paraId="018006E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100</w:t>
            </w:r>
          </w:p>
        </w:tc>
        <w:tc>
          <w:tcPr>
            <w:tcW w:w="1371" w:type="dxa"/>
            <w:tcBorders>
              <w:top w:val="nil"/>
              <w:left w:val="nil"/>
              <w:bottom w:val="nil"/>
              <w:right w:val="nil"/>
            </w:tcBorders>
            <w:shd w:val="clear" w:color="000000" w:fill="D5E4F2"/>
            <w:noWrap/>
            <w:vAlign w:val="bottom"/>
            <w:hideMark/>
          </w:tcPr>
          <w:p w14:paraId="2794ADE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2.4%</w:t>
            </w:r>
          </w:p>
        </w:tc>
      </w:tr>
      <w:tr w:rsidR="00E20189" w:rsidRPr="00E20189" w14:paraId="0554FA4B"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6591A961"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CHIH</w:t>
            </w:r>
          </w:p>
        </w:tc>
        <w:tc>
          <w:tcPr>
            <w:tcW w:w="1371" w:type="dxa"/>
            <w:tcBorders>
              <w:top w:val="nil"/>
              <w:left w:val="nil"/>
              <w:bottom w:val="nil"/>
              <w:right w:val="nil"/>
            </w:tcBorders>
            <w:shd w:val="clear" w:color="000000" w:fill="FFFFFF"/>
            <w:noWrap/>
            <w:vAlign w:val="bottom"/>
            <w:hideMark/>
          </w:tcPr>
          <w:p w14:paraId="201BE5CA"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94</w:t>
            </w:r>
          </w:p>
        </w:tc>
        <w:tc>
          <w:tcPr>
            <w:tcW w:w="1371" w:type="dxa"/>
            <w:tcBorders>
              <w:top w:val="nil"/>
              <w:left w:val="nil"/>
              <w:bottom w:val="nil"/>
              <w:right w:val="nil"/>
            </w:tcBorders>
            <w:shd w:val="clear" w:color="000000" w:fill="FFFFFF"/>
            <w:noWrap/>
            <w:vAlign w:val="bottom"/>
            <w:hideMark/>
          </w:tcPr>
          <w:p w14:paraId="694B359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2.2%</w:t>
            </w:r>
          </w:p>
        </w:tc>
      </w:tr>
      <w:tr w:rsidR="00E20189" w:rsidRPr="00E20189" w14:paraId="40EE4DFD"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2812C772"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NL</w:t>
            </w:r>
          </w:p>
        </w:tc>
        <w:tc>
          <w:tcPr>
            <w:tcW w:w="1371" w:type="dxa"/>
            <w:tcBorders>
              <w:top w:val="nil"/>
              <w:left w:val="nil"/>
              <w:bottom w:val="nil"/>
              <w:right w:val="nil"/>
            </w:tcBorders>
            <w:shd w:val="clear" w:color="000000" w:fill="D5E4F2"/>
            <w:noWrap/>
            <w:vAlign w:val="bottom"/>
            <w:hideMark/>
          </w:tcPr>
          <w:p w14:paraId="737A1CBB"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83</w:t>
            </w:r>
          </w:p>
        </w:tc>
        <w:tc>
          <w:tcPr>
            <w:tcW w:w="1371" w:type="dxa"/>
            <w:tcBorders>
              <w:top w:val="nil"/>
              <w:left w:val="nil"/>
              <w:bottom w:val="nil"/>
              <w:right w:val="nil"/>
            </w:tcBorders>
            <w:shd w:val="clear" w:color="000000" w:fill="D5E4F2"/>
            <w:noWrap/>
            <w:vAlign w:val="bottom"/>
            <w:hideMark/>
          </w:tcPr>
          <w:p w14:paraId="2EAD143E"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2.0%</w:t>
            </w:r>
          </w:p>
        </w:tc>
      </w:tr>
      <w:tr w:rsidR="00E20189" w:rsidRPr="00E20189" w14:paraId="63ECCBBC"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1132B6FC"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CDMX</w:t>
            </w:r>
          </w:p>
        </w:tc>
        <w:tc>
          <w:tcPr>
            <w:tcW w:w="1371" w:type="dxa"/>
            <w:tcBorders>
              <w:top w:val="nil"/>
              <w:left w:val="nil"/>
              <w:bottom w:val="nil"/>
              <w:right w:val="nil"/>
            </w:tcBorders>
            <w:shd w:val="clear" w:color="000000" w:fill="FFFFFF"/>
            <w:noWrap/>
            <w:vAlign w:val="bottom"/>
            <w:hideMark/>
          </w:tcPr>
          <w:p w14:paraId="61A28D61"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77</w:t>
            </w:r>
          </w:p>
        </w:tc>
        <w:tc>
          <w:tcPr>
            <w:tcW w:w="1371" w:type="dxa"/>
            <w:tcBorders>
              <w:top w:val="nil"/>
              <w:left w:val="nil"/>
              <w:bottom w:val="nil"/>
              <w:right w:val="nil"/>
            </w:tcBorders>
            <w:shd w:val="clear" w:color="000000" w:fill="FFFFFF"/>
            <w:noWrap/>
            <w:vAlign w:val="bottom"/>
            <w:hideMark/>
          </w:tcPr>
          <w:p w14:paraId="3416A60B"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1.8%</w:t>
            </w:r>
          </w:p>
        </w:tc>
      </w:tr>
      <w:tr w:rsidR="00E20189" w:rsidRPr="00E20189" w14:paraId="77A1E613"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0E50E00A"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COAH</w:t>
            </w:r>
          </w:p>
        </w:tc>
        <w:tc>
          <w:tcPr>
            <w:tcW w:w="1371" w:type="dxa"/>
            <w:tcBorders>
              <w:top w:val="nil"/>
              <w:left w:val="nil"/>
              <w:bottom w:val="nil"/>
              <w:right w:val="nil"/>
            </w:tcBorders>
            <w:shd w:val="clear" w:color="000000" w:fill="D5E4F2"/>
            <w:noWrap/>
            <w:vAlign w:val="bottom"/>
            <w:hideMark/>
          </w:tcPr>
          <w:p w14:paraId="4FAF92F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73</w:t>
            </w:r>
          </w:p>
        </w:tc>
        <w:tc>
          <w:tcPr>
            <w:tcW w:w="1371" w:type="dxa"/>
            <w:tcBorders>
              <w:top w:val="nil"/>
              <w:left w:val="nil"/>
              <w:bottom w:val="nil"/>
              <w:right w:val="nil"/>
            </w:tcBorders>
            <w:shd w:val="clear" w:color="000000" w:fill="D5E4F2"/>
            <w:noWrap/>
            <w:vAlign w:val="bottom"/>
            <w:hideMark/>
          </w:tcPr>
          <w:p w14:paraId="1DA5AB1B"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1.7%</w:t>
            </w:r>
          </w:p>
        </w:tc>
      </w:tr>
      <w:tr w:rsidR="00E20189" w:rsidRPr="00E20189" w14:paraId="3F6E7974"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19045ABF"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PUE</w:t>
            </w:r>
          </w:p>
        </w:tc>
        <w:tc>
          <w:tcPr>
            <w:tcW w:w="1371" w:type="dxa"/>
            <w:tcBorders>
              <w:top w:val="nil"/>
              <w:left w:val="nil"/>
              <w:bottom w:val="nil"/>
              <w:right w:val="nil"/>
            </w:tcBorders>
            <w:shd w:val="clear" w:color="000000" w:fill="FFFFFF"/>
            <w:noWrap/>
            <w:vAlign w:val="bottom"/>
            <w:hideMark/>
          </w:tcPr>
          <w:p w14:paraId="5719FDF8"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64</w:t>
            </w:r>
          </w:p>
        </w:tc>
        <w:tc>
          <w:tcPr>
            <w:tcW w:w="1371" w:type="dxa"/>
            <w:tcBorders>
              <w:top w:val="nil"/>
              <w:left w:val="nil"/>
              <w:bottom w:val="nil"/>
              <w:right w:val="nil"/>
            </w:tcBorders>
            <w:shd w:val="clear" w:color="000000" w:fill="FFFFFF"/>
            <w:noWrap/>
            <w:vAlign w:val="bottom"/>
            <w:hideMark/>
          </w:tcPr>
          <w:p w14:paraId="1B30EFDC"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1.5%</w:t>
            </w:r>
          </w:p>
        </w:tc>
      </w:tr>
      <w:tr w:rsidR="00E20189" w:rsidRPr="00E20189" w14:paraId="38AD039E"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0C362944"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QROO</w:t>
            </w:r>
          </w:p>
        </w:tc>
        <w:tc>
          <w:tcPr>
            <w:tcW w:w="1371" w:type="dxa"/>
            <w:tcBorders>
              <w:top w:val="nil"/>
              <w:left w:val="nil"/>
              <w:bottom w:val="nil"/>
              <w:right w:val="nil"/>
            </w:tcBorders>
            <w:shd w:val="clear" w:color="000000" w:fill="D5E4F2"/>
            <w:noWrap/>
            <w:vAlign w:val="bottom"/>
            <w:hideMark/>
          </w:tcPr>
          <w:p w14:paraId="14D9CC2E"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54</w:t>
            </w:r>
          </w:p>
        </w:tc>
        <w:tc>
          <w:tcPr>
            <w:tcW w:w="1371" w:type="dxa"/>
            <w:tcBorders>
              <w:top w:val="nil"/>
              <w:left w:val="nil"/>
              <w:bottom w:val="nil"/>
              <w:right w:val="nil"/>
            </w:tcBorders>
            <w:shd w:val="clear" w:color="000000" w:fill="D5E4F2"/>
            <w:noWrap/>
            <w:vAlign w:val="bottom"/>
            <w:hideMark/>
          </w:tcPr>
          <w:p w14:paraId="027AB637"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1.3%</w:t>
            </w:r>
          </w:p>
        </w:tc>
      </w:tr>
      <w:tr w:rsidR="00E20189" w:rsidRPr="00E20189" w14:paraId="4F221059"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6070A19C"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SON</w:t>
            </w:r>
          </w:p>
        </w:tc>
        <w:tc>
          <w:tcPr>
            <w:tcW w:w="1371" w:type="dxa"/>
            <w:tcBorders>
              <w:top w:val="nil"/>
              <w:left w:val="nil"/>
              <w:bottom w:val="nil"/>
              <w:right w:val="nil"/>
            </w:tcBorders>
            <w:shd w:val="clear" w:color="000000" w:fill="FFFFFF"/>
            <w:noWrap/>
            <w:vAlign w:val="bottom"/>
            <w:hideMark/>
          </w:tcPr>
          <w:p w14:paraId="5BF4CD04"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47</w:t>
            </w:r>
          </w:p>
        </w:tc>
        <w:tc>
          <w:tcPr>
            <w:tcW w:w="1371" w:type="dxa"/>
            <w:tcBorders>
              <w:top w:val="nil"/>
              <w:left w:val="nil"/>
              <w:bottom w:val="nil"/>
              <w:right w:val="nil"/>
            </w:tcBorders>
            <w:shd w:val="clear" w:color="000000" w:fill="FFFFFF"/>
            <w:noWrap/>
            <w:vAlign w:val="bottom"/>
            <w:hideMark/>
          </w:tcPr>
          <w:p w14:paraId="5969E92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w:t>
            </w:r>
          </w:p>
        </w:tc>
      </w:tr>
      <w:tr w:rsidR="00E20189" w:rsidRPr="00E20189" w14:paraId="3325D05E"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68DA135A"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JAL</w:t>
            </w:r>
          </w:p>
        </w:tc>
        <w:tc>
          <w:tcPr>
            <w:tcW w:w="1371" w:type="dxa"/>
            <w:tcBorders>
              <w:top w:val="nil"/>
              <w:left w:val="nil"/>
              <w:bottom w:val="nil"/>
              <w:right w:val="nil"/>
            </w:tcBorders>
            <w:shd w:val="clear" w:color="000000" w:fill="D5E4F2"/>
            <w:noWrap/>
            <w:vAlign w:val="bottom"/>
            <w:hideMark/>
          </w:tcPr>
          <w:p w14:paraId="1125488D"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45</w:t>
            </w:r>
          </w:p>
        </w:tc>
        <w:tc>
          <w:tcPr>
            <w:tcW w:w="1371" w:type="dxa"/>
            <w:tcBorders>
              <w:top w:val="nil"/>
              <w:left w:val="nil"/>
              <w:bottom w:val="nil"/>
              <w:right w:val="nil"/>
            </w:tcBorders>
            <w:shd w:val="clear" w:color="000000" w:fill="D5E4F2"/>
            <w:noWrap/>
            <w:vAlign w:val="bottom"/>
            <w:hideMark/>
          </w:tcPr>
          <w:p w14:paraId="5E5D0F6E"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w:t>
            </w:r>
          </w:p>
        </w:tc>
      </w:tr>
      <w:tr w:rsidR="00E20189" w:rsidRPr="00E20189" w14:paraId="6B8CB154"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4CB78515"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ZAC</w:t>
            </w:r>
          </w:p>
        </w:tc>
        <w:tc>
          <w:tcPr>
            <w:tcW w:w="1371" w:type="dxa"/>
            <w:tcBorders>
              <w:top w:val="nil"/>
              <w:left w:val="nil"/>
              <w:bottom w:val="nil"/>
              <w:right w:val="nil"/>
            </w:tcBorders>
            <w:shd w:val="clear" w:color="000000" w:fill="FFFFFF"/>
            <w:noWrap/>
            <w:vAlign w:val="bottom"/>
            <w:hideMark/>
          </w:tcPr>
          <w:p w14:paraId="377955CA"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45</w:t>
            </w:r>
          </w:p>
        </w:tc>
        <w:tc>
          <w:tcPr>
            <w:tcW w:w="1371" w:type="dxa"/>
            <w:tcBorders>
              <w:top w:val="nil"/>
              <w:left w:val="nil"/>
              <w:bottom w:val="nil"/>
              <w:right w:val="nil"/>
            </w:tcBorders>
            <w:shd w:val="clear" w:color="000000" w:fill="FFFFFF"/>
            <w:noWrap/>
            <w:vAlign w:val="bottom"/>
            <w:hideMark/>
          </w:tcPr>
          <w:p w14:paraId="44DCF41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1.1%</w:t>
            </w:r>
          </w:p>
        </w:tc>
      </w:tr>
      <w:tr w:rsidR="00E20189" w:rsidRPr="00E20189" w14:paraId="276D18D3"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0F7BCC58"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SLP</w:t>
            </w:r>
          </w:p>
        </w:tc>
        <w:tc>
          <w:tcPr>
            <w:tcW w:w="1371" w:type="dxa"/>
            <w:tcBorders>
              <w:top w:val="nil"/>
              <w:left w:val="nil"/>
              <w:bottom w:val="nil"/>
              <w:right w:val="nil"/>
            </w:tcBorders>
            <w:shd w:val="clear" w:color="000000" w:fill="D5E4F2"/>
            <w:noWrap/>
            <w:vAlign w:val="bottom"/>
            <w:hideMark/>
          </w:tcPr>
          <w:p w14:paraId="1B5B03F1"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40</w:t>
            </w:r>
          </w:p>
        </w:tc>
        <w:tc>
          <w:tcPr>
            <w:tcW w:w="1371" w:type="dxa"/>
            <w:tcBorders>
              <w:top w:val="nil"/>
              <w:left w:val="nil"/>
              <w:bottom w:val="nil"/>
              <w:right w:val="nil"/>
            </w:tcBorders>
            <w:shd w:val="clear" w:color="000000" w:fill="D5E4F2"/>
            <w:noWrap/>
            <w:vAlign w:val="bottom"/>
            <w:hideMark/>
          </w:tcPr>
          <w:p w14:paraId="0DB30254"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1.0%</w:t>
            </w:r>
          </w:p>
        </w:tc>
      </w:tr>
      <w:tr w:rsidR="00E20189" w:rsidRPr="00E20189" w14:paraId="2E59A3CC"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1F5E14FF"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CAMP</w:t>
            </w:r>
          </w:p>
        </w:tc>
        <w:tc>
          <w:tcPr>
            <w:tcW w:w="1371" w:type="dxa"/>
            <w:tcBorders>
              <w:top w:val="nil"/>
              <w:left w:val="nil"/>
              <w:bottom w:val="nil"/>
              <w:right w:val="nil"/>
            </w:tcBorders>
            <w:shd w:val="clear" w:color="000000" w:fill="FFFFFF"/>
            <w:noWrap/>
            <w:vAlign w:val="bottom"/>
            <w:hideMark/>
          </w:tcPr>
          <w:p w14:paraId="775832E8"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30</w:t>
            </w:r>
          </w:p>
        </w:tc>
        <w:tc>
          <w:tcPr>
            <w:tcW w:w="1371" w:type="dxa"/>
            <w:tcBorders>
              <w:top w:val="nil"/>
              <w:left w:val="nil"/>
              <w:bottom w:val="nil"/>
              <w:right w:val="nil"/>
            </w:tcBorders>
            <w:shd w:val="clear" w:color="000000" w:fill="FFFFFF"/>
            <w:noWrap/>
            <w:vAlign w:val="bottom"/>
            <w:hideMark/>
          </w:tcPr>
          <w:p w14:paraId="0DA5D7E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0.7%</w:t>
            </w:r>
          </w:p>
        </w:tc>
      </w:tr>
      <w:tr w:rsidR="00E20189" w:rsidRPr="00E20189" w14:paraId="5C69D1B3"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3FED96E3"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BCS</w:t>
            </w:r>
          </w:p>
        </w:tc>
        <w:tc>
          <w:tcPr>
            <w:tcW w:w="1371" w:type="dxa"/>
            <w:tcBorders>
              <w:top w:val="nil"/>
              <w:left w:val="nil"/>
              <w:bottom w:val="nil"/>
              <w:right w:val="nil"/>
            </w:tcBorders>
            <w:shd w:val="clear" w:color="000000" w:fill="D5E4F2"/>
            <w:noWrap/>
            <w:vAlign w:val="bottom"/>
            <w:hideMark/>
          </w:tcPr>
          <w:p w14:paraId="18C24AC6"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26</w:t>
            </w:r>
          </w:p>
        </w:tc>
        <w:tc>
          <w:tcPr>
            <w:tcW w:w="1371" w:type="dxa"/>
            <w:tcBorders>
              <w:top w:val="nil"/>
              <w:left w:val="nil"/>
              <w:bottom w:val="nil"/>
              <w:right w:val="nil"/>
            </w:tcBorders>
            <w:shd w:val="clear" w:color="000000" w:fill="D5E4F2"/>
            <w:noWrap/>
            <w:vAlign w:val="bottom"/>
            <w:hideMark/>
          </w:tcPr>
          <w:p w14:paraId="70BB4C44"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0.6%</w:t>
            </w:r>
          </w:p>
        </w:tc>
      </w:tr>
      <w:tr w:rsidR="00E20189" w:rsidRPr="00E20189" w14:paraId="20A81800"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629EA9C0"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CHIS</w:t>
            </w:r>
          </w:p>
        </w:tc>
        <w:tc>
          <w:tcPr>
            <w:tcW w:w="1371" w:type="dxa"/>
            <w:tcBorders>
              <w:top w:val="nil"/>
              <w:left w:val="nil"/>
              <w:bottom w:val="nil"/>
              <w:right w:val="nil"/>
            </w:tcBorders>
            <w:shd w:val="clear" w:color="000000" w:fill="FFFFFF"/>
            <w:noWrap/>
            <w:vAlign w:val="bottom"/>
            <w:hideMark/>
          </w:tcPr>
          <w:p w14:paraId="7BE30FE6"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19</w:t>
            </w:r>
          </w:p>
        </w:tc>
        <w:tc>
          <w:tcPr>
            <w:tcW w:w="1371" w:type="dxa"/>
            <w:tcBorders>
              <w:top w:val="nil"/>
              <w:left w:val="nil"/>
              <w:bottom w:val="nil"/>
              <w:right w:val="nil"/>
            </w:tcBorders>
            <w:shd w:val="clear" w:color="000000" w:fill="FFFFFF"/>
            <w:noWrap/>
            <w:vAlign w:val="bottom"/>
            <w:hideMark/>
          </w:tcPr>
          <w:p w14:paraId="50E5F300"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0.5%</w:t>
            </w:r>
          </w:p>
        </w:tc>
      </w:tr>
      <w:tr w:rsidR="00E20189" w:rsidRPr="00E20189" w14:paraId="0F0D39A2"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6BAD7909"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MICH</w:t>
            </w:r>
          </w:p>
        </w:tc>
        <w:tc>
          <w:tcPr>
            <w:tcW w:w="1371" w:type="dxa"/>
            <w:tcBorders>
              <w:top w:val="nil"/>
              <w:left w:val="nil"/>
              <w:bottom w:val="nil"/>
              <w:right w:val="nil"/>
            </w:tcBorders>
            <w:shd w:val="clear" w:color="000000" w:fill="D5E4F2"/>
            <w:noWrap/>
            <w:vAlign w:val="bottom"/>
            <w:hideMark/>
          </w:tcPr>
          <w:p w14:paraId="7909419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17</w:t>
            </w:r>
          </w:p>
        </w:tc>
        <w:tc>
          <w:tcPr>
            <w:tcW w:w="1371" w:type="dxa"/>
            <w:tcBorders>
              <w:top w:val="nil"/>
              <w:left w:val="nil"/>
              <w:bottom w:val="nil"/>
              <w:right w:val="nil"/>
            </w:tcBorders>
            <w:shd w:val="clear" w:color="000000" w:fill="D5E4F2"/>
            <w:noWrap/>
            <w:vAlign w:val="bottom"/>
            <w:hideMark/>
          </w:tcPr>
          <w:p w14:paraId="7325DFF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0.4%</w:t>
            </w:r>
          </w:p>
        </w:tc>
      </w:tr>
      <w:tr w:rsidR="00E20189" w:rsidRPr="00E20189" w14:paraId="5EBD51F9"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0968B2ED"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NAY</w:t>
            </w:r>
          </w:p>
        </w:tc>
        <w:tc>
          <w:tcPr>
            <w:tcW w:w="1371" w:type="dxa"/>
            <w:tcBorders>
              <w:top w:val="nil"/>
              <w:left w:val="nil"/>
              <w:bottom w:val="nil"/>
              <w:right w:val="nil"/>
            </w:tcBorders>
            <w:shd w:val="clear" w:color="000000" w:fill="FFFFFF"/>
            <w:noWrap/>
            <w:vAlign w:val="bottom"/>
            <w:hideMark/>
          </w:tcPr>
          <w:p w14:paraId="10A4F4FC"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10</w:t>
            </w:r>
          </w:p>
        </w:tc>
        <w:tc>
          <w:tcPr>
            <w:tcW w:w="1371" w:type="dxa"/>
            <w:tcBorders>
              <w:top w:val="nil"/>
              <w:left w:val="nil"/>
              <w:bottom w:val="nil"/>
              <w:right w:val="nil"/>
            </w:tcBorders>
            <w:shd w:val="clear" w:color="000000" w:fill="FFFFFF"/>
            <w:noWrap/>
            <w:vAlign w:val="bottom"/>
            <w:hideMark/>
          </w:tcPr>
          <w:p w14:paraId="23571495"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0.2%</w:t>
            </w:r>
          </w:p>
        </w:tc>
      </w:tr>
      <w:tr w:rsidR="00E20189" w:rsidRPr="00E20189" w14:paraId="1E91E79C"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1FFE9FFD"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COL</w:t>
            </w:r>
          </w:p>
        </w:tc>
        <w:tc>
          <w:tcPr>
            <w:tcW w:w="1371" w:type="dxa"/>
            <w:tcBorders>
              <w:top w:val="nil"/>
              <w:left w:val="nil"/>
              <w:bottom w:val="nil"/>
              <w:right w:val="nil"/>
            </w:tcBorders>
            <w:shd w:val="clear" w:color="000000" w:fill="D5E4F2"/>
            <w:noWrap/>
            <w:vAlign w:val="bottom"/>
            <w:hideMark/>
          </w:tcPr>
          <w:p w14:paraId="064C8149"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w:t>
            </w:r>
          </w:p>
        </w:tc>
        <w:tc>
          <w:tcPr>
            <w:tcW w:w="1371" w:type="dxa"/>
            <w:tcBorders>
              <w:top w:val="nil"/>
              <w:left w:val="nil"/>
              <w:bottom w:val="nil"/>
              <w:right w:val="nil"/>
            </w:tcBorders>
            <w:shd w:val="clear" w:color="000000" w:fill="D5E4F2"/>
            <w:noWrap/>
            <w:vAlign w:val="bottom"/>
            <w:hideMark/>
          </w:tcPr>
          <w:p w14:paraId="40086EDD"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0.1%</w:t>
            </w:r>
          </w:p>
        </w:tc>
      </w:tr>
      <w:tr w:rsidR="00E20189" w:rsidRPr="00E20189" w14:paraId="5F9D65B8" w14:textId="77777777" w:rsidTr="00195DAE">
        <w:trPr>
          <w:trHeight w:val="270"/>
          <w:jc w:val="center"/>
        </w:trPr>
        <w:tc>
          <w:tcPr>
            <w:tcW w:w="1884" w:type="dxa"/>
            <w:tcBorders>
              <w:top w:val="nil"/>
              <w:left w:val="nil"/>
              <w:bottom w:val="nil"/>
              <w:right w:val="nil"/>
            </w:tcBorders>
            <w:shd w:val="clear" w:color="000000" w:fill="FFFFFF"/>
            <w:noWrap/>
            <w:vAlign w:val="bottom"/>
            <w:hideMark/>
          </w:tcPr>
          <w:p w14:paraId="5E6EFE8C"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MOR</w:t>
            </w:r>
          </w:p>
        </w:tc>
        <w:tc>
          <w:tcPr>
            <w:tcW w:w="1371" w:type="dxa"/>
            <w:tcBorders>
              <w:top w:val="nil"/>
              <w:left w:val="nil"/>
              <w:bottom w:val="nil"/>
              <w:right w:val="nil"/>
            </w:tcBorders>
            <w:shd w:val="clear" w:color="000000" w:fill="FFFFFF"/>
            <w:noWrap/>
            <w:vAlign w:val="bottom"/>
            <w:hideMark/>
          </w:tcPr>
          <w:p w14:paraId="63282782"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4</w:t>
            </w:r>
          </w:p>
        </w:tc>
        <w:tc>
          <w:tcPr>
            <w:tcW w:w="1371" w:type="dxa"/>
            <w:tcBorders>
              <w:top w:val="nil"/>
              <w:left w:val="nil"/>
              <w:bottom w:val="nil"/>
              <w:right w:val="nil"/>
            </w:tcBorders>
            <w:shd w:val="clear" w:color="000000" w:fill="FFFFFF"/>
            <w:noWrap/>
            <w:vAlign w:val="bottom"/>
            <w:hideMark/>
          </w:tcPr>
          <w:p w14:paraId="1680A096"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0.1%</w:t>
            </w:r>
          </w:p>
        </w:tc>
      </w:tr>
      <w:tr w:rsidR="00E20189" w:rsidRPr="00E20189" w14:paraId="2A4A6E24" w14:textId="77777777" w:rsidTr="00195DAE">
        <w:trPr>
          <w:trHeight w:val="270"/>
          <w:jc w:val="center"/>
        </w:trPr>
        <w:tc>
          <w:tcPr>
            <w:tcW w:w="1884" w:type="dxa"/>
            <w:tcBorders>
              <w:top w:val="nil"/>
              <w:left w:val="nil"/>
              <w:bottom w:val="nil"/>
              <w:right w:val="nil"/>
            </w:tcBorders>
            <w:shd w:val="clear" w:color="000000" w:fill="D5E4F2"/>
            <w:noWrap/>
            <w:vAlign w:val="bottom"/>
            <w:hideMark/>
          </w:tcPr>
          <w:p w14:paraId="34542BC5" w14:textId="77777777" w:rsidR="00E20189" w:rsidRPr="00E20189" w:rsidRDefault="00E20189" w:rsidP="00E20189">
            <w:pPr>
              <w:spacing w:after="0" w:line="240" w:lineRule="auto"/>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TLAX</w:t>
            </w:r>
          </w:p>
        </w:tc>
        <w:tc>
          <w:tcPr>
            <w:tcW w:w="1371" w:type="dxa"/>
            <w:tcBorders>
              <w:top w:val="nil"/>
              <w:left w:val="nil"/>
              <w:bottom w:val="nil"/>
              <w:right w:val="nil"/>
            </w:tcBorders>
            <w:shd w:val="clear" w:color="000000" w:fill="D5E4F2"/>
            <w:noWrap/>
            <w:vAlign w:val="bottom"/>
            <w:hideMark/>
          </w:tcPr>
          <w:p w14:paraId="1C1FFBEF"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1</w:t>
            </w:r>
          </w:p>
        </w:tc>
        <w:tc>
          <w:tcPr>
            <w:tcW w:w="1371" w:type="dxa"/>
            <w:tcBorders>
              <w:top w:val="nil"/>
              <w:left w:val="nil"/>
              <w:bottom w:val="nil"/>
              <w:right w:val="nil"/>
            </w:tcBorders>
            <w:shd w:val="clear" w:color="000000" w:fill="D5E4F2"/>
            <w:noWrap/>
            <w:vAlign w:val="bottom"/>
            <w:hideMark/>
          </w:tcPr>
          <w:p w14:paraId="1210D1B9" w14:textId="77777777" w:rsidR="00E20189" w:rsidRPr="00E20189" w:rsidRDefault="00E20189" w:rsidP="00E20189">
            <w:pPr>
              <w:spacing w:after="0" w:line="240" w:lineRule="auto"/>
              <w:jc w:val="right"/>
              <w:rPr>
                <w:rFonts w:ascii="Arial" w:eastAsia="Times New Roman" w:hAnsi="Arial" w:cs="Arial"/>
                <w:color w:val="000000"/>
                <w:sz w:val="18"/>
                <w:szCs w:val="18"/>
                <w:lang w:eastAsia="es-MX"/>
              </w:rPr>
            </w:pPr>
            <w:r w:rsidRPr="00E20189">
              <w:rPr>
                <w:rFonts w:ascii="Arial" w:eastAsia="Times New Roman" w:hAnsi="Arial" w:cs="Arial"/>
                <w:color w:val="000000"/>
                <w:sz w:val="18"/>
                <w:szCs w:val="18"/>
                <w:lang w:eastAsia="es-MX"/>
              </w:rPr>
              <w:t>0.02%</w:t>
            </w:r>
          </w:p>
        </w:tc>
      </w:tr>
    </w:tbl>
    <w:p w14:paraId="4413E5C4" w14:textId="77777777" w:rsidR="00E20189" w:rsidRDefault="00E20189" w:rsidP="00AE7483">
      <w:pPr>
        <w:pStyle w:val="Default"/>
        <w:ind w:left="-567"/>
        <w:jc w:val="center"/>
        <w:rPr>
          <w:b/>
          <w:bCs/>
          <w:i/>
          <w:iCs/>
          <w:color w:val="285172"/>
          <w:sz w:val="18"/>
        </w:rPr>
      </w:pPr>
    </w:p>
    <w:p w14:paraId="54577F7B" w14:textId="77777777" w:rsidR="00AC40B6" w:rsidRDefault="00AC40B6" w:rsidP="00AE7483">
      <w:pPr>
        <w:pStyle w:val="Default"/>
        <w:ind w:left="-567"/>
        <w:jc w:val="center"/>
        <w:rPr>
          <w:b/>
          <w:bCs/>
          <w:i/>
          <w:iCs/>
          <w:color w:val="285172"/>
          <w:sz w:val="18"/>
        </w:rPr>
      </w:pPr>
    </w:p>
    <w:p w14:paraId="2D33623E" w14:textId="51031CD8" w:rsidR="00D80ECA" w:rsidRPr="00B1498A" w:rsidRDefault="00B1498A" w:rsidP="00F65114">
      <w:pPr>
        <w:spacing w:after="0"/>
        <w:ind w:left="-567"/>
        <w:jc w:val="center"/>
        <w:rPr>
          <w:rFonts w:ascii="Arial" w:hAnsi="Arial" w:cs="Arial"/>
          <w:iCs/>
          <w:noProof/>
          <w:sz w:val="16"/>
          <w:szCs w:val="16"/>
          <w:lang w:eastAsia="es-MX"/>
        </w:rPr>
      </w:pPr>
      <w:r w:rsidRPr="00B1498A">
        <w:rPr>
          <w:rFonts w:ascii="Arial" w:hAnsi="Arial" w:cs="Arial"/>
          <w:iCs/>
          <w:noProof/>
          <w:sz w:val="16"/>
          <w:szCs w:val="16"/>
          <w:lang w:eastAsia="es-MX"/>
        </w:rPr>
        <w:t>Nota:</w:t>
      </w:r>
      <w:r w:rsidR="00ED554E">
        <w:rPr>
          <w:rFonts w:ascii="Arial" w:hAnsi="Arial" w:cs="Arial"/>
          <w:iCs/>
          <w:noProof/>
          <w:sz w:val="16"/>
          <w:szCs w:val="16"/>
          <w:lang w:eastAsia="es-MX"/>
        </w:rPr>
        <w:t xml:space="preserve"> l</w:t>
      </w:r>
      <w:r w:rsidR="00ED554E" w:rsidRPr="00ED554E">
        <w:rPr>
          <w:rFonts w:ascii="Arial" w:hAnsi="Arial" w:cs="Arial"/>
          <w:iCs/>
          <w:noProof/>
          <w:sz w:val="16"/>
          <w:szCs w:val="16"/>
          <w:lang w:eastAsia="es-MX"/>
        </w:rPr>
        <w:t>a suma de los porcentajes puede ser distinta al 100%, debido al redondeo de los decimales.</w:t>
      </w:r>
      <w:r w:rsidR="00ED554E">
        <w:rPr>
          <w:rFonts w:ascii="Arial" w:hAnsi="Arial" w:cs="Arial"/>
          <w:iCs/>
          <w:noProof/>
          <w:sz w:val="16"/>
          <w:szCs w:val="16"/>
          <w:lang w:eastAsia="es-MX"/>
        </w:rPr>
        <w:t xml:space="preserve"> </w:t>
      </w:r>
      <w:r w:rsidR="00E32FA8">
        <w:rPr>
          <w:rFonts w:ascii="Arial" w:hAnsi="Arial" w:cs="Arial"/>
          <w:iCs/>
          <w:noProof/>
          <w:sz w:val="16"/>
          <w:szCs w:val="16"/>
          <w:lang w:eastAsia="es-MX"/>
        </w:rPr>
        <w:t>L</w:t>
      </w:r>
      <w:r w:rsidR="00ED554E">
        <w:rPr>
          <w:rFonts w:ascii="Arial" w:hAnsi="Arial" w:cs="Arial"/>
          <w:iCs/>
          <w:noProof/>
          <w:sz w:val="16"/>
          <w:szCs w:val="16"/>
          <w:lang w:eastAsia="es-MX"/>
        </w:rPr>
        <w:t xml:space="preserve">os estados de Oaxaca, Sinaloa y Tamaulipas no </w:t>
      </w:r>
      <w:r w:rsidR="00E32FA8">
        <w:rPr>
          <w:rFonts w:ascii="Arial" w:hAnsi="Arial" w:cs="Arial"/>
          <w:iCs/>
          <w:noProof/>
          <w:sz w:val="16"/>
          <w:szCs w:val="16"/>
          <w:lang w:eastAsia="es-MX"/>
        </w:rPr>
        <w:t>contaron</w:t>
      </w:r>
      <w:r w:rsidR="00E945A3">
        <w:rPr>
          <w:rFonts w:ascii="Arial" w:hAnsi="Arial" w:cs="Arial"/>
          <w:iCs/>
          <w:noProof/>
          <w:sz w:val="16"/>
          <w:szCs w:val="16"/>
          <w:lang w:eastAsia="es-MX"/>
        </w:rPr>
        <w:t xml:space="preserve"> con datos o elementos para responder sobre este tema.</w:t>
      </w:r>
    </w:p>
    <w:p w14:paraId="0E9511F3" w14:textId="77777777" w:rsidR="00B1498A" w:rsidRDefault="00B1498A">
      <w:pPr>
        <w:rPr>
          <w:rFonts w:ascii="Arial" w:hAnsi="Arial" w:cs="Arial"/>
          <w:b/>
          <w:bCs/>
          <w:iCs/>
          <w:noProof/>
          <w:sz w:val="24"/>
          <w:szCs w:val="24"/>
          <w:lang w:eastAsia="es-MX"/>
        </w:rPr>
      </w:pPr>
      <w:r>
        <w:rPr>
          <w:rFonts w:ascii="Arial" w:hAnsi="Arial" w:cs="Arial"/>
          <w:b/>
          <w:bCs/>
          <w:iCs/>
          <w:noProof/>
          <w:sz w:val="24"/>
          <w:szCs w:val="24"/>
          <w:lang w:eastAsia="es-MX"/>
        </w:rPr>
        <w:br w:type="page"/>
      </w:r>
    </w:p>
    <w:p w14:paraId="54E00575" w14:textId="77777777" w:rsidR="00BD03A8" w:rsidRDefault="00BD03A8" w:rsidP="00BD03A8">
      <w:pPr>
        <w:pStyle w:val="Default"/>
        <w:ind w:left="-567"/>
        <w:jc w:val="both"/>
        <w:rPr>
          <w:color w:val="auto"/>
        </w:rPr>
      </w:pPr>
    </w:p>
    <w:p w14:paraId="261A0052" w14:textId="436CEFF2" w:rsidR="00083AAC" w:rsidRDefault="00DC6100" w:rsidP="00BD03A8">
      <w:pPr>
        <w:pStyle w:val="Default"/>
        <w:ind w:left="-567"/>
        <w:jc w:val="both"/>
        <w:rPr>
          <w:color w:val="auto"/>
        </w:rPr>
      </w:pPr>
      <w:r>
        <w:rPr>
          <w:color w:val="auto"/>
        </w:rPr>
        <w:t>En cuanto a la profesionalización del personal</w:t>
      </w:r>
      <w:r w:rsidR="00234219">
        <w:rPr>
          <w:color w:val="auto"/>
        </w:rPr>
        <w:t>,</w:t>
      </w:r>
      <w:r>
        <w:rPr>
          <w:color w:val="auto"/>
        </w:rPr>
        <w:t xml:space="preserve"> el principal </w:t>
      </w:r>
      <w:r w:rsidR="00234219">
        <w:rPr>
          <w:color w:val="auto"/>
        </w:rPr>
        <w:t>e</w:t>
      </w:r>
      <w:r w:rsidR="00234219" w:rsidRPr="00234219">
        <w:rPr>
          <w:color w:val="auto"/>
        </w:rPr>
        <w:t xml:space="preserve">lemento, mecanismo y/o esquema </w:t>
      </w:r>
      <w:r>
        <w:rPr>
          <w:color w:val="auto"/>
        </w:rPr>
        <w:t>con el que contaron las instituciones de las administraciones públicas estatales</w:t>
      </w:r>
      <w:r w:rsidR="00234219">
        <w:rPr>
          <w:color w:val="auto"/>
        </w:rPr>
        <w:t xml:space="preserve"> fueron los programas de capacitación</w:t>
      </w:r>
      <w:r w:rsidR="00083AAC">
        <w:rPr>
          <w:color w:val="auto"/>
        </w:rPr>
        <w:t>.</w:t>
      </w:r>
    </w:p>
    <w:p w14:paraId="4730F3B5" w14:textId="77777777" w:rsidR="00083AAC" w:rsidRDefault="00083AAC" w:rsidP="00BD03A8">
      <w:pPr>
        <w:pStyle w:val="Default"/>
        <w:ind w:left="-567"/>
        <w:jc w:val="both"/>
        <w:rPr>
          <w:color w:val="auto"/>
        </w:rPr>
      </w:pPr>
    </w:p>
    <w:p w14:paraId="394CD8D8" w14:textId="28D6552E" w:rsidR="005965B6" w:rsidRPr="00087BF8" w:rsidRDefault="005965B6" w:rsidP="005965B6">
      <w:pPr>
        <w:pStyle w:val="Default"/>
        <w:ind w:left="-567"/>
        <w:jc w:val="center"/>
        <w:rPr>
          <w:b/>
          <w:bCs/>
          <w:i/>
          <w:iCs/>
          <w:color w:val="706F6F"/>
          <w:sz w:val="18"/>
        </w:rPr>
      </w:pPr>
      <w:bookmarkStart w:id="5" w:name="_Hlk80031057"/>
      <w:r w:rsidRPr="00087BF8">
        <w:rPr>
          <w:b/>
          <w:bCs/>
          <w:i/>
          <w:iCs/>
          <w:color w:val="706F6F"/>
          <w:sz w:val="18"/>
        </w:rPr>
        <w:t xml:space="preserve">Gráfica </w:t>
      </w:r>
      <w:r w:rsidR="00306EFA">
        <w:rPr>
          <w:b/>
          <w:bCs/>
          <w:i/>
          <w:iCs/>
          <w:color w:val="706F6F"/>
          <w:sz w:val="18"/>
        </w:rPr>
        <w:t>7</w:t>
      </w:r>
      <w:r w:rsidRPr="00087BF8">
        <w:rPr>
          <w:b/>
          <w:bCs/>
          <w:i/>
          <w:iCs/>
          <w:color w:val="706F6F"/>
          <w:sz w:val="18"/>
        </w:rPr>
        <w:t xml:space="preserve">. </w:t>
      </w:r>
      <w:r w:rsidR="00821C00">
        <w:rPr>
          <w:b/>
          <w:bCs/>
          <w:i/>
          <w:iCs/>
          <w:color w:val="706F6F"/>
          <w:sz w:val="18"/>
        </w:rPr>
        <w:t xml:space="preserve">Instituciones de las </w:t>
      </w:r>
      <w:r w:rsidR="00821C00" w:rsidRPr="00E20189">
        <w:rPr>
          <w:b/>
          <w:bCs/>
          <w:i/>
          <w:iCs/>
          <w:color w:val="706F6F"/>
          <w:sz w:val="18"/>
        </w:rPr>
        <w:t>administraciones públicas estatales</w:t>
      </w:r>
      <w:r w:rsidR="00821C00">
        <w:rPr>
          <w:b/>
          <w:bCs/>
          <w:i/>
          <w:iCs/>
          <w:color w:val="706F6F"/>
          <w:sz w:val="18"/>
        </w:rPr>
        <w:t>, según e</w:t>
      </w:r>
      <w:r w:rsidRPr="005965B6">
        <w:rPr>
          <w:b/>
          <w:bCs/>
          <w:i/>
          <w:iCs/>
          <w:color w:val="706F6F"/>
          <w:sz w:val="18"/>
        </w:rPr>
        <w:t xml:space="preserve">lementos, mecanismos y/o esquemas de profesionalización del personal </w:t>
      </w:r>
      <w:r w:rsidR="00821C00">
        <w:rPr>
          <w:b/>
          <w:bCs/>
          <w:i/>
          <w:iCs/>
          <w:color w:val="706F6F"/>
          <w:sz w:val="18"/>
        </w:rPr>
        <w:t>con los que contaban</w:t>
      </w:r>
      <w:r>
        <w:rPr>
          <w:b/>
          <w:bCs/>
          <w:i/>
          <w:iCs/>
          <w:color w:val="706F6F"/>
          <w:sz w:val="18"/>
        </w:rPr>
        <w:t>, 2020</w:t>
      </w:r>
    </w:p>
    <w:bookmarkEnd w:id="5"/>
    <w:p w14:paraId="3F5AA309" w14:textId="77777777" w:rsidR="00083AAC" w:rsidRDefault="00083AAC" w:rsidP="00BD03A8">
      <w:pPr>
        <w:pStyle w:val="Default"/>
        <w:ind w:left="-567"/>
        <w:jc w:val="both"/>
        <w:rPr>
          <w:color w:val="auto"/>
        </w:rPr>
      </w:pPr>
    </w:p>
    <w:p w14:paraId="2BC3C9C2" w14:textId="77777777" w:rsidR="005965B6" w:rsidRDefault="00083AAC" w:rsidP="00083AAC">
      <w:pPr>
        <w:pStyle w:val="Default"/>
        <w:ind w:left="-567"/>
        <w:jc w:val="center"/>
        <w:rPr>
          <w:color w:val="auto"/>
        </w:rPr>
      </w:pPr>
      <w:r>
        <w:rPr>
          <w:noProof/>
        </w:rPr>
        <w:drawing>
          <wp:inline distT="0" distB="0" distL="0" distR="0" wp14:anchorId="7A84DFEF" wp14:editId="6F43ACCE">
            <wp:extent cx="6438900" cy="2562225"/>
            <wp:effectExtent l="0" t="0" r="0" b="0"/>
            <wp:docPr id="1" name="Gráfico 1">
              <a:extLst xmlns:a="http://schemas.openxmlformats.org/drawingml/2006/main">
                <a:ext uri="{FF2B5EF4-FFF2-40B4-BE49-F238E27FC236}">
                  <a16:creationId xmlns:a16="http://schemas.microsoft.com/office/drawing/2014/main" id="{4F7ACEA0-ABFA-429B-8D68-18E879790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DE1D93" w14:textId="77777777" w:rsidR="005965B6" w:rsidRDefault="005965B6" w:rsidP="00083AAC">
      <w:pPr>
        <w:pStyle w:val="Default"/>
        <w:ind w:left="-567"/>
        <w:jc w:val="center"/>
        <w:rPr>
          <w:color w:val="auto"/>
        </w:rPr>
      </w:pPr>
    </w:p>
    <w:p w14:paraId="45863147" w14:textId="77777777" w:rsidR="005965B6" w:rsidRDefault="005965B6" w:rsidP="00083AAC">
      <w:pPr>
        <w:pStyle w:val="Default"/>
        <w:ind w:left="-567"/>
        <w:jc w:val="center"/>
        <w:rPr>
          <w:color w:val="auto"/>
        </w:rPr>
      </w:pPr>
    </w:p>
    <w:p w14:paraId="422B6C08" w14:textId="43006168" w:rsidR="00BD03A8" w:rsidRDefault="00022681" w:rsidP="005965B6">
      <w:pPr>
        <w:pStyle w:val="Default"/>
        <w:ind w:left="-567"/>
        <w:jc w:val="both"/>
        <w:rPr>
          <w:color w:val="auto"/>
        </w:rPr>
      </w:pPr>
      <w:r>
        <w:rPr>
          <w:color w:val="auto"/>
        </w:rPr>
        <w:t xml:space="preserve">Respecto al presupuesto ejercido </w:t>
      </w:r>
      <w:r w:rsidR="00281099">
        <w:rPr>
          <w:color w:val="auto"/>
        </w:rPr>
        <w:t xml:space="preserve">por las instituciones de las administraciones públicas estatales </w:t>
      </w:r>
      <w:r>
        <w:rPr>
          <w:color w:val="auto"/>
        </w:rPr>
        <w:t>durante 2020</w:t>
      </w:r>
      <w:r w:rsidR="00281099">
        <w:rPr>
          <w:color w:val="auto"/>
        </w:rPr>
        <w:t xml:space="preserve">, se reportó un total de </w:t>
      </w:r>
      <w:r w:rsidR="00281099" w:rsidRPr="00281099">
        <w:rPr>
          <w:color w:val="auto"/>
        </w:rPr>
        <w:t>1</w:t>
      </w:r>
      <w:r w:rsidR="00281099">
        <w:rPr>
          <w:color w:val="auto"/>
        </w:rPr>
        <w:t xml:space="preserve"> </w:t>
      </w:r>
      <w:r w:rsidR="00281099" w:rsidRPr="00281099">
        <w:rPr>
          <w:color w:val="auto"/>
        </w:rPr>
        <w:t>799</w:t>
      </w:r>
      <w:r w:rsidR="00281099">
        <w:rPr>
          <w:color w:val="auto"/>
        </w:rPr>
        <w:t xml:space="preserve"> </w:t>
      </w:r>
      <w:r w:rsidR="00281099" w:rsidRPr="00281099">
        <w:rPr>
          <w:color w:val="auto"/>
        </w:rPr>
        <w:t>264</w:t>
      </w:r>
      <w:r w:rsidR="00281099">
        <w:rPr>
          <w:color w:val="auto"/>
        </w:rPr>
        <w:t xml:space="preserve"> </w:t>
      </w:r>
      <w:r w:rsidR="00281099" w:rsidRPr="00281099">
        <w:rPr>
          <w:color w:val="auto"/>
        </w:rPr>
        <w:t>042</w:t>
      </w:r>
      <w:r w:rsidR="00281099">
        <w:rPr>
          <w:color w:val="auto"/>
        </w:rPr>
        <w:t xml:space="preserve"> </w:t>
      </w:r>
      <w:r w:rsidR="00281099" w:rsidRPr="00281099">
        <w:rPr>
          <w:color w:val="auto"/>
        </w:rPr>
        <w:t>353</w:t>
      </w:r>
      <w:r w:rsidR="00593A58">
        <w:rPr>
          <w:color w:val="auto"/>
        </w:rPr>
        <w:t xml:space="preserve"> pesos</w:t>
      </w:r>
      <w:r w:rsidR="002E5701">
        <w:rPr>
          <w:rStyle w:val="Refdenotaalpie"/>
          <w:color w:val="auto"/>
        </w:rPr>
        <w:footnoteReference w:id="8"/>
      </w:r>
      <w:r w:rsidR="00281099">
        <w:rPr>
          <w:color w:val="auto"/>
        </w:rPr>
        <w:t>. Con respecto a 2019, hubo una di</w:t>
      </w:r>
      <w:r w:rsidR="00195DAE">
        <w:rPr>
          <w:color w:val="auto"/>
        </w:rPr>
        <w:t>s</w:t>
      </w:r>
      <w:r w:rsidR="00281099">
        <w:rPr>
          <w:color w:val="auto"/>
        </w:rPr>
        <w:t>minución de 3.3 por ciento. El estado de México concentró 16.4% del total de pre</w:t>
      </w:r>
      <w:r w:rsidR="00593A58">
        <w:rPr>
          <w:color w:val="auto"/>
        </w:rPr>
        <w:t>su</w:t>
      </w:r>
      <w:r w:rsidR="00281099">
        <w:rPr>
          <w:color w:val="auto"/>
        </w:rPr>
        <w:t xml:space="preserve">puesto nacional. </w:t>
      </w:r>
    </w:p>
    <w:p w14:paraId="7DB36F96" w14:textId="67CCC6F3" w:rsidR="00974A9F" w:rsidRDefault="00974A9F" w:rsidP="005965B6">
      <w:pPr>
        <w:pStyle w:val="Default"/>
        <w:ind w:left="-567"/>
        <w:jc w:val="both"/>
        <w:rPr>
          <w:color w:val="auto"/>
        </w:rPr>
      </w:pPr>
    </w:p>
    <w:p w14:paraId="52327248" w14:textId="48258534" w:rsidR="00974A9F" w:rsidRDefault="00974A9F" w:rsidP="00974A9F">
      <w:pPr>
        <w:pStyle w:val="Default"/>
        <w:ind w:left="-567"/>
        <w:jc w:val="center"/>
        <w:rPr>
          <w:b/>
          <w:bCs/>
          <w:i/>
          <w:iCs/>
          <w:color w:val="706F6F"/>
          <w:sz w:val="18"/>
        </w:rPr>
      </w:pPr>
      <w:r w:rsidRPr="00087BF8">
        <w:rPr>
          <w:b/>
          <w:bCs/>
          <w:i/>
          <w:iCs/>
          <w:color w:val="706F6F"/>
          <w:sz w:val="18"/>
        </w:rPr>
        <w:t xml:space="preserve">Gráfica </w:t>
      </w:r>
      <w:r w:rsidR="00306EFA">
        <w:rPr>
          <w:b/>
          <w:bCs/>
          <w:i/>
          <w:iCs/>
          <w:color w:val="706F6F"/>
          <w:sz w:val="18"/>
        </w:rPr>
        <w:t>8</w:t>
      </w:r>
      <w:r w:rsidRPr="00087BF8">
        <w:rPr>
          <w:b/>
          <w:bCs/>
          <w:i/>
          <w:iCs/>
          <w:color w:val="706F6F"/>
          <w:sz w:val="18"/>
        </w:rPr>
        <w:t xml:space="preserve">. </w:t>
      </w:r>
      <w:r w:rsidR="008E780B">
        <w:rPr>
          <w:b/>
          <w:bCs/>
          <w:i/>
          <w:iCs/>
          <w:color w:val="706F6F"/>
          <w:sz w:val="18"/>
        </w:rPr>
        <w:t>Presupuesto ejercido por las instituciones de las administraciones públicas estatales,</w:t>
      </w:r>
      <w:r w:rsidR="00A7516A">
        <w:rPr>
          <w:b/>
          <w:bCs/>
          <w:i/>
          <w:iCs/>
          <w:color w:val="706F6F"/>
          <w:sz w:val="18"/>
        </w:rPr>
        <w:t xml:space="preserve"> 2016 a</w:t>
      </w:r>
      <w:r w:rsidR="008E780B">
        <w:rPr>
          <w:b/>
          <w:bCs/>
          <w:i/>
          <w:iCs/>
          <w:color w:val="706F6F"/>
          <w:sz w:val="18"/>
        </w:rPr>
        <w:t xml:space="preserve"> </w:t>
      </w:r>
      <w:r>
        <w:rPr>
          <w:b/>
          <w:bCs/>
          <w:i/>
          <w:iCs/>
          <w:color w:val="706F6F"/>
          <w:sz w:val="18"/>
        </w:rPr>
        <w:t>2020</w:t>
      </w:r>
    </w:p>
    <w:p w14:paraId="3FEB13F3" w14:textId="1CA59B7B" w:rsidR="00A7516A" w:rsidRDefault="00A7516A" w:rsidP="00974A9F">
      <w:pPr>
        <w:pStyle w:val="Default"/>
        <w:ind w:left="-567"/>
        <w:jc w:val="center"/>
        <w:rPr>
          <w:b/>
          <w:bCs/>
          <w:i/>
          <w:iCs/>
          <w:color w:val="706F6F"/>
          <w:sz w:val="18"/>
        </w:rPr>
      </w:pPr>
      <w:r>
        <w:rPr>
          <w:b/>
          <w:bCs/>
          <w:i/>
          <w:iCs/>
          <w:color w:val="706F6F"/>
          <w:sz w:val="18"/>
        </w:rPr>
        <w:t>(Millones de pesos)</w:t>
      </w:r>
    </w:p>
    <w:p w14:paraId="73800BA0" w14:textId="124AF955" w:rsidR="008E780B" w:rsidRDefault="008E780B" w:rsidP="00974A9F">
      <w:pPr>
        <w:pStyle w:val="Default"/>
        <w:ind w:left="-567"/>
        <w:jc w:val="center"/>
        <w:rPr>
          <w:b/>
          <w:bCs/>
          <w:i/>
          <w:iCs/>
          <w:color w:val="706F6F"/>
          <w:sz w:val="18"/>
        </w:rPr>
      </w:pPr>
    </w:p>
    <w:p w14:paraId="7650FAFF" w14:textId="367433B3" w:rsidR="00B1498A" w:rsidRDefault="008E780B" w:rsidP="008E780B">
      <w:pPr>
        <w:jc w:val="center"/>
        <w:rPr>
          <w:rFonts w:ascii="Arial" w:hAnsi="Arial" w:cs="Arial"/>
          <w:b/>
          <w:bCs/>
          <w:iCs/>
          <w:noProof/>
          <w:sz w:val="24"/>
          <w:szCs w:val="24"/>
          <w:lang w:eastAsia="es-MX"/>
        </w:rPr>
      </w:pPr>
      <w:r>
        <w:rPr>
          <w:noProof/>
        </w:rPr>
        <w:drawing>
          <wp:inline distT="0" distB="0" distL="0" distR="0" wp14:anchorId="65FE9308" wp14:editId="6BE713C4">
            <wp:extent cx="4868173" cy="1899920"/>
            <wp:effectExtent l="0" t="0" r="8890" b="5080"/>
            <wp:docPr id="2" name="Gráfico 2">
              <a:extLst xmlns:a="http://schemas.openxmlformats.org/drawingml/2006/main">
                <a:ext uri="{FF2B5EF4-FFF2-40B4-BE49-F238E27FC236}">
                  <a16:creationId xmlns:a16="http://schemas.microsoft.com/office/drawing/2014/main" id="{CE605958-AD23-406E-A6BE-074947DD9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061106" w14:textId="77777777" w:rsidR="00B1498A" w:rsidRDefault="00B1498A" w:rsidP="00D80ECA">
      <w:pPr>
        <w:spacing w:after="0"/>
        <w:ind w:left="-567"/>
        <w:rPr>
          <w:rFonts w:ascii="Arial" w:hAnsi="Arial" w:cs="Arial"/>
          <w:b/>
          <w:bCs/>
          <w:iCs/>
          <w:noProof/>
          <w:sz w:val="24"/>
          <w:szCs w:val="24"/>
          <w:lang w:eastAsia="es-MX"/>
        </w:rPr>
      </w:pPr>
    </w:p>
    <w:p w14:paraId="088F6501" w14:textId="77777777" w:rsidR="00B1498A" w:rsidRDefault="00B1498A" w:rsidP="00D80ECA">
      <w:pPr>
        <w:spacing w:after="0"/>
        <w:ind w:left="-567"/>
        <w:rPr>
          <w:rFonts w:ascii="Arial" w:hAnsi="Arial" w:cs="Arial"/>
          <w:b/>
          <w:bCs/>
          <w:iCs/>
          <w:noProof/>
          <w:sz w:val="24"/>
          <w:szCs w:val="24"/>
          <w:lang w:eastAsia="es-MX"/>
        </w:rPr>
      </w:pPr>
    </w:p>
    <w:p w14:paraId="48438B21" w14:textId="77777777" w:rsidR="00B1498A" w:rsidRDefault="00B1498A" w:rsidP="00D80ECA">
      <w:pPr>
        <w:spacing w:after="0"/>
        <w:ind w:left="-567"/>
        <w:rPr>
          <w:rFonts w:ascii="Arial" w:hAnsi="Arial" w:cs="Arial"/>
          <w:b/>
          <w:bCs/>
          <w:iCs/>
          <w:noProof/>
          <w:sz w:val="24"/>
          <w:szCs w:val="24"/>
          <w:lang w:eastAsia="es-MX"/>
        </w:rPr>
      </w:pPr>
    </w:p>
    <w:p w14:paraId="3C85D3BA" w14:textId="77777777" w:rsidR="00A7516A" w:rsidRDefault="00A7516A" w:rsidP="00D80ECA">
      <w:pPr>
        <w:spacing w:after="0"/>
        <w:ind w:left="-567"/>
        <w:rPr>
          <w:rFonts w:ascii="Arial" w:hAnsi="Arial" w:cs="Arial"/>
          <w:b/>
          <w:bCs/>
          <w:iCs/>
          <w:noProof/>
          <w:sz w:val="24"/>
          <w:szCs w:val="24"/>
          <w:lang w:eastAsia="es-MX"/>
        </w:rPr>
      </w:pPr>
    </w:p>
    <w:p w14:paraId="3F38F780" w14:textId="2A15C447" w:rsidR="00A7516A" w:rsidRDefault="00A7516A" w:rsidP="00A7516A">
      <w:pPr>
        <w:pStyle w:val="Default"/>
        <w:ind w:left="-567"/>
        <w:jc w:val="center"/>
        <w:rPr>
          <w:b/>
          <w:bCs/>
          <w:i/>
          <w:iCs/>
          <w:color w:val="706F6F"/>
          <w:sz w:val="18"/>
        </w:rPr>
      </w:pPr>
      <w:r w:rsidRPr="00087BF8">
        <w:rPr>
          <w:b/>
          <w:bCs/>
          <w:i/>
          <w:iCs/>
          <w:color w:val="706F6F"/>
          <w:sz w:val="18"/>
        </w:rPr>
        <w:t xml:space="preserve">Gráfica </w:t>
      </w:r>
      <w:r w:rsidR="00306EFA">
        <w:rPr>
          <w:b/>
          <w:bCs/>
          <w:i/>
          <w:iCs/>
          <w:color w:val="706F6F"/>
          <w:sz w:val="18"/>
        </w:rPr>
        <w:t>9</w:t>
      </w:r>
      <w:r w:rsidRPr="00087BF8">
        <w:rPr>
          <w:b/>
          <w:bCs/>
          <w:i/>
          <w:iCs/>
          <w:color w:val="706F6F"/>
          <w:sz w:val="18"/>
        </w:rPr>
        <w:t xml:space="preserve">. </w:t>
      </w:r>
      <w:r>
        <w:rPr>
          <w:b/>
          <w:bCs/>
          <w:i/>
          <w:iCs/>
          <w:color w:val="706F6F"/>
          <w:sz w:val="18"/>
        </w:rPr>
        <w:t xml:space="preserve">Presupuesto ejercido por las instituciones de las administraciones públicas estatales, </w:t>
      </w:r>
    </w:p>
    <w:p w14:paraId="44304A8E" w14:textId="22CD761D" w:rsidR="00A7516A" w:rsidRDefault="00A7516A" w:rsidP="00A7516A">
      <w:pPr>
        <w:pStyle w:val="Default"/>
        <w:ind w:left="-567"/>
        <w:jc w:val="center"/>
        <w:rPr>
          <w:b/>
          <w:bCs/>
          <w:i/>
          <w:iCs/>
          <w:color w:val="706F6F"/>
          <w:sz w:val="18"/>
        </w:rPr>
      </w:pPr>
      <w:r>
        <w:rPr>
          <w:b/>
          <w:bCs/>
          <w:i/>
          <w:iCs/>
          <w:color w:val="706F6F"/>
          <w:sz w:val="18"/>
        </w:rPr>
        <w:t>por entidad federativa, 2020</w:t>
      </w:r>
    </w:p>
    <w:p w14:paraId="0BA90647" w14:textId="77777777" w:rsidR="00A7516A" w:rsidRDefault="00A7516A" w:rsidP="00A7516A">
      <w:pPr>
        <w:pStyle w:val="Default"/>
        <w:ind w:left="-567"/>
        <w:jc w:val="center"/>
        <w:rPr>
          <w:b/>
          <w:bCs/>
          <w:i/>
          <w:iCs/>
          <w:color w:val="706F6F"/>
          <w:sz w:val="18"/>
        </w:rPr>
      </w:pPr>
      <w:r>
        <w:rPr>
          <w:b/>
          <w:bCs/>
          <w:i/>
          <w:iCs/>
          <w:color w:val="706F6F"/>
          <w:sz w:val="18"/>
        </w:rPr>
        <w:t>(Millones de pesos)</w:t>
      </w:r>
    </w:p>
    <w:p w14:paraId="421DBA7E" w14:textId="2A042B63" w:rsidR="00A7516A" w:rsidRDefault="00A7516A" w:rsidP="00A7516A">
      <w:pPr>
        <w:spacing w:after="0"/>
        <w:ind w:left="-567"/>
        <w:jc w:val="center"/>
        <w:rPr>
          <w:rFonts w:ascii="Arial" w:hAnsi="Arial" w:cs="Arial"/>
          <w:b/>
          <w:bCs/>
          <w:iCs/>
          <w:noProof/>
          <w:sz w:val="24"/>
          <w:szCs w:val="24"/>
          <w:lang w:eastAsia="es-MX"/>
        </w:rPr>
      </w:pPr>
      <w:r>
        <w:rPr>
          <w:noProof/>
        </w:rPr>
        <w:drawing>
          <wp:inline distT="0" distB="0" distL="0" distR="0" wp14:anchorId="7D013327" wp14:editId="0EF6C644">
            <wp:extent cx="5038725" cy="5048250"/>
            <wp:effectExtent l="0" t="0" r="0" b="0"/>
            <wp:docPr id="3" name="Gráfico 3">
              <a:extLst xmlns:a="http://schemas.openxmlformats.org/drawingml/2006/main">
                <a:ext uri="{FF2B5EF4-FFF2-40B4-BE49-F238E27FC236}">
                  <a16:creationId xmlns:a16="http://schemas.microsoft.com/office/drawing/2014/main" id="{C36AB224-DB81-49A5-BB40-7DAB2B121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4D71C8" w14:textId="77777777" w:rsidR="00A7516A" w:rsidRDefault="00A7516A" w:rsidP="00D80ECA">
      <w:pPr>
        <w:spacing w:after="0"/>
        <w:ind w:left="-567"/>
        <w:rPr>
          <w:rFonts w:ascii="Arial" w:hAnsi="Arial" w:cs="Arial"/>
          <w:b/>
          <w:bCs/>
          <w:iCs/>
          <w:noProof/>
          <w:sz w:val="24"/>
          <w:szCs w:val="24"/>
          <w:lang w:eastAsia="es-MX"/>
        </w:rPr>
      </w:pPr>
    </w:p>
    <w:p w14:paraId="41D0D893" w14:textId="1EA24012" w:rsidR="007814F7" w:rsidRPr="005A375F" w:rsidRDefault="005A375F" w:rsidP="005A375F">
      <w:pPr>
        <w:jc w:val="center"/>
        <w:rPr>
          <w:rFonts w:ascii="Arial" w:hAnsi="Arial" w:cs="Arial"/>
          <w:iCs/>
          <w:noProof/>
          <w:sz w:val="16"/>
          <w:szCs w:val="16"/>
          <w:lang w:eastAsia="es-MX"/>
        </w:rPr>
      </w:pPr>
      <w:r w:rsidRPr="005A375F">
        <w:rPr>
          <w:rFonts w:ascii="Arial" w:hAnsi="Arial" w:cs="Arial"/>
          <w:iCs/>
          <w:noProof/>
          <w:sz w:val="16"/>
          <w:szCs w:val="16"/>
          <w:lang w:eastAsia="es-MX"/>
        </w:rPr>
        <w:t>Nota:</w:t>
      </w:r>
      <w:r>
        <w:rPr>
          <w:rFonts w:ascii="Arial" w:hAnsi="Arial" w:cs="Arial"/>
          <w:iCs/>
          <w:noProof/>
          <w:sz w:val="16"/>
          <w:szCs w:val="16"/>
          <w:lang w:eastAsia="es-MX"/>
        </w:rPr>
        <w:t xml:space="preserve"> el estado de Tamaulipas no contó con datos o elementos para responder sobre el tema.</w:t>
      </w:r>
    </w:p>
    <w:p w14:paraId="1D6C6E9C" w14:textId="63DC24BF" w:rsidR="00FC6E82" w:rsidRDefault="00FC6E82">
      <w:pPr>
        <w:rPr>
          <w:rFonts w:ascii="Arial" w:hAnsi="Arial" w:cs="Arial"/>
          <w:b/>
          <w:bCs/>
          <w:iCs/>
          <w:noProof/>
          <w:sz w:val="24"/>
          <w:szCs w:val="24"/>
          <w:lang w:eastAsia="es-MX"/>
        </w:rPr>
      </w:pPr>
    </w:p>
    <w:p w14:paraId="0F7A9792" w14:textId="6D1569E5" w:rsidR="00FC6E82" w:rsidRDefault="00FC6E82">
      <w:pPr>
        <w:rPr>
          <w:rFonts w:ascii="Arial" w:hAnsi="Arial" w:cs="Arial"/>
          <w:b/>
          <w:bCs/>
          <w:iCs/>
          <w:noProof/>
          <w:sz w:val="24"/>
          <w:szCs w:val="24"/>
          <w:lang w:eastAsia="es-MX"/>
        </w:rPr>
      </w:pPr>
    </w:p>
    <w:p w14:paraId="698C5652" w14:textId="47D889CA" w:rsidR="00FC6E82" w:rsidRDefault="00FC6E82">
      <w:pPr>
        <w:rPr>
          <w:rFonts w:ascii="Arial" w:hAnsi="Arial" w:cs="Arial"/>
          <w:b/>
          <w:bCs/>
          <w:iCs/>
          <w:noProof/>
          <w:sz w:val="24"/>
          <w:szCs w:val="24"/>
          <w:lang w:eastAsia="es-MX"/>
        </w:rPr>
      </w:pPr>
    </w:p>
    <w:p w14:paraId="592AE9D7" w14:textId="5E59C6AE" w:rsidR="00FC6E82" w:rsidRDefault="00FC6E82">
      <w:pPr>
        <w:rPr>
          <w:rFonts w:ascii="Arial" w:hAnsi="Arial" w:cs="Arial"/>
          <w:b/>
          <w:bCs/>
          <w:iCs/>
          <w:noProof/>
          <w:sz w:val="24"/>
          <w:szCs w:val="24"/>
          <w:lang w:eastAsia="es-MX"/>
        </w:rPr>
      </w:pPr>
    </w:p>
    <w:p w14:paraId="3527D86E" w14:textId="54A6B7EC" w:rsidR="00FC6E82" w:rsidRDefault="00FC6E82">
      <w:pPr>
        <w:rPr>
          <w:rFonts w:ascii="Arial" w:hAnsi="Arial" w:cs="Arial"/>
          <w:b/>
          <w:bCs/>
          <w:iCs/>
          <w:noProof/>
          <w:sz w:val="24"/>
          <w:szCs w:val="24"/>
          <w:lang w:eastAsia="es-MX"/>
        </w:rPr>
      </w:pPr>
    </w:p>
    <w:p w14:paraId="1AEAA8E9" w14:textId="375EB3C2" w:rsidR="00FC6E82" w:rsidRDefault="00FC6E82">
      <w:pPr>
        <w:rPr>
          <w:rFonts w:ascii="Arial" w:hAnsi="Arial" w:cs="Arial"/>
          <w:b/>
          <w:bCs/>
          <w:iCs/>
          <w:noProof/>
          <w:sz w:val="24"/>
          <w:szCs w:val="24"/>
          <w:lang w:eastAsia="es-MX"/>
        </w:rPr>
      </w:pPr>
    </w:p>
    <w:p w14:paraId="589A648F" w14:textId="55E29468" w:rsidR="00E86E9D" w:rsidRPr="00E86E9D" w:rsidRDefault="00E86E9D" w:rsidP="00C218BA">
      <w:pPr>
        <w:pStyle w:val="Default"/>
        <w:ind w:left="-567"/>
        <w:jc w:val="both"/>
        <w:rPr>
          <w:b/>
          <w:bCs/>
          <w:color w:val="auto"/>
        </w:rPr>
      </w:pPr>
      <w:r w:rsidRPr="00E86E9D">
        <w:rPr>
          <w:b/>
          <w:bCs/>
          <w:color w:val="auto"/>
        </w:rPr>
        <w:lastRenderedPageBreak/>
        <w:t>Trámites y servicios</w:t>
      </w:r>
    </w:p>
    <w:p w14:paraId="35D0CA95" w14:textId="77777777" w:rsidR="00E86E9D" w:rsidRDefault="00E86E9D" w:rsidP="00C218BA">
      <w:pPr>
        <w:pStyle w:val="Default"/>
        <w:ind w:left="-567"/>
        <w:jc w:val="both"/>
        <w:rPr>
          <w:color w:val="auto"/>
        </w:rPr>
      </w:pPr>
    </w:p>
    <w:p w14:paraId="4320FFD2" w14:textId="418E9D4D" w:rsidR="00FC6E82" w:rsidRDefault="001336D4" w:rsidP="00C218BA">
      <w:pPr>
        <w:pStyle w:val="Default"/>
        <w:ind w:left="-567"/>
        <w:jc w:val="both"/>
        <w:rPr>
          <w:color w:val="auto"/>
        </w:rPr>
      </w:pPr>
      <w:r>
        <w:rPr>
          <w:color w:val="auto"/>
        </w:rPr>
        <w:t>Durante 2020, las instituciones de las administraciones públicas estatales recibieron</w:t>
      </w:r>
      <w:r w:rsidR="000A3257">
        <w:rPr>
          <w:color w:val="auto"/>
        </w:rPr>
        <w:t xml:space="preserve"> </w:t>
      </w:r>
      <w:r w:rsidRPr="001336D4">
        <w:rPr>
          <w:color w:val="auto"/>
        </w:rPr>
        <w:t>175</w:t>
      </w:r>
      <w:r>
        <w:rPr>
          <w:color w:val="auto"/>
        </w:rPr>
        <w:t xml:space="preserve"> </w:t>
      </w:r>
      <w:r w:rsidRPr="001336D4">
        <w:rPr>
          <w:color w:val="auto"/>
        </w:rPr>
        <w:t>838</w:t>
      </w:r>
      <w:r>
        <w:rPr>
          <w:color w:val="auto"/>
        </w:rPr>
        <w:t xml:space="preserve"> </w:t>
      </w:r>
      <w:r w:rsidRPr="001336D4">
        <w:rPr>
          <w:color w:val="auto"/>
        </w:rPr>
        <w:t xml:space="preserve">991 </w:t>
      </w:r>
      <w:r>
        <w:rPr>
          <w:color w:val="auto"/>
        </w:rPr>
        <w:t>solicitudes de trámites y servicios</w:t>
      </w:r>
      <w:r w:rsidR="00821C00">
        <w:rPr>
          <w:rStyle w:val="Refdenotaalpie"/>
          <w:color w:val="auto"/>
        </w:rPr>
        <w:footnoteReference w:id="9"/>
      </w:r>
      <w:r>
        <w:rPr>
          <w:color w:val="auto"/>
        </w:rPr>
        <w:t>. El principal trámite y/o servicio fue</w:t>
      </w:r>
      <w:r w:rsidR="00970E77">
        <w:rPr>
          <w:color w:val="auto"/>
        </w:rPr>
        <w:t xml:space="preserve"> el correspondiente a </w:t>
      </w:r>
      <w:r>
        <w:rPr>
          <w:color w:val="auto"/>
        </w:rPr>
        <w:t>becas educativas, cambio de escuela, baja escolar, certificados, calificaciones, etc.</w:t>
      </w:r>
      <w:r w:rsidR="00970E77">
        <w:rPr>
          <w:color w:val="auto"/>
        </w:rPr>
        <w:t xml:space="preserve">, que registró </w:t>
      </w:r>
      <w:r w:rsidR="00970E77" w:rsidRPr="00970E77">
        <w:rPr>
          <w:color w:val="auto"/>
        </w:rPr>
        <w:t>37</w:t>
      </w:r>
      <w:r w:rsidR="00970E77">
        <w:rPr>
          <w:color w:val="auto"/>
        </w:rPr>
        <w:t xml:space="preserve"> </w:t>
      </w:r>
      <w:r w:rsidR="00970E77" w:rsidRPr="00970E77">
        <w:rPr>
          <w:color w:val="auto"/>
        </w:rPr>
        <w:t>282</w:t>
      </w:r>
      <w:r w:rsidR="00970E77">
        <w:rPr>
          <w:color w:val="auto"/>
        </w:rPr>
        <w:t xml:space="preserve"> </w:t>
      </w:r>
      <w:r w:rsidR="00970E77" w:rsidRPr="00970E77">
        <w:rPr>
          <w:color w:val="auto"/>
        </w:rPr>
        <w:t>819</w:t>
      </w:r>
      <w:r w:rsidR="00970E77">
        <w:rPr>
          <w:color w:val="auto"/>
        </w:rPr>
        <w:t xml:space="preserve"> solicitudes.</w:t>
      </w:r>
      <w:r>
        <w:rPr>
          <w:color w:val="auto"/>
        </w:rPr>
        <w:t xml:space="preserve"> En comparación con lo reportado en 2019</w:t>
      </w:r>
      <w:r w:rsidR="00970E77">
        <w:rPr>
          <w:rStyle w:val="Refdenotaalpie"/>
          <w:color w:val="auto"/>
        </w:rPr>
        <w:footnoteReference w:id="10"/>
      </w:r>
      <w:r>
        <w:rPr>
          <w:color w:val="auto"/>
        </w:rPr>
        <w:t xml:space="preserve">, </w:t>
      </w:r>
      <w:r w:rsidR="00970E77">
        <w:rPr>
          <w:color w:val="auto"/>
        </w:rPr>
        <w:t>hubo una disminución de</w:t>
      </w:r>
      <w:r>
        <w:rPr>
          <w:color w:val="auto"/>
        </w:rPr>
        <w:t xml:space="preserve"> 41.1%</w:t>
      </w:r>
      <w:r w:rsidR="00970E77">
        <w:rPr>
          <w:color w:val="auto"/>
        </w:rPr>
        <w:t xml:space="preserve"> en el total de las solicitudes recibidas</w:t>
      </w:r>
      <w:r>
        <w:rPr>
          <w:color w:val="auto"/>
        </w:rPr>
        <w:t xml:space="preserve">. </w:t>
      </w:r>
    </w:p>
    <w:p w14:paraId="5DF64204" w14:textId="77777777" w:rsidR="00FC6E82" w:rsidRDefault="00FC6E82" w:rsidP="00C218BA">
      <w:pPr>
        <w:pStyle w:val="Default"/>
        <w:ind w:left="-567"/>
        <w:jc w:val="both"/>
        <w:rPr>
          <w:color w:val="auto"/>
        </w:rPr>
      </w:pPr>
    </w:p>
    <w:p w14:paraId="6ADDCCCB" w14:textId="12F871AF" w:rsidR="00FC6E82" w:rsidRDefault="000A3257" w:rsidP="000A3257">
      <w:pPr>
        <w:pStyle w:val="Default"/>
        <w:ind w:left="-567"/>
        <w:jc w:val="center"/>
        <w:rPr>
          <w:color w:val="auto"/>
        </w:rPr>
      </w:pPr>
      <w:r w:rsidRPr="00087BF8">
        <w:rPr>
          <w:b/>
          <w:bCs/>
          <w:i/>
          <w:iCs/>
          <w:color w:val="706F6F"/>
          <w:sz w:val="18"/>
        </w:rPr>
        <w:t xml:space="preserve">Gráfica </w:t>
      </w:r>
      <w:r w:rsidR="00306EFA">
        <w:rPr>
          <w:b/>
          <w:bCs/>
          <w:i/>
          <w:iCs/>
          <w:color w:val="706F6F"/>
          <w:sz w:val="18"/>
        </w:rPr>
        <w:t>10</w:t>
      </w:r>
      <w:r w:rsidRPr="00087BF8">
        <w:rPr>
          <w:b/>
          <w:bCs/>
          <w:i/>
          <w:iCs/>
          <w:color w:val="706F6F"/>
          <w:sz w:val="18"/>
        </w:rPr>
        <w:t>.</w:t>
      </w:r>
      <w:r>
        <w:rPr>
          <w:b/>
          <w:bCs/>
          <w:i/>
          <w:iCs/>
          <w:color w:val="706F6F"/>
          <w:sz w:val="18"/>
        </w:rPr>
        <w:t xml:space="preserve"> Solicitudes de trámites y/o servicios recibidas por las instituciones de las administraciones públicas estatales, por tipo, 2019 a 2020</w:t>
      </w:r>
    </w:p>
    <w:p w14:paraId="66A8C51D" w14:textId="77777777" w:rsidR="000A3257" w:rsidRDefault="00FC6E82" w:rsidP="00C218BA">
      <w:pPr>
        <w:pStyle w:val="Default"/>
        <w:ind w:left="-567"/>
        <w:jc w:val="both"/>
        <w:rPr>
          <w:b/>
          <w:bCs/>
          <w:iCs/>
          <w:noProof/>
          <w:lang w:eastAsia="es-MX"/>
        </w:rPr>
      </w:pPr>
      <w:r>
        <w:rPr>
          <w:noProof/>
        </w:rPr>
        <w:drawing>
          <wp:inline distT="0" distB="0" distL="0" distR="0" wp14:anchorId="5308D5BD" wp14:editId="3CE36CFD">
            <wp:extent cx="6315710" cy="5911702"/>
            <wp:effectExtent l="0" t="0" r="8890" b="0"/>
            <wp:docPr id="4" name="Gráfico 4">
              <a:extLst xmlns:a="http://schemas.openxmlformats.org/drawingml/2006/main">
                <a:ext uri="{FF2B5EF4-FFF2-40B4-BE49-F238E27FC236}">
                  <a16:creationId xmlns:a16="http://schemas.microsoft.com/office/drawing/2014/main" id="{4CEC2A38-7B40-429D-96E6-5C0F7107F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bCs/>
          <w:iCs/>
          <w:noProof/>
          <w:lang w:eastAsia="es-MX"/>
        </w:rPr>
        <w:t xml:space="preserve"> </w:t>
      </w:r>
    </w:p>
    <w:p w14:paraId="0FB3444E" w14:textId="26B82593" w:rsidR="00A7516A" w:rsidRDefault="000A3257" w:rsidP="00593A58">
      <w:pPr>
        <w:pStyle w:val="Default"/>
        <w:jc w:val="center"/>
        <w:rPr>
          <w:iCs/>
          <w:noProof/>
          <w:sz w:val="16"/>
          <w:szCs w:val="16"/>
          <w:lang w:eastAsia="es-MX"/>
        </w:rPr>
      </w:pPr>
      <w:r w:rsidRPr="000A3257">
        <w:rPr>
          <w:iCs/>
          <w:noProof/>
          <w:sz w:val="16"/>
          <w:szCs w:val="16"/>
          <w:lang w:eastAsia="es-MX"/>
        </w:rPr>
        <w:t>(*)</w:t>
      </w:r>
      <w:r>
        <w:rPr>
          <w:iCs/>
          <w:noProof/>
          <w:sz w:val="16"/>
          <w:szCs w:val="16"/>
          <w:lang w:eastAsia="es-MX"/>
        </w:rPr>
        <w:t xml:space="preserve">: </w:t>
      </w:r>
      <w:r w:rsidR="0031273C">
        <w:rPr>
          <w:iCs/>
          <w:noProof/>
          <w:sz w:val="16"/>
          <w:szCs w:val="16"/>
          <w:lang w:eastAsia="es-MX"/>
        </w:rPr>
        <w:t>la categoría se captó únicamente hasta el levantamiento 2020, por lo que solo se incluye información de 2019.</w:t>
      </w:r>
      <w:r>
        <w:rPr>
          <w:iCs/>
          <w:noProof/>
          <w:sz w:val="16"/>
          <w:szCs w:val="16"/>
          <w:lang w:eastAsia="es-MX"/>
        </w:rPr>
        <w:t xml:space="preserve"> </w:t>
      </w:r>
      <w:r w:rsidR="00A7516A" w:rsidRPr="000A3257">
        <w:rPr>
          <w:iCs/>
          <w:noProof/>
          <w:sz w:val="16"/>
          <w:szCs w:val="16"/>
          <w:lang w:eastAsia="es-MX"/>
        </w:rPr>
        <w:br w:type="page"/>
      </w:r>
    </w:p>
    <w:p w14:paraId="02F18E20" w14:textId="77777777" w:rsidR="008B08B1" w:rsidRDefault="008B08B1" w:rsidP="008B08B1">
      <w:pPr>
        <w:pStyle w:val="Default"/>
        <w:rPr>
          <w:iCs/>
          <w:noProof/>
          <w:lang w:eastAsia="es-MX"/>
        </w:rPr>
      </w:pPr>
    </w:p>
    <w:p w14:paraId="25069FB5" w14:textId="706435DE" w:rsidR="00E86E9D" w:rsidRDefault="00E86E9D" w:rsidP="00914A0C">
      <w:pPr>
        <w:pStyle w:val="Default"/>
        <w:ind w:left="-567"/>
        <w:jc w:val="both"/>
        <w:rPr>
          <w:b/>
          <w:bCs/>
          <w:iCs/>
          <w:noProof/>
          <w:lang w:eastAsia="es-MX"/>
        </w:rPr>
      </w:pPr>
      <w:r>
        <w:rPr>
          <w:b/>
          <w:bCs/>
          <w:iCs/>
          <w:noProof/>
          <w:lang w:eastAsia="es-MX"/>
        </w:rPr>
        <w:t>Transparencia</w:t>
      </w:r>
    </w:p>
    <w:p w14:paraId="102C6944" w14:textId="77777777" w:rsidR="00E86E9D" w:rsidRPr="00E86E9D" w:rsidRDefault="00E86E9D" w:rsidP="00914A0C">
      <w:pPr>
        <w:pStyle w:val="Default"/>
        <w:ind w:left="-567"/>
        <w:jc w:val="both"/>
        <w:rPr>
          <w:b/>
          <w:bCs/>
          <w:iCs/>
          <w:noProof/>
          <w:lang w:eastAsia="es-MX"/>
        </w:rPr>
      </w:pPr>
    </w:p>
    <w:p w14:paraId="018631A7" w14:textId="38193F64" w:rsidR="008B08B1" w:rsidRDefault="008B08B1" w:rsidP="00914A0C">
      <w:pPr>
        <w:pStyle w:val="Default"/>
        <w:ind w:left="-567"/>
        <w:jc w:val="both"/>
        <w:rPr>
          <w:iCs/>
          <w:noProof/>
          <w:lang w:eastAsia="es-MX"/>
        </w:rPr>
      </w:pPr>
      <w:r w:rsidRPr="008B08B1">
        <w:rPr>
          <w:iCs/>
          <w:noProof/>
          <w:lang w:eastAsia="es-MX"/>
        </w:rPr>
        <w:t xml:space="preserve">En </w:t>
      </w:r>
      <w:r>
        <w:rPr>
          <w:iCs/>
          <w:noProof/>
          <w:lang w:eastAsia="es-MX"/>
        </w:rPr>
        <w:t>2020</w:t>
      </w:r>
      <w:r w:rsidR="00A5077C">
        <w:rPr>
          <w:iCs/>
          <w:noProof/>
          <w:lang w:eastAsia="es-MX"/>
        </w:rPr>
        <w:t>,</w:t>
      </w:r>
      <w:r>
        <w:rPr>
          <w:iCs/>
          <w:noProof/>
          <w:lang w:eastAsia="es-MX"/>
        </w:rPr>
        <w:t xml:space="preserve"> las instituciones de las administraciones públicas estatales recibieron </w:t>
      </w:r>
      <w:r w:rsidRPr="008B08B1">
        <w:rPr>
          <w:iCs/>
          <w:noProof/>
          <w:lang w:eastAsia="es-MX"/>
        </w:rPr>
        <w:t>250</w:t>
      </w:r>
      <w:r>
        <w:rPr>
          <w:iCs/>
          <w:noProof/>
          <w:lang w:eastAsia="es-MX"/>
        </w:rPr>
        <w:t xml:space="preserve"> </w:t>
      </w:r>
      <w:r w:rsidRPr="008B08B1">
        <w:rPr>
          <w:iCs/>
          <w:noProof/>
          <w:lang w:eastAsia="es-MX"/>
        </w:rPr>
        <w:t>873</w:t>
      </w:r>
      <w:r>
        <w:rPr>
          <w:iCs/>
          <w:noProof/>
          <w:lang w:eastAsia="es-MX"/>
        </w:rPr>
        <w:t xml:space="preserve"> solicitudes de acceso a la información pública, respondieron 220 671</w:t>
      </w:r>
      <w:r w:rsidR="00E32FA8">
        <w:rPr>
          <w:iCs/>
          <w:noProof/>
          <w:lang w:eastAsia="es-MX"/>
        </w:rPr>
        <w:t>,</w:t>
      </w:r>
      <w:r>
        <w:rPr>
          <w:iCs/>
          <w:noProof/>
          <w:lang w:eastAsia="es-MX"/>
        </w:rPr>
        <w:t xml:space="preserve"> y </w:t>
      </w:r>
      <w:r w:rsidR="00907A69">
        <w:rPr>
          <w:iCs/>
          <w:noProof/>
          <w:lang w:eastAsia="es-MX"/>
        </w:rPr>
        <w:t xml:space="preserve">reportaron un total de </w:t>
      </w:r>
      <w:r>
        <w:rPr>
          <w:iCs/>
          <w:noProof/>
          <w:lang w:eastAsia="es-MX"/>
        </w:rPr>
        <w:t xml:space="preserve">20 421 </w:t>
      </w:r>
      <w:r w:rsidR="00907A69">
        <w:rPr>
          <w:iCs/>
          <w:noProof/>
          <w:lang w:eastAsia="es-MX"/>
        </w:rPr>
        <w:t xml:space="preserve">solicitudes pendientes. </w:t>
      </w:r>
      <w:r w:rsidR="00A6247A">
        <w:rPr>
          <w:iCs/>
          <w:noProof/>
          <w:lang w:eastAsia="es-MX"/>
        </w:rPr>
        <w:t>En materia de protección de datos personales</w:t>
      </w:r>
      <w:r w:rsidR="003C103D">
        <w:rPr>
          <w:iCs/>
          <w:noProof/>
          <w:lang w:eastAsia="es-MX"/>
        </w:rPr>
        <w:t>, se recibieron</w:t>
      </w:r>
      <w:r w:rsidR="00914A0C">
        <w:rPr>
          <w:iCs/>
          <w:noProof/>
          <w:lang w:eastAsia="es-MX"/>
        </w:rPr>
        <w:t xml:space="preserve">  </w:t>
      </w:r>
      <w:r w:rsidR="003C103D">
        <w:rPr>
          <w:iCs/>
          <w:noProof/>
          <w:lang w:eastAsia="es-MX"/>
        </w:rPr>
        <w:t xml:space="preserve"> 12 614, </w:t>
      </w:r>
      <w:r w:rsidR="00914A0C">
        <w:rPr>
          <w:iCs/>
          <w:noProof/>
          <w:lang w:eastAsia="es-MX"/>
        </w:rPr>
        <w:t xml:space="preserve">se respondieron </w:t>
      </w:r>
      <w:r w:rsidR="003C103D">
        <w:rPr>
          <w:iCs/>
          <w:noProof/>
          <w:lang w:eastAsia="es-MX"/>
        </w:rPr>
        <w:t>11 487 y 906 quedaron pendientes.</w:t>
      </w:r>
      <w:r w:rsidR="00E32FA8">
        <w:rPr>
          <w:rStyle w:val="Refdenotaalpie"/>
          <w:iCs/>
          <w:noProof/>
          <w:lang w:eastAsia="es-MX"/>
        </w:rPr>
        <w:footnoteReference w:id="11"/>
      </w:r>
      <w:r w:rsidR="003C103D">
        <w:rPr>
          <w:iCs/>
          <w:noProof/>
          <w:lang w:eastAsia="es-MX"/>
        </w:rPr>
        <w:t xml:space="preserve"> Las siguientes gráficas </w:t>
      </w:r>
      <w:r w:rsidR="00914A0C">
        <w:rPr>
          <w:iCs/>
          <w:noProof/>
          <w:lang w:eastAsia="es-MX"/>
        </w:rPr>
        <w:t>presentan la información referente a las solicitudes en ambas materias en el periodo de 2015 a 2020.</w:t>
      </w:r>
    </w:p>
    <w:p w14:paraId="5B774C4B" w14:textId="0AB6B017" w:rsidR="00907A69" w:rsidRDefault="00907A69" w:rsidP="008B08B1">
      <w:pPr>
        <w:pStyle w:val="Default"/>
        <w:rPr>
          <w:iCs/>
          <w:noProof/>
          <w:lang w:eastAsia="es-MX"/>
        </w:rPr>
      </w:pPr>
    </w:p>
    <w:p w14:paraId="60F64FA9" w14:textId="5EDE9665" w:rsidR="00914A0C" w:rsidRDefault="00907A69" w:rsidP="00907A69">
      <w:pPr>
        <w:pStyle w:val="Default"/>
        <w:ind w:left="-567"/>
        <w:jc w:val="center"/>
        <w:rPr>
          <w:b/>
          <w:bCs/>
          <w:i/>
          <w:iCs/>
          <w:color w:val="706F6F"/>
          <w:sz w:val="18"/>
        </w:rPr>
      </w:pPr>
      <w:r w:rsidRPr="00087BF8">
        <w:rPr>
          <w:b/>
          <w:bCs/>
          <w:i/>
          <w:iCs/>
          <w:color w:val="706F6F"/>
          <w:sz w:val="18"/>
        </w:rPr>
        <w:t xml:space="preserve">Gráfica </w:t>
      </w:r>
      <w:r w:rsidR="004E6FA5">
        <w:rPr>
          <w:b/>
          <w:bCs/>
          <w:i/>
          <w:iCs/>
          <w:color w:val="706F6F"/>
          <w:sz w:val="18"/>
        </w:rPr>
        <w:t>1</w:t>
      </w:r>
      <w:r w:rsidR="00306EFA">
        <w:rPr>
          <w:b/>
          <w:bCs/>
          <w:i/>
          <w:iCs/>
          <w:color w:val="706F6F"/>
          <w:sz w:val="18"/>
        </w:rPr>
        <w:t>1</w:t>
      </w:r>
      <w:r w:rsidRPr="00087BF8">
        <w:rPr>
          <w:b/>
          <w:bCs/>
          <w:i/>
          <w:iCs/>
          <w:color w:val="706F6F"/>
          <w:sz w:val="18"/>
        </w:rPr>
        <w:t>.</w:t>
      </w:r>
      <w:r>
        <w:rPr>
          <w:b/>
          <w:bCs/>
          <w:i/>
          <w:iCs/>
          <w:color w:val="706F6F"/>
          <w:sz w:val="18"/>
        </w:rPr>
        <w:t xml:space="preserve"> Solicitudes de acceso a la información pública conocidas por las instituciones </w:t>
      </w:r>
    </w:p>
    <w:p w14:paraId="66DD62EB" w14:textId="6D654433" w:rsidR="00907A69" w:rsidRDefault="00907A69" w:rsidP="00907A69">
      <w:pPr>
        <w:pStyle w:val="Default"/>
        <w:ind w:left="-567"/>
        <w:jc w:val="center"/>
        <w:rPr>
          <w:color w:val="auto"/>
        </w:rPr>
      </w:pPr>
      <w:r>
        <w:rPr>
          <w:b/>
          <w:bCs/>
          <w:i/>
          <w:iCs/>
          <w:color w:val="706F6F"/>
          <w:sz w:val="18"/>
        </w:rPr>
        <w:t xml:space="preserve">de las administraciones públicas estatales, por estatus, </w:t>
      </w:r>
      <w:r w:rsidR="00914A0C">
        <w:rPr>
          <w:b/>
          <w:bCs/>
          <w:i/>
          <w:iCs/>
          <w:color w:val="706F6F"/>
          <w:sz w:val="18"/>
        </w:rPr>
        <w:t xml:space="preserve">2015 a </w:t>
      </w:r>
      <w:r>
        <w:rPr>
          <w:b/>
          <w:bCs/>
          <w:i/>
          <w:iCs/>
          <w:color w:val="706F6F"/>
          <w:sz w:val="18"/>
        </w:rPr>
        <w:t>2020</w:t>
      </w:r>
    </w:p>
    <w:p w14:paraId="1D8E29D7" w14:textId="4DE7E19B" w:rsidR="00907A69" w:rsidRDefault="00907A69" w:rsidP="008B08B1">
      <w:pPr>
        <w:pStyle w:val="Default"/>
        <w:rPr>
          <w:iCs/>
          <w:noProof/>
          <w:lang w:eastAsia="es-MX"/>
        </w:rPr>
      </w:pPr>
    </w:p>
    <w:p w14:paraId="49AFA1ED" w14:textId="29C65AAF" w:rsidR="00914A0C" w:rsidRDefault="00914A0C" w:rsidP="00914A0C">
      <w:pPr>
        <w:pStyle w:val="Default"/>
        <w:jc w:val="center"/>
        <w:rPr>
          <w:iCs/>
          <w:noProof/>
          <w:lang w:eastAsia="es-MX"/>
        </w:rPr>
      </w:pPr>
      <w:r>
        <w:rPr>
          <w:noProof/>
        </w:rPr>
        <w:drawing>
          <wp:inline distT="0" distB="0" distL="0" distR="0" wp14:anchorId="2D541E74" wp14:editId="2446AE76">
            <wp:extent cx="4572000" cy="2113807"/>
            <wp:effectExtent l="0" t="0" r="0" b="1270"/>
            <wp:docPr id="5" name="Gráfico 5">
              <a:extLst xmlns:a="http://schemas.openxmlformats.org/drawingml/2006/main">
                <a:ext uri="{FF2B5EF4-FFF2-40B4-BE49-F238E27FC236}">
                  <a16:creationId xmlns:a16="http://schemas.microsoft.com/office/drawing/2014/main" id="{53F05E51-DC35-4C35-8165-5EC163BBD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91A9C4" w14:textId="0B2DB115" w:rsidR="00914A0C" w:rsidRDefault="00914A0C" w:rsidP="00914A0C">
      <w:pPr>
        <w:pStyle w:val="Default"/>
        <w:jc w:val="center"/>
        <w:rPr>
          <w:iCs/>
          <w:noProof/>
          <w:lang w:eastAsia="es-MX"/>
        </w:rPr>
      </w:pPr>
    </w:p>
    <w:p w14:paraId="72EF1FA8" w14:textId="5A9E769A" w:rsidR="00914A0C" w:rsidRDefault="00914A0C" w:rsidP="00914A0C">
      <w:pPr>
        <w:pStyle w:val="Default"/>
        <w:jc w:val="center"/>
        <w:rPr>
          <w:iCs/>
          <w:noProof/>
          <w:lang w:eastAsia="es-MX"/>
        </w:rPr>
      </w:pPr>
    </w:p>
    <w:p w14:paraId="1FC7EE5D" w14:textId="572445DA" w:rsidR="00914A0C" w:rsidRDefault="00914A0C" w:rsidP="00914A0C">
      <w:pPr>
        <w:pStyle w:val="Default"/>
        <w:ind w:left="-567"/>
        <w:jc w:val="center"/>
        <w:rPr>
          <w:b/>
          <w:bCs/>
          <w:i/>
          <w:iCs/>
          <w:color w:val="706F6F"/>
          <w:sz w:val="18"/>
        </w:rPr>
      </w:pPr>
      <w:r w:rsidRPr="00087BF8">
        <w:rPr>
          <w:b/>
          <w:bCs/>
          <w:i/>
          <w:iCs/>
          <w:color w:val="706F6F"/>
          <w:sz w:val="18"/>
        </w:rPr>
        <w:t xml:space="preserve">Gráfica </w:t>
      </w:r>
      <w:r w:rsidR="005D60E0">
        <w:rPr>
          <w:b/>
          <w:bCs/>
          <w:i/>
          <w:iCs/>
          <w:color w:val="706F6F"/>
          <w:sz w:val="18"/>
        </w:rPr>
        <w:t>1</w:t>
      </w:r>
      <w:r w:rsidR="00306EFA">
        <w:rPr>
          <w:b/>
          <w:bCs/>
          <w:i/>
          <w:iCs/>
          <w:color w:val="706F6F"/>
          <w:sz w:val="18"/>
        </w:rPr>
        <w:t>2</w:t>
      </w:r>
      <w:r w:rsidRPr="00087BF8">
        <w:rPr>
          <w:b/>
          <w:bCs/>
          <w:i/>
          <w:iCs/>
          <w:color w:val="706F6F"/>
          <w:sz w:val="18"/>
        </w:rPr>
        <w:t>.</w:t>
      </w:r>
      <w:r>
        <w:rPr>
          <w:b/>
          <w:bCs/>
          <w:i/>
          <w:iCs/>
          <w:color w:val="706F6F"/>
          <w:sz w:val="18"/>
        </w:rPr>
        <w:t xml:space="preserve"> Solicitudes de </w:t>
      </w:r>
      <w:r w:rsidR="005D60E0">
        <w:rPr>
          <w:b/>
          <w:bCs/>
          <w:i/>
          <w:iCs/>
          <w:color w:val="706F6F"/>
          <w:sz w:val="18"/>
        </w:rPr>
        <w:t>protección de datos personales</w:t>
      </w:r>
      <w:r>
        <w:rPr>
          <w:b/>
          <w:bCs/>
          <w:i/>
          <w:iCs/>
          <w:color w:val="706F6F"/>
          <w:sz w:val="18"/>
        </w:rPr>
        <w:t xml:space="preserve"> conocidas por las instituciones </w:t>
      </w:r>
    </w:p>
    <w:p w14:paraId="54101656" w14:textId="4CBEEE02" w:rsidR="00914A0C" w:rsidRDefault="00914A0C" w:rsidP="00914A0C">
      <w:pPr>
        <w:pStyle w:val="Default"/>
        <w:ind w:left="-567"/>
        <w:jc w:val="center"/>
        <w:rPr>
          <w:b/>
          <w:bCs/>
          <w:i/>
          <w:iCs/>
          <w:color w:val="706F6F"/>
          <w:sz w:val="18"/>
        </w:rPr>
      </w:pPr>
      <w:r>
        <w:rPr>
          <w:b/>
          <w:bCs/>
          <w:i/>
          <w:iCs/>
          <w:color w:val="706F6F"/>
          <w:sz w:val="18"/>
        </w:rPr>
        <w:t>de las administraciones públicas estatales, por estatus, 2015 a 2020</w:t>
      </w:r>
    </w:p>
    <w:p w14:paraId="53BD961F" w14:textId="2B350379" w:rsidR="00914A0C" w:rsidRDefault="00914A0C" w:rsidP="00914A0C">
      <w:pPr>
        <w:pStyle w:val="Default"/>
        <w:ind w:left="-567"/>
        <w:jc w:val="center"/>
        <w:rPr>
          <w:b/>
          <w:bCs/>
          <w:i/>
          <w:iCs/>
          <w:color w:val="706F6F"/>
          <w:sz w:val="18"/>
        </w:rPr>
      </w:pPr>
    </w:p>
    <w:p w14:paraId="2BD2F520" w14:textId="0D224D91" w:rsidR="00914A0C" w:rsidRDefault="00914A0C" w:rsidP="00914A0C">
      <w:pPr>
        <w:pStyle w:val="Default"/>
        <w:ind w:left="-567"/>
        <w:jc w:val="center"/>
        <w:rPr>
          <w:color w:val="auto"/>
        </w:rPr>
      </w:pPr>
      <w:r>
        <w:rPr>
          <w:noProof/>
        </w:rPr>
        <w:drawing>
          <wp:inline distT="0" distB="0" distL="0" distR="0" wp14:anchorId="7806796E" wp14:editId="4B4D069F">
            <wp:extent cx="4572000" cy="2419200"/>
            <wp:effectExtent l="0" t="0" r="0" b="635"/>
            <wp:docPr id="6" name="Gráfico 6">
              <a:extLst xmlns:a="http://schemas.openxmlformats.org/drawingml/2006/main">
                <a:ext uri="{FF2B5EF4-FFF2-40B4-BE49-F238E27FC236}">
                  <a16:creationId xmlns:a16="http://schemas.microsoft.com/office/drawing/2014/main" id="{64EE6FB0-47BB-4D80-ACD3-D541B092F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9D55E2" w14:textId="77777777" w:rsidR="0096797A" w:rsidRDefault="0096797A" w:rsidP="0096797A">
      <w:pPr>
        <w:pStyle w:val="Default"/>
        <w:jc w:val="center"/>
        <w:rPr>
          <w:iCs/>
          <w:noProof/>
          <w:sz w:val="16"/>
          <w:szCs w:val="16"/>
          <w:lang w:eastAsia="es-MX"/>
        </w:rPr>
      </w:pPr>
    </w:p>
    <w:p w14:paraId="3AA6A31F" w14:textId="302F0BD4" w:rsidR="0096797A" w:rsidRPr="0096797A" w:rsidRDefault="0096797A" w:rsidP="0096797A">
      <w:pPr>
        <w:pStyle w:val="Default"/>
        <w:jc w:val="center"/>
        <w:rPr>
          <w:iCs/>
          <w:noProof/>
          <w:sz w:val="16"/>
          <w:szCs w:val="16"/>
          <w:lang w:eastAsia="es-MX"/>
        </w:rPr>
      </w:pPr>
      <w:r w:rsidRPr="0096797A">
        <w:rPr>
          <w:iCs/>
          <w:noProof/>
          <w:sz w:val="16"/>
          <w:szCs w:val="16"/>
          <w:lang w:eastAsia="es-MX"/>
        </w:rPr>
        <w:t xml:space="preserve">Nota: en 2018, se registraron 5 368 solicitudes recibidas, 5 358 solicitudes respondidas y 10 solicitudes </w:t>
      </w:r>
      <w:r w:rsidR="0021321C">
        <w:rPr>
          <w:iCs/>
          <w:noProof/>
          <w:sz w:val="16"/>
          <w:szCs w:val="16"/>
          <w:lang w:eastAsia="es-MX"/>
        </w:rPr>
        <w:t>pendientes</w:t>
      </w:r>
      <w:r w:rsidRPr="0096797A">
        <w:rPr>
          <w:iCs/>
          <w:noProof/>
          <w:sz w:val="16"/>
          <w:szCs w:val="16"/>
          <w:lang w:eastAsia="es-MX"/>
        </w:rPr>
        <w:t xml:space="preserve"> </w:t>
      </w:r>
      <w:r>
        <w:rPr>
          <w:iCs/>
          <w:noProof/>
          <w:sz w:val="16"/>
          <w:szCs w:val="16"/>
          <w:lang w:eastAsia="es-MX"/>
        </w:rPr>
        <w:t>para las cuales no se especificó la materia.</w:t>
      </w:r>
    </w:p>
    <w:p w14:paraId="0835D60F" w14:textId="77777777" w:rsidR="00914A0C" w:rsidRDefault="00914A0C" w:rsidP="00914A0C">
      <w:pPr>
        <w:pStyle w:val="Default"/>
        <w:rPr>
          <w:iCs/>
          <w:noProof/>
          <w:lang w:eastAsia="es-MX"/>
        </w:rPr>
      </w:pPr>
    </w:p>
    <w:p w14:paraId="6F787BD3" w14:textId="3374DBCA" w:rsidR="00E86E9D" w:rsidRPr="00E86E9D" w:rsidRDefault="00E86E9D" w:rsidP="00816377">
      <w:pPr>
        <w:ind w:left="-567"/>
        <w:jc w:val="both"/>
        <w:rPr>
          <w:rFonts w:ascii="Arial" w:hAnsi="Arial" w:cs="Arial"/>
          <w:b/>
          <w:bCs/>
          <w:iCs/>
          <w:noProof/>
          <w:sz w:val="24"/>
          <w:szCs w:val="24"/>
          <w:lang w:eastAsia="es-MX"/>
        </w:rPr>
      </w:pPr>
      <w:r w:rsidRPr="00E86E9D">
        <w:rPr>
          <w:rFonts w:ascii="Arial" w:hAnsi="Arial" w:cs="Arial"/>
          <w:b/>
          <w:bCs/>
          <w:iCs/>
          <w:noProof/>
          <w:sz w:val="24"/>
          <w:szCs w:val="24"/>
          <w:lang w:eastAsia="es-MX"/>
        </w:rPr>
        <w:t>Control interno</w:t>
      </w:r>
    </w:p>
    <w:p w14:paraId="73F627CC" w14:textId="7F7668A6" w:rsidR="00721762" w:rsidRDefault="00721762" w:rsidP="00816377">
      <w:pPr>
        <w:ind w:left="-567"/>
        <w:jc w:val="both"/>
        <w:rPr>
          <w:rFonts w:ascii="Arial" w:hAnsi="Arial" w:cs="Arial"/>
          <w:iCs/>
          <w:noProof/>
          <w:sz w:val="24"/>
          <w:szCs w:val="24"/>
          <w:lang w:eastAsia="es-MX"/>
        </w:rPr>
      </w:pPr>
      <w:r w:rsidRPr="00721762">
        <w:rPr>
          <w:rFonts w:ascii="Arial" w:hAnsi="Arial" w:cs="Arial"/>
          <w:iCs/>
          <w:noProof/>
          <w:sz w:val="24"/>
          <w:szCs w:val="24"/>
          <w:lang w:eastAsia="es-MX"/>
        </w:rPr>
        <w:t>Para</w:t>
      </w:r>
      <w:r>
        <w:rPr>
          <w:rFonts w:ascii="Arial" w:hAnsi="Arial" w:cs="Arial"/>
          <w:iCs/>
          <w:noProof/>
          <w:sz w:val="24"/>
          <w:szCs w:val="24"/>
          <w:lang w:eastAsia="es-MX"/>
        </w:rPr>
        <w:t xml:space="preserve"> el ejercicio de la función de control interno</w:t>
      </w:r>
      <w:r w:rsidR="00816377">
        <w:rPr>
          <w:rFonts w:ascii="Arial" w:hAnsi="Arial" w:cs="Arial"/>
          <w:iCs/>
          <w:noProof/>
          <w:sz w:val="24"/>
          <w:szCs w:val="24"/>
          <w:lang w:eastAsia="es-MX"/>
        </w:rPr>
        <w:t>,</w:t>
      </w:r>
      <w:r>
        <w:rPr>
          <w:rFonts w:ascii="Arial" w:hAnsi="Arial" w:cs="Arial"/>
          <w:iCs/>
          <w:noProof/>
          <w:sz w:val="24"/>
          <w:szCs w:val="24"/>
          <w:lang w:eastAsia="es-MX"/>
        </w:rPr>
        <w:t xml:space="preserve"> al cierre de 2020 las instituciones de las administraciones públicas estatales contaron con 7 061 personas adscritas a los órganos internos de control, de las cuales</w:t>
      </w:r>
      <w:r w:rsidR="00E32FA8">
        <w:rPr>
          <w:rFonts w:ascii="Arial" w:hAnsi="Arial" w:cs="Arial"/>
          <w:iCs/>
          <w:noProof/>
          <w:sz w:val="24"/>
          <w:szCs w:val="24"/>
          <w:lang w:eastAsia="es-MX"/>
        </w:rPr>
        <w:t>,</w:t>
      </w:r>
      <w:r>
        <w:rPr>
          <w:rFonts w:ascii="Arial" w:hAnsi="Arial" w:cs="Arial"/>
          <w:iCs/>
          <w:noProof/>
          <w:sz w:val="24"/>
          <w:szCs w:val="24"/>
          <w:lang w:eastAsia="es-MX"/>
        </w:rPr>
        <w:t xml:space="preserve"> 47.6% eran hombres y 52.4% mujeres. </w:t>
      </w:r>
      <w:r w:rsidR="005F7A3F">
        <w:rPr>
          <w:rFonts w:ascii="Arial" w:hAnsi="Arial" w:cs="Arial"/>
          <w:iCs/>
          <w:noProof/>
          <w:sz w:val="24"/>
          <w:szCs w:val="24"/>
          <w:lang w:eastAsia="es-MX"/>
        </w:rPr>
        <w:t xml:space="preserve">Con respecto a 2019, </w:t>
      </w:r>
      <w:r w:rsidR="000E308E">
        <w:rPr>
          <w:rFonts w:ascii="Arial" w:hAnsi="Arial" w:cs="Arial"/>
          <w:iCs/>
          <w:noProof/>
          <w:sz w:val="24"/>
          <w:szCs w:val="24"/>
          <w:lang w:eastAsia="es-MX"/>
        </w:rPr>
        <w:t xml:space="preserve">en 2020 </w:t>
      </w:r>
      <w:r w:rsidR="005F7A3F">
        <w:rPr>
          <w:rFonts w:ascii="Arial" w:hAnsi="Arial" w:cs="Arial"/>
          <w:iCs/>
          <w:noProof/>
          <w:sz w:val="24"/>
          <w:szCs w:val="24"/>
          <w:lang w:eastAsia="es-MX"/>
        </w:rPr>
        <w:t>hubo un aumento de 29.8% de dicho persona</w:t>
      </w:r>
      <w:r w:rsidR="000E308E">
        <w:rPr>
          <w:rFonts w:ascii="Arial" w:hAnsi="Arial" w:cs="Arial"/>
          <w:iCs/>
          <w:noProof/>
          <w:sz w:val="24"/>
          <w:szCs w:val="24"/>
          <w:lang w:eastAsia="es-MX"/>
        </w:rPr>
        <w:t>l</w:t>
      </w:r>
      <w:r w:rsidR="00E74F8F">
        <w:rPr>
          <w:rFonts w:ascii="Arial" w:hAnsi="Arial" w:cs="Arial"/>
          <w:iCs/>
          <w:noProof/>
          <w:sz w:val="24"/>
          <w:szCs w:val="24"/>
          <w:lang w:eastAsia="es-MX"/>
        </w:rPr>
        <w:t>.</w:t>
      </w:r>
      <w:r w:rsidR="005F7A3F">
        <w:rPr>
          <w:rFonts w:ascii="Arial" w:hAnsi="Arial" w:cs="Arial"/>
          <w:iCs/>
          <w:noProof/>
          <w:sz w:val="24"/>
          <w:szCs w:val="24"/>
          <w:lang w:eastAsia="es-MX"/>
        </w:rPr>
        <w:t xml:space="preserve"> </w:t>
      </w:r>
    </w:p>
    <w:p w14:paraId="39EA47D9" w14:textId="77777777" w:rsidR="00065723" w:rsidRDefault="00065723" w:rsidP="00065723">
      <w:pPr>
        <w:pStyle w:val="Default"/>
        <w:jc w:val="center"/>
        <w:rPr>
          <w:iCs/>
          <w:noProof/>
          <w:lang w:eastAsia="es-MX"/>
        </w:rPr>
      </w:pPr>
    </w:p>
    <w:p w14:paraId="6BD3216D" w14:textId="6D63FF0A" w:rsidR="00065723" w:rsidRDefault="00065723" w:rsidP="00065723">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3</w:t>
      </w:r>
      <w:r w:rsidRPr="00087BF8">
        <w:rPr>
          <w:b/>
          <w:bCs/>
          <w:i/>
          <w:iCs/>
          <w:color w:val="706F6F"/>
          <w:sz w:val="18"/>
        </w:rPr>
        <w:t>.</w:t>
      </w:r>
      <w:r>
        <w:rPr>
          <w:b/>
          <w:bCs/>
          <w:i/>
          <w:iCs/>
          <w:color w:val="706F6F"/>
          <w:sz w:val="18"/>
        </w:rPr>
        <w:t xml:space="preserve"> Personal adscrito </w:t>
      </w:r>
      <w:r w:rsidR="00816377">
        <w:rPr>
          <w:b/>
          <w:bCs/>
          <w:i/>
          <w:iCs/>
          <w:color w:val="706F6F"/>
          <w:sz w:val="18"/>
        </w:rPr>
        <w:t xml:space="preserve">a los </w:t>
      </w:r>
      <w:r w:rsidR="00816377" w:rsidRPr="00816377">
        <w:rPr>
          <w:b/>
          <w:bCs/>
          <w:i/>
          <w:iCs/>
          <w:color w:val="706F6F"/>
          <w:sz w:val="18"/>
        </w:rPr>
        <w:t xml:space="preserve">órganos internos de control </w:t>
      </w:r>
      <w:r w:rsidR="00816377">
        <w:rPr>
          <w:b/>
          <w:bCs/>
          <w:i/>
          <w:iCs/>
          <w:color w:val="706F6F"/>
          <w:sz w:val="18"/>
        </w:rPr>
        <w:t>de</w:t>
      </w:r>
      <w:r>
        <w:rPr>
          <w:b/>
          <w:bCs/>
          <w:i/>
          <w:iCs/>
          <w:color w:val="706F6F"/>
          <w:sz w:val="18"/>
        </w:rPr>
        <w:t xml:space="preserve"> las instituciones </w:t>
      </w:r>
    </w:p>
    <w:p w14:paraId="1DB64B62" w14:textId="54B43F9E" w:rsidR="00065723" w:rsidRDefault="00065723" w:rsidP="00065723">
      <w:pPr>
        <w:pStyle w:val="Default"/>
        <w:ind w:left="-567"/>
        <w:jc w:val="center"/>
        <w:rPr>
          <w:b/>
          <w:bCs/>
          <w:i/>
          <w:iCs/>
          <w:color w:val="706F6F"/>
          <w:sz w:val="18"/>
        </w:rPr>
      </w:pPr>
      <w:r>
        <w:rPr>
          <w:b/>
          <w:bCs/>
          <w:i/>
          <w:iCs/>
          <w:color w:val="706F6F"/>
          <w:sz w:val="18"/>
        </w:rPr>
        <w:t>de las administraciones públicas estatales, 201</w:t>
      </w:r>
      <w:r w:rsidR="00816377">
        <w:rPr>
          <w:b/>
          <w:bCs/>
          <w:i/>
          <w:iCs/>
          <w:color w:val="706F6F"/>
          <w:sz w:val="18"/>
        </w:rPr>
        <w:t>4</w:t>
      </w:r>
      <w:r>
        <w:rPr>
          <w:b/>
          <w:bCs/>
          <w:i/>
          <w:iCs/>
          <w:color w:val="706F6F"/>
          <w:sz w:val="18"/>
        </w:rPr>
        <w:t xml:space="preserve"> a 2020</w:t>
      </w:r>
    </w:p>
    <w:p w14:paraId="4F0D4689" w14:textId="4B57E0B1" w:rsidR="00816377" w:rsidRDefault="00816377" w:rsidP="00065723">
      <w:pPr>
        <w:pStyle w:val="Default"/>
        <w:ind w:left="-567"/>
        <w:jc w:val="center"/>
        <w:rPr>
          <w:b/>
          <w:bCs/>
          <w:i/>
          <w:iCs/>
          <w:color w:val="706F6F"/>
          <w:sz w:val="18"/>
        </w:rPr>
      </w:pPr>
    </w:p>
    <w:p w14:paraId="0553C7DC" w14:textId="452B5BAC" w:rsidR="00816377" w:rsidRDefault="00816377" w:rsidP="00065723">
      <w:pPr>
        <w:pStyle w:val="Default"/>
        <w:ind w:left="-567"/>
        <w:jc w:val="center"/>
        <w:rPr>
          <w:b/>
          <w:bCs/>
          <w:i/>
          <w:iCs/>
          <w:color w:val="706F6F"/>
          <w:sz w:val="18"/>
        </w:rPr>
      </w:pPr>
      <w:r>
        <w:rPr>
          <w:noProof/>
        </w:rPr>
        <w:drawing>
          <wp:inline distT="0" distB="0" distL="0" distR="0" wp14:anchorId="2B689F71" wp14:editId="165BB551">
            <wp:extent cx="4572000" cy="2083982"/>
            <wp:effectExtent l="0" t="0" r="0" b="0"/>
            <wp:docPr id="7" name="Gráfico 7">
              <a:extLst xmlns:a="http://schemas.openxmlformats.org/drawingml/2006/main">
                <a:ext uri="{FF2B5EF4-FFF2-40B4-BE49-F238E27FC236}">
                  <a16:creationId xmlns:a16="http://schemas.microsoft.com/office/drawing/2014/main" id="{9248E0F0-BBF6-42EB-9828-F0DD63A19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8815D8" w14:textId="33B2A265" w:rsidR="00721762" w:rsidRDefault="00721762" w:rsidP="00721762">
      <w:pPr>
        <w:ind w:left="-567"/>
        <w:rPr>
          <w:rFonts w:ascii="Arial" w:hAnsi="Arial" w:cs="Arial"/>
          <w:iCs/>
          <w:noProof/>
          <w:sz w:val="24"/>
          <w:szCs w:val="24"/>
          <w:lang w:eastAsia="es-MX"/>
        </w:rPr>
      </w:pPr>
    </w:p>
    <w:p w14:paraId="670CBDE1" w14:textId="7077839E" w:rsidR="00E74F8F" w:rsidRPr="00721762" w:rsidRDefault="00E74F8F" w:rsidP="00B3726F">
      <w:pPr>
        <w:ind w:left="-567"/>
        <w:jc w:val="both"/>
        <w:rPr>
          <w:rFonts w:ascii="Arial" w:hAnsi="Arial" w:cs="Arial"/>
          <w:iCs/>
          <w:noProof/>
          <w:sz w:val="24"/>
          <w:szCs w:val="24"/>
          <w:lang w:eastAsia="es-MX"/>
        </w:rPr>
      </w:pPr>
      <w:r>
        <w:rPr>
          <w:rFonts w:ascii="Arial" w:hAnsi="Arial" w:cs="Arial"/>
          <w:iCs/>
          <w:noProof/>
          <w:sz w:val="24"/>
          <w:szCs w:val="24"/>
          <w:lang w:eastAsia="es-MX"/>
        </w:rPr>
        <w:t>Las y los servidores públicos adscritos a los órganos internos de control realizaron</w:t>
      </w:r>
      <w:r w:rsidR="000F2DBD">
        <w:rPr>
          <w:rFonts w:ascii="Arial" w:hAnsi="Arial" w:cs="Arial"/>
          <w:iCs/>
          <w:noProof/>
          <w:sz w:val="24"/>
          <w:szCs w:val="24"/>
          <w:lang w:eastAsia="es-MX"/>
        </w:rPr>
        <w:t>,</w:t>
      </w:r>
      <w:r>
        <w:rPr>
          <w:rFonts w:ascii="Arial" w:hAnsi="Arial" w:cs="Arial"/>
          <w:iCs/>
          <w:noProof/>
          <w:sz w:val="24"/>
          <w:szCs w:val="24"/>
          <w:lang w:eastAsia="es-MX"/>
        </w:rPr>
        <w:t xml:space="preserve"> en su mayoría, funciones de investigación. </w:t>
      </w:r>
    </w:p>
    <w:p w14:paraId="78597F42" w14:textId="1C73F9D8" w:rsidR="00824BFD" w:rsidRDefault="00824BFD">
      <w:pPr>
        <w:rPr>
          <w:rFonts w:ascii="Arial" w:hAnsi="Arial" w:cs="Arial"/>
          <w:b/>
          <w:bCs/>
          <w:iCs/>
          <w:noProof/>
          <w:sz w:val="24"/>
          <w:szCs w:val="24"/>
          <w:lang w:eastAsia="es-MX"/>
        </w:rPr>
      </w:pPr>
    </w:p>
    <w:p w14:paraId="2A278561" w14:textId="095FB38D" w:rsidR="005F7A3F" w:rsidRDefault="005F7A3F" w:rsidP="005F7A3F">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4</w:t>
      </w:r>
      <w:r w:rsidRPr="00087BF8">
        <w:rPr>
          <w:b/>
          <w:bCs/>
          <w:i/>
          <w:iCs/>
          <w:color w:val="706F6F"/>
          <w:sz w:val="18"/>
        </w:rPr>
        <w:t>.</w:t>
      </w:r>
      <w:r>
        <w:rPr>
          <w:b/>
          <w:bCs/>
          <w:i/>
          <w:iCs/>
          <w:color w:val="706F6F"/>
          <w:sz w:val="18"/>
        </w:rPr>
        <w:t xml:space="preserve"> Personal adscrito a los</w:t>
      </w:r>
      <w:r w:rsidRPr="00816377">
        <w:rPr>
          <w:b/>
          <w:bCs/>
          <w:i/>
          <w:iCs/>
          <w:color w:val="706F6F"/>
          <w:sz w:val="18"/>
        </w:rPr>
        <w:t xml:space="preserve"> órganos internos de control </w:t>
      </w:r>
      <w:r>
        <w:rPr>
          <w:b/>
          <w:bCs/>
          <w:i/>
          <w:iCs/>
          <w:color w:val="706F6F"/>
          <w:sz w:val="18"/>
        </w:rPr>
        <w:t xml:space="preserve">de las instituciones </w:t>
      </w:r>
    </w:p>
    <w:p w14:paraId="4934985B" w14:textId="67AC96FE" w:rsidR="005F7A3F" w:rsidRDefault="005F7A3F" w:rsidP="005F7A3F">
      <w:pPr>
        <w:pStyle w:val="Default"/>
        <w:ind w:left="-567"/>
        <w:jc w:val="center"/>
        <w:rPr>
          <w:b/>
          <w:bCs/>
          <w:i/>
          <w:iCs/>
          <w:color w:val="706F6F"/>
          <w:sz w:val="18"/>
        </w:rPr>
      </w:pPr>
      <w:r>
        <w:rPr>
          <w:b/>
          <w:bCs/>
          <w:i/>
          <w:iCs/>
          <w:color w:val="706F6F"/>
          <w:sz w:val="18"/>
        </w:rPr>
        <w:t xml:space="preserve">de las administraciones públicas estatales, por función </w:t>
      </w:r>
      <w:r w:rsidR="00E74F8F">
        <w:rPr>
          <w:b/>
          <w:bCs/>
          <w:i/>
          <w:iCs/>
          <w:color w:val="706F6F"/>
          <w:sz w:val="18"/>
        </w:rPr>
        <w:t>desempeñada</w:t>
      </w:r>
      <w:r>
        <w:rPr>
          <w:b/>
          <w:bCs/>
          <w:i/>
          <w:iCs/>
          <w:color w:val="706F6F"/>
          <w:sz w:val="18"/>
        </w:rPr>
        <w:t>, 2020</w:t>
      </w:r>
    </w:p>
    <w:p w14:paraId="221C9D43" w14:textId="3EC9CA43" w:rsidR="005F7A3F" w:rsidRDefault="005F7A3F" w:rsidP="005F7A3F">
      <w:pPr>
        <w:pStyle w:val="Default"/>
        <w:ind w:left="-567"/>
        <w:jc w:val="center"/>
        <w:rPr>
          <w:b/>
          <w:bCs/>
          <w:i/>
          <w:iCs/>
          <w:color w:val="706F6F"/>
          <w:sz w:val="18"/>
        </w:rPr>
      </w:pPr>
    </w:p>
    <w:p w14:paraId="5E614BA6" w14:textId="3363A9A2" w:rsidR="005F7A3F" w:rsidRDefault="005F7A3F" w:rsidP="005F7A3F">
      <w:pPr>
        <w:pStyle w:val="Default"/>
        <w:ind w:left="-567"/>
        <w:jc w:val="center"/>
        <w:rPr>
          <w:b/>
          <w:bCs/>
          <w:i/>
          <w:iCs/>
          <w:color w:val="706F6F"/>
          <w:sz w:val="18"/>
        </w:rPr>
      </w:pPr>
      <w:r>
        <w:rPr>
          <w:noProof/>
        </w:rPr>
        <w:drawing>
          <wp:inline distT="0" distB="0" distL="0" distR="0" wp14:anchorId="116F77E8" wp14:editId="57A2A46C">
            <wp:extent cx="4572000" cy="1765005"/>
            <wp:effectExtent l="0" t="0" r="0" b="6985"/>
            <wp:docPr id="8" name="Gráfico 8">
              <a:extLst xmlns:a="http://schemas.openxmlformats.org/drawingml/2006/main">
                <a:ext uri="{FF2B5EF4-FFF2-40B4-BE49-F238E27FC236}">
                  <a16:creationId xmlns:a16="http://schemas.microsoft.com/office/drawing/2014/main" id="{ECEBE904-D500-4011-AF47-CDFE29A16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44987B" w14:textId="123DBEA9" w:rsidR="00824BFD" w:rsidRDefault="00824BFD">
      <w:pPr>
        <w:rPr>
          <w:rFonts w:ascii="Arial" w:hAnsi="Arial" w:cs="Arial"/>
          <w:b/>
          <w:bCs/>
          <w:iCs/>
          <w:noProof/>
          <w:sz w:val="24"/>
          <w:szCs w:val="24"/>
          <w:lang w:eastAsia="es-MX"/>
        </w:rPr>
      </w:pPr>
    </w:p>
    <w:p w14:paraId="65C80B98" w14:textId="42488FC6" w:rsidR="00E74F8F" w:rsidRPr="00E74F8F" w:rsidRDefault="00E74F8F" w:rsidP="00E74F8F">
      <w:pPr>
        <w:jc w:val="center"/>
        <w:rPr>
          <w:rFonts w:ascii="Arial" w:hAnsi="Arial" w:cs="Arial"/>
          <w:iCs/>
          <w:noProof/>
          <w:sz w:val="16"/>
          <w:szCs w:val="16"/>
          <w:lang w:eastAsia="es-MX"/>
        </w:rPr>
      </w:pPr>
      <w:r w:rsidRPr="00E74F8F">
        <w:rPr>
          <w:rFonts w:ascii="Arial" w:hAnsi="Arial" w:cs="Arial"/>
          <w:iCs/>
          <w:noProof/>
          <w:sz w:val="16"/>
          <w:szCs w:val="16"/>
          <w:lang w:eastAsia="es-MX"/>
        </w:rPr>
        <w:t>Nota:</w:t>
      </w:r>
      <w:r>
        <w:rPr>
          <w:rFonts w:ascii="Arial" w:hAnsi="Arial" w:cs="Arial"/>
          <w:iCs/>
          <w:noProof/>
          <w:sz w:val="16"/>
          <w:szCs w:val="16"/>
          <w:lang w:eastAsia="es-MX"/>
        </w:rPr>
        <w:t xml:space="preserve"> la cantidad de personal adscrito a los órganos internos de control por función desempeñada es menor al total, toda vez que </w:t>
      </w:r>
      <w:r w:rsidR="006021D8">
        <w:rPr>
          <w:rFonts w:ascii="Arial" w:hAnsi="Arial" w:cs="Arial"/>
          <w:iCs/>
          <w:noProof/>
          <w:sz w:val="16"/>
          <w:szCs w:val="16"/>
          <w:lang w:eastAsia="es-MX"/>
        </w:rPr>
        <w:t xml:space="preserve">no todo el personal realiza funciones de investigación, substantación y resolución. </w:t>
      </w:r>
    </w:p>
    <w:p w14:paraId="402DF54C" w14:textId="3E283DC6" w:rsidR="00824BFD" w:rsidRDefault="00824BFD">
      <w:pPr>
        <w:rPr>
          <w:rFonts w:ascii="Arial" w:hAnsi="Arial" w:cs="Arial"/>
          <w:b/>
          <w:bCs/>
          <w:iCs/>
          <w:noProof/>
          <w:sz w:val="24"/>
          <w:szCs w:val="24"/>
          <w:lang w:eastAsia="es-MX"/>
        </w:rPr>
      </w:pPr>
    </w:p>
    <w:p w14:paraId="0196C769" w14:textId="77777777" w:rsidR="005464D0" w:rsidRDefault="005464D0" w:rsidP="005717C1">
      <w:pPr>
        <w:ind w:left="-567"/>
        <w:jc w:val="both"/>
        <w:rPr>
          <w:rFonts w:ascii="Arial" w:hAnsi="Arial" w:cs="Arial"/>
          <w:iCs/>
          <w:noProof/>
          <w:sz w:val="24"/>
          <w:szCs w:val="24"/>
          <w:lang w:eastAsia="es-MX"/>
        </w:rPr>
      </w:pPr>
    </w:p>
    <w:p w14:paraId="2C3894FE" w14:textId="7C99B4DE" w:rsidR="005717C1" w:rsidRDefault="00F9424A" w:rsidP="005717C1">
      <w:pPr>
        <w:ind w:left="-567"/>
        <w:jc w:val="both"/>
        <w:rPr>
          <w:rFonts w:ascii="Arial" w:hAnsi="Arial" w:cs="Arial"/>
          <w:iCs/>
          <w:noProof/>
          <w:sz w:val="24"/>
          <w:szCs w:val="24"/>
          <w:lang w:eastAsia="es-MX"/>
        </w:rPr>
      </w:pPr>
      <w:r w:rsidRPr="00360178">
        <w:rPr>
          <w:rFonts w:ascii="Arial" w:hAnsi="Arial" w:cs="Arial"/>
          <w:iCs/>
          <w:noProof/>
          <w:sz w:val="24"/>
          <w:szCs w:val="24"/>
          <w:lang w:eastAsia="es-MX"/>
        </w:rPr>
        <w:t>Durante</w:t>
      </w:r>
      <w:r w:rsidR="005717C1" w:rsidRPr="00360178">
        <w:rPr>
          <w:rFonts w:ascii="Arial" w:hAnsi="Arial" w:cs="Arial"/>
          <w:iCs/>
          <w:noProof/>
          <w:sz w:val="24"/>
          <w:szCs w:val="24"/>
          <w:lang w:eastAsia="es-MX"/>
        </w:rPr>
        <w:t xml:space="preserve"> 2020, </w:t>
      </w:r>
      <w:r w:rsidRPr="00360178">
        <w:rPr>
          <w:rFonts w:ascii="Arial" w:hAnsi="Arial" w:cs="Arial"/>
          <w:iCs/>
          <w:noProof/>
          <w:sz w:val="24"/>
          <w:szCs w:val="24"/>
          <w:lang w:eastAsia="es-MX"/>
        </w:rPr>
        <w:t xml:space="preserve">las </w:t>
      </w:r>
      <w:r w:rsidR="005717C1" w:rsidRPr="00360178">
        <w:rPr>
          <w:rFonts w:ascii="Arial" w:hAnsi="Arial" w:cs="Arial"/>
          <w:iCs/>
          <w:noProof/>
          <w:sz w:val="24"/>
          <w:szCs w:val="24"/>
          <w:lang w:eastAsia="es-MX"/>
        </w:rPr>
        <w:t xml:space="preserve">instituciones de las administraciones públicas estatales </w:t>
      </w:r>
      <w:r w:rsidRPr="00360178">
        <w:rPr>
          <w:rFonts w:ascii="Arial" w:hAnsi="Arial" w:cs="Arial"/>
          <w:iCs/>
          <w:noProof/>
          <w:sz w:val="24"/>
          <w:szCs w:val="24"/>
          <w:lang w:eastAsia="es-MX"/>
        </w:rPr>
        <w:t>recibieron</w:t>
      </w:r>
      <w:r w:rsidR="00360178" w:rsidRPr="00360178">
        <w:rPr>
          <w:rFonts w:ascii="Arial" w:hAnsi="Arial" w:cs="Arial"/>
          <w:iCs/>
          <w:noProof/>
          <w:sz w:val="24"/>
          <w:szCs w:val="24"/>
          <w:lang w:eastAsia="es-MX"/>
        </w:rPr>
        <w:t xml:space="preserve"> 50 676</w:t>
      </w:r>
      <w:r w:rsidRPr="00360178">
        <w:rPr>
          <w:rFonts w:ascii="Arial" w:hAnsi="Arial" w:cs="Arial"/>
          <w:iCs/>
          <w:noProof/>
          <w:sz w:val="24"/>
          <w:szCs w:val="24"/>
          <w:lang w:eastAsia="es-MX"/>
        </w:rPr>
        <w:t xml:space="preserve"> </w:t>
      </w:r>
      <w:r w:rsidR="00E350A2" w:rsidRPr="00360178">
        <w:rPr>
          <w:rFonts w:ascii="Arial" w:hAnsi="Arial" w:cs="Arial"/>
          <w:iCs/>
          <w:noProof/>
          <w:sz w:val="24"/>
          <w:szCs w:val="24"/>
          <w:lang w:eastAsia="es-MX"/>
        </w:rPr>
        <w:t>denuncias derivadas del incumplimiento de las obligaciones de sus servidores públicos</w:t>
      </w:r>
      <w:r w:rsidR="00EF1BEB" w:rsidRPr="00360178">
        <w:rPr>
          <w:rFonts w:ascii="Arial" w:hAnsi="Arial" w:cs="Arial"/>
          <w:iCs/>
          <w:noProof/>
          <w:sz w:val="24"/>
          <w:szCs w:val="24"/>
          <w:lang w:eastAsia="es-MX"/>
        </w:rPr>
        <w:t>.</w:t>
      </w:r>
      <w:r w:rsidR="00E350A2" w:rsidRPr="00360178">
        <w:rPr>
          <w:rFonts w:ascii="Arial" w:hAnsi="Arial" w:cs="Arial"/>
          <w:iCs/>
          <w:noProof/>
          <w:sz w:val="24"/>
          <w:szCs w:val="24"/>
          <w:lang w:eastAsia="es-MX"/>
        </w:rPr>
        <w:t xml:space="preserve"> </w:t>
      </w:r>
      <w:r w:rsidR="00E32FA8">
        <w:rPr>
          <w:rFonts w:ascii="Arial" w:hAnsi="Arial" w:cs="Arial"/>
          <w:iCs/>
          <w:noProof/>
          <w:sz w:val="24"/>
          <w:szCs w:val="24"/>
          <w:lang w:eastAsia="es-MX"/>
        </w:rPr>
        <w:t>Al comparar con</w:t>
      </w:r>
      <w:r w:rsidR="00E32FA8" w:rsidRPr="00360178">
        <w:rPr>
          <w:rFonts w:ascii="Arial" w:hAnsi="Arial" w:cs="Arial"/>
          <w:iCs/>
          <w:noProof/>
          <w:sz w:val="24"/>
          <w:szCs w:val="24"/>
          <w:lang w:eastAsia="es-MX"/>
        </w:rPr>
        <w:t xml:space="preserve"> </w:t>
      </w:r>
      <w:r w:rsidR="00E350A2" w:rsidRPr="00360178">
        <w:rPr>
          <w:rFonts w:ascii="Arial" w:hAnsi="Arial" w:cs="Arial"/>
          <w:iCs/>
          <w:noProof/>
          <w:sz w:val="24"/>
          <w:szCs w:val="24"/>
          <w:lang w:eastAsia="es-MX"/>
        </w:rPr>
        <w:t xml:space="preserve">la cifra reportada en 2019, hubo una diminución de </w:t>
      </w:r>
      <w:r w:rsidR="00360178" w:rsidRPr="00360178">
        <w:rPr>
          <w:rFonts w:ascii="Arial" w:hAnsi="Arial" w:cs="Arial"/>
          <w:iCs/>
          <w:noProof/>
          <w:sz w:val="24"/>
          <w:szCs w:val="24"/>
          <w:lang w:eastAsia="es-MX"/>
        </w:rPr>
        <w:t>29.</w:t>
      </w:r>
      <w:r w:rsidR="002E4AD1">
        <w:rPr>
          <w:rFonts w:ascii="Arial" w:hAnsi="Arial" w:cs="Arial"/>
          <w:iCs/>
          <w:noProof/>
          <w:sz w:val="24"/>
          <w:szCs w:val="24"/>
          <w:lang w:eastAsia="es-MX"/>
        </w:rPr>
        <w:t xml:space="preserve">3% </w:t>
      </w:r>
      <w:r w:rsidR="002E4AD1" w:rsidRPr="00360178">
        <w:rPr>
          <w:rFonts w:ascii="Arial" w:hAnsi="Arial" w:cs="Arial"/>
          <w:iCs/>
          <w:noProof/>
          <w:sz w:val="24"/>
          <w:szCs w:val="24"/>
          <w:lang w:eastAsia="es-MX"/>
        </w:rPr>
        <w:t>en 2020</w:t>
      </w:r>
      <w:r w:rsidR="00E350A2" w:rsidRPr="00360178">
        <w:rPr>
          <w:rFonts w:ascii="Arial" w:hAnsi="Arial" w:cs="Arial"/>
          <w:iCs/>
          <w:noProof/>
          <w:sz w:val="24"/>
          <w:szCs w:val="24"/>
          <w:lang w:eastAsia="es-MX"/>
        </w:rPr>
        <w:t>.</w:t>
      </w:r>
    </w:p>
    <w:p w14:paraId="662D4340" w14:textId="77777777" w:rsidR="00D0513D" w:rsidRDefault="00D0513D" w:rsidP="0070775C">
      <w:pPr>
        <w:pStyle w:val="Default"/>
        <w:ind w:left="-567"/>
        <w:jc w:val="center"/>
        <w:rPr>
          <w:b/>
          <w:bCs/>
          <w:i/>
          <w:iCs/>
          <w:color w:val="706F6F"/>
          <w:sz w:val="18"/>
        </w:rPr>
      </w:pPr>
    </w:p>
    <w:p w14:paraId="1943AC23" w14:textId="0C9E8EEB" w:rsidR="00E350A2" w:rsidRDefault="0070775C" w:rsidP="0070775C">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5</w:t>
      </w:r>
      <w:r w:rsidRPr="00087BF8">
        <w:rPr>
          <w:b/>
          <w:bCs/>
          <w:i/>
          <w:iCs/>
          <w:color w:val="706F6F"/>
          <w:sz w:val="18"/>
        </w:rPr>
        <w:t>.</w:t>
      </w:r>
      <w:r>
        <w:rPr>
          <w:b/>
          <w:bCs/>
          <w:i/>
          <w:iCs/>
          <w:color w:val="706F6F"/>
          <w:sz w:val="18"/>
        </w:rPr>
        <w:t xml:space="preserve"> </w:t>
      </w:r>
      <w:r w:rsidR="00E350A2">
        <w:rPr>
          <w:b/>
          <w:bCs/>
          <w:i/>
          <w:iCs/>
          <w:color w:val="706F6F"/>
          <w:sz w:val="18"/>
        </w:rPr>
        <w:t>Denuncias por incumplimiento de obligaciones de los servidores públicos recibidas</w:t>
      </w:r>
    </w:p>
    <w:p w14:paraId="5A40906B" w14:textId="30932D75" w:rsidR="0070775C" w:rsidRDefault="00E350A2" w:rsidP="0070775C">
      <w:pPr>
        <w:pStyle w:val="Default"/>
        <w:ind w:left="-567"/>
        <w:jc w:val="center"/>
        <w:rPr>
          <w:b/>
          <w:bCs/>
          <w:i/>
          <w:iCs/>
          <w:color w:val="706F6F"/>
          <w:sz w:val="18"/>
        </w:rPr>
      </w:pPr>
      <w:r>
        <w:rPr>
          <w:b/>
          <w:bCs/>
          <w:i/>
          <w:iCs/>
          <w:color w:val="706F6F"/>
          <w:sz w:val="18"/>
        </w:rPr>
        <w:t xml:space="preserve"> por </w:t>
      </w:r>
      <w:r w:rsidRPr="00E350A2">
        <w:rPr>
          <w:b/>
          <w:bCs/>
          <w:i/>
          <w:iCs/>
          <w:color w:val="706F6F"/>
          <w:sz w:val="18"/>
        </w:rPr>
        <w:t>las instituciones de las administraciones públicas estatales</w:t>
      </w:r>
      <w:r>
        <w:rPr>
          <w:b/>
          <w:bCs/>
          <w:i/>
          <w:iCs/>
          <w:color w:val="706F6F"/>
          <w:sz w:val="18"/>
        </w:rPr>
        <w:t>, 2014 a 2020</w:t>
      </w:r>
    </w:p>
    <w:p w14:paraId="1DC3AF89" w14:textId="4476E9C9" w:rsidR="00824BFD" w:rsidRDefault="00824BFD">
      <w:pPr>
        <w:rPr>
          <w:rFonts w:ascii="Arial" w:hAnsi="Arial" w:cs="Arial"/>
          <w:b/>
          <w:bCs/>
          <w:iCs/>
          <w:noProof/>
          <w:sz w:val="24"/>
          <w:szCs w:val="24"/>
          <w:lang w:eastAsia="es-MX"/>
        </w:rPr>
      </w:pPr>
    </w:p>
    <w:p w14:paraId="09B05DCF" w14:textId="4D607644" w:rsidR="00FF560F" w:rsidRDefault="00360178" w:rsidP="00FF560F">
      <w:pPr>
        <w:jc w:val="center"/>
        <w:rPr>
          <w:rFonts w:ascii="Arial" w:hAnsi="Arial" w:cs="Arial"/>
          <w:b/>
          <w:bCs/>
          <w:iCs/>
          <w:noProof/>
          <w:sz w:val="24"/>
          <w:szCs w:val="24"/>
          <w:lang w:eastAsia="es-MX"/>
        </w:rPr>
      </w:pPr>
      <w:r>
        <w:rPr>
          <w:noProof/>
        </w:rPr>
        <w:drawing>
          <wp:inline distT="0" distB="0" distL="0" distR="0" wp14:anchorId="08A5DA29" wp14:editId="557AEBFA">
            <wp:extent cx="4572000" cy="1828800"/>
            <wp:effectExtent l="0" t="0" r="0" b="0"/>
            <wp:docPr id="18" name="Gráfico 18">
              <a:extLst xmlns:a="http://schemas.openxmlformats.org/drawingml/2006/main">
                <a:ext uri="{FF2B5EF4-FFF2-40B4-BE49-F238E27FC236}">
                  <a16:creationId xmlns:a16="http://schemas.microsoft.com/office/drawing/2014/main" id="{5842BBBD-86B2-4CC1-BE38-A4E0B435D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80CBAE" w14:textId="73178EBF" w:rsidR="00FF560F" w:rsidRDefault="00FF560F" w:rsidP="00FF560F">
      <w:pPr>
        <w:jc w:val="center"/>
        <w:rPr>
          <w:rFonts w:ascii="Arial" w:hAnsi="Arial" w:cs="Arial"/>
          <w:b/>
          <w:bCs/>
          <w:iCs/>
          <w:noProof/>
          <w:sz w:val="24"/>
          <w:szCs w:val="24"/>
          <w:lang w:eastAsia="es-MX"/>
        </w:rPr>
      </w:pPr>
    </w:p>
    <w:p w14:paraId="5CCE0BB7" w14:textId="3906555C" w:rsidR="000070BB" w:rsidRDefault="00FF560F" w:rsidP="00FF560F">
      <w:pPr>
        <w:ind w:left="-567"/>
        <w:jc w:val="both"/>
        <w:rPr>
          <w:rFonts w:ascii="Arial" w:hAnsi="Arial" w:cs="Arial"/>
          <w:iCs/>
          <w:noProof/>
          <w:sz w:val="24"/>
          <w:szCs w:val="24"/>
          <w:lang w:eastAsia="es-MX"/>
        </w:rPr>
      </w:pPr>
      <w:r w:rsidRPr="00FF560F">
        <w:rPr>
          <w:rFonts w:ascii="Arial" w:hAnsi="Arial" w:cs="Arial"/>
          <w:iCs/>
          <w:noProof/>
          <w:sz w:val="24"/>
          <w:szCs w:val="24"/>
          <w:lang w:eastAsia="es-MX"/>
        </w:rPr>
        <w:t xml:space="preserve">En cuanto </w:t>
      </w:r>
      <w:r>
        <w:rPr>
          <w:rFonts w:ascii="Arial" w:hAnsi="Arial" w:cs="Arial"/>
          <w:iCs/>
          <w:noProof/>
          <w:sz w:val="24"/>
          <w:szCs w:val="24"/>
          <w:lang w:eastAsia="es-MX"/>
        </w:rPr>
        <w:t>a las auditorías que se aplicaron por parte de las autoridades de control,</w:t>
      </w:r>
      <w:r w:rsidR="002E4AD1">
        <w:rPr>
          <w:rFonts w:ascii="Arial" w:hAnsi="Arial" w:cs="Arial"/>
          <w:iCs/>
          <w:noProof/>
          <w:sz w:val="24"/>
          <w:szCs w:val="24"/>
          <w:lang w:eastAsia="es-MX"/>
        </w:rPr>
        <w:t xml:space="preserve"> </w:t>
      </w:r>
      <w:r>
        <w:rPr>
          <w:rFonts w:ascii="Arial" w:hAnsi="Arial" w:cs="Arial"/>
          <w:iCs/>
          <w:noProof/>
          <w:sz w:val="24"/>
          <w:szCs w:val="24"/>
          <w:lang w:eastAsia="es-MX"/>
        </w:rPr>
        <w:t>vigilancia y/o fiscalización a las instituciones de las administraciones públicas estatales</w:t>
      </w:r>
      <w:r w:rsidR="0020164C">
        <w:rPr>
          <w:rStyle w:val="Refdenotaalpie"/>
          <w:rFonts w:ascii="Arial" w:hAnsi="Arial" w:cs="Arial"/>
          <w:iCs/>
          <w:noProof/>
          <w:sz w:val="24"/>
          <w:szCs w:val="24"/>
          <w:lang w:eastAsia="es-MX"/>
        </w:rPr>
        <w:footnoteReference w:id="12"/>
      </w:r>
      <w:r>
        <w:rPr>
          <w:rFonts w:ascii="Arial" w:hAnsi="Arial" w:cs="Arial"/>
          <w:iCs/>
          <w:noProof/>
          <w:sz w:val="24"/>
          <w:szCs w:val="24"/>
          <w:lang w:eastAsia="es-MX"/>
        </w:rPr>
        <w:t xml:space="preserve">, se reportaron en total </w:t>
      </w:r>
      <w:r w:rsidRPr="00FF560F">
        <w:rPr>
          <w:rFonts w:ascii="Arial" w:hAnsi="Arial" w:cs="Arial"/>
          <w:iCs/>
          <w:noProof/>
          <w:sz w:val="24"/>
          <w:szCs w:val="24"/>
          <w:lang w:eastAsia="es-MX"/>
        </w:rPr>
        <w:t>10</w:t>
      </w:r>
      <w:r>
        <w:rPr>
          <w:rFonts w:ascii="Arial" w:hAnsi="Arial" w:cs="Arial"/>
          <w:iCs/>
          <w:noProof/>
          <w:sz w:val="24"/>
          <w:szCs w:val="24"/>
          <w:lang w:eastAsia="es-MX"/>
        </w:rPr>
        <w:t xml:space="preserve"> </w:t>
      </w:r>
      <w:r w:rsidRPr="00FF560F">
        <w:rPr>
          <w:rFonts w:ascii="Arial" w:hAnsi="Arial" w:cs="Arial"/>
          <w:iCs/>
          <w:noProof/>
          <w:sz w:val="24"/>
          <w:szCs w:val="24"/>
          <w:lang w:eastAsia="es-MX"/>
        </w:rPr>
        <w:t>747</w:t>
      </w:r>
      <w:r w:rsidR="0083089F">
        <w:rPr>
          <w:rFonts w:ascii="Arial" w:hAnsi="Arial" w:cs="Arial"/>
          <w:iCs/>
          <w:noProof/>
          <w:sz w:val="24"/>
          <w:szCs w:val="24"/>
          <w:lang w:eastAsia="es-MX"/>
        </w:rPr>
        <w:t>. D</w:t>
      </w:r>
      <w:r>
        <w:rPr>
          <w:rFonts w:ascii="Arial" w:hAnsi="Arial" w:cs="Arial"/>
          <w:iCs/>
          <w:noProof/>
          <w:sz w:val="24"/>
          <w:szCs w:val="24"/>
          <w:lang w:eastAsia="es-MX"/>
        </w:rPr>
        <w:t>e</w:t>
      </w:r>
      <w:r w:rsidR="000070BB">
        <w:rPr>
          <w:rFonts w:ascii="Arial" w:hAnsi="Arial" w:cs="Arial"/>
          <w:iCs/>
          <w:noProof/>
          <w:sz w:val="24"/>
          <w:szCs w:val="24"/>
          <w:lang w:eastAsia="es-MX"/>
        </w:rPr>
        <w:t>riva</w:t>
      </w:r>
      <w:r w:rsidR="0083089F">
        <w:rPr>
          <w:rFonts w:ascii="Arial" w:hAnsi="Arial" w:cs="Arial"/>
          <w:iCs/>
          <w:noProof/>
          <w:sz w:val="24"/>
          <w:szCs w:val="24"/>
          <w:lang w:eastAsia="es-MX"/>
        </w:rPr>
        <w:t>d</w:t>
      </w:r>
      <w:r w:rsidR="000070BB">
        <w:rPr>
          <w:rFonts w:ascii="Arial" w:hAnsi="Arial" w:cs="Arial"/>
          <w:iCs/>
          <w:noProof/>
          <w:sz w:val="24"/>
          <w:szCs w:val="24"/>
          <w:lang w:eastAsia="es-MX"/>
        </w:rPr>
        <w:t>o de éstas</w:t>
      </w:r>
      <w:r w:rsidR="0083089F">
        <w:rPr>
          <w:rFonts w:ascii="Arial" w:hAnsi="Arial" w:cs="Arial"/>
          <w:iCs/>
          <w:noProof/>
          <w:sz w:val="24"/>
          <w:szCs w:val="24"/>
          <w:lang w:eastAsia="es-MX"/>
        </w:rPr>
        <w:t>,</w:t>
      </w:r>
      <w:r w:rsidR="000070BB">
        <w:rPr>
          <w:rFonts w:ascii="Arial" w:hAnsi="Arial" w:cs="Arial"/>
          <w:iCs/>
          <w:noProof/>
          <w:sz w:val="24"/>
          <w:szCs w:val="24"/>
          <w:lang w:eastAsia="es-MX"/>
        </w:rPr>
        <w:t xml:space="preserve"> </w:t>
      </w:r>
      <w:r w:rsidR="001D513A">
        <w:rPr>
          <w:rFonts w:ascii="Arial" w:hAnsi="Arial" w:cs="Arial"/>
          <w:iCs/>
          <w:noProof/>
          <w:sz w:val="24"/>
          <w:szCs w:val="24"/>
          <w:lang w:eastAsia="es-MX"/>
        </w:rPr>
        <w:t>3</w:t>
      </w:r>
      <w:r>
        <w:rPr>
          <w:rFonts w:ascii="Arial" w:hAnsi="Arial" w:cs="Arial"/>
          <w:iCs/>
          <w:noProof/>
          <w:sz w:val="24"/>
          <w:szCs w:val="24"/>
          <w:lang w:eastAsia="es-MX"/>
        </w:rPr>
        <w:t xml:space="preserve"> 520 unidades administrativas </w:t>
      </w:r>
      <w:r w:rsidR="000070BB">
        <w:rPr>
          <w:rFonts w:ascii="Arial" w:hAnsi="Arial" w:cs="Arial"/>
          <w:iCs/>
          <w:noProof/>
          <w:sz w:val="24"/>
          <w:szCs w:val="24"/>
          <w:lang w:eastAsia="es-MX"/>
        </w:rPr>
        <w:t xml:space="preserve">presentaron observaciones y/o anomalías. En comparación con 2019, </w:t>
      </w:r>
      <w:r w:rsidR="002E4AD1">
        <w:rPr>
          <w:rFonts w:ascii="Arial" w:hAnsi="Arial" w:cs="Arial"/>
          <w:iCs/>
          <w:noProof/>
          <w:sz w:val="24"/>
          <w:szCs w:val="24"/>
          <w:lang w:eastAsia="es-MX"/>
        </w:rPr>
        <w:t>hubo</w:t>
      </w:r>
      <w:r w:rsidR="000070BB">
        <w:rPr>
          <w:rFonts w:ascii="Arial" w:hAnsi="Arial" w:cs="Arial"/>
          <w:iCs/>
          <w:noProof/>
          <w:sz w:val="24"/>
          <w:szCs w:val="24"/>
          <w:lang w:eastAsia="es-MX"/>
        </w:rPr>
        <w:t xml:space="preserve"> disminuciones en la cantidad de auditorías y unidades administrativas co</w:t>
      </w:r>
      <w:r w:rsidR="0083089F">
        <w:rPr>
          <w:rFonts w:ascii="Arial" w:hAnsi="Arial" w:cs="Arial"/>
          <w:iCs/>
          <w:noProof/>
          <w:sz w:val="24"/>
          <w:szCs w:val="24"/>
          <w:lang w:eastAsia="es-MX"/>
        </w:rPr>
        <w:t>n observaciones de 32.3% y 3.3%, respectivamente.</w:t>
      </w:r>
    </w:p>
    <w:p w14:paraId="18CE177C" w14:textId="77777777" w:rsidR="00D0513D" w:rsidRDefault="00D0513D" w:rsidP="00FF560F">
      <w:pPr>
        <w:ind w:left="-567"/>
        <w:jc w:val="both"/>
        <w:rPr>
          <w:rFonts w:ascii="Arial" w:hAnsi="Arial" w:cs="Arial"/>
          <w:iCs/>
          <w:noProof/>
          <w:sz w:val="24"/>
          <w:szCs w:val="24"/>
          <w:lang w:eastAsia="es-MX"/>
        </w:rPr>
      </w:pPr>
    </w:p>
    <w:p w14:paraId="3FA51E21" w14:textId="01B8F59A" w:rsidR="000070BB" w:rsidRDefault="000070BB" w:rsidP="000070BB">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6</w:t>
      </w:r>
      <w:r w:rsidRPr="00087BF8">
        <w:rPr>
          <w:b/>
          <w:bCs/>
          <w:i/>
          <w:iCs/>
          <w:color w:val="706F6F"/>
          <w:sz w:val="18"/>
        </w:rPr>
        <w:t>.</w:t>
      </w:r>
      <w:r>
        <w:rPr>
          <w:b/>
          <w:bCs/>
          <w:i/>
          <w:iCs/>
          <w:color w:val="706F6F"/>
          <w:sz w:val="18"/>
        </w:rPr>
        <w:t xml:space="preserve"> Auditorías aplicadas a las </w:t>
      </w:r>
      <w:r w:rsidRPr="00E350A2">
        <w:rPr>
          <w:b/>
          <w:bCs/>
          <w:i/>
          <w:iCs/>
          <w:color w:val="706F6F"/>
          <w:sz w:val="18"/>
        </w:rPr>
        <w:t>instituciones de las administraciones públicas estatales</w:t>
      </w:r>
      <w:r>
        <w:rPr>
          <w:b/>
          <w:bCs/>
          <w:i/>
          <w:iCs/>
          <w:color w:val="706F6F"/>
          <w:sz w:val="18"/>
        </w:rPr>
        <w:t xml:space="preserve">, </w:t>
      </w:r>
    </w:p>
    <w:p w14:paraId="426BA914" w14:textId="270B4EA2" w:rsidR="000070BB" w:rsidRDefault="000070BB" w:rsidP="000070BB">
      <w:pPr>
        <w:pStyle w:val="Default"/>
        <w:ind w:left="-567"/>
        <w:jc w:val="center"/>
        <w:rPr>
          <w:b/>
          <w:bCs/>
          <w:i/>
          <w:iCs/>
          <w:color w:val="706F6F"/>
          <w:sz w:val="18"/>
        </w:rPr>
      </w:pPr>
      <w:r>
        <w:rPr>
          <w:b/>
          <w:bCs/>
          <w:i/>
          <w:iCs/>
          <w:color w:val="706F6F"/>
          <w:sz w:val="18"/>
        </w:rPr>
        <w:t>2010 a 2020</w:t>
      </w:r>
    </w:p>
    <w:p w14:paraId="77D45CD6" w14:textId="77777777" w:rsidR="004D6264" w:rsidRDefault="004D6264" w:rsidP="000070BB">
      <w:pPr>
        <w:pStyle w:val="Default"/>
        <w:ind w:left="-567"/>
        <w:jc w:val="center"/>
        <w:rPr>
          <w:b/>
          <w:bCs/>
          <w:i/>
          <w:iCs/>
          <w:color w:val="706F6F"/>
          <w:sz w:val="18"/>
        </w:rPr>
      </w:pPr>
    </w:p>
    <w:p w14:paraId="5425EBC7" w14:textId="1E8B03FE" w:rsidR="00D0513D" w:rsidRDefault="004D6264" w:rsidP="00D0513D">
      <w:pPr>
        <w:jc w:val="center"/>
        <w:rPr>
          <w:b/>
          <w:bCs/>
          <w:iCs/>
          <w:noProof/>
          <w:lang w:eastAsia="es-MX"/>
        </w:rPr>
      </w:pPr>
      <w:r>
        <w:rPr>
          <w:noProof/>
        </w:rPr>
        <w:drawing>
          <wp:inline distT="0" distB="0" distL="0" distR="0" wp14:anchorId="7D2A42CF" wp14:editId="2C3B5A7A">
            <wp:extent cx="4805045" cy="2062716"/>
            <wp:effectExtent l="0" t="0" r="0" b="0"/>
            <wp:docPr id="13" name="Gráfico 13">
              <a:extLst xmlns:a="http://schemas.openxmlformats.org/drawingml/2006/main">
                <a:ext uri="{FF2B5EF4-FFF2-40B4-BE49-F238E27FC236}">
                  <a16:creationId xmlns:a16="http://schemas.microsoft.com/office/drawing/2014/main" id="{7EE95164-156F-4E96-8627-51E037BEF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24F0A1" w14:textId="77777777" w:rsidR="00D0513D" w:rsidRDefault="00D0513D" w:rsidP="00D0513D">
      <w:pPr>
        <w:jc w:val="center"/>
        <w:rPr>
          <w:b/>
          <w:bCs/>
          <w:iCs/>
          <w:noProof/>
          <w:lang w:eastAsia="es-MX"/>
        </w:rPr>
      </w:pPr>
    </w:p>
    <w:p w14:paraId="4E576115" w14:textId="7A1B7942" w:rsidR="00736E6F" w:rsidRDefault="00D0513D" w:rsidP="00D0513D">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7</w:t>
      </w:r>
      <w:r w:rsidRPr="00087BF8">
        <w:rPr>
          <w:b/>
          <w:bCs/>
          <w:i/>
          <w:iCs/>
          <w:color w:val="706F6F"/>
          <w:sz w:val="18"/>
        </w:rPr>
        <w:t>.</w:t>
      </w:r>
      <w:r>
        <w:rPr>
          <w:b/>
          <w:bCs/>
          <w:i/>
          <w:iCs/>
          <w:color w:val="706F6F"/>
          <w:sz w:val="18"/>
        </w:rPr>
        <w:t xml:space="preserve"> Unidades administrativas con observaciones y/o anomalías derivadas de las auditorías aplicadas </w:t>
      </w:r>
    </w:p>
    <w:p w14:paraId="2B9CD342" w14:textId="5EC889B2" w:rsidR="00D0513D" w:rsidRDefault="00D0513D" w:rsidP="00D0513D">
      <w:pPr>
        <w:pStyle w:val="Default"/>
        <w:ind w:left="-567"/>
        <w:jc w:val="center"/>
        <w:rPr>
          <w:b/>
          <w:bCs/>
          <w:i/>
          <w:iCs/>
          <w:color w:val="706F6F"/>
          <w:sz w:val="18"/>
        </w:rPr>
      </w:pPr>
      <w:r>
        <w:rPr>
          <w:b/>
          <w:bCs/>
          <w:i/>
          <w:iCs/>
          <w:color w:val="706F6F"/>
          <w:sz w:val="18"/>
        </w:rPr>
        <w:t xml:space="preserve">a las </w:t>
      </w:r>
      <w:r w:rsidRPr="00E350A2">
        <w:rPr>
          <w:b/>
          <w:bCs/>
          <w:i/>
          <w:iCs/>
          <w:color w:val="706F6F"/>
          <w:sz w:val="18"/>
        </w:rPr>
        <w:t>instituciones de las administraciones públicas estatales</w:t>
      </w:r>
      <w:r>
        <w:rPr>
          <w:b/>
          <w:bCs/>
          <w:i/>
          <w:iCs/>
          <w:color w:val="706F6F"/>
          <w:sz w:val="18"/>
        </w:rPr>
        <w:t>, 201</w:t>
      </w:r>
      <w:r w:rsidR="00736E6F">
        <w:rPr>
          <w:b/>
          <w:bCs/>
          <w:i/>
          <w:iCs/>
          <w:color w:val="706F6F"/>
          <w:sz w:val="18"/>
        </w:rPr>
        <w:t>5</w:t>
      </w:r>
      <w:r>
        <w:rPr>
          <w:b/>
          <w:bCs/>
          <w:i/>
          <w:iCs/>
          <w:color w:val="706F6F"/>
          <w:sz w:val="18"/>
        </w:rPr>
        <w:t xml:space="preserve"> a 2020</w:t>
      </w:r>
    </w:p>
    <w:p w14:paraId="3A61548F" w14:textId="0FE3CD33" w:rsidR="00D0513D" w:rsidRDefault="00D0513D" w:rsidP="00D0513D">
      <w:pPr>
        <w:pStyle w:val="Default"/>
        <w:ind w:left="-567"/>
        <w:jc w:val="center"/>
        <w:rPr>
          <w:b/>
          <w:bCs/>
          <w:i/>
          <w:iCs/>
          <w:color w:val="706F6F"/>
          <w:sz w:val="18"/>
        </w:rPr>
      </w:pPr>
    </w:p>
    <w:p w14:paraId="3143C970" w14:textId="77777777" w:rsidR="00D0513D" w:rsidRDefault="00D0513D" w:rsidP="00D0513D">
      <w:pPr>
        <w:pStyle w:val="Default"/>
        <w:ind w:left="-567"/>
        <w:jc w:val="center"/>
        <w:rPr>
          <w:b/>
          <w:bCs/>
          <w:i/>
          <w:iCs/>
          <w:color w:val="706F6F"/>
          <w:sz w:val="18"/>
        </w:rPr>
      </w:pPr>
    </w:p>
    <w:p w14:paraId="0C277A05" w14:textId="277BBA72" w:rsidR="00A7516A" w:rsidRDefault="00736E6F" w:rsidP="00736E6F">
      <w:pPr>
        <w:jc w:val="center"/>
        <w:rPr>
          <w:rFonts w:ascii="Arial" w:hAnsi="Arial" w:cs="Arial"/>
          <w:b/>
          <w:bCs/>
          <w:iCs/>
          <w:noProof/>
          <w:sz w:val="24"/>
          <w:szCs w:val="24"/>
          <w:lang w:eastAsia="es-MX"/>
        </w:rPr>
      </w:pPr>
      <w:r>
        <w:rPr>
          <w:noProof/>
        </w:rPr>
        <w:drawing>
          <wp:inline distT="0" distB="0" distL="0" distR="0" wp14:anchorId="50AC6B99" wp14:editId="0925D598">
            <wp:extent cx="4385945" cy="2179675"/>
            <wp:effectExtent l="0" t="0" r="0" b="0"/>
            <wp:docPr id="14" name="Gráfico 14">
              <a:extLst xmlns:a="http://schemas.openxmlformats.org/drawingml/2006/main">
                <a:ext uri="{FF2B5EF4-FFF2-40B4-BE49-F238E27FC236}">
                  <a16:creationId xmlns:a16="http://schemas.microsoft.com/office/drawing/2014/main" id="{7C2465F4-35E8-424A-9EEF-75FC0F124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8D3859" w14:textId="73433D1B" w:rsidR="00A7516A" w:rsidRDefault="00A7516A" w:rsidP="00D80ECA">
      <w:pPr>
        <w:spacing w:after="0"/>
        <w:ind w:left="-567"/>
        <w:rPr>
          <w:rFonts w:ascii="Arial" w:hAnsi="Arial" w:cs="Arial"/>
          <w:b/>
          <w:bCs/>
          <w:iCs/>
          <w:noProof/>
          <w:sz w:val="24"/>
          <w:szCs w:val="24"/>
          <w:lang w:eastAsia="es-MX"/>
        </w:rPr>
      </w:pPr>
    </w:p>
    <w:p w14:paraId="758C23A0" w14:textId="1C3FA3D8" w:rsidR="00D0513D" w:rsidRDefault="00D0513D" w:rsidP="00D80ECA">
      <w:pPr>
        <w:spacing w:after="0"/>
        <w:ind w:left="-567"/>
        <w:rPr>
          <w:rFonts w:ascii="Arial" w:hAnsi="Arial" w:cs="Arial"/>
          <w:b/>
          <w:bCs/>
          <w:iCs/>
          <w:noProof/>
          <w:sz w:val="24"/>
          <w:szCs w:val="24"/>
          <w:lang w:eastAsia="es-MX"/>
        </w:rPr>
      </w:pPr>
    </w:p>
    <w:p w14:paraId="44617BDA" w14:textId="2FBC9F90" w:rsidR="00D0513D" w:rsidRDefault="00E32FA8" w:rsidP="00DD5960">
      <w:pPr>
        <w:spacing w:after="0"/>
        <w:ind w:left="-567"/>
        <w:jc w:val="both"/>
        <w:rPr>
          <w:rFonts w:ascii="Arial" w:hAnsi="Arial" w:cs="Arial"/>
          <w:iCs/>
          <w:noProof/>
          <w:sz w:val="24"/>
          <w:szCs w:val="24"/>
          <w:lang w:eastAsia="es-MX"/>
        </w:rPr>
      </w:pPr>
      <w:r>
        <w:rPr>
          <w:rFonts w:ascii="Arial" w:hAnsi="Arial" w:cs="Arial"/>
          <w:iCs/>
          <w:noProof/>
          <w:sz w:val="24"/>
          <w:szCs w:val="24"/>
          <w:lang w:eastAsia="es-MX"/>
        </w:rPr>
        <w:t>Adicionalmente</w:t>
      </w:r>
      <w:r w:rsidR="008944CF" w:rsidRPr="008944CF">
        <w:rPr>
          <w:rFonts w:ascii="Arial" w:hAnsi="Arial" w:cs="Arial"/>
          <w:iCs/>
          <w:noProof/>
          <w:sz w:val="24"/>
          <w:szCs w:val="24"/>
          <w:lang w:eastAsia="es-MX"/>
        </w:rPr>
        <w:t xml:space="preserve">, </w:t>
      </w:r>
      <w:r w:rsidR="00DD5960">
        <w:rPr>
          <w:rFonts w:ascii="Arial" w:hAnsi="Arial" w:cs="Arial"/>
          <w:iCs/>
          <w:noProof/>
          <w:sz w:val="24"/>
          <w:szCs w:val="24"/>
          <w:lang w:eastAsia="es-MX"/>
        </w:rPr>
        <w:t xml:space="preserve">en 2020 hubo </w:t>
      </w:r>
      <w:r w:rsidR="00DD5960" w:rsidRPr="00DD5960">
        <w:rPr>
          <w:rFonts w:ascii="Arial" w:hAnsi="Arial" w:cs="Arial"/>
          <w:iCs/>
          <w:noProof/>
          <w:sz w:val="24"/>
          <w:szCs w:val="24"/>
          <w:lang w:eastAsia="es-MX"/>
        </w:rPr>
        <w:t>41</w:t>
      </w:r>
      <w:r w:rsidR="00DD5960">
        <w:rPr>
          <w:rFonts w:ascii="Arial" w:hAnsi="Arial" w:cs="Arial"/>
          <w:iCs/>
          <w:noProof/>
          <w:sz w:val="24"/>
          <w:szCs w:val="24"/>
          <w:lang w:eastAsia="es-MX"/>
        </w:rPr>
        <w:t xml:space="preserve"> </w:t>
      </w:r>
      <w:r w:rsidR="00DD5960" w:rsidRPr="00DD5960">
        <w:rPr>
          <w:rFonts w:ascii="Arial" w:hAnsi="Arial" w:cs="Arial"/>
          <w:iCs/>
          <w:noProof/>
          <w:sz w:val="24"/>
          <w:szCs w:val="24"/>
          <w:lang w:eastAsia="es-MX"/>
        </w:rPr>
        <w:t>704</w:t>
      </w:r>
      <w:r w:rsidR="00DD5960">
        <w:rPr>
          <w:rFonts w:ascii="Arial" w:hAnsi="Arial" w:cs="Arial"/>
          <w:iCs/>
          <w:noProof/>
          <w:sz w:val="24"/>
          <w:szCs w:val="24"/>
          <w:lang w:eastAsia="es-MX"/>
        </w:rPr>
        <w:t xml:space="preserve"> investigaciones iniciadas </w:t>
      </w:r>
      <w:r w:rsidR="00DD5960" w:rsidRPr="00DD5960">
        <w:rPr>
          <w:rFonts w:ascii="Arial" w:hAnsi="Arial" w:cs="Arial"/>
          <w:iCs/>
          <w:noProof/>
          <w:sz w:val="24"/>
          <w:szCs w:val="24"/>
          <w:lang w:eastAsia="es-MX"/>
        </w:rPr>
        <w:t>por la presunta responsabilidad de faltas administrativas cometidas por l</w:t>
      </w:r>
      <w:r w:rsidR="00F50480">
        <w:rPr>
          <w:rFonts w:ascii="Arial" w:hAnsi="Arial" w:cs="Arial"/>
          <w:iCs/>
          <w:noProof/>
          <w:sz w:val="24"/>
          <w:szCs w:val="24"/>
          <w:lang w:eastAsia="es-MX"/>
        </w:rPr>
        <w:t>a</w:t>
      </w:r>
      <w:r w:rsidR="00DD5960" w:rsidRPr="00DD5960">
        <w:rPr>
          <w:rFonts w:ascii="Arial" w:hAnsi="Arial" w:cs="Arial"/>
          <w:iCs/>
          <w:noProof/>
          <w:sz w:val="24"/>
          <w:szCs w:val="24"/>
          <w:lang w:eastAsia="es-MX"/>
        </w:rPr>
        <w:t>s servidor</w:t>
      </w:r>
      <w:r w:rsidR="005B4F70">
        <w:rPr>
          <w:rFonts w:ascii="Arial" w:hAnsi="Arial" w:cs="Arial"/>
          <w:iCs/>
          <w:noProof/>
          <w:sz w:val="24"/>
          <w:szCs w:val="24"/>
          <w:lang w:eastAsia="es-MX"/>
        </w:rPr>
        <w:t>as y serv</w:t>
      </w:r>
      <w:r w:rsidR="00AA729C">
        <w:rPr>
          <w:rFonts w:ascii="Arial" w:hAnsi="Arial" w:cs="Arial"/>
          <w:iCs/>
          <w:noProof/>
          <w:sz w:val="24"/>
          <w:szCs w:val="24"/>
          <w:lang w:eastAsia="es-MX"/>
        </w:rPr>
        <w:t>i</w:t>
      </w:r>
      <w:r w:rsidR="005B4F70">
        <w:rPr>
          <w:rFonts w:ascii="Arial" w:hAnsi="Arial" w:cs="Arial"/>
          <w:iCs/>
          <w:noProof/>
          <w:sz w:val="24"/>
          <w:szCs w:val="24"/>
          <w:lang w:eastAsia="es-MX"/>
        </w:rPr>
        <w:t>dore</w:t>
      </w:r>
      <w:r w:rsidR="00DD5960" w:rsidRPr="00DD5960">
        <w:rPr>
          <w:rFonts w:ascii="Arial" w:hAnsi="Arial" w:cs="Arial"/>
          <w:iCs/>
          <w:noProof/>
          <w:sz w:val="24"/>
          <w:szCs w:val="24"/>
          <w:lang w:eastAsia="es-MX"/>
        </w:rPr>
        <w:t>s públicos adscritos a las</w:t>
      </w:r>
      <w:r w:rsidR="00DD5960">
        <w:rPr>
          <w:rFonts w:ascii="Arial" w:hAnsi="Arial" w:cs="Arial"/>
          <w:iCs/>
          <w:noProof/>
          <w:sz w:val="24"/>
          <w:szCs w:val="24"/>
          <w:lang w:eastAsia="es-MX"/>
        </w:rPr>
        <w:t xml:space="preserve"> </w:t>
      </w:r>
      <w:r w:rsidR="00DD5960" w:rsidRPr="00DD5960">
        <w:rPr>
          <w:rFonts w:ascii="Arial" w:hAnsi="Arial" w:cs="Arial"/>
          <w:iCs/>
          <w:noProof/>
          <w:sz w:val="24"/>
          <w:szCs w:val="24"/>
          <w:lang w:eastAsia="es-MX"/>
        </w:rPr>
        <w:t>instituciones de las administraciones públicas estatales</w:t>
      </w:r>
      <w:r w:rsidR="00F50480">
        <w:rPr>
          <w:rFonts w:ascii="Arial" w:hAnsi="Arial" w:cs="Arial"/>
          <w:iCs/>
          <w:noProof/>
          <w:sz w:val="24"/>
          <w:szCs w:val="24"/>
          <w:lang w:eastAsia="es-MX"/>
        </w:rPr>
        <w:t>.</w:t>
      </w:r>
      <w:r w:rsidR="00DD5960">
        <w:rPr>
          <w:rFonts w:ascii="Arial" w:hAnsi="Arial" w:cs="Arial"/>
          <w:iCs/>
          <w:noProof/>
          <w:sz w:val="24"/>
          <w:szCs w:val="24"/>
          <w:lang w:eastAsia="es-MX"/>
        </w:rPr>
        <w:t xml:space="preserve"> </w:t>
      </w:r>
      <w:r w:rsidR="00F50480">
        <w:rPr>
          <w:rFonts w:ascii="Arial" w:hAnsi="Arial" w:cs="Arial"/>
          <w:iCs/>
          <w:noProof/>
          <w:sz w:val="24"/>
          <w:szCs w:val="24"/>
          <w:lang w:eastAsia="es-MX"/>
        </w:rPr>
        <w:t>D</w:t>
      </w:r>
      <w:r w:rsidR="00DD5960">
        <w:rPr>
          <w:rFonts w:ascii="Arial" w:hAnsi="Arial" w:cs="Arial"/>
          <w:iCs/>
          <w:noProof/>
          <w:sz w:val="24"/>
          <w:szCs w:val="24"/>
          <w:lang w:eastAsia="es-MX"/>
        </w:rPr>
        <w:t>icha cifra represent</w:t>
      </w:r>
      <w:r w:rsidR="00482D47">
        <w:rPr>
          <w:rFonts w:ascii="Arial" w:hAnsi="Arial" w:cs="Arial"/>
          <w:iCs/>
          <w:noProof/>
          <w:sz w:val="24"/>
          <w:szCs w:val="24"/>
          <w:lang w:eastAsia="es-MX"/>
        </w:rPr>
        <w:t>ó</w:t>
      </w:r>
      <w:r w:rsidR="00DD5960">
        <w:rPr>
          <w:rFonts w:ascii="Arial" w:hAnsi="Arial" w:cs="Arial"/>
          <w:iCs/>
          <w:noProof/>
          <w:sz w:val="24"/>
          <w:szCs w:val="24"/>
          <w:lang w:eastAsia="es-MX"/>
        </w:rPr>
        <w:t xml:space="preserve"> una disminución de 27.7% con respecto a 2019.</w:t>
      </w:r>
      <w:r w:rsidR="001D513A">
        <w:rPr>
          <w:rFonts w:ascii="Arial" w:hAnsi="Arial" w:cs="Arial"/>
          <w:iCs/>
          <w:noProof/>
          <w:sz w:val="24"/>
          <w:szCs w:val="24"/>
          <w:lang w:eastAsia="es-MX"/>
        </w:rPr>
        <w:t xml:space="preserve"> </w:t>
      </w:r>
    </w:p>
    <w:p w14:paraId="7095D34A" w14:textId="77777777" w:rsidR="00482D47" w:rsidRPr="008944CF" w:rsidRDefault="00482D47" w:rsidP="00DD5960">
      <w:pPr>
        <w:spacing w:after="0"/>
        <w:ind w:left="-567"/>
        <w:jc w:val="both"/>
        <w:rPr>
          <w:rFonts w:ascii="Arial" w:hAnsi="Arial" w:cs="Arial"/>
          <w:iCs/>
          <w:noProof/>
          <w:sz w:val="24"/>
          <w:szCs w:val="24"/>
          <w:lang w:eastAsia="es-MX"/>
        </w:rPr>
      </w:pPr>
    </w:p>
    <w:p w14:paraId="283E1F7F" w14:textId="724B1B15" w:rsidR="00D0513D" w:rsidRDefault="00D0513D" w:rsidP="00D80ECA">
      <w:pPr>
        <w:spacing w:after="0"/>
        <w:ind w:left="-567"/>
        <w:rPr>
          <w:rFonts w:ascii="Arial" w:hAnsi="Arial" w:cs="Arial"/>
          <w:b/>
          <w:bCs/>
          <w:iCs/>
          <w:noProof/>
          <w:sz w:val="24"/>
          <w:szCs w:val="24"/>
          <w:lang w:eastAsia="es-MX"/>
        </w:rPr>
      </w:pPr>
    </w:p>
    <w:p w14:paraId="72FA2517" w14:textId="44C7E69E" w:rsidR="00DD5960" w:rsidRDefault="00DD5960" w:rsidP="00DD5960">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306EFA">
        <w:rPr>
          <w:b/>
          <w:bCs/>
          <w:i/>
          <w:iCs/>
          <w:color w:val="706F6F"/>
          <w:sz w:val="18"/>
        </w:rPr>
        <w:t>8</w:t>
      </w:r>
      <w:r w:rsidRPr="00087BF8">
        <w:rPr>
          <w:b/>
          <w:bCs/>
          <w:i/>
          <w:iCs/>
          <w:color w:val="706F6F"/>
          <w:sz w:val="18"/>
        </w:rPr>
        <w:t>.</w:t>
      </w:r>
      <w:r>
        <w:rPr>
          <w:b/>
          <w:bCs/>
          <w:i/>
          <w:iCs/>
          <w:color w:val="706F6F"/>
          <w:sz w:val="18"/>
        </w:rPr>
        <w:t xml:space="preserve"> I</w:t>
      </w:r>
      <w:r w:rsidRPr="00DD5960">
        <w:rPr>
          <w:b/>
          <w:bCs/>
          <w:i/>
          <w:iCs/>
          <w:color w:val="706F6F"/>
          <w:sz w:val="18"/>
        </w:rPr>
        <w:t>nvestigaciones iniciadas por la presunta responsabilidad de faltas administrativas cometidas por los servidores públicos adscritos a las instituciones de las administraciones públicas estatales</w:t>
      </w:r>
      <w:r>
        <w:rPr>
          <w:b/>
          <w:bCs/>
          <w:i/>
          <w:iCs/>
          <w:color w:val="706F6F"/>
          <w:sz w:val="18"/>
        </w:rPr>
        <w:t>, 2018 a 2020</w:t>
      </w:r>
    </w:p>
    <w:p w14:paraId="1DDE494D" w14:textId="73AECEF5" w:rsidR="00DD5960" w:rsidRDefault="00DD5960" w:rsidP="00DD5960">
      <w:pPr>
        <w:pStyle w:val="Default"/>
        <w:ind w:left="-567"/>
        <w:jc w:val="center"/>
        <w:rPr>
          <w:b/>
          <w:bCs/>
          <w:i/>
          <w:iCs/>
          <w:color w:val="706F6F"/>
          <w:sz w:val="18"/>
        </w:rPr>
      </w:pPr>
    </w:p>
    <w:p w14:paraId="144691DB" w14:textId="737D8675" w:rsidR="00DD5960" w:rsidRDefault="00DD5960" w:rsidP="00DD5960">
      <w:pPr>
        <w:pStyle w:val="Default"/>
        <w:ind w:left="-567"/>
        <w:jc w:val="center"/>
        <w:rPr>
          <w:b/>
          <w:bCs/>
          <w:i/>
          <w:iCs/>
          <w:color w:val="706F6F"/>
          <w:sz w:val="18"/>
        </w:rPr>
      </w:pPr>
      <w:r>
        <w:rPr>
          <w:noProof/>
        </w:rPr>
        <w:drawing>
          <wp:inline distT="0" distB="0" distL="0" distR="0" wp14:anchorId="319C1909" wp14:editId="738D161A">
            <wp:extent cx="4133850" cy="2339163"/>
            <wp:effectExtent l="0" t="0" r="0" b="4445"/>
            <wp:docPr id="15" name="Gráfico 15">
              <a:extLst xmlns:a="http://schemas.openxmlformats.org/drawingml/2006/main">
                <a:ext uri="{FF2B5EF4-FFF2-40B4-BE49-F238E27FC236}">
                  <a16:creationId xmlns:a16="http://schemas.microsoft.com/office/drawing/2014/main" id="{E310FBDE-54E1-4DC1-B05C-14A0C4F6D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6DE091" w14:textId="77777777" w:rsidR="00DD5960" w:rsidRDefault="00DD5960" w:rsidP="00DD5960">
      <w:pPr>
        <w:pStyle w:val="Default"/>
        <w:ind w:left="-567"/>
        <w:jc w:val="center"/>
        <w:rPr>
          <w:b/>
          <w:bCs/>
          <w:i/>
          <w:iCs/>
          <w:color w:val="706F6F"/>
          <w:sz w:val="18"/>
        </w:rPr>
      </w:pPr>
    </w:p>
    <w:p w14:paraId="465AED90" w14:textId="29588DBF" w:rsidR="00D0513D" w:rsidRDefault="00D0513D" w:rsidP="00D80ECA">
      <w:pPr>
        <w:spacing w:after="0"/>
        <w:ind w:left="-567"/>
        <w:rPr>
          <w:rFonts w:ascii="Arial" w:hAnsi="Arial" w:cs="Arial"/>
          <w:b/>
          <w:bCs/>
          <w:iCs/>
          <w:noProof/>
          <w:sz w:val="24"/>
          <w:szCs w:val="24"/>
          <w:lang w:eastAsia="es-MX"/>
        </w:rPr>
      </w:pPr>
    </w:p>
    <w:p w14:paraId="4542A976" w14:textId="296BDBE0" w:rsidR="00D0513D" w:rsidRDefault="00D0513D" w:rsidP="00D80ECA">
      <w:pPr>
        <w:spacing w:after="0"/>
        <w:ind w:left="-567"/>
        <w:rPr>
          <w:rFonts w:ascii="Arial" w:hAnsi="Arial" w:cs="Arial"/>
          <w:b/>
          <w:bCs/>
          <w:iCs/>
          <w:noProof/>
          <w:sz w:val="24"/>
          <w:szCs w:val="24"/>
          <w:lang w:eastAsia="es-MX"/>
        </w:rPr>
      </w:pPr>
    </w:p>
    <w:p w14:paraId="29DEE935" w14:textId="67A55F02" w:rsidR="00D0513D" w:rsidRDefault="00D0513D" w:rsidP="00D80ECA">
      <w:pPr>
        <w:spacing w:after="0"/>
        <w:ind w:left="-567"/>
        <w:rPr>
          <w:rFonts w:ascii="Arial" w:hAnsi="Arial" w:cs="Arial"/>
          <w:b/>
          <w:bCs/>
          <w:iCs/>
          <w:noProof/>
          <w:sz w:val="24"/>
          <w:szCs w:val="24"/>
          <w:lang w:eastAsia="es-MX"/>
        </w:rPr>
      </w:pPr>
    </w:p>
    <w:p w14:paraId="4E3AB7E0" w14:textId="3DACF8A6" w:rsidR="00D0513D" w:rsidRDefault="00D0513D" w:rsidP="00D80ECA">
      <w:pPr>
        <w:spacing w:after="0"/>
        <w:ind w:left="-567"/>
        <w:rPr>
          <w:rFonts w:ascii="Arial" w:hAnsi="Arial" w:cs="Arial"/>
          <w:b/>
          <w:bCs/>
          <w:iCs/>
          <w:noProof/>
          <w:sz w:val="24"/>
          <w:szCs w:val="24"/>
          <w:lang w:eastAsia="es-MX"/>
        </w:rPr>
      </w:pPr>
    </w:p>
    <w:p w14:paraId="1D12C48F" w14:textId="724214FA" w:rsidR="00D0513D" w:rsidRDefault="00482D47" w:rsidP="00482D47">
      <w:pPr>
        <w:spacing w:after="0"/>
        <w:ind w:left="-567"/>
        <w:jc w:val="both"/>
        <w:rPr>
          <w:rFonts w:ascii="Arial" w:hAnsi="Arial" w:cs="Arial"/>
          <w:iCs/>
          <w:noProof/>
          <w:sz w:val="24"/>
          <w:szCs w:val="24"/>
          <w:lang w:eastAsia="es-MX"/>
        </w:rPr>
      </w:pPr>
      <w:r w:rsidRPr="00482D47">
        <w:rPr>
          <w:rFonts w:ascii="Arial" w:hAnsi="Arial" w:cs="Arial"/>
          <w:iCs/>
          <w:noProof/>
          <w:sz w:val="24"/>
          <w:szCs w:val="24"/>
          <w:lang w:eastAsia="es-MX"/>
        </w:rPr>
        <w:t xml:space="preserve">Además, </w:t>
      </w:r>
      <w:r>
        <w:rPr>
          <w:rFonts w:ascii="Arial" w:hAnsi="Arial" w:cs="Arial"/>
          <w:iCs/>
          <w:noProof/>
          <w:sz w:val="24"/>
          <w:szCs w:val="24"/>
          <w:lang w:eastAsia="es-MX"/>
        </w:rPr>
        <w:t>en el mismo periodo se iniciaron 6 820 procedimientos de responsabilidad administrativa por parte de las áreas subsanciadoras</w:t>
      </w:r>
      <w:r w:rsidR="005B4F70">
        <w:rPr>
          <w:rFonts w:ascii="Arial" w:hAnsi="Arial" w:cs="Arial"/>
          <w:iCs/>
          <w:noProof/>
          <w:sz w:val="24"/>
          <w:szCs w:val="24"/>
          <w:lang w:eastAsia="es-MX"/>
        </w:rPr>
        <w:t xml:space="preserve"> a servidoras y servidores públicos de las administraciones públicas estatales</w:t>
      </w:r>
      <w:r w:rsidR="00F50480">
        <w:rPr>
          <w:rFonts w:ascii="Arial" w:hAnsi="Arial" w:cs="Arial"/>
          <w:iCs/>
          <w:noProof/>
          <w:sz w:val="24"/>
          <w:szCs w:val="24"/>
          <w:lang w:eastAsia="es-MX"/>
        </w:rPr>
        <w:t>;</w:t>
      </w:r>
      <w:r>
        <w:rPr>
          <w:rFonts w:ascii="Arial" w:hAnsi="Arial" w:cs="Arial"/>
          <w:iCs/>
          <w:noProof/>
          <w:sz w:val="24"/>
          <w:szCs w:val="24"/>
          <w:lang w:eastAsia="es-MX"/>
        </w:rPr>
        <w:t xml:space="preserve"> esta cifra representó un aumento de 45.6% con respecto a 2019. Asimismo, se concluyeron 2 796 procedimientos que</w:t>
      </w:r>
      <w:r w:rsidR="00F50480">
        <w:rPr>
          <w:rFonts w:ascii="Arial" w:hAnsi="Arial" w:cs="Arial"/>
          <w:iCs/>
          <w:noProof/>
          <w:sz w:val="24"/>
          <w:szCs w:val="24"/>
          <w:lang w:eastAsia="es-MX"/>
        </w:rPr>
        <w:t>,</w:t>
      </w:r>
      <w:r>
        <w:rPr>
          <w:rFonts w:ascii="Arial" w:hAnsi="Arial" w:cs="Arial"/>
          <w:iCs/>
          <w:noProof/>
          <w:sz w:val="24"/>
          <w:szCs w:val="24"/>
          <w:lang w:eastAsia="es-MX"/>
        </w:rPr>
        <w:t xml:space="preserve"> </w:t>
      </w:r>
      <w:r w:rsidR="00071EFB">
        <w:rPr>
          <w:rFonts w:ascii="Arial" w:hAnsi="Arial" w:cs="Arial"/>
          <w:iCs/>
          <w:noProof/>
          <w:sz w:val="24"/>
          <w:szCs w:val="24"/>
          <w:lang w:eastAsia="es-MX"/>
        </w:rPr>
        <w:t>en comparación con 2019</w:t>
      </w:r>
      <w:r w:rsidR="00071EFB">
        <w:rPr>
          <w:rStyle w:val="Refdenotaalpie"/>
          <w:rFonts w:ascii="Arial" w:hAnsi="Arial" w:cs="Arial"/>
          <w:iCs/>
          <w:noProof/>
          <w:sz w:val="24"/>
          <w:szCs w:val="24"/>
          <w:lang w:eastAsia="es-MX"/>
        </w:rPr>
        <w:footnoteReference w:id="13"/>
      </w:r>
      <w:r w:rsidR="00071EFB">
        <w:rPr>
          <w:rFonts w:ascii="Arial" w:hAnsi="Arial" w:cs="Arial"/>
          <w:iCs/>
          <w:noProof/>
          <w:sz w:val="24"/>
          <w:szCs w:val="24"/>
          <w:lang w:eastAsia="es-MX"/>
        </w:rPr>
        <w:t>, representaron una disminución de 41.6 por ciento.</w:t>
      </w:r>
    </w:p>
    <w:p w14:paraId="315769B1" w14:textId="017E8B96" w:rsidR="00482D47" w:rsidRDefault="00482D47" w:rsidP="00D80ECA">
      <w:pPr>
        <w:spacing w:after="0"/>
        <w:ind w:left="-567"/>
        <w:rPr>
          <w:rFonts w:ascii="Arial" w:hAnsi="Arial" w:cs="Arial"/>
          <w:iCs/>
          <w:noProof/>
          <w:sz w:val="24"/>
          <w:szCs w:val="24"/>
          <w:lang w:eastAsia="es-MX"/>
        </w:rPr>
      </w:pPr>
    </w:p>
    <w:p w14:paraId="14DCD038" w14:textId="011DDA75" w:rsidR="00071EFB" w:rsidRDefault="00071EFB" w:rsidP="00071EFB">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1</w:t>
      </w:r>
      <w:r w:rsidR="00F8760B">
        <w:rPr>
          <w:b/>
          <w:bCs/>
          <w:i/>
          <w:iCs/>
          <w:color w:val="706F6F"/>
          <w:sz w:val="18"/>
        </w:rPr>
        <w:t>9</w:t>
      </w:r>
      <w:r w:rsidRPr="00087BF8">
        <w:rPr>
          <w:b/>
          <w:bCs/>
          <w:i/>
          <w:iCs/>
          <w:color w:val="706F6F"/>
          <w:sz w:val="18"/>
        </w:rPr>
        <w:t>.</w:t>
      </w:r>
      <w:r>
        <w:rPr>
          <w:b/>
          <w:bCs/>
          <w:i/>
          <w:iCs/>
          <w:color w:val="706F6F"/>
          <w:sz w:val="18"/>
        </w:rPr>
        <w:t xml:space="preserve"> Procedimientos de responsabilidad administrativa iniciados por las áreas substanciadoras en</w:t>
      </w:r>
      <w:r w:rsidRPr="00DD5960">
        <w:rPr>
          <w:b/>
          <w:bCs/>
          <w:i/>
          <w:iCs/>
          <w:color w:val="706F6F"/>
          <w:sz w:val="18"/>
        </w:rPr>
        <w:t xml:space="preserve"> las instituciones de las administraciones públicas estatales</w:t>
      </w:r>
      <w:r>
        <w:rPr>
          <w:b/>
          <w:bCs/>
          <w:i/>
          <w:iCs/>
          <w:color w:val="706F6F"/>
          <w:sz w:val="18"/>
        </w:rPr>
        <w:t>, 2015 a 2020</w:t>
      </w:r>
    </w:p>
    <w:p w14:paraId="3DF8F25B" w14:textId="3FDEC277" w:rsidR="00482D47" w:rsidRPr="00482D47" w:rsidRDefault="00482D47" w:rsidP="00482D47">
      <w:pPr>
        <w:spacing w:after="0"/>
        <w:ind w:left="-567"/>
        <w:jc w:val="center"/>
        <w:rPr>
          <w:rFonts w:ascii="Arial" w:hAnsi="Arial" w:cs="Arial"/>
          <w:iCs/>
          <w:noProof/>
          <w:sz w:val="24"/>
          <w:szCs w:val="24"/>
          <w:lang w:eastAsia="es-MX"/>
        </w:rPr>
      </w:pPr>
      <w:r>
        <w:rPr>
          <w:noProof/>
        </w:rPr>
        <w:drawing>
          <wp:inline distT="0" distB="0" distL="0" distR="0" wp14:anchorId="5FD72D30" wp14:editId="74E7D296">
            <wp:extent cx="4572000" cy="1776934"/>
            <wp:effectExtent l="0" t="0" r="0" b="0"/>
            <wp:docPr id="16" name="Gráfico 16">
              <a:extLst xmlns:a="http://schemas.openxmlformats.org/drawingml/2006/main">
                <a:ext uri="{FF2B5EF4-FFF2-40B4-BE49-F238E27FC236}">
                  <a16:creationId xmlns:a16="http://schemas.microsoft.com/office/drawing/2014/main" id="{152D3A93-8079-40F6-A351-0688B89C8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23C4E7" w14:textId="6145D99D" w:rsidR="00D0513D" w:rsidRDefault="00D0513D" w:rsidP="00D80ECA">
      <w:pPr>
        <w:spacing w:after="0"/>
        <w:ind w:left="-567"/>
        <w:rPr>
          <w:rFonts w:ascii="Arial" w:hAnsi="Arial" w:cs="Arial"/>
          <w:b/>
          <w:bCs/>
          <w:iCs/>
          <w:noProof/>
          <w:sz w:val="24"/>
          <w:szCs w:val="24"/>
          <w:lang w:eastAsia="es-MX"/>
        </w:rPr>
      </w:pPr>
    </w:p>
    <w:p w14:paraId="421E45CC" w14:textId="77777777" w:rsidR="001C0E4E" w:rsidRPr="00486E11" w:rsidRDefault="001C0E4E" w:rsidP="001C0E4E">
      <w:pPr>
        <w:spacing w:after="0"/>
        <w:ind w:left="-567"/>
        <w:jc w:val="center"/>
        <w:rPr>
          <w:rFonts w:ascii="Arial" w:hAnsi="Arial" w:cs="Arial"/>
          <w:iCs/>
          <w:noProof/>
          <w:color w:val="000000"/>
          <w:sz w:val="16"/>
          <w:szCs w:val="16"/>
          <w:lang w:eastAsia="es-MX"/>
        </w:rPr>
      </w:pPr>
      <w:r w:rsidRPr="00E74F8F">
        <w:rPr>
          <w:rFonts w:ascii="Arial" w:hAnsi="Arial" w:cs="Arial"/>
          <w:iCs/>
          <w:noProof/>
          <w:sz w:val="16"/>
          <w:szCs w:val="16"/>
          <w:lang w:eastAsia="es-MX"/>
        </w:rPr>
        <w:t>Nota:</w:t>
      </w:r>
      <w:r>
        <w:rPr>
          <w:rFonts w:ascii="Arial" w:hAnsi="Arial" w:cs="Arial"/>
          <w:iCs/>
          <w:noProof/>
          <w:sz w:val="16"/>
          <w:szCs w:val="16"/>
          <w:lang w:eastAsia="es-MX"/>
        </w:rPr>
        <w:t xml:space="preserve"> </w:t>
      </w:r>
      <w:r w:rsidRPr="00486E11">
        <w:rPr>
          <w:rFonts w:ascii="Arial" w:hAnsi="Arial" w:cs="Arial"/>
          <w:iCs/>
          <w:noProof/>
          <w:color w:val="000000"/>
          <w:sz w:val="16"/>
          <w:szCs w:val="16"/>
          <w:lang w:eastAsia="es-MX"/>
        </w:rPr>
        <w:t>la Ley General de Responsabilidades Administrativas, publicada en el DOF el 18 de julio de 2016,</w:t>
      </w:r>
      <w:r>
        <w:rPr>
          <w:rFonts w:ascii="Arial" w:hAnsi="Arial" w:cs="Arial"/>
          <w:iCs/>
          <w:noProof/>
          <w:color w:val="000000"/>
          <w:sz w:val="16"/>
          <w:szCs w:val="16"/>
          <w:lang w:eastAsia="es-MX"/>
        </w:rPr>
        <w:t xml:space="preserve"> y su entrada en vigor al año siguiente de la publicación</w:t>
      </w:r>
      <w:r w:rsidRPr="00486E11">
        <w:rPr>
          <w:rFonts w:ascii="Arial" w:hAnsi="Arial" w:cs="Arial"/>
          <w:iCs/>
          <w:noProof/>
          <w:color w:val="000000"/>
          <w:sz w:val="16"/>
          <w:szCs w:val="16"/>
          <w:lang w:eastAsia="es-MX"/>
        </w:rPr>
        <w:t xml:space="preserve"> </w:t>
      </w:r>
      <w:r>
        <w:rPr>
          <w:rFonts w:ascii="Arial" w:hAnsi="Arial" w:cs="Arial"/>
          <w:iCs/>
          <w:noProof/>
          <w:color w:val="000000"/>
          <w:sz w:val="16"/>
          <w:szCs w:val="16"/>
          <w:lang w:eastAsia="es-MX"/>
        </w:rPr>
        <w:t xml:space="preserve">del Decreto, </w:t>
      </w:r>
      <w:r w:rsidRPr="00486E11">
        <w:rPr>
          <w:rFonts w:ascii="Arial" w:hAnsi="Arial" w:cs="Arial"/>
          <w:iCs/>
          <w:noProof/>
          <w:color w:val="000000"/>
          <w:sz w:val="16"/>
          <w:szCs w:val="16"/>
          <w:lang w:eastAsia="es-MX"/>
        </w:rPr>
        <w:t>redefinió el modelo del procedimiento sancionador de faltas administrativas, estableciendo autoridades y campos específicos de acción en este proceso (investigación, sustanciación y</w:t>
      </w:r>
      <w:r>
        <w:rPr>
          <w:rFonts w:ascii="Arial" w:hAnsi="Arial" w:cs="Arial"/>
          <w:iCs/>
          <w:noProof/>
          <w:color w:val="000000"/>
          <w:sz w:val="16"/>
          <w:szCs w:val="16"/>
          <w:lang w:eastAsia="es-MX"/>
        </w:rPr>
        <w:t xml:space="preserve"> </w:t>
      </w:r>
      <w:r w:rsidRPr="00486E11">
        <w:rPr>
          <w:rFonts w:ascii="Arial" w:hAnsi="Arial" w:cs="Arial"/>
          <w:iCs/>
          <w:noProof/>
          <w:color w:val="000000"/>
          <w:sz w:val="16"/>
          <w:szCs w:val="16"/>
          <w:lang w:eastAsia="es-MX"/>
        </w:rPr>
        <w:t xml:space="preserve">resolución sobre procedimientos de resposabilidad), distinguiendo que, al menos en dos de estas etapas, participen áreas o autoridades diferentes. En este sentido, </w:t>
      </w:r>
      <w:r w:rsidRPr="004B46FB">
        <w:rPr>
          <w:rFonts w:ascii="Arial" w:hAnsi="Arial" w:cs="Arial"/>
          <w:iCs/>
          <w:noProof/>
          <w:color w:val="000000"/>
          <w:sz w:val="16"/>
          <w:szCs w:val="16"/>
          <w:lang w:eastAsia="es-MX"/>
        </w:rPr>
        <w:t>recae en la esfera de la autoridad substanciadora</w:t>
      </w:r>
      <w:r>
        <w:rPr>
          <w:rFonts w:ascii="Arial" w:hAnsi="Arial" w:cs="Arial"/>
          <w:iCs/>
          <w:noProof/>
          <w:color w:val="000000"/>
          <w:sz w:val="16"/>
          <w:szCs w:val="16"/>
          <w:lang w:eastAsia="es-MX"/>
        </w:rPr>
        <w:t xml:space="preserve"> dirigir y conducir </w:t>
      </w:r>
      <w:r w:rsidRPr="00486E11">
        <w:rPr>
          <w:rFonts w:ascii="Arial" w:hAnsi="Arial" w:cs="Arial"/>
          <w:iCs/>
          <w:noProof/>
          <w:color w:val="000000"/>
          <w:sz w:val="16"/>
          <w:szCs w:val="16"/>
          <w:lang w:eastAsia="es-MX"/>
        </w:rPr>
        <w:t>los procedimientos de responsabilidad administrativa</w:t>
      </w:r>
      <w:r>
        <w:rPr>
          <w:rFonts w:ascii="Arial" w:hAnsi="Arial" w:cs="Arial"/>
          <w:iCs/>
          <w:noProof/>
          <w:color w:val="000000"/>
          <w:sz w:val="16"/>
          <w:szCs w:val="16"/>
          <w:lang w:eastAsia="es-MX"/>
        </w:rPr>
        <w:t xml:space="preserve">; en tanto su resolución recae, ya sea en </w:t>
      </w:r>
      <w:r w:rsidRPr="00E42EE3">
        <w:rPr>
          <w:rFonts w:ascii="Arial" w:hAnsi="Arial" w:cs="Arial"/>
          <w:iCs/>
          <w:noProof/>
          <w:color w:val="000000"/>
          <w:sz w:val="16"/>
          <w:szCs w:val="16"/>
          <w:lang w:eastAsia="es-MX"/>
        </w:rPr>
        <w:t>la unidad</w:t>
      </w:r>
      <w:r>
        <w:rPr>
          <w:rFonts w:ascii="Arial" w:hAnsi="Arial" w:cs="Arial"/>
          <w:iCs/>
          <w:noProof/>
          <w:color w:val="000000"/>
          <w:sz w:val="16"/>
          <w:szCs w:val="16"/>
          <w:lang w:eastAsia="es-MX"/>
        </w:rPr>
        <w:t xml:space="preserve"> </w:t>
      </w:r>
      <w:r w:rsidRPr="00E42EE3">
        <w:rPr>
          <w:rFonts w:ascii="Arial" w:hAnsi="Arial" w:cs="Arial"/>
          <w:iCs/>
          <w:noProof/>
          <w:color w:val="000000"/>
          <w:sz w:val="16"/>
          <w:szCs w:val="16"/>
          <w:lang w:eastAsia="es-MX"/>
        </w:rPr>
        <w:t>de responsabilidade</w:t>
      </w:r>
      <w:r>
        <w:rPr>
          <w:rFonts w:ascii="Arial" w:hAnsi="Arial" w:cs="Arial"/>
          <w:iCs/>
          <w:noProof/>
          <w:color w:val="000000"/>
          <w:sz w:val="16"/>
          <w:szCs w:val="16"/>
          <w:lang w:eastAsia="es-MX"/>
        </w:rPr>
        <w:t>s administrativas tratándose de faltas administrativas no graves, o el Tribunal competente cuando se trate de faltas graves</w:t>
      </w:r>
      <w:r w:rsidRPr="00486E11">
        <w:rPr>
          <w:rFonts w:ascii="Arial" w:hAnsi="Arial" w:cs="Arial"/>
          <w:iCs/>
          <w:noProof/>
          <w:color w:val="000000"/>
          <w:sz w:val="16"/>
          <w:szCs w:val="16"/>
          <w:lang w:eastAsia="es-MX"/>
        </w:rPr>
        <w:t>.</w:t>
      </w:r>
    </w:p>
    <w:p w14:paraId="093B5332" w14:textId="77777777" w:rsidR="007D6DA8" w:rsidRDefault="007D6DA8" w:rsidP="00B17AAF">
      <w:pPr>
        <w:spacing w:after="0"/>
        <w:ind w:left="-567"/>
        <w:jc w:val="both"/>
        <w:rPr>
          <w:rFonts w:ascii="Arial" w:hAnsi="Arial" w:cs="Arial"/>
          <w:iCs/>
          <w:noProof/>
          <w:sz w:val="24"/>
          <w:szCs w:val="24"/>
          <w:lang w:eastAsia="es-MX"/>
        </w:rPr>
      </w:pPr>
    </w:p>
    <w:p w14:paraId="0AF39823" w14:textId="794FC60C" w:rsidR="00B17AAF" w:rsidRPr="00B17AAF" w:rsidRDefault="00195ED0" w:rsidP="00B17AAF">
      <w:pPr>
        <w:spacing w:after="0"/>
        <w:ind w:left="-567"/>
        <w:jc w:val="both"/>
        <w:rPr>
          <w:rFonts w:ascii="Arial" w:hAnsi="Arial" w:cs="Arial"/>
          <w:iCs/>
          <w:noProof/>
          <w:sz w:val="24"/>
          <w:szCs w:val="24"/>
          <w:lang w:eastAsia="es-MX"/>
        </w:rPr>
      </w:pPr>
      <w:r w:rsidRPr="0007109E">
        <w:rPr>
          <w:rFonts w:ascii="Arial" w:hAnsi="Arial" w:cs="Arial"/>
          <w:iCs/>
          <w:noProof/>
          <w:sz w:val="24"/>
          <w:szCs w:val="24"/>
          <w:lang w:eastAsia="es-MX"/>
        </w:rPr>
        <w:t>De</w:t>
      </w:r>
      <w:r w:rsidR="0007109E" w:rsidRPr="0007109E">
        <w:rPr>
          <w:rFonts w:ascii="Arial" w:hAnsi="Arial" w:cs="Arial"/>
          <w:iCs/>
          <w:noProof/>
          <w:sz w:val="24"/>
          <w:szCs w:val="24"/>
          <w:lang w:eastAsia="es-MX"/>
        </w:rPr>
        <w:t>r</w:t>
      </w:r>
      <w:r w:rsidRPr="0007109E">
        <w:rPr>
          <w:rFonts w:ascii="Arial" w:hAnsi="Arial" w:cs="Arial"/>
          <w:iCs/>
          <w:noProof/>
          <w:sz w:val="24"/>
          <w:szCs w:val="24"/>
          <w:lang w:eastAsia="es-MX"/>
        </w:rPr>
        <w:t>ivado de procedimientos concluidos</w:t>
      </w:r>
      <w:r w:rsidR="0007109E">
        <w:rPr>
          <w:rFonts w:ascii="Arial" w:hAnsi="Arial" w:cs="Arial"/>
          <w:iCs/>
          <w:noProof/>
          <w:sz w:val="24"/>
          <w:szCs w:val="24"/>
          <w:lang w:eastAsia="es-MX"/>
        </w:rPr>
        <w:t>, 2 032 servidoras y servidores públicos fueron sancionados</w:t>
      </w:r>
      <w:r w:rsidR="00B17AAF">
        <w:rPr>
          <w:rFonts w:ascii="Arial" w:hAnsi="Arial" w:cs="Arial"/>
          <w:iCs/>
          <w:noProof/>
          <w:sz w:val="24"/>
          <w:szCs w:val="24"/>
          <w:lang w:eastAsia="es-MX"/>
        </w:rPr>
        <w:t xml:space="preserve">, </w:t>
      </w:r>
      <w:r w:rsidR="005806A0">
        <w:rPr>
          <w:rFonts w:ascii="Arial" w:hAnsi="Arial" w:cs="Arial"/>
          <w:iCs/>
          <w:noProof/>
          <w:sz w:val="24"/>
          <w:szCs w:val="24"/>
          <w:lang w:eastAsia="es-MX"/>
        </w:rPr>
        <w:t>79.1%</w:t>
      </w:r>
      <w:r w:rsidR="009D350F">
        <w:rPr>
          <w:rFonts w:ascii="Arial" w:hAnsi="Arial" w:cs="Arial"/>
          <w:iCs/>
          <w:noProof/>
          <w:sz w:val="24"/>
          <w:szCs w:val="24"/>
          <w:lang w:eastAsia="es-MX"/>
        </w:rPr>
        <w:t xml:space="preserve"> (</w:t>
      </w:r>
      <w:r w:rsidR="004A7409">
        <w:rPr>
          <w:rFonts w:ascii="Arial" w:hAnsi="Arial" w:cs="Arial"/>
          <w:iCs/>
          <w:noProof/>
          <w:sz w:val="24"/>
          <w:szCs w:val="24"/>
          <w:lang w:eastAsia="es-MX"/>
        </w:rPr>
        <w:t>1 607</w:t>
      </w:r>
      <w:r w:rsidR="009D350F">
        <w:rPr>
          <w:rFonts w:ascii="Arial" w:hAnsi="Arial" w:cs="Arial"/>
          <w:iCs/>
          <w:noProof/>
          <w:sz w:val="24"/>
          <w:szCs w:val="24"/>
          <w:lang w:eastAsia="es-MX"/>
        </w:rPr>
        <w:t>)</w:t>
      </w:r>
      <w:r w:rsidR="005806A0">
        <w:rPr>
          <w:rFonts w:ascii="Arial" w:hAnsi="Arial" w:cs="Arial"/>
          <w:iCs/>
          <w:noProof/>
          <w:sz w:val="24"/>
          <w:szCs w:val="24"/>
          <w:lang w:eastAsia="es-MX"/>
        </w:rPr>
        <w:t xml:space="preserve"> </w:t>
      </w:r>
      <w:r w:rsidR="00B17AAF">
        <w:rPr>
          <w:rFonts w:ascii="Arial" w:hAnsi="Arial" w:cs="Arial"/>
          <w:iCs/>
          <w:noProof/>
          <w:sz w:val="24"/>
          <w:szCs w:val="24"/>
          <w:lang w:eastAsia="es-MX"/>
        </w:rPr>
        <w:t>por</w:t>
      </w:r>
      <w:r w:rsidR="005806A0">
        <w:rPr>
          <w:rFonts w:ascii="Arial" w:hAnsi="Arial" w:cs="Arial"/>
          <w:iCs/>
          <w:noProof/>
          <w:sz w:val="24"/>
          <w:szCs w:val="24"/>
          <w:lang w:eastAsia="es-MX"/>
        </w:rPr>
        <w:t xml:space="preserve"> faltas administrativas no graves, 17.6%</w:t>
      </w:r>
      <w:r w:rsidR="004A7409">
        <w:rPr>
          <w:rFonts w:ascii="Arial" w:hAnsi="Arial" w:cs="Arial"/>
          <w:iCs/>
          <w:noProof/>
          <w:sz w:val="24"/>
          <w:szCs w:val="24"/>
          <w:lang w:eastAsia="es-MX"/>
        </w:rPr>
        <w:t xml:space="preserve"> (358)</w:t>
      </w:r>
      <w:r w:rsidR="005806A0">
        <w:rPr>
          <w:rFonts w:ascii="Arial" w:hAnsi="Arial" w:cs="Arial"/>
          <w:iCs/>
          <w:noProof/>
          <w:sz w:val="24"/>
          <w:szCs w:val="24"/>
          <w:lang w:eastAsia="es-MX"/>
        </w:rPr>
        <w:t xml:space="preserve"> por faltas administrativas graves y 3.3%</w:t>
      </w:r>
      <w:r w:rsidR="004A7409">
        <w:rPr>
          <w:rFonts w:ascii="Arial" w:hAnsi="Arial" w:cs="Arial"/>
          <w:iCs/>
          <w:noProof/>
          <w:sz w:val="24"/>
          <w:szCs w:val="24"/>
          <w:lang w:eastAsia="es-MX"/>
        </w:rPr>
        <w:t xml:space="preserve"> (67)</w:t>
      </w:r>
      <w:r w:rsidR="005806A0">
        <w:rPr>
          <w:rFonts w:ascii="Arial" w:hAnsi="Arial" w:cs="Arial"/>
          <w:iCs/>
          <w:noProof/>
          <w:sz w:val="24"/>
          <w:szCs w:val="24"/>
          <w:lang w:eastAsia="es-MX"/>
        </w:rPr>
        <w:t xml:space="preserve"> por faltas administrativas no graves y graves.</w:t>
      </w:r>
      <w:r w:rsidR="00B17AAF">
        <w:rPr>
          <w:rFonts w:ascii="Arial" w:hAnsi="Arial" w:cs="Arial"/>
          <w:iCs/>
          <w:noProof/>
          <w:sz w:val="24"/>
          <w:szCs w:val="24"/>
          <w:lang w:eastAsia="es-MX"/>
        </w:rPr>
        <w:t xml:space="preserve"> </w:t>
      </w:r>
      <w:r w:rsidR="00B17AAF" w:rsidRPr="00B17AAF">
        <w:rPr>
          <w:rFonts w:ascii="Arial" w:hAnsi="Arial" w:cs="Arial"/>
          <w:iCs/>
          <w:noProof/>
          <w:sz w:val="24"/>
          <w:szCs w:val="24"/>
          <w:lang w:eastAsia="es-MX"/>
        </w:rPr>
        <w:t xml:space="preserve">Considerando la cantidad </w:t>
      </w:r>
      <w:r w:rsidR="00B17AAF">
        <w:rPr>
          <w:rFonts w:ascii="Arial" w:hAnsi="Arial" w:cs="Arial"/>
          <w:iCs/>
          <w:noProof/>
          <w:sz w:val="24"/>
          <w:szCs w:val="24"/>
          <w:lang w:eastAsia="es-MX"/>
        </w:rPr>
        <w:t>total de servidoras y servidores públicos sancionados en 2019, se observa u</w:t>
      </w:r>
      <w:r w:rsidR="002E4AD1">
        <w:rPr>
          <w:rFonts w:ascii="Arial" w:hAnsi="Arial" w:cs="Arial"/>
          <w:iCs/>
          <w:noProof/>
          <w:sz w:val="24"/>
          <w:szCs w:val="24"/>
          <w:lang w:eastAsia="es-MX"/>
        </w:rPr>
        <w:t>na disminución de 40.4</w:t>
      </w:r>
      <w:r w:rsidR="00B17AAF">
        <w:rPr>
          <w:rFonts w:ascii="Arial" w:hAnsi="Arial" w:cs="Arial"/>
          <w:iCs/>
          <w:noProof/>
          <w:sz w:val="24"/>
          <w:szCs w:val="24"/>
          <w:lang w:eastAsia="es-MX"/>
        </w:rPr>
        <w:t>% en 2020.</w:t>
      </w:r>
      <w:r w:rsidR="00AF710C">
        <w:rPr>
          <w:rFonts w:ascii="Arial" w:hAnsi="Arial" w:cs="Arial"/>
          <w:iCs/>
          <w:noProof/>
          <w:sz w:val="24"/>
          <w:szCs w:val="24"/>
          <w:lang w:eastAsia="es-MX"/>
        </w:rPr>
        <w:t xml:space="preserve"> </w:t>
      </w:r>
    </w:p>
    <w:p w14:paraId="09BCEE79" w14:textId="30155D6B" w:rsidR="00D0513D" w:rsidRDefault="00D0513D" w:rsidP="00D80ECA">
      <w:pPr>
        <w:spacing w:after="0"/>
        <w:ind w:left="-567"/>
        <w:rPr>
          <w:rFonts w:ascii="Arial" w:hAnsi="Arial" w:cs="Arial"/>
          <w:b/>
          <w:bCs/>
          <w:iCs/>
          <w:noProof/>
          <w:sz w:val="24"/>
          <w:szCs w:val="24"/>
          <w:lang w:eastAsia="es-MX"/>
        </w:rPr>
      </w:pPr>
    </w:p>
    <w:p w14:paraId="01D74EA9" w14:textId="6C2BA777" w:rsidR="0007109E" w:rsidRDefault="0007109E" w:rsidP="005806A0">
      <w:pPr>
        <w:pStyle w:val="Default"/>
        <w:ind w:left="-567"/>
        <w:jc w:val="center"/>
        <w:rPr>
          <w:b/>
          <w:bCs/>
          <w:i/>
          <w:iCs/>
          <w:color w:val="706F6F"/>
          <w:sz w:val="18"/>
        </w:rPr>
      </w:pPr>
      <w:r w:rsidRPr="00087BF8">
        <w:rPr>
          <w:b/>
          <w:bCs/>
          <w:i/>
          <w:iCs/>
          <w:color w:val="706F6F"/>
          <w:sz w:val="18"/>
        </w:rPr>
        <w:t xml:space="preserve">Gráfica </w:t>
      </w:r>
      <w:r w:rsidR="00F8760B">
        <w:rPr>
          <w:b/>
          <w:bCs/>
          <w:i/>
          <w:iCs/>
          <w:color w:val="706F6F"/>
          <w:sz w:val="18"/>
        </w:rPr>
        <w:t>20</w:t>
      </w:r>
      <w:r w:rsidRPr="00087BF8">
        <w:rPr>
          <w:b/>
          <w:bCs/>
          <w:i/>
          <w:iCs/>
          <w:color w:val="706F6F"/>
          <w:sz w:val="18"/>
        </w:rPr>
        <w:t>.</w:t>
      </w:r>
      <w:r>
        <w:rPr>
          <w:b/>
          <w:bCs/>
          <w:i/>
          <w:iCs/>
          <w:color w:val="706F6F"/>
          <w:sz w:val="18"/>
        </w:rPr>
        <w:t xml:space="preserve"> </w:t>
      </w:r>
      <w:r w:rsidR="005806A0">
        <w:rPr>
          <w:b/>
          <w:bCs/>
          <w:i/>
          <w:iCs/>
          <w:color w:val="706F6F"/>
          <w:sz w:val="18"/>
        </w:rPr>
        <w:t>Servidoras y servidores públicos de</w:t>
      </w:r>
      <w:r w:rsidRPr="00DD5960">
        <w:rPr>
          <w:b/>
          <w:bCs/>
          <w:i/>
          <w:iCs/>
          <w:color w:val="706F6F"/>
          <w:sz w:val="18"/>
        </w:rPr>
        <w:t xml:space="preserve"> las instituciones de las administraciones públicas estatales</w:t>
      </w:r>
      <w:r w:rsidR="005806A0">
        <w:rPr>
          <w:b/>
          <w:bCs/>
          <w:i/>
          <w:iCs/>
          <w:color w:val="706F6F"/>
          <w:sz w:val="18"/>
        </w:rPr>
        <w:t xml:space="preserve"> sancionados, </w:t>
      </w:r>
      <w:r>
        <w:rPr>
          <w:b/>
          <w:bCs/>
          <w:i/>
          <w:iCs/>
          <w:color w:val="706F6F"/>
          <w:sz w:val="18"/>
        </w:rPr>
        <w:t>201</w:t>
      </w:r>
      <w:r w:rsidR="00B17AAF">
        <w:rPr>
          <w:b/>
          <w:bCs/>
          <w:i/>
          <w:iCs/>
          <w:color w:val="706F6F"/>
          <w:sz w:val="18"/>
        </w:rPr>
        <w:t>4</w:t>
      </w:r>
      <w:r>
        <w:rPr>
          <w:b/>
          <w:bCs/>
          <w:i/>
          <w:iCs/>
          <w:color w:val="706F6F"/>
          <w:sz w:val="18"/>
        </w:rPr>
        <w:t xml:space="preserve"> a 2020</w:t>
      </w:r>
    </w:p>
    <w:p w14:paraId="120E16F0" w14:textId="2C3B8FC2" w:rsidR="005806A0" w:rsidRDefault="005806A0" w:rsidP="005806A0">
      <w:pPr>
        <w:spacing w:after="0"/>
        <w:ind w:left="-567"/>
        <w:jc w:val="center"/>
        <w:rPr>
          <w:rFonts w:ascii="Arial" w:hAnsi="Arial" w:cs="Arial"/>
          <w:b/>
          <w:bCs/>
          <w:iCs/>
          <w:noProof/>
          <w:sz w:val="24"/>
          <w:szCs w:val="24"/>
          <w:lang w:eastAsia="es-MX"/>
        </w:rPr>
      </w:pPr>
      <w:r>
        <w:rPr>
          <w:noProof/>
        </w:rPr>
        <w:drawing>
          <wp:inline distT="0" distB="0" distL="0" distR="0" wp14:anchorId="0406E311" wp14:editId="77C25933">
            <wp:extent cx="4614545" cy="1802920"/>
            <wp:effectExtent l="0" t="0" r="0" b="6985"/>
            <wp:docPr id="17" name="Gráfico 17">
              <a:extLst xmlns:a="http://schemas.openxmlformats.org/drawingml/2006/main">
                <a:ext uri="{FF2B5EF4-FFF2-40B4-BE49-F238E27FC236}">
                  <a16:creationId xmlns:a16="http://schemas.microsoft.com/office/drawing/2014/main" id="{F2A8112D-5D00-496E-BC51-F009923BE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8E9D6E" w14:textId="373A75E1" w:rsidR="00D0513D" w:rsidRPr="00B053A4" w:rsidRDefault="00D0513D" w:rsidP="00B053A4">
      <w:pPr>
        <w:pStyle w:val="Default"/>
        <w:ind w:left="-567"/>
        <w:jc w:val="center"/>
        <w:rPr>
          <w:b/>
          <w:bCs/>
          <w:i/>
          <w:iCs/>
          <w:color w:val="706F6F"/>
          <w:sz w:val="18"/>
        </w:rPr>
      </w:pPr>
    </w:p>
    <w:p w14:paraId="3B28BC0F" w14:textId="60580F40" w:rsidR="00D0513D" w:rsidRPr="00B053A4" w:rsidRDefault="00B053A4" w:rsidP="00B053A4">
      <w:pPr>
        <w:pStyle w:val="Default"/>
        <w:ind w:left="-567"/>
        <w:jc w:val="center"/>
        <w:rPr>
          <w:b/>
          <w:bCs/>
          <w:i/>
          <w:iCs/>
          <w:color w:val="706F6F"/>
          <w:sz w:val="18"/>
        </w:rPr>
      </w:pPr>
      <w:r w:rsidRPr="00B053A4">
        <w:rPr>
          <w:b/>
          <w:bCs/>
          <w:i/>
          <w:iCs/>
          <w:color w:val="706F6F"/>
          <w:sz w:val="18"/>
        </w:rPr>
        <w:tab/>
      </w:r>
    </w:p>
    <w:p w14:paraId="01897E33" w14:textId="433B1E08" w:rsidR="00B17AAF" w:rsidRDefault="00B17AAF" w:rsidP="00B17AAF">
      <w:pPr>
        <w:pStyle w:val="Default"/>
        <w:ind w:left="-567"/>
        <w:jc w:val="center"/>
        <w:rPr>
          <w:b/>
          <w:bCs/>
          <w:i/>
          <w:iCs/>
          <w:color w:val="706F6F"/>
          <w:sz w:val="18"/>
        </w:rPr>
      </w:pPr>
      <w:r w:rsidRPr="00087BF8">
        <w:rPr>
          <w:b/>
          <w:bCs/>
          <w:i/>
          <w:iCs/>
          <w:color w:val="706F6F"/>
          <w:sz w:val="18"/>
        </w:rPr>
        <w:t xml:space="preserve">Gráfica </w:t>
      </w:r>
      <w:r w:rsidR="00F8760B">
        <w:rPr>
          <w:b/>
          <w:bCs/>
          <w:i/>
          <w:iCs/>
          <w:color w:val="706F6F"/>
          <w:sz w:val="18"/>
        </w:rPr>
        <w:t>21</w:t>
      </w:r>
      <w:r w:rsidRPr="00087BF8">
        <w:rPr>
          <w:b/>
          <w:bCs/>
          <w:i/>
          <w:iCs/>
          <w:color w:val="706F6F"/>
          <w:sz w:val="18"/>
        </w:rPr>
        <w:t>.</w:t>
      </w:r>
      <w:r>
        <w:rPr>
          <w:b/>
          <w:bCs/>
          <w:i/>
          <w:iCs/>
          <w:color w:val="706F6F"/>
          <w:sz w:val="18"/>
        </w:rPr>
        <w:t xml:space="preserve"> Servidoras y servidores públicos de</w:t>
      </w:r>
      <w:r w:rsidRPr="00DD5960">
        <w:rPr>
          <w:b/>
          <w:bCs/>
          <w:i/>
          <w:iCs/>
          <w:color w:val="706F6F"/>
          <w:sz w:val="18"/>
        </w:rPr>
        <w:t xml:space="preserve"> las instituciones de las administraciones públicas estatales</w:t>
      </w:r>
      <w:r>
        <w:rPr>
          <w:b/>
          <w:bCs/>
          <w:i/>
          <w:iCs/>
          <w:color w:val="706F6F"/>
          <w:sz w:val="18"/>
        </w:rPr>
        <w:t xml:space="preserve">, sancionados, </w:t>
      </w:r>
      <w:r w:rsidR="006B6F9F">
        <w:rPr>
          <w:b/>
          <w:bCs/>
          <w:i/>
          <w:iCs/>
          <w:color w:val="706F6F"/>
          <w:sz w:val="18"/>
        </w:rPr>
        <w:t>por tipo de falta, 2019 a 2020</w:t>
      </w:r>
    </w:p>
    <w:p w14:paraId="7362C3F9" w14:textId="7CBB3857" w:rsidR="00D0513D" w:rsidRPr="00B053A4" w:rsidRDefault="00D0513D" w:rsidP="00B053A4">
      <w:pPr>
        <w:pStyle w:val="Default"/>
        <w:ind w:left="-567"/>
        <w:jc w:val="center"/>
        <w:rPr>
          <w:b/>
          <w:bCs/>
          <w:i/>
          <w:iCs/>
          <w:color w:val="706F6F"/>
          <w:sz w:val="18"/>
        </w:rPr>
      </w:pPr>
    </w:p>
    <w:p w14:paraId="356D6990" w14:textId="7F6EF0EC" w:rsidR="00B17AAF" w:rsidRDefault="00C422AF" w:rsidP="00B17AAF">
      <w:pPr>
        <w:spacing w:after="0"/>
        <w:ind w:left="-567"/>
        <w:jc w:val="center"/>
        <w:rPr>
          <w:rFonts w:ascii="Arial" w:hAnsi="Arial" w:cs="Arial"/>
          <w:b/>
          <w:bCs/>
          <w:iCs/>
          <w:noProof/>
          <w:sz w:val="24"/>
          <w:szCs w:val="24"/>
          <w:lang w:eastAsia="es-MX"/>
        </w:rPr>
      </w:pPr>
      <w:r>
        <w:rPr>
          <w:noProof/>
        </w:rPr>
        <w:drawing>
          <wp:inline distT="0" distB="0" distL="0" distR="0" wp14:anchorId="5E1D8971" wp14:editId="28A867D3">
            <wp:extent cx="5146158" cy="2376170"/>
            <wp:effectExtent l="0" t="0" r="0" b="5080"/>
            <wp:docPr id="20" name="Gráfico 20">
              <a:extLst xmlns:a="http://schemas.openxmlformats.org/drawingml/2006/main">
                <a:ext uri="{FF2B5EF4-FFF2-40B4-BE49-F238E27FC236}">
                  <a16:creationId xmlns:a16="http://schemas.microsoft.com/office/drawing/2014/main" id="{9763BADC-7B35-470B-BE70-97C494D80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F57439C" w14:textId="01C9B4F5" w:rsidR="00D0513D" w:rsidRDefault="00D0513D" w:rsidP="00D80ECA">
      <w:pPr>
        <w:spacing w:after="0"/>
        <w:ind w:left="-567"/>
        <w:rPr>
          <w:rFonts w:ascii="Arial" w:hAnsi="Arial" w:cs="Arial"/>
          <w:b/>
          <w:bCs/>
          <w:iCs/>
          <w:noProof/>
          <w:sz w:val="24"/>
          <w:szCs w:val="24"/>
          <w:lang w:eastAsia="es-MX"/>
        </w:rPr>
      </w:pPr>
    </w:p>
    <w:p w14:paraId="322FC317" w14:textId="09F5564A" w:rsidR="00D0513D" w:rsidRDefault="00D0513D" w:rsidP="00D80ECA">
      <w:pPr>
        <w:spacing w:after="0"/>
        <w:ind w:left="-567"/>
        <w:rPr>
          <w:rFonts w:ascii="Arial" w:hAnsi="Arial" w:cs="Arial"/>
          <w:b/>
          <w:bCs/>
          <w:iCs/>
          <w:noProof/>
          <w:sz w:val="24"/>
          <w:szCs w:val="24"/>
          <w:lang w:eastAsia="es-MX"/>
        </w:rPr>
      </w:pPr>
    </w:p>
    <w:p w14:paraId="23FBFBC6" w14:textId="128B3FBE" w:rsidR="0039704A" w:rsidRDefault="0039704A" w:rsidP="00D80ECA">
      <w:pPr>
        <w:spacing w:after="0"/>
        <w:ind w:left="-567"/>
        <w:rPr>
          <w:rFonts w:ascii="Arial" w:hAnsi="Arial" w:cs="Arial"/>
          <w:b/>
          <w:bCs/>
          <w:iCs/>
          <w:noProof/>
          <w:sz w:val="24"/>
          <w:szCs w:val="24"/>
          <w:lang w:eastAsia="es-MX"/>
        </w:rPr>
      </w:pPr>
    </w:p>
    <w:p w14:paraId="03190769" w14:textId="723E0123" w:rsidR="007D6DA8" w:rsidRDefault="007D6DA8" w:rsidP="00D80ECA">
      <w:pPr>
        <w:spacing w:after="0"/>
        <w:ind w:left="-567"/>
        <w:rPr>
          <w:rFonts w:ascii="Arial" w:hAnsi="Arial" w:cs="Arial"/>
          <w:b/>
          <w:bCs/>
          <w:iCs/>
          <w:noProof/>
          <w:sz w:val="24"/>
          <w:szCs w:val="24"/>
          <w:lang w:eastAsia="es-MX"/>
        </w:rPr>
      </w:pPr>
    </w:p>
    <w:p w14:paraId="6B20A950" w14:textId="77777777" w:rsidR="007D6DA8" w:rsidRDefault="007D6DA8" w:rsidP="00D80ECA">
      <w:pPr>
        <w:spacing w:after="0"/>
        <w:ind w:left="-567"/>
        <w:rPr>
          <w:rFonts w:ascii="Arial" w:hAnsi="Arial" w:cs="Arial"/>
          <w:b/>
          <w:bCs/>
          <w:iCs/>
          <w:noProof/>
          <w:sz w:val="24"/>
          <w:szCs w:val="24"/>
          <w:lang w:eastAsia="es-MX"/>
        </w:rPr>
      </w:pPr>
    </w:p>
    <w:p w14:paraId="34D29BF5" w14:textId="6FA29C94" w:rsidR="00E47265" w:rsidRDefault="00256908" w:rsidP="00CF1772">
      <w:pPr>
        <w:spacing w:after="0"/>
        <w:ind w:left="-567"/>
        <w:jc w:val="both"/>
        <w:rPr>
          <w:rFonts w:ascii="Arial" w:hAnsi="Arial" w:cs="Arial"/>
          <w:iCs/>
          <w:noProof/>
          <w:sz w:val="24"/>
          <w:szCs w:val="24"/>
          <w:lang w:eastAsia="es-MX"/>
        </w:rPr>
      </w:pPr>
      <w:r>
        <w:rPr>
          <w:rFonts w:ascii="Arial" w:hAnsi="Arial" w:cs="Arial"/>
          <w:iCs/>
          <w:noProof/>
          <w:sz w:val="24"/>
          <w:szCs w:val="24"/>
          <w:lang w:eastAsia="es-MX"/>
        </w:rPr>
        <w:t xml:space="preserve">Respecto </w:t>
      </w:r>
      <w:r w:rsidR="00821C00">
        <w:rPr>
          <w:rFonts w:ascii="Arial" w:hAnsi="Arial" w:cs="Arial"/>
          <w:iCs/>
          <w:noProof/>
          <w:sz w:val="24"/>
          <w:szCs w:val="24"/>
          <w:lang w:eastAsia="es-MX"/>
        </w:rPr>
        <w:t>de</w:t>
      </w:r>
      <w:r w:rsidR="00360178">
        <w:rPr>
          <w:rFonts w:ascii="Arial" w:hAnsi="Arial" w:cs="Arial"/>
          <w:iCs/>
          <w:noProof/>
          <w:sz w:val="24"/>
          <w:szCs w:val="24"/>
          <w:lang w:eastAsia="es-MX"/>
        </w:rPr>
        <w:t xml:space="preserve"> las sanciones impuestas a </w:t>
      </w:r>
      <w:r w:rsidR="00AC1A63">
        <w:rPr>
          <w:rFonts w:ascii="Arial" w:hAnsi="Arial" w:cs="Arial"/>
          <w:iCs/>
          <w:noProof/>
          <w:sz w:val="24"/>
          <w:szCs w:val="24"/>
          <w:lang w:eastAsia="es-MX"/>
        </w:rPr>
        <w:t xml:space="preserve">las servidoras y </w:t>
      </w:r>
      <w:r w:rsidR="00360178">
        <w:rPr>
          <w:rFonts w:ascii="Arial" w:hAnsi="Arial" w:cs="Arial"/>
          <w:iCs/>
          <w:noProof/>
          <w:sz w:val="24"/>
          <w:szCs w:val="24"/>
          <w:lang w:eastAsia="es-MX"/>
        </w:rPr>
        <w:t xml:space="preserve">servidores públicos, </w:t>
      </w:r>
      <w:r w:rsidR="00CF1772">
        <w:rPr>
          <w:rFonts w:ascii="Arial" w:hAnsi="Arial" w:cs="Arial"/>
          <w:iCs/>
          <w:noProof/>
          <w:sz w:val="24"/>
          <w:szCs w:val="24"/>
          <w:lang w:eastAsia="es-MX"/>
        </w:rPr>
        <w:t xml:space="preserve">95.9% (2 035) </w:t>
      </w:r>
      <w:r w:rsidR="00360178">
        <w:rPr>
          <w:rFonts w:ascii="Arial" w:hAnsi="Arial" w:cs="Arial"/>
          <w:iCs/>
          <w:noProof/>
          <w:sz w:val="24"/>
          <w:szCs w:val="24"/>
          <w:lang w:eastAsia="es-MX"/>
        </w:rPr>
        <w:t>fueron</w:t>
      </w:r>
      <w:r w:rsidR="00CF1772">
        <w:rPr>
          <w:rFonts w:ascii="Arial" w:hAnsi="Arial" w:cs="Arial"/>
          <w:iCs/>
          <w:noProof/>
          <w:sz w:val="24"/>
          <w:szCs w:val="24"/>
          <w:lang w:eastAsia="es-MX"/>
        </w:rPr>
        <w:t xml:space="preserve"> administrativas y 4.1% (88) </w:t>
      </w:r>
      <w:r w:rsidR="00360178">
        <w:rPr>
          <w:rFonts w:ascii="Arial" w:hAnsi="Arial" w:cs="Arial"/>
          <w:iCs/>
          <w:noProof/>
          <w:sz w:val="24"/>
          <w:szCs w:val="24"/>
          <w:lang w:eastAsia="es-MX"/>
        </w:rPr>
        <w:t xml:space="preserve">correspondió </w:t>
      </w:r>
      <w:r w:rsidR="00CF1772">
        <w:rPr>
          <w:rFonts w:ascii="Arial" w:hAnsi="Arial" w:cs="Arial"/>
          <w:iCs/>
          <w:noProof/>
          <w:sz w:val="24"/>
          <w:szCs w:val="24"/>
          <w:lang w:eastAsia="es-MX"/>
        </w:rPr>
        <w:t xml:space="preserve">a sanciones económicas. </w:t>
      </w:r>
      <w:r w:rsidR="00E47265">
        <w:rPr>
          <w:rFonts w:ascii="Arial" w:hAnsi="Arial" w:cs="Arial"/>
          <w:iCs/>
          <w:noProof/>
          <w:sz w:val="24"/>
          <w:szCs w:val="24"/>
          <w:lang w:eastAsia="es-MX"/>
        </w:rPr>
        <w:t>Considerando la cifra reportada en 2019, la cantidad total de sanciones diminuyó 42.8 por ciento.</w:t>
      </w:r>
    </w:p>
    <w:p w14:paraId="709027B3" w14:textId="77777777" w:rsidR="00E47265" w:rsidRDefault="00E47265" w:rsidP="00CF1772">
      <w:pPr>
        <w:spacing w:after="0"/>
        <w:ind w:left="-567"/>
        <w:jc w:val="both"/>
        <w:rPr>
          <w:rFonts w:ascii="Arial" w:hAnsi="Arial" w:cs="Arial"/>
          <w:iCs/>
          <w:noProof/>
          <w:sz w:val="24"/>
          <w:szCs w:val="24"/>
          <w:lang w:eastAsia="es-MX"/>
        </w:rPr>
      </w:pPr>
    </w:p>
    <w:p w14:paraId="07D59772" w14:textId="534C35B3" w:rsidR="00E47265" w:rsidRDefault="00E47265" w:rsidP="00E47265">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2</w:t>
      </w:r>
      <w:r w:rsidR="00F8760B">
        <w:rPr>
          <w:b/>
          <w:bCs/>
          <w:i/>
          <w:iCs/>
          <w:color w:val="706F6F"/>
          <w:sz w:val="18"/>
        </w:rPr>
        <w:t>2</w:t>
      </w:r>
      <w:r w:rsidRPr="00087BF8">
        <w:rPr>
          <w:b/>
          <w:bCs/>
          <w:i/>
          <w:iCs/>
          <w:color w:val="706F6F"/>
          <w:sz w:val="18"/>
        </w:rPr>
        <w:t>.</w:t>
      </w:r>
      <w:r>
        <w:rPr>
          <w:b/>
          <w:bCs/>
          <w:i/>
          <w:iCs/>
          <w:color w:val="706F6F"/>
          <w:sz w:val="18"/>
        </w:rPr>
        <w:t xml:space="preserve"> Sanciones administrativas impuestas a las y los servidores públicos de</w:t>
      </w:r>
      <w:r w:rsidRPr="00DD5960">
        <w:rPr>
          <w:b/>
          <w:bCs/>
          <w:i/>
          <w:iCs/>
          <w:color w:val="706F6F"/>
          <w:sz w:val="18"/>
        </w:rPr>
        <w:t xml:space="preserve"> las instituciones de las administraciones públicas estatales</w:t>
      </w:r>
      <w:r>
        <w:rPr>
          <w:b/>
          <w:bCs/>
          <w:i/>
          <w:iCs/>
          <w:color w:val="706F6F"/>
          <w:sz w:val="18"/>
        </w:rPr>
        <w:t>, 2010 a 2020</w:t>
      </w:r>
    </w:p>
    <w:p w14:paraId="281F9727" w14:textId="5C35430A" w:rsidR="00E47265" w:rsidRDefault="00E47265" w:rsidP="00E47265">
      <w:pPr>
        <w:pStyle w:val="Default"/>
        <w:ind w:left="-567"/>
        <w:jc w:val="center"/>
        <w:rPr>
          <w:b/>
          <w:bCs/>
          <w:i/>
          <w:iCs/>
          <w:color w:val="706F6F"/>
          <w:sz w:val="18"/>
        </w:rPr>
      </w:pPr>
    </w:p>
    <w:p w14:paraId="0259BD83" w14:textId="165FC4C6" w:rsidR="00E47265" w:rsidRDefault="00E47265" w:rsidP="00E47265">
      <w:pPr>
        <w:pStyle w:val="Default"/>
        <w:ind w:left="-567"/>
        <w:jc w:val="center"/>
        <w:rPr>
          <w:b/>
          <w:bCs/>
          <w:i/>
          <w:iCs/>
          <w:color w:val="706F6F"/>
          <w:sz w:val="18"/>
        </w:rPr>
      </w:pPr>
      <w:r>
        <w:rPr>
          <w:noProof/>
        </w:rPr>
        <w:drawing>
          <wp:inline distT="0" distB="0" distL="0" distR="0" wp14:anchorId="730C9174" wp14:editId="5FA3E1EB">
            <wp:extent cx="5241851" cy="2223770"/>
            <wp:effectExtent l="0" t="0" r="0" b="5080"/>
            <wp:docPr id="19" name="Gráfico 19">
              <a:extLst xmlns:a="http://schemas.openxmlformats.org/drawingml/2006/main">
                <a:ext uri="{FF2B5EF4-FFF2-40B4-BE49-F238E27FC236}">
                  <a16:creationId xmlns:a16="http://schemas.microsoft.com/office/drawing/2014/main" id="{78E533DF-FF18-481A-B972-E79A0967A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3D8ABB" w14:textId="77777777" w:rsidR="00E47265" w:rsidRDefault="00E47265" w:rsidP="00CF1772">
      <w:pPr>
        <w:spacing w:after="0"/>
        <w:ind w:left="-567"/>
        <w:jc w:val="both"/>
        <w:rPr>
          <w:rFonts w:ascii="Arial" w:hAnsi="Arial" w:cs="Arial"/>
          <w:iCs/>
          <w:noProof/>
          <w:sz w:val="24"/>
          <w:szCs w:val="24"/>
          <w:lang w:eastAsia="es-MX"/>
        </w:rPr>
      </w:pPr>
    </w:p>
    <w:p w14:paraId="6DF815A1" w14:textId="77777777" w:rsidR="00E47265" w:rsidRDefault="00E47265" w:rsidP="00CF1772">
      <w:pPr>
        <w:spacing w:after="0"/>
        <w:ind w:left="-567"/>
        <w:jc w:val="both"/>
        <w:rPr>
          <w:rFonts w:ascii="Arial" w:hAnsi="Arial" w:cs="Arial"/>
          <w:iCs/>
          <w:noProof/>
          <w:sz w:val="24"/>
          <w:szCs w:val="24"/>
          <w:lang w:eastAsia="es-MX"/>
        </w:rPr>
      </w:pPr>
    </w:p>
    <w:p w14:paraId="6C69143D" w14:textId="77777777" w:rsidR="00E47265" w:rsidRPr="004A7409" w:rsidRDefault="00E47265" w:rsidP="00E47265">
      <w:pPr>
        <w:spacing w:after="0"/>
        <w:ind w:left="-567"/>
        <w:jc w:val="center"/>
        <w:rPr>
          <w:rFonts w:ascii="Arial" w:hAnsi="Arial" w:cs="Arial"/>
          <w:iCs/>
          <w:noProof/>
          <w:sz w:val="16"/>
          <w:szCs w:val="16"/>
          <w:lang w:eastAsia="es-MX"/>
        </w:rPr>
      </w:pPr>
      <w:r w:rsidRPr="004A7409">
        <w:rPr>
          <w:rFonts w:ascii="Arial" w:hAnsi="Arial" w:cs="Arial"/>
          <w:iCs/>
          <w:noProof/>
          <w:sz w:val="16"/>
          <w:szCs w:val="16"/>
          <w:lang w:eastAsia="es-MX"/>
        </w:rPr>
        <w:t>Nota:</w:t>
      </w:r>
      <w:r>
        <w:rPr>
          <w:rFonts w:ascii="Arial" w:hAnsi="Arial" w:cs="Arial"/>
          <w:iCs/>
          <w:noProof/>
          <w:sz w:val="16"/>
          <w:szCs w:val="16"/>
          <w:lang w:eastAsia="es-MX"/>
        </w:rPr>
        <w:t xml:space="preserve"> la cantidad de sanciones es mayor a la cantidad de servidoras y servidores públicos sancionados, toda vez que, a cada servidora y servidor público se le pudo imponer las más de una sanción. </w:t>
      </w:r>
    </w:p>
    <w:p w14:paraId="59A682B8" w14:textId="63F1C2DB" w:rsidR="00E47265" w:rsidRDefault="00E47265" w:rsidP="00CF1772">
      <w:pPr>
        <w:spacing w:after="0"/>
        <w:ind w:left="-567"/>
        <w:jc w:val="both"/>
        <w:rPr>
          <w:rFonts w:ascii="Arial" w:hAnsi="Arial" w:cs="Arial"/>
          <w:iCs/>
          <w:noProof/>
          <w:sz w:val="24"/>
          <w:szCs w:val="24"/>
          <w:lang w:eastAsia="es-MX"/>
        </w:rPr>
      </w:pPr>
    </w:p>
    <w:p w14:paraId="4A307749" w14:textId="61C468C1" w:rsidR="00D0513D" w:rsidRDefault="00E47265" w:rsidP="00CF1772">
      <w:pPr>
        <w:spacing w:after="0"/>
        <w:ind w:left="-567"/>
        <w:jc w:val="both"/>
        <w:rPr>
          <w:rFonts w:ascii="Arial" w:hAnsi="Arial" w:cs="Arial"/>
          <w:b/>
          <w:bCs/>
          <w:iCs/>
          <w:noProof/>
          <w:sz w:val="24"/>
          <w:szCs w:val="24"/>
          <w:lang w:eastAsia="es-MX"/>
        </w:rPr>
      </w:pPr>
      <w:r>
        <w:rPr>
          <w:rFonts w:ascii="Arial" w:hAnsi="Arial" w:cs="Arial"/>
          <w:iCs/>
          <w:noProof/>
          <w:sz w:val="24"/>
          <w:szCs w:val="24"/>
          <w:lang w:eastAsia="es-MX"/>
        </w:rPr>
        <w:t>Por tipo, l</w:t>
      </w:r>
      <w:r w:rsidR="00CF1772">
        <w:rPr>
          <w:rFonts w:ascii="Arial" w:hAnsi="Arial" w:cs="Arial"/>
          <w:iCs/>
          <w:noProof/>
          <w:sz w:val="24"/>
          <w:szCs w:val="24"/>
          <w:lang w:eastAsia="es-MX"/>
        </w:rPr>
        <w:t xml:space="preserve">a principal sanción administrativa fue amonestación </w:t>
      </w:r>
      <w:r w:rsidR="008630FC">
        <w:rPr>
          <w:rFonts w:ascii="Arial" w:hAnsi="Arial" w:cs="Arial"/>
          <w:iCs/>
          <w:noProof/>
          <w:sz w:val="24"/>
          <w:szCs w:val="24"/>
          <w:lang w:eastAsia="es-MX"/>
        </w:rPr>
        <w:t>privada</w:t>
      </w:r>
      <w:r w:rsidR="005255DB">
        <w:rPr>
          <w:rFonts w:ascii="Arial" w:hAnsi="Arial" w:cs="Arial"/>
          <w:iCs/>
          <w:noProof/>
          <w:sz w:val="24"/>
          <w:szCs w:val="24"/>
          <w:lang w:eastAsia="es-MX"/>
        </w:rPr>
        <w:t>,</w:t>
      </w:r>
      <w:r w:rsidR="00CF1772">
        <w:rPr>
          <w:rFonts w:ascii="Arial" w:hAnsi="Arial" w:cs="Arial"/>
          <w:iCs/>
          <w:noProof/>
          <w:sz w:val="24"/>
          <w:szCs w:val="24"/>
          <w:lang w:eastAsia="es-MX"/>
        </w:rPr>
        <w:t xml:space="preserve"> </w:t>
      </w:r>
      <w:r w:rsidR="00E32FA8">
        <w:rPr>
          <w:rFonts w:ascii="Arial" w:hAnsi="Arial" w:cs="Arial"/>
          <w:iCs/>
          <w:noProof/>
          <w:sz w:val="24"/>
          <w:szCs w:val="24"/>
          <w:lang w:eastAsia="es-MX"/>
        </w:rPr>
        <w:t xml:space="preserve">la cual </w:t>
      </w:r>
      <w:r w:rsidR="00CF1772">
        <w:rPr>
          <w:rFonts w:ascii="Arial" w:hAnsi="Arial" w:cs="Arial"/>
          <w:iCs/>
          <w:noProof/>
          <w:sz w:val="24"/>
          <w:szCs w:val="24"/>
          <w:lang w:eastAsia="es-MX"/>
        </w:rPr>
        <w:t>concentró 33.4</w:t>
      </w:r>
      <w:r w:rsidR="00236A43">
        <w:rPr>
          <w:rFonts w:ascii="Arial" w:hAnsi="Arial" w:cs="Arial"/>
          <w:iCs/>
          <w:noProof/>
          <w:sz w:val="24"/>
          <w:szCs w:val="24"/>
          <w:lang w:eastAsia="es-MX"/>
        </w:rPr>
        <w:t>%</w:t>
      </w:r>
      <w:r>
        <w:rPr>
          <w:rFonts w:ascii="Arial" w:hAnsi="Arial" w:cs="Arial"/>
          <w:iCs/>
          <w:noProof/>
          <w:sz w:val="24"/>
          <w:szCs w:val="24"/>
          <w:lang w:eastAsia="es-MX"/>
        </w:rPr>
        <w:t xml:space="preserve"> del total nacional</w:t>
      </w:r>
      <w:r w:rsidR="00CF1772">
        <w:rPr>
          <w:rFonts w:ascii="Arial" w:hAnsi="Arial" w:cs="Arial"/>
          <w:iCs/>
          <w:noProof/>
          <w:sz w:val="24"/>
          <w:szCs w:val="24"/>
          <w:lang w:eastAsia="es-MX"/>
        </w:rPr>
        <w:t xml:space="preserve">. </w:t>
      </w:r>
    </w:p>
    <w:p w14:paraId="4C4FE455" w14:textId="2FF77F8D" w:rsidR="00D0513D" w:rsidRDefault="00D0513D" w:rsidP="00D80ECA">
      <w:pPr>
        <w:spacing w:after="0"/>
        <w:ind w:left="-567"/>
        <w:rPr>
          <w:rFonts w:ascii="Arial" w:hAnsi="Arial" w:cs="Arial"/>
          <w:b/>
          <w:bCs/>
          <w:iCs/>
          <w:noProof/>
          <w:sz w:val="24"/>
          <w:szCs w:val="24"/>
          <w:lang w:eastAsia="es-MX"/>
        </w:rPr>
      </w:pPr>
    </w:p>
    <w:p w14:paraId="44E50290" w14:textId="20A02CF3" w:rsidR="00D0513D" w:rsidRDefault="00D0513D" w:rsidP="00D80ECA">
      <w:pPr>
        <w:spacing w:after="0"/>
        <w:ind w:left="-567"/>
        <w:rPr>
          <w:rFonts w:ascii="Arial" w:hAnsi="Arial" w:cs="Arial"/>
          <w:b/>
          <w:bCs/>
          <w:iCs/>
          <w:noProof/>
          <w:sz w:val="24"/>
          <w:szCs w:val="24"/>
          <w:lang w:eastAsia="es-MX"/>
        </w:rPr>
      </w:pPr>
    </w:p>
    <w:p w14:paraId="4690FFCC" w14:textId="11C2A790" w:rsidR="00CF1772" w:rsidRDefault="00CF1772" w:rsidP="00CF1772">
      <w:pPr>
        <w:pStyle w:val="Default"/>
        <w:ind w:left="-567"/>
        <w:jc w:val="center"/>
        <w:rPr>
          <w:b/>
          <w:bCs/>
          <w:i/>
          <w:iCs/>
          <w:color w:val="706F6F"/>
          <w:sz w:val="18"/>
        </w:rPr>
      </w:pPr>
      <w:r w:rsidRPr="00087BF8">
        <w:rPr>
          <w:b/>
          <w:bCs/>
          <w:i/>
          <w:iCs/>
          <w:color w:val="706F6F"/>
          <w:sz w:val="18"/>
        </w:rPr>
        <w:t xml:space="preserve">Gráfica </w:t>
      </w:r>
      <w:r>
        <w:rPr>
          <w:b/>
          <w:bCs/>
          <w:i/>
          <w:iCs/>
          <w:color w:val="706F6F"/>
          <w:sz w:val="18"/>
        </w:rPr>
        <w:t>2</w:t>
      </w:r>
      <w:r w:rsidR="00F8760B">
        <w:rPr>
          <w:b/>
          <w:bCs/>
          <w:i/>
          <w:iCs/>
          <w:color w:val="706F6F"/>
          <w:sz w:val="18"/>
        </w:rPr>
        <w:t>3</w:t>
      </w:r>
      <w:r w:rsidRPr="00087BF8">
        <w:rPr>
          <w:b/>
          <w:bCs/>
          <w:i/>
          <w:iCs/>
          <w:color w:val="706F6F"/>
          <w:sz w:val="18"/>
        </w:rPr>
        <w:t>.</w:t>
      </w:r>
      <w:r>
        <w:rPr>
          <w:b/>
          <w:bCs/>
          <w:i/>
          <w:iCs/>
          <w:color w:val="706F6F"/>
          <w:sz w:val="18"/>
        </w:rPr>
        <w:t xml:space="preserve"> Sanciones administrativas impuestas a las y los servidores públicos de</w:t>
      </w:r>
      <w:r w:rsidRPr="00DD5960">
        <w:rPr>
          <w:b/>
          <w:bCs/>
          <w:i/>
          <w:iCs/>
          <w:color w:val="706F6F"/>
          <w:sz w:val="18"/>
        </w:rPr>
        <w:t xml:space="preserve"> las instituciones de las administraciones públicas estatales</w:t>
      </w:r>
      <w:r>
        <w:rPr>
          <w:b/>
          <w:bCs/>
          <w:i/>
          <w:iCs/>
          <w:color w:val="706F6F"/>
          <w:sz w:val="18"/>
        </w:rPr>
        <w:t>, por tipo, 2020</w:t>
      </w:r>
    </w:p>
    <w:p w14:paraId="7D40A904" w14:textId="34A10626" w:rsidR="00CF1772" w:rsidRDefault="00CF1772" w:rsidP="00CF1772">
      <w:pPr>
        <w:pStyle w:val="Default"/>
        <w:ind w:left="-567"/>
        <w:jc w:val="center"/>
        <w:rPr>
          <w:b/>
          <w:bCs/>
          <w:i/>
          <w:iCs/>
          <w:color w:val="706F6F"/>
          <w:sz w:val="18"/>
        </w:rPr>
      </w:pPr>
    </w:p>
    <w:p w14:paraId="2075B7D9" w14:textId="283DB901" w:rsidR="00CF1772" w:rsidRDefault="00CF1772" w:rsidP="00CF1772">
      <w:pPr>
        <w:pStyle w:val="Default"/>
        <w:ind w:left="-567"/>
        <w:jc w:val="center"/>
        <w:rPr>
          <w:b/>
          <w:bCs/>
          <w:i/>
          <w:iCs/>
          <w:color w:val="706F6F"/>
          <w:sz w:val="18"/>
        </w:rPr>
      </w:pPr>
      <w:r>
        <w:rPr>
          <w:noProof/>
        </w:rPr>
        <w:drawing>
          <wp:inline distT="0" distB="0" distL="0" distR="0" wp14:anchorId="62EF35A6" wp14:editId="389A45A1">
            <wp:extent cx="5243195" cy="2190307"/>
            <wp:effectExtent l="0" t="0" r="0" b="635"/>
            <wp:docPr id="21" name="Gráfico 21">
              <a:extLst xmlns:a="http://schemas.openxmlformats.org/drawingml/2006/main">
                <a:ext uri="{FF2B5EF4-FFF2-40B4-BE49-F238E27FC236}">
                  <a16:creationId xmlns:a16="http://schemas.microsoft.com/office/drawing/2014/main" id="{3FB8CE42-0404-4B38-B888-48FC60720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E58956" w14:textId="1BD29F28" w:rsidR="00D0513D" w:rsidRDefault="00D0513D" w:rsidP="00D80ECA">
      <w:pPr>
        <w:spacing w:after="0"/>
        <w:ind w:left="-567"/>
        <w:rPr>
          <w:rFonts w:ascii="Arial" w:hAnsi="Arial" w:cs="Arial"/>
          <w:b/>
          <w:bCs/>
          <w:iCs/>
          <w:noProof/>
          <w:sz w:val="24"/>
          <w:szCs w:val="24"/>
          <w:lang w:eastAsia="es-MX"/>
        </w:rPr>
      </w:pPr>
    </w:p>
    <w:p w14:paraId="7A307F1E" w14:textId="3189ADF1" w:rsidR="00D0513D" w:rsidRDefault="00D0513D" w:rsidP="00D80ECA">
      <w:pPr>
        <w:spacing w:after="0"/>
        <w:ind w:left="-567"/>
        <w:rPr>
          <w:rFonts w:ascii="Arial" w:hAnsi="Arial" w:cs="Arial"/>
          <w:b/>
          <w:bCs/>
          <w:iCs/>
          <w:noProof/>
          <w:sz w:val="24"/>
          <w:szCs w:val="24"/>
          <w:lang w:eastAsia="es-MX"/>
        </w:rPr>
      </w:pPr>
    </w:p>
    <w:p w14:paraId="584CF0F0" w14:textId="7686DF55" w:rsidR="00B82CB0" w:rsidRDefault="00A50470" w:rsidP="009F7718">
      <w:pPr>
        <w:spacing w:after="0"/>
        <w:ind w:left="-567"/>
        <w:jc w:val="both"/>
        <w:rPr>
          <w:rFonts w:ascii="Arial" w:hAnsi="Arial" w:cs="Arial"/>
          <w:iCs/>
          <w:noProof/>
          <w:sz w:val="24"/>
          <w:szCs w:val="24"/>
          <w:lang w:eastAsia="es-MX"/>
        </w:rPr>
      </w:pPr>
      <w:r>
        <w:rPr>
          <w:rFonts w:ascii="Arial" w:hAnsi="Arial" w:cs="Arial"/>
          <w:iCs/>
          <w:noProof/>
          <w:sz w:val="24"/>
          <w:szCs w:val="24"/>
          <w:lang w:eastAsia="es-MX"/>
        </w:rPr>
        <w:t>D</w:t>
      </w:r>
      <w:r w:rsidR="009F7718">
        <w:rPr>
          <w:rFonts w:ascii="Arial" w:hAnsi="Arial" w:cs="Arial"/>
          <w:iCs/>
          <w:noProof/>
          <w:sz w:val="24"/>
          <w:szCs w:val="24"/>
          <w:lang w:eastAsia="es-MX"/>
        </w:rPr>
        <w:t xml:space="preserve">erivado de las investigaciones realizadas, 286 servidoras y servidores públicos fueron denunciados ante el </w:t>
      </w:r>
      <w:r w:rsidR="009F7718" w:rsidRPr="009F7718">
        <w:rPr>
          <w:rFonts w:ascii="Arial" w:hAnsi="Arial" w:cs="Arial"/>
          <w:iCs/>
          <w:noProof/>
          <w:sz w:val="24"/>
          <w:szCs w:val="24"/>
          <w:lang w:eastAsia="es-MX"/>
        </w:rPr>
        <w:t>Ministerio Público</w:t>
      </w:r>
      <w:r w:rsidR="009F7718">
        <w:rPr>
          <w:rFonts w:ascii="Arial" w:hAnsi="Arial" w:cs="Arial"/>
          <w:iCs/>
          <w:noProof/>
          <w:sz w:val="24"/>
          <w:szCs w:val="24"/>
          <w:lang w:eastAsia="es-MX"/>
        </w:rPr>
        <w:t xml:space="preserve"> por </w:t>
      </w:r>
      <w:r w:rsidR="009F7718" w:rsidRPr="009F7718">
        <w:rPr>
          <w:rFonts w:ascii="Arial" w:hAnsi="Arial" w:cs="Arial"/>
          <w:iCs/>
          <w:noProof/>
          <w:sz w:val="24"/>
          <w:szCs w:val="24"/>
          <w:lang w:eastAsia="es-MX"/>
        </w:rPr>
        <w:t>la presunta comisión de algún delito en ejercicio de sus funciones</w:t>
      </w:r>
      <w:r w:rsidR="009F7718">
        <w:rPr>
          <w:rFonts w:ascii="Arial" w:hAnsi="Arial" w:cs="Arial"/>
          <w:iCs/>
          <w:noProof/>
          <w:sz w:val="24"/>
          <w:szCs w:val="24"/>
          <w:lang w:eastAsia="es-MX"/>
        </w:rPr>
        <w:t>. En 2020</w:t>
      </w:r>
      <w:r w:rsidR="00E32FA8">
        <w:rPr>
          <w:rFonts w:ascii="Arial" w:hAnsi="Arial" w:cs="Arial"/>
          <w:iCs/>
          <w:noProof/>
          <w:sz w:val="24"/>
          <w:szCs w:val="24"/>
          <w:lang w:eastAsia="es-MX"/>
        </w:rPr>
        <w:t>,</w:t>
      </w:r>
      <w:r w:rsidR="009F7718">
        <w:rPr>
          <w:rFonts w:ascii="Arial" w:hAnsi="Arial" w:cs="Arial"/>
          <w:iCs/>
          <w:noProof/>
          <w:sz w:val="24"/>
          <w:szCs w:val="24"/>
          <w:lang w:eastAsia="es-MX"/>
        </w:rPr>
        <w:t xml:space="preserve"> la cantidad de servidores públicos denunciados disminu</w:t>
      </w:r>
      <w:r>
        <w:rPr>
          <w:rFonts w:ascii="Arial" w:hAnsi="Arial" w:cs="Arial"/>
          <w:iCs/>
          <w:noProof/>
          <w:sz w:val="24"/>
          <w:szCs w:val="24"/>
          <w:lang w:eastAsia="es-MX"/>
        </w:rPr>
        <w:t>y</w:t>
      </w:r>
      <w:r w:rsidR="009F7718">
        <w:rPr>
          <w:rFonts w:ascii="Arial" w:hAnsi="Arial" w:cs="Arial"/>
          <w:iCs/>
          <w:noProof/>
          <w:sz w:val="24"/>
          <w:szCs w:val="24"/>
          <w:lang w:eastAsia="es-MX"/>
        </w:rPr>
        <w:t>ó 71.6% con respecto a 2019.</w:t>
      </w:r>
    </w:p>
    <w:p w14:paraId="2C2DC8E1" w14:textId="77777777" w:rsidR="009F7718" w:rsidRDefault="009F7718" w:rsidP="009F7718">
      <w:pPr>
        <w:spacing w:after="0"/>
        <w:ind w:left="-567"/>
        <w:jc w:val="both"/>
        <w:rPr>
          <w:rFonts w:ascii="Arial" w:hAnsi="Arial" w:cs="Arial"/>
          <w:iCs/>
          <w:noProof/>
          <w:sz w:val="24"/>
          <w:szCs w:val="24"/>
          <w:lang w:eastAsia="es-MX"/>
        </w:rPr>
      </w:pPr>
    </w:p>
    <w:p w14:paraId="5C29EA75" w14:textId="46F39CF0" w:rsidR="009F7718" w:rsidRPr="007E6287" w:rsidRDefault="009F7718" w:rsidP="009F7718">
      <w:pPr>
        <w:pStyle w:val="Default"/>
        <w:ind w:left="-567"/>
        <w:jc w:val="center"/>
        <w:rPr>
          <w:b/>
          <w:bCs/>
          <w:i/>
          <w:iCs/>
          <w:color w:val="706F6F"/>
          <w:sz w:val="18"/>
        </w:rPr>
      </w:pPr>
      <w:r w:rsidRPr="007E6287">
        <w:rPr>
          <w:b/>
          <w:bCs/>
          <w:i/>
          <w:iCs/>
          <w:color w:val="706F6F"/>
          <w:sz w:val="18"/>
        </w:rPr>
        <w:t>Gráfica 2</w:t>
      </w:r>
      <w:r w:rsidR="00F8760B">
        <w:rPr>
          <w:b/>
          <w:bCs/>
          <w:i/>
          <w:iCs/>
          <w:color w:val="706F6F"/>
          <w:sz w:val="18"/>
        </w:rPr>
        <w:t>4</w:t>
      </w:r>
      <w:r w:rsidRPr="007E6287">
        <w:rPr>
          <w:b/>
          <w:bCs/>
          <w:i/>
          <w:iCs/>
          <w:color w:val="706F6F"/>
          <w:sz w:val="18"/>
        </w:rPr>
        <w:t xml:space="preserve">. </w:t>
      </w:r>
      <w:r>
        <w:rPr>
          <w:b/>
          <w:bCs/>
          <w:i/>
          <w:iCs/>
          <w:color w:val="706F6F"/>
          <w:sz w:val="18"/>
        </w:rPr>
        <w:t>Servidoras y</w:t>
      </w:r>
      <w:r w:rsidRPr="007E6287">
        <w:rPr>
          <w:b/>
          <w:bCs/>
          <w:i/>
          <w:iCs/>
          <w:color w:val="706F6F"/>
          <w:sz w:val="18"/>
        </w:rPr>
        <w:t xml:space="preserve"> servidores públicos de las instituciones de las administraciones públicas estatales </w:t>
      </w:r>
      <w:r>
        <w:rPr>
          <w:b/>
          <w:bCs/>
          <w:i/>
          <w:iCs/>
          <w:color w:val="706F6F"/>
          <w:sz w:val="18"/>
        </w:rPr>
        <w:t>denunciados ante el Ministerio Público, 2015 a</w:t>
      </w:r>
      <w:r w:rsidRPr="007E6287">
        <w:rPr>
          <w:b/>
          <w:bCs/>
          <w:i/>
          <w:iCs/>
          <w:color w:val="706F6F"/>
          <w:sz w:val="18"/>
        </w:rPr>
        <w:t xml:space="preserve"> 2020</w:t>
      </w:r>
    </w:p>
    <w:p w14:paraId="45BC9685" w14:textId="6EE741CF" w:rsidR="00B82CB0" w:rsidRDefault="00B82CB0" w:rsidP="00B82CB0">
      <w:pPr>
        <w:spacing w:after="0"/>
        <w:ind w:left="-567"/>
        <w:rPr>
          <w:rFonts w:ascii="Arial" w:hAnsi="Arial" w:cs="Arial"/>
          <w:iCs/>
          <w:noProof/>
          <w:sz w:val="24"/>
          <w:szCs w:val="24"/>
          <w:lang w:eastAsia="es-MX"/>
        </w:rPr>
      </w:pPr>
    </w:p>
    <w:p w14:paraId="38D485B4" w14:textId="5E0012F4" w:rsidR="00B82CB0" w:rsidRPr="00B82CB0" w:rsidRDefault="00B82CB0" w:rsidP="00B82CB0">
      <w:pPr>
        <w:spacing w:after="0"/>
        <w:ind w:left="-567"/>
        <w:jc w:val="center"/>
        <w:rPr>
          <w:rFonts w:ascii="Arial" w:hAnsi="Arial" w:cs="Arial"/>
          <w:iCs/>
          <w:noProof/>
          <w:sz w:val="24"/>
          <w:szCs w:val="24"/>
          <w:lang w:eastAsia="es-MX"/>
        </w:rPr>
      </w:pPr>
      <w:r>
        <w:rPr>
          <w:noProof/>
        </w:rPr>
        <w:drawing>
          <wp:inline distT="0" distB="0" distL="0" distR="0" wp14:anchorId="43E404F7" wp14:editId="358A41B5">
            <wp:extent cx="4572000" cy="2062716"/>
            <wp:effectExtent l="0" t="0" r="0" b="0"/>
            <wp:docPr id="27" name="Gráfico 27">
              <a:extLst xmlns:a="http://schemas.openxmlformats.org/drawingml/2006/main">
                <a:ext uri="{FF2B5EF4-FFF2-40B4-BE49-F238E27FC236}">
                  <a16:creationId xmlns:a16="http://schemas.microsoft.com/office/drawing/2014/main" id="{BAB723D4-CE04-44CF-B6ED-69648D308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64D2AA" w14:textId="26F28911" w:rsidR="00D0513D" w:rsidRDefault="00D0513D" w:rsidP="00D80ECA">
      <w:pPr>
        <w:spacing w:after="0"/>
        <w:ind w:left="-567"/>
        <w:rPr>
          <w:rFonts w:ascii="Arial" w:hAnsi="Arial" w:cs="Arial"/>
          <w:b/>
          <w:bCs/>
          <w:iCs/>
          <w:noProof/>
          <w:sz w:val="24"/>
          <w:szCs w:val="24"/>
          <w:lang w:eastAsia="es-MX"/>
        </w:rPr>
      </w:pPr>
    </w:p>
    <w:p w14:paraId="41812BB0" w14:textId="1375E8F7" w:rsidR="00D0513D" w:rsidRDefault="00D0513D" w:rsidP="00D80ECA">
      <w:pPr>
        <w:spacing w:after="0"/>
        <w:ind w:left="-567"/>
        <w:rPr>
          <w:rFonts w:ascii="Arial" w:hAnsi="Arial" w:cs="Arial"/>
          <w:b/>
          <w:bCs/>
          <w:iCs/>
          <w:noProof/>
          <w:sz w:val="24"/>
          <w:szCs w:val="24"/>
          <w:lang w:eastAsia="es-MX"/>
        </w:rPr>
      </w:pPr>
    </w:p>
    <w:p w14:paraId="517BC434" w14:textId="77777777" w:rsidR="00392E01" w:rsidRDefault="00392E01" w:rsidP="00D80ECA">
      <w:pPr>
        <w:spacing w:after="0"/>
        <w:ind w:left="-567"/>
        <w:rPr>
          <w:rFonts w:ascii="Arial" w:hAnsi="Arial" w:cs="Arial"/>
          <w:iCs/>
          <w:noProof/>
          <w:sz w:val="24"/>
          <w:szCs w:val="24"/>
          <w:lang w:eastAsia="es-MX"/>
        </w:rPr>
      </w:pPr>
    </w:p>
    <w:p w14:paraId="57F6437C" w14:textId="77777777" w:rsidR="00F34857" w:rsidRDefault="00F34857" w:rsidP="008630FC">
      <w:pPr>
        <w:spacing w:after="0"/>
        <w:ind w:left="-567"/>
        <w:rPr>
          <w:rFonts w:ascii="Arial" w:hAnsi="Arial" w:cs="Arial"/>
          <w:b/>
          <w:bCs/>
          <w:iCs/>
          <w:noProof/>
          <w:sz w:val="24"/>
          <w:szCs w:val="24"/>
          <w:lang w:eastAsia="es-MX"/>
        </w:rPr>
      </w:pPr>
    </w:p>
    <w:p w14:paraId="74D2CE1C" w14:textId="77777777" w:rsidR="007D6DA8" w:rsidRDefault="007D6DA8" w:rsidP="008630FC">
      <w:pPr>
        <w:spacing w:after="0"/>
        <w:ind w:left="-567"/>
        <w:rPr>
          <w:rFonts w:ascii="Arial" w:hAnsi="Arial" w:cs="Arial"/>
          <w:b/>
          <w:bCs/>
          <w:iCs/>
          <w:noProof/>
          <w:sz w:val="24"/>
          <w:szCs w:val="24"/>
          <w:lang w:eastAsia="es-MX"/>
        </w:rPr>
      </w:pPr>
    </w:p>
    <w:p w14:paraId="7271BA4E" w14:textId="7F1495BB" w:rsidR="008630FC" w:rsidRPr="00716471" w:rsidRDefault="00716471" w:rsidP="008630FC">
      <w:pPr>
        <w:spacing w:after="0"/>
        <w:ind w:left="-567"/>
        <w:rPr>
          <w:rFonts w:ascii="Arial" w:hAnsi="Arial" w:cs="Arial"/>
          <w:b/>
          <w:bCs/>
          <w:iCs/>
          <w:noProof/>
          <w:sz w:val="24"/>
          <w:szCs w:val="24"/>
          <w:lang w:eastAsia="es-MX"/>
        </w:rPr>
      </w:pPr>
      <w:r w:rsidRPr="00716471">
        <w:rPr>
          <w:rFonts w:ascii="Arial" w:hAnsi="Arial" w:cs="Arial"/>
          <w:b/>
          <w:bCs/>
          <w:iCs/>
          <w:noProof/>
          <w:sz w:val="24"/>
          <w:szCs w:val="24"/>
          <w:lang w:eastAsia="es-MX"/>
        </w:rPr>
        <w:t>Contrataciones públicas</w:t>
      </w:r>
    </w:p>
    <w:p w14:paraId="458DD913" w14:textId="77777777" w:rsidR="00716471" w:rsidRDefault="00716471" w:rsidP="00D80ECA">
      <w:pPr>
        <w:spacing w:after="0"/>
        <w:ind w:left="-567"/>
        <w:rPr>
          <w:rFonts w:ascii="Arial" w:hAnsi="Arial" w:cs="Arial"/>
          <w:iCs/>
          <w:noProof/>
          <w:sz w:val="24"/>
          <w:szCs w:val="24"/>
          <w:lang w:eastAsia="es-MX"/>
        </w:rPr>
      </w:pPr>
    </w:p>
    <w:p w14:paraId="2D770008" w14:textId="4C4E2DD0" w:rsidR="00D0513D" w:rsidRPr="00392E01" w:rsidRDefault="00716471" w:rsidP="00DC7BBB">
      <w:pPr>
        <w:spacing w:after="0"/>
        <w:ind w:left="-567"/>
        <w:jc w:val="both"/>
        <w:rPr>
          <w:rFonts w:ascii="Arial" w:hAnsi="Arial" w:cs="Arial"/>
          <w:iCs/>
          <w:noProof/>
          <w:sz w:val="24"/>
          <w:szCs w:val="24"/>
          <w:lang w:eastAsia="es-MX"/>
        </w:rPr>
      </w:pPr>
      <w:r>
        <w:rPr>
          <w:rFonts w:ascii="Arial" w:hAnsi="Arial" w:cs="Arial"/>
          <w:iCs/>
          <w:noProof/>
          <w:sz w:val="24"/>
          <w:szCs w:val="24"/>
          <w:lang w:eastAsia="es-MX"/>
        </w:rPr>
        <w:t xml:space="preserve">Al cierre de 2020, </w:t>
      </w:r>
      <w:r w:rsidR="00DC7BBB">
        <w:rPr>
          <w:rFonts w:ascii="Arial" w:hAnsi="Arial" w:cs="Arial"/>
          <w:iCs/>
          <w:noProof/>
          <w:sz w:val="24"/>
          <w:szCs w:val="24"/>
          <w:lang w:eastAsia="es-MX"/>
        </w:rPr>
        <w:t>las administraciones públicas estatales contaron con mecanismos de salvaguarda institucional en las materias de adquisiciones</w:t>
      </w:r>
      <w:r w:rsidR="00AD2773">
        <w:rPr>
          <w:rFonts w:ascii="Arial" w:hAnsi="Arial" w:cs="Arial"/>
          <w:iCs/>
          <w:noProof/>
          <w:sz w:val="24"/>
          <w:szCs w:val="24"/>
          <w:lang w:eastAsia="es-MX"/>
        </w:rPr>
        <w:t>, a</w:t>
      </w:r>
      <w:r w:rsidR="00DC7BBB">
        <w:rPr>
          <w:rFonts w:ascii="Arial" w:hAnsi="Arial" w:cs="Arial"/>
          <w:iCs/>
          <w:noProof/>
          <w:sz w:val="24"/>
          <w:szCs w:val="24"/>
          <w:lang w:eastAsia="es-MX"/>
        </w:rPr>
        <w:t>rrendamientos y servicios; así como en obra pública</w:t>
      </w:r>
      <w:r w:rsidR="00D84AE0">
        <w:rPr>
          <w:rFonts w:ascii="Arial" w:hAnsi="Arial" w:cs="Arial"/>
          <w:iCs/>
          <w:noProof/>
          <w:sz w:val="24"/>
          <w:szCs w:val="24"/>
          <w:lang w:eastAsia="es-MX"/>
        </w:rPr>
        <w:t xml:space="preserve"> y</w:t>
      </w:r>
      <w:r w:rsidR="00AD2773">
        <w:rPr>
          <w:rFonts w:ascii="Arial" w:hAnsi="Arial" w:cs="Arial"/>
          <w:iCs/>
          <w:noProof/>
          <w:sz w:val="24"/>
          <w:szCs w:val="24"/>
          <w:lang w:eastAsia="es-MX"/>
        </w:rPr>
        <w:t xml:space="preserve"> </w:t>
      </w:r>
      <w:r w:rsidR="00AD2773" w:rsidRPr="00AD2773">
        <w:rPr>
          <w:rFonts w:ascii="Arial" w:hAnsi="Arial" w:cs="Arial"/>
          <w:iCs/>
          <w:noProof/>
          <w:sz w:val="24"/>
          <w:szCs w:val="24"/>
          <w:lang w:eastAsia="es-MX"/>
        </w:rPr>
        <w:t>servicios relacionados con la misma.</w:t>
      </w:r>
    </w:p>
    <w:p w14:paraId="113E9B4A" w14:textId="66A9F9E6" w:rsidR="00D0513D" w:rsidRPr="00B82CB0" w:rsidRDefault="00D0513D" w:rsidP="00B82CB0">
      <w:pPr>
        <w:spacing w:after="0"/>
        <w:ind w:left="-567"/>
        <w:jc w:val="both"/>
        <w:rPr>
          <w:rFonts w:ascii="Arial" w:hAnsi="Arial" w:cs="Arial"/>
          <w:iCs/>
          <w:noProof/>
          <w:sz w:val="24"/>
          <w:szCs w:val="24"/>
          <w:lang w:eastAsia="es-MX"/>
        </w:rPr>
      </w:pPr>
    </w:p>
    <w:p w14:paraId="61323D06" w14:textId="7780ECB4" w:rsidR="00D0513D" w:rsidRPr="00DC7BBB" w:rsidRDefault="00DC7BBB" w:rsidP="00DC7BBB">
      <w:pPr>
        <w:spacing w:after="0"/>
        <w:ind w:left="-567"/>
        <w:jc w:val="center"/>
        <w:rPr>
          <w:rFonts w:ascii="Arial" w:hAnsi="Arial" w:cs="Arial"/>
          <w:b/>
          <w:bCs/>
          <w:i/>
          <w:iCs/>
          <w:color w:val="706F6F"/>
          <w:sz w:val="18"/>
          <w:szCs w:val="24"/>
        </w:rPr>
      </w:pPr>
      <w:r w:rsidRPr="00DC7BBB">
        <w:rPr>
          <w:rFonts w:ascii="Arial" w:hAnsi="Arial" w:cs="Arial"/>
          <w:b/>
          <w:bCs/>
          <w:i/>
          <w:iCs/>
          <w:color w:val="706F6F"/>
          <w:sz w:val="18"/>
          <w:szCs w:val="24"/>
        </w:rPr>
        <w:t>Gráfica 2</w:t>
      </w:r>
      <w:r w:rsidR="00F8760B">
        <w:rPr>
          <w:rFonts w:ascii="Arial" w:hAnsi="Arial" w:cs="Arial"/>
          <w:b/>
          <w:bCs/>
          <w:i/>
          <w:iCs/>
          <w:color w:val="706F6F"/>
          <w:sz w:val="18"/>
          <w:szCs w:val="24"/>
        </w:rPr>
        <w:t>5</w:t>
      </w:r>
      <w:r w:rsidRPr="00DC7BBB">
        <w:rPr>
          <w:rFonts w:ascii="Arial" w:hAnsi="Arial" w:cs="Arial"/>
          <w:b/>
          <w:bCs/>
          <w:i/>
          <w:iCs/>
          <w:color w:val="706F6F"/>
          <w:sz w:val="18"/>
          <w:szCs w:val="24"/>
        </w:rPr>
        <w:t xml:space="preserve">. </w:t>
      </w:r>
      <w:r w:rsidR="00821C00">
        <w:rPr>
          <w:rFonts w:ascii="Arial" w:hAnsi="Arial" w:cs="Arial"/>
          <w:b/>
          <w:bCs/>
          <w:i/>
          <w:iCs/>
          <w:color w:val="706F6F"/>
          <w:sz w:val="18"/>
          <w:szCs w:val="24"/>
        </w:rPr>
        <w:t>A</w:t>
      </w:r>
      <w:r w:rsidRPr="00DC7BBB">
        <w:rPr>
          <w:rFonts w:ascii="Arial" w:hAnsi="Arial" w:cs="Arial"/>
          <w:b/>
          <w:bCs/>
          <w:i/>
          <w:iCs/>
          <w:color w:val="706F6F"/>
          <w:sz w:val="18"/>
          <w:szCs w:val="24"/>
        </w:rPr>
        <w:t>dministraciones públicas estatales</w:t>
      </w:r>
      <w:r w:rsidR="00821C00">
        <w:rPr>
          <w:rFonts w:ascii="Arial" w:hAnsi="Arial" w:cs="Arial"/>
          <w:b/>
          <w:bCs/>
          <w:i/>
          <w:iCs/>
          <w:color w:val="706F6F"/>
          <w:sz w:val="18"/>
          <w:szCs w:val="24"/>
        </w:rPr>
        <w:t xml:space="preserve"> según m</w:t>
      </w:r>
      <w:r w:rsidR="00821C00" w:rsidRPr="00DC7BBB">
        <w:rPr>
          <w:rFonts w:ascii="Arial" w:hAnsi="Arial" w:cs="Arial"/>
          <w:b/>
          <w:bCs/>
          <w:i/>
          <w:iCs/>
          <w:color w:val="706F6F"/>
          <w:sz w:val="18"/>
          <w:szCs w:val="24"/>
        </w:rPr>
        <w:t>ecanismos de salvaguarda institucional</w:t>
      </w:r>
      <w:r w:rsidRPr="00DC7BBB">
        <w:rPr>
          <w:rFonts w:ascii="Arial" w:hAnsi="Arial" w:cs="Arial"/>
          <w:b/>
          <w:bCs/>
          <w:i/>
          <w:iCs/>
          <w:color w:val="706F6F"/>
          <w:sz w:val="18"/>
          <w:szCs w:val="24"/>
        </w:rPr>
        <w:t xml:space="preserve">, </w:t>
      </w:r>
      <w:r>
        <w:rPr>
          <w:rFonts w:ascii="Arial" w:hAnsi="Arial" w:cs="Arial"/>
          <w:b/>
          <w:bCs/>
          <w:i/>
          <w:iCs/>
          <w:color w:val="706F6F"/>
          <w:sz w:val="18"/>
          <w:szCs w:val="24"/>
        </w:rPr>
        <w:t>por materia,</w:t>
      </w:r>
      <w:r w:rsidRPr="00DC7BBB">
        <w:rPr>
          <w:rFonts w:ascii="Arial" w:hAnsi="Arial" w:cs="Arial"/>
          <w:b/>
          <w:bCs/>
          <w:i/>
          <w:iCs/>
          <w:color w:val="706F6F"/>
          <w:sz w:val="18"/>
          <w:szCs w:val="24"/>
        </w:rPr>
        <w:t xml:space="preserve"> 2020</w:t>
      </w:r>
    </w:p>
    <w:p w14:paraId="683A461E" w14:textId="68C01C67" w:rsidR="00D0513D" w:rsidRDefault="00DC7BBB" w:rsidP="00D80ECA">
      <w:pPr>
        <w:spacing w:after="0"/>
        <w:ind w:left="-567"/>
        <w:rPr>
          <w:rFonts w:ascii="Arial" w:hAnsi="Arial" w:cs="Arial"/>
          <w:b/>
          <w:bCs/>
          <w:iCs/>
          <w:noProof/>
          <w:sz w:val="24"/>
          <w:szCs w:val="24"/>
          <w:lang w:eastAsia="es-MX"/>
        </w:rPr>
      </w:pPr>
      <w:r>
        <w:rPr>
          <w:noProof/>
        </w:rPr>
        <w:drawing>
          <wp:inline distT="0" distB="0" distL="0" distR="0" wp14:anchorId="2D0E87B1" wp14:editId="02F2701D">
            <wp:extent cx="5941060" cy="6347637"/>
            <wp:effectExtent l="0" t="0" r="2540" b="0"/>
            <wp:docPr id="24" name="Gráfico 24">
              <a:extLst xmlns:a="http://schemas.openxmlformats.org/drawingml/2006/main">
                <a:ext uri="{FF2B5EF4-FFF2-40B4-BE49-F238E27FC236}">
                  <a16:creationId xmlns:a16="http://schemas.microsoft.com/office/drawing/2014/main" id="{5BF15385-9DA4-4854-A31D-3C1DB166B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A0DC89" w14:textId="3F3932C9" w:rsidR="00D0513D" w:rsidRDefault="00D0513D" w:rsidP="00D80ECA">
      <w:pPr>
        <w:spacing w:after="0"/>
        <w:ind w:left="-567"/>
        <w:rPr>
          <w:rFonts w:ascii="Arial" w:hAnsi="Arial" w:cs="Arial"/>
          <w:b/>
          <w:bCs/>
          <w:iCs/>
          <w:noProof/>
          <w:sz w:val="24"/>
          <w:szCs w:val="24"/>
          <w:lang w:eastAsia="es-MX"/>
        </w:rPr>
      </w:pPr>
    </w:p>
    <w:p w14:paraId="00CDEC9A" w14:textId="77777777" w:rsidR="00701903" w:rsidRDefault="00701903" w:rsidP="00845B34">
      <w:pPr>
        <w:spacing w:after="0"/>
        <w:ind w:left="-567"/>
        <w:jc w:val="both"/>
        <w:rPr>
          <w:rFonts w:ascii="Arial" w:hAnsi="Arial" w:cs="Arial"/>
          <w:iCs/>
          <w:noProof/>
          <w:sz w:val="24"/>
          <w:szCs w:val="24"/>
          <w:lang w:eastAsia="es-MX"/>
        </w:rPr>
      </w:pPr>
    </w:p>
    <w:p w14:paraId="02294814" w14:textId="77777777" w:rsidR="00701903" w:rsidRDefault="00701903" w:rsidP="00845B34">
      <w:pPr>
        <w:spacing w:after="0"/>
        <w:ind w:left="-567"/>
        <w:jc w:val="both"/>
        <w:rPr>
          <w:rFonts w:ascii="Arial" w:hAnsi="Arial" w:cs="Arial"/>
          <w:iCs/>
          <w:noProof/>
          <w:sz w:val="24"/>
          <w:szCs w:val="24"/>
          <w:lang w:eastAsia="es-MX"/>
        </w:rPr>
      </w:pPr>
    </w:p>
    <w:p w14:paraId="0E1D5508" w14:textId="76FA7A0D" w:rsidR="00D0513D" w:rsidRDefault="00845B34" w:rsidP="00845B34">
      <w:pPr>
        <w:spacing w:after="0"/>
        <w:ind w:left="-567"/>
        <w:jc w:val="both"/>
        <w:rPr>
          <w:rFonts w:ascii="Arial" w:hAnsi="Arial" w:cs="Arial"/>
          <w:iCs/>
          <w:noProof/>
          <w:sz w:val="24"/>
          <w:szCs w:val="24"/>
          <w:lang w:eastAsia="es-MX"/>
        </w:rPr>
      </w:pPr>
      <w:r w:rsidRPr="00845B34">
        <w:rPr>
          <w:rFonts w:ascii="Arial" w:hAnsi="Arial" w:cs="Arial"/>
          <w:iCs/>
          <w:noProof/>
          <w:sz w:val="24"/>
          <w:szCs w:val="24"/>
          <w:lang w:eastAsia="es-MX"/>
        </w:rPr>
        <w:t>Durante 2020, las administraciones públicas estatales realizaron 80 379 contratos, 89.5%</w:t>
      </w:r>
      <w:r>
        <w:rPr>
          <w:rFonts w:ascii="Arial" w:hAnsi="Arial" w:cs="Arial"/>
          <w:iCs/>
          <w:noProof/>
          <w:sz w:val="24"/>
          <w:szCs w:val="24"/>
          <w:lang w:eastAsia="es-MX"/>
        </w:rPr>
        <w:t xml:space="preserve">                    </w:t>
      </w:r>
      <w:r w:rsidRPr="00845B34">
        <w:rPr>
          <w:rFonts w:ascii="Arial" w:hAnsi="Arial" w:cs="Arial"/>
          <w:iCs/>
          <w:noProof/>
          <w:sz w:val="24"/>
          <w:szCs w:val="24"/>
          <w:lang w:eastAsia="es-MX"/>
        </w:rPr>
        <w:t xml:space="preserve"> (71 910) en materia de adquisiciones, arrendamientos y servicios; y 10.5% (8 469) en obra pública y servicios relacionados con la misma. </w:t>
      </w:r>
    </w:p>
    <w:p w14:paraId="11235120" w14:textId="77777777" w:rsidR="00845B34" w:rsidRDefault="00845B34" w:rsidP="00845B34">
      <w:pPr>
        <w:spacing w:after="0"/>
        <w:ind w:left="-567"/>
        <w:jc w:val="both"/>
        <w:rPr>
          <w:rFonts w:ascii="Arial" w:hAnsi="Arial" w:cs="Arial"/>
          <w:b/>
          <w:bCs/>
          <w:iCs/>
          <w:noProof/>
          <w:sz w:val="24"/>
          <w:szCs w:val="24"/>
          <w:lang w:eastAsia="es-MX"/>
        </w:rPr>
      </w:pPr>
    </w:p>
    <w:p w14:paraId="290615E7" w14:textId="03DBBA02" w:rsidR="00D0513D" w:rsidRDefault="00E06815" w:rsidP="00441EC8">
      <w:pPr>
        <w:spacing w:after="0"/>
        <w:ind w:left="-567"/>
        <w:jc w:val="center"/>
        <w:rPr>
          <w:rFonts w:ascii="Arial" w:hAnsi="Arial" w:cs="Arial"/>
          <w:b/>
          <w:bCs/>
          <w:i/>
          <w:iCs/>
          <w:color w:val="706F6F"/>
          <w:sz w:val="18"/>
          <w:szCs w:val="24"/>
        </w:rPr>
      </w:pPr>
      <w:r w:rsidRPr="00E06815">
        <w:rPr>
          <w:rFonts w:ascii="Arial" w:hAnsi="Arial" w:cs="Arial"/>
          <w:b/>
          <w:bCs/>
          <w:i/>
          <w:iCs/>
          <w:color w:val="706F6F"/>
          <w:sz w:val="18"/>
          <w:szCs w:val="24"/>
        </w:rPr>
        <w:t>Gráfica 2</w:t>
      </w:r>
      <w:r w:rsidR="00F8760B">
        <w:rPr>
          <w:rFonts w:ascii="Arial" w:hAnsi="Arial" w:cs="Arial"/>
          <w:b/>
          <w:bCs/>
          <w:i/>
          <w:iCs/>
          <w:color w:val="706F6F"/>
          <w:sz w:val="18"/>
          <w:szCs w:val="24"/>
        </w:rPr>
        <w:t>6</w:t>
      </w:r>
      <w:r w:rsidRPr="00E06815">
        <w:rPr>
          <w:rFonts w:ascii="Arial" w:hAnsi="Arial" w:cs="Arial"/>
          <w:b/>
          <w:bCs/>
          <w:i/>
          <w:iCs/>
          <w:color w:val="706F6F"/>
          <w:sz w:val="18"/>
          <w:szCs w:val="24"/>
        </w:rPr>
        <w:t xml:space="preserve">. </w:t>
      </w:r>
      <w:r w:rsidR="00441EC8">
        <w:rPr>
          <w:rFonts w:ascii="Arial" w:hAnsi="Arial" w:cs="Arial"/>
          <w:b/>
          <w:bCs/>
          <w:i/>
          <w:iCs/>
          <w:color w:val="706F6F"/>
          <w:sz w:val="18"/>
          <w:szCs w:val="24"/>
        </w:rPr>
        <w:t xml:space="preserve">Contratos realizados por </w:t>
      </w:r>
      <w:r w:rsidRPr="00E06815">
        <w:rPr>
          <w:rFonts w:ascii="Arial" w:hAnsi="Arial" w:cs="Arial"/>
          <w:b/>
          <w:bCs/>
          <w:i/>
          <w:iCs/>
          <w:color w:val="706F6F"/>
          <w:sz w:val="18"/>
          <w:szCs w:val="24"/>
        </w:rPr>
        <w:t>las administraciones públicas estatales, por materia, 2020</w:t>
      </w:r>
    </w:p>
    <w:p w14:paraId="20FE7F3D" w14:textId="5E63FE61" w:rsidR="004F6D07" w:rsidRDefault="004F6D07" w:rsidP="00441EC8">
      <w:pPr>
        <w:spacing w:after="0"/>
        <w:ind w:left="-567"/>
        <w:jc w:val="center"/>
        <w:rPr>
          <w:rFonts w:ascii="Arial" w:hAnsi="Arial" w:cs="Arial"/>
          <w:b/>
          <w:bCs/>
          <w:i/>
          <w:iCs/>
          <w:color w:val="706F6F"/>
          <w:sz w:val="18"/>
          <w:szCs w:val="24"/>
        </w:rPr>
      </w:pPr>
    </w:p>
    <w:p w14:paraId="385777C8" w14:textId="66F6F7F4" w:rsidR="00E06815" w:rsidRPr="00E06815" w:rsidRDefault="000E74C8" w:rsidP="00D80ECA">
      <w:pPr>
        <w:spacing w:after="0"/>
        <w:ind w:left="-567"/>
        <w:rPr>
          <w:rFonts w:ascii="Arial" w:hAnsi="Arial" w:cs="Arial"/>
          <w:b/>
          <w:bCs/>
          <w:i/>
          <w:iCs/>
          <w:color w:val="706F6F"/>
          <w:sz w:val="18"/>
          <w:szCs w:val="24"/>
        </w:rPr>
      </w:pPr>
      <w:r>
        <w:rPr>
          <w:noProof/>
        </w:rPr>
        <w:drawing>
          <wp:inline distT="0" distB="0" distL="0" distR="0" wp14:anchorId="2B933059" wp14:editId="55D79FDC">
            <wp:extent cx="6464595" cy="2649855"/>
            <wp:effectExtent l="0" t="0" r="0" b="0"/>
            <wp:docPr id="11" name="Gráfico 11">
              <a:extLst xmlns:a="http://schemas.openxmlformats.org/drawingml/2006/main">
                <a:ext uri="{FF2B5EF4-FFF2-40B4-BE49-F238E27FC236}">
                  <a16:creationId xmlns:a16="http://schemas.microsoft.com/office/drawing/2014/main" id="{8B3CB1B6-D557-454C-A880-83F1A3EDB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ECE397" w14:textId="715B53A9" w:rsidR="00D0513D" w:rsidRDefault="00D0513D" w:rsidP="00D80ECA">
      <w:pPr>
        <w:spacing w:after="0"/>
        <w:ind w:left="-567"/>
        <w:rPr>
          <w:rFonts w:ascii="Arial" w:hAnsi="Arial" w:cs="Arial"/>
          <w:b/>
          <w:bCs/>
          <w:iCs/>
          <w:noProof/>
          <w:sz w:val="24"/>
          <w:szCs w:val="24"/>
          <w:lang w:eastAsia="es-MX"/>
        </w:rPr>
      </w:pPr>
    </w:p>
    <w:p w14:paraId="57A5731A" w14:textId="013D9E44" w:rsidR="004F6D07" w:rsidRDefault="004F6D07" w:rsidP="00D80ECA">
      <w:pPr>
        <w:spacing w:after="0"/>
        <w:ind w:left="-567"/>
        <w:rPr>
          <w:rFonts w:ascii="Arial" w:hAnsi="Arial" w:cs="Arial"/>
          <w:b/>
          <w:bCs/>
          <w:iCs/>
          <w:noProof/>
          <w:sz w:val="24"/>
          <w:szCs w:val="24"/>
          <w:lang w:eastAsia="es-MX"/>
        </w:rPr>
      </w:pPr>
    </w:p>
    <w:p w14:paraId="6E86B34E" w14:textId="77777777" w:rsidR="004F6D07" w:rsidRDefault="004F6D07" w:rsidP="00D80ECA">
      <w:pPr>
        <w:spacing w:after="0"/>
        <w:ind w:left="-567"/>
        <w:rPr>
          <w:rFonts w:ascii="Arial" w:hAnsi="Arial" w:cs="Arial"/>
          <w:b/>
          <w:bCs/>
          <w:iCs/>
          <w:noProof/>
          <w:sz w:val="24"/>
          <w:szCs w:val="24"/>
          <w:lang w:eastAsia="es-MX"/>
        </w:rPr>
      </w:pPr>
    </w:p>
    <w:p w14:paraId="633FE505" w14:textId="77777777" w:rsidR="004F6D07" w:rsidRDefault="004F6D07" w:rsidP="00D80ECA">
      <w:pPr>
        <w:spacing w:after="0"/>
        <w:ind w:left="-567"/>
        <w:rPr>
          <w:rFonts w:ascii="Arial" w:hAnsi="Arial" w:cs="Arial"/>
          <w:b/>
          <w:bCs/>
          <w:iCs/>
          <w:noProof/>
          <w:sz w:val="24"/>
          <w:szCs w:val="24"/>
          <w:lang w:eastAsia="es-MX"/>
        </w:rPr>
      </w:pPr>
    </w:p>
    <w:p w14:paraId="6AC2E146" w14:textId="77777777" w:rsidR="004F6D07" w:rsidRDefault="004F6D07" w:rsidP="00D80ECA">
      <w:pPr>
        <w:spacing w:after="0"/>
        <w:ind w:left="-567"/>
        <w:rPr>
          <w:rFonts w:ascii="Arial" w:hAnsi="Arial" w:cs="Arial"/>
          <w:b/>
          <w:bCs/>
          <w:iCs/>
          <w:noProof/>
          <w:sz w:val="24"/>
          <w:szCs w:val="24"/>
          <w:lang w:eastAsia="es-MX"/>
        </w:rPr>
      </w:pPr>
    </w:p>
    <w:p w14:paraId="00B19228" w14:textId="77777777" w:rsidR="004F6D07" w:rsidRDefault="004F6D07" w:rsidP="00D80ECA">
      <w:pPr>
        <w:spacing w:after="0"/>
        <w:ind w:left="-567"/>
        <w:rPr>
          <w:rFonts w:ascii="Arial" w:hAnsi="Arial" w:cs="Arial"/>
          <w:b/>
          <w:bCs/>
          <w:iCs/>
          <w:noProof/>
          <w:sz w:val="24"/>
          <w:szCs w:val="24"/>
          <w:lang w:eastAsia="es-MX"/>
        </w:rPr>
      </w:pPr>
    </w:p>
    <w:p w14:paraId="4B5974CD" w14:textId="77777777" w:rsidR="004F6D07" w:rsidRDefault="004F6D07" w:rsidP="00D80ECA">
      <w:pPr>
        <w:spacing w:after="0"/>
        <w:ind w:left="-567"/>
        <w:rPr>
          <w:rFonts w:ascii="Arial" w:hAnsi="Arial" w:cs="Arial"/>
          <w:b/>
          <w:bCs/>
          <w:iCs/>
          <w:noProof/>
          <w:sz w:val="24"/>
          <w:szCs w:val="24"/>
          <w:lang w:eastAsia="es-MX"/>
        </w:rPr>
      </w:pPr>
    </w:p>
    <w:p w14:paraId="337895B7" w14:textId="77777777" w:rsidR="004F6D07" w:rsidRDefault="004F6D07" w:rsidP="00D80ECA">
      <w:pPr>
        <w:spacing w:after="0"/>
        <w:ind w:left="-567"/>
        <w:rPr>
          <w:rFonts w:ascii="Arial" w:hAnsi="Arial" w:cs="Arial"/>
          <w:b/>
          <w:bCs/>
          <w:iCs/>
          <w:noProof/>
          <w:sz w:val="24"/>
          <w:szCs w:val="24"/>
          <w:lang w:eastAsia="es-MX"/>
        </w:rPr>
      </w:pPr>
    </w:p>
    <w:p w14:paraId="0D090F42" w14:textId="77777777" w:rsidR="004F6D07" w:rsidRDefault="004F6D07" w:rsidP="00D80ECA">
      <w:pPr>
        <w:spacing w:after="0"/>
        <w:ind w:left="-567"/>
        <w:rPr>
          <w:rFonts w:ascii="Arial" w:hAnsi="Arial" w:cs="Arial"/>
          <w:b/>
          <w:bCs/>
          <w:iCs/>
          <w:noProof/>
          <w:sz w:val="24"/>
          <w:szCs w:val="24"/>
          <w:lang w:eastAsia="es-MX"/>
        </w:rPr>
      </w:pPr>
    </w:p>
    <w:p w14:paraId="6B9C0269" w14:textId="522FCEE4" w:rsidR="004F6D07" w:rsidRDefault="004F6D07" w:rsidP="00D80ECA">
      <w:pPr>
        <w:spacing w:after="0"/>
        <w:ind w:left="-567"/>
        <w:rPr>
          <w:rFonts w:ascii="Arial" w:hAnsi="Arial" w:cs="Arial"/>
          <w:b/>
          <w:bCs/>
          <w:iCs/>
          <w:noProof/>
          <w:sz w:val="24"/>
          <w:szCs w:val="24"/>
          <w:lang w:eastAsia="es-MX"/>
        </w:rPr>
      </w:pPr>
    </w:p>
    <w:p w14:paraId="0F20E5FC" w14:textId="77777777" w:rsidR="00644005" w:rsidRDefault="00644005" w:rsidP="00D80ECA">
      <w:pPr>
        <w:spacing w:after="0"/>
        <w:ind w:left="-567"/>
        <w:rPr>
          <w:rFonts w:ascii="Arial" w:hAnsi="Arial" w:cs="Arial"/>
          <w:b/>
          <w:bCs/>
          <w:iCs/>
          <w:noProof/>
          <w:sz w:val="24"/>
          <w:szCs w:val="24"/>
          <w:lang w:eastAsia="es-MX"/>
        </w:rPr>
      </w:pPr>
    </w:p>
    <w:p w14:paraId="60B20E5B" w14:textId="6857AB10" w:rsidR="004F6D07" w:rsidRDefault="004F6D07" w:rsidP="00D80ECA">
      <w:pPr>
        <w:spacing w:after="0"/>
        <w:ind w:left="-567"/>
        <w:rPr>
          <w:rFonts w:ascii="Arial" w:hAnsi="Arial" w:cs="Arial"/>
          <w:b/>
          <w:bCs/>
          <w:iCs/>
          <w:noProof/>
          <w:sz w:val="24"/>
          <w:szCs w:val="24"/>
          <w:lang w:eastAsia="es-MX"/>
        </w:rPr>
      </w:pPr>
    </w:p>
    <w:p w14:paraId="064A79DB" w14:textId="72316F64" w:rsidR="00644005" w:rsidRDefault="00644005" w:rsidP="00D80ECA">
      <w:pPr>
        <w:spacing w:after="0"/>
        <w:ind w:left="-567"/>
        <w:rPr>
          <w:rFonts w:ascii="Arial" w:hAnsi="Arial" w:cs="Arial"/>
          <w:b/>
          <w:bCs/>
          <w:iCs/>
          <w:noProof/>
          <w:sz w:val="24"/>
          <w:szCs w:val="24"/>
          <w:lang w:eastAsia="es-MX"/>
        </w:rPr>
      </w:pPr>
    </w:p>
    <w:p w14:paraId="6D8B4F4E" w14:textId="77777777" w:rsidR="00644005" w:rsidRDefault="00644005" w:rsidP="00D80ECA">
      <w:pPr>
        <w:spacing w:after="0"/>
        <w:ind w:left="-567"/>
        <w:rPr>
          <w:rFonts w:ascii="Arial" w:hAnsi="Arial" w:cs="Arial"/>
          <w:b/>
          <w:bCs/>
          <w:iCs/>
          <w:noProof/>
          <w:sz w:val="24"/>
          <w:szCs w:val="24"/>
          <w:lang w:eastAsia="es-MX"/>
        </w:rPr>
      </w:pPr>
    </w:p>
    <w:p w14:paraId="349B7041" w14:textId="77777777" w:rsidR="004F6D07" w:rsidRDefault="004F6D07" w:rsidP="00D80ECA">
      <w:pPr>
        <w:spacing w:after="0"/>
        <w:ind w:left="-567"/>
        <w:rPr>
          <w:rFonts w:ascii="Arial" w:hAnsi="Arial" w:cs="Arial"/>
          <w:b/>
          <w:bCs/>
          <w:iCs/>
          <w:noProof/>
          <w:sz w:val="24"/>
          <w:szCs w:val="24"/>
          <w:lang w:eastAsia="es-MX"/>
        </w:rPr>
      </w:pPr>
    </w:p>
    <w:p w14:paraId="69B1FEC1" w14:textId="77777777" w:rsidR="004F6D07" w:rsidRDefault="004F6D07" w:rsidP="00D80ECA">
      <w:pPr>
        <w:spacing w:after="0"/>
        <w:ind w:left="-567"/>
        <w:rPr>
          <w:rFonts w:ascii="Arial" w:hAnsi="Arial" w:cs="Arial"/>
          <w:b/>
          <w:bCs/>
          <w:iCs/>
          <w:noProof/>
          <w:sz w:val="24"/>
          <w:szCs w:val="24"/>
          <w:lang w:eastAsia="es-MX"/>
        </w:rPr>
      </w:pPr>
    </w:p>
    <w:p w14:paraId="16E1DEC9" w14:textId="77777777" w:rsidR="004F6D07" w:rsidRDefault="004F6D07" w:rsidP="00D80ECA">
      <w:pPr>
        <w:spacing w:after="0"/>
        <w:ind w:left="-567"/>
        <w:rPr>
          <w:rFonts w:ascii="Arial" w:hAnsi="Arial" w:cs="Arial"/>
          <w:b/>
          <w:bCs/>
          <w:iCs/>
          <w:noProof/>
          <w:sz w:val="24"/>
          <w:szCs w:val="24"/>
          <w:lang w:eastAsia="es-MX"/>
        </w:rPr>
      </w:pPr>
    </w:p>
    <w:p w14:paraId="30DD9D60" w14:textId="77777777" w:rsidR="004F6D07" w:rsidRDefault="004F6D07" w:rsidP="00D80ECA">
      <w:pPr>
        <w:spacing w:after="0"/>
        <w:ind w:left="-567"/>
        <w:rPr>
          <w:rFonts w:ascii="Arial" w:hAnsi="Arial" w:cs="Arial"/>
          <w:b/>
          <w:bCs/>
          <w:iCs/>
          <w:noProof/>
          <w:sz w:val="24"/>
          <w:szCs w:val="24"/>
          <w:lang w:eastAsia="es-MX"/>
        </w:rPr>
      </w:pPr>
    </w:p>
    <w:p w14:paraId="1CF54E1F" w14:textId="77777777" w:rsidR="004F6D07" w:rsidRDefault="004F6D07" w:rsidP="00D80ECA">
      <w:pPr>
        <w:spacing w:after="0"/>
        <w:ind w:left="-567"/>
        <w:rPr>
          <w:rFonts w:ascii="Arial" w:hAnsi="Arial" w:cs="Arial"/>
          <w:b/>
          <w:bCs/>
          <w:iCs/>
          <w:noProof/>
          <w:sz w:val="24"/>
          <w:szCs w:val="24"/>
          <w:lang w:eastAsia="es-MX"/>
        </w:rPr>
      </w:pPr>
    </w:p>
    <w:p w14:paraId="0D7411CD" w14:textId="77777777" w:rsidR="004F6D07" w:rsidRDefault="004F6D07" w:rsidP="00D80ECA">
      <w:pPr>
        <w:spacing w:after="0"/>
        <w:ind w:left="-567"/>
        <w:rPr>
          <w:rFonts w:ascii="Arial" w:hAnsi="Arial" w:cs="Arial"/>
          <w:b/>
          <w:bCs/>
          <w:iCs/>
          <w:noProof/>
          <w:sz w:val="24"/>
          <w:szCs w:val="24"/>
          <w:lang w:eastAsia="es-MX"/>
        </w:rPr>
      </w:pPr>
    </w:p>
    <w:p w14:paraId="5AF1FAAC" w14:textId="77777777" w:rsidR="004F6D07" w:rsidRDefault="004F6D07" w:rsidP="00D80ECA">
      <w:pPr>
        <w:spacing w:after="0"/>
        <w:ind w:left="-567"/>
        <w:rPr>
          <w:rFonts w:ascii="Arial" w:hAnsi="Arial" w:cs="Arial"/>
          <w:b/>
          <w:bCs/>
          <w:iCs/>
          <w:noProof/>
          <w:sz w:val="24"/>
          <w:szCs w:val="24"/>
          <w:lang w:eastAsia="es-MX"/>
        </w:rPr>
      </w:pPr>
    </w:p>
    <w:p w14:paraId="0413A316" w14:textId="45A1AC6C" w:rsidR="004F6D07" w:rsidRPr="006906AC" w:rsidRDefault="004F6D07" w:rsidP="00742403">
      <w:pPr>
        <w:spacing w:after="0"/>
        <w:ind w:left="-567"/>
        <w:jc w:val="both"/>
        <w:rPr>
          <w:rFonts w:ascii="Arial" w:hAnsi="Arial" w:cs="Arial"/>
          <w:iCs/>
          <w:noProof/>
          <w:spacing w:val="-8"/>
          <w:sz w:val="24"/>
          <w:szCs w:val="24"/>
          <w:lang w:eastAsia="es-MX"/>
        </w:rPr>
      </w:pPr>
      <w:r w:rsidRPr="006906AC">
        <w:rPr>
          <w:rFonts w:ascii="Arial" w:hAnsi="Arial" w:cs="Arial"/>
          <w:iCs/>
          <w:noProof/>
          <w:spacing w:val="-8"/>
          <w:sz w:val="24"/>
          <w:szCs w:val="24"/>
          <w:lang w:eastAsia="es-MX"/>
        </w:rPr>
        <w:lastRenderedPageBreak/>
        <w:t>E</w:t>
      </w:r>
      <w:r w:rsidR="009C4780" w:rsidRPr="006906AC">
        <w:rPr>
          <w:rFonts w:ascii="Arial" w:hAnsi="Arial" w:cs="Arial"/>
          <w:iCs/>
          <w:noProof/>
          <w:spacing w:val="-8"/>
          <w:sz w:val="24"/>
          <w:szCs w:val="24"/>
          <w:lang w:eastAsia="es-MX"/>
        </w:rPr>
        <w:t>l</w:t>
      </w:r>
      <w:r w:rsidRPr="006906AC">
        <w:rPr>
          <w:rFonts w:ascii="Arial" w:hAnsi="Arial" w:cs="Arial"/>
          <w:iCs/>
          <w:noProof/>
          <w:spacing w:val="-8"/>
          <w:sz w:val="24"/>
          <w:szCs w:val="24"/>
          <w:lang w:eastAsia="es-MX"/>
        </w:rPr>
        <w:t xml:space="preserve"> monto total de los contratos realizados por las administraciones públicas estatales fue de 160 814 631 131</w:t>
      </w:r>
      <w:r w:rsidR="00F80005" w:rsidRPr="006906AC">
        <w:rPr>
          <w:rFonts w:ascii="Arial" w:hAnsi="Arial" w:cs="Arial"/>
          <w:iCs/>
          <w:noProof/>
          <w:spacing w:val="-8"/>
          <w:sz w:val="24"/>
          <w:szCs w:val="24"/>
          <w:lang w:eastAsia="es-MX"/>
        </w:rPr>
        <w:t xml:space="preserve"> pesos</w:t>
      </w:r>
      <w:r w:rsidRPr="006906AC">
        <w:rPr>
          <w:rFonts w:ascii="Arial" w:hAnsi="Arial" w:cs="Arial"/>
          <w:iCs/>
          <w:noProof/>
          <w:spacing w:val="-8"/>
          <w:sz w:val="24"/>
          <w:szCs w:val="24"/>
          <w:lang w:eastAsia="es-MX"/>
        </w:rPr>
        <w:t xml:space="preserve">. La Ciudad de México </w:t>
      </w:r>
      <w:r w:rsidR="00742403" w:rsidRPr="006906AC">
        <w:rPr>
          <w:rFonts w:ascii="Arial" w:hAnsi="Arial" w:cs="Arial"/>
          <w:iCs/>
          <w:noProof/>
          <w:spacing w:val="-8"/>
          <w:sz w:val="24"/>
          <w:szCs w:val="24"/>
          <w:lang w:eastAsia="es-MX"/>
        </w:rPr>
        <w:t xml:space="preserve">concentró 23.5% del total nacional. Por tipo de procedimiento de contratación, la </w:t>
      </w:r>
      <w:r w:rsidR="00C90985" w:rsidRPr="006906AC">
        <w:rPr>
          <w:rFonts w:ascii="Arial" w:hAnsi="Arial" w:cs="Arial"/>
          <w:iCs/>
          <w:noProof/>
          <w:spacing w:val="-8"/>
          <w:sz w:val="24"/>
          <w:szCs w:val="24"/>
          <w:lang w:eastAsia="es-MX"/>
        </w:rPr>
        <w:t xml:space="preserve">licitación pública nacional </w:t>
      </w:r>
      <w:r w:rsidR="00F80005" w:rsidRPr="006906AC">
        <w:rPr>
          <w:rFonts w:ascii="Arial" w:hAnsi="Arial" w:cs="Arial"/>
          <w:iCs/>
          <w:noProof/>
          <w:spacing w:val="-8"/>
          <w:sz w:val="24"/>
          <w:szCs w:val="24"/>
          <w:lang w:eastAsia="es-MX"/>
        </w:rPr>
        <w:t>representó 47.8%</w:t>
      </w:r>
      <w:r w:rsidR="004D01B2" w:rsidRPr="006906AC">
        <w:rPr>
          <w:rFonts w:ascii="Arial" w:hAnsi="Arial" w:cs="Arial"/>
          <w:iCs/>
          <w:noProof/>
          <w:spacing w:val="-8"/>
          <w:sz w:val="24"/>
          <w:szCs w:val="24"/>
          <w:lang w:eastAsia="es-MX"/>
        </w:rPr>
        <w:t>,</w:t>
      </w:r>
      <w:r w:rsidR="00F80005" w:rsidRPr="006906AC">
        <w:rPr>
          <w:rFonts w:ascii="Arial" w:hAnsi="Arial" w:cs="Arial"/>
          <w:iCs/>
          <w:noProof/>
          <w:spacing w:val="-8"/>
          <w:sz w:val="24"/>
          <w:szCs w:val="24"/>
          <w:lang w:eastAsia="es-MX"/>
        </w:rPr>
        <w:t xml:space="preserve"> con</w:t>
      </w:r>
      <w:r w:rsidR="00742403" w:rsidRPr="006906AC">
        <w:rPr>
          <w:rFonts w:ascii="Arial" w:hAnsi="Arial" w:cs="Arial"/>
          <w:iCs/>
          <w:noProof/>
          <w:spacing w:val="-8"/>
          <w:sz w:val="24"/>
          <w:szCs w:val="24"/>
          <w:lang w:eastAsia="es-MX"/>
        </w:rPr>
        <w:t xml:space="preserve"> 76 901 795 677</w:t>
      </w:r>
      <w:r w:rsidR="00F80005" w:rsidRPr="006906AC">
        <w:rPr>
          <w:rFonts w:ascii="Arial" w:hAnsi="Arial" w:cs="Arial"/>
          <w:iCs/>
          <w:noProof/>
          <w:spacing w:val="-8"/>
          <w:sz w:val="24"/>
          <w:szCs w:val="24"/>
          <w:lang w:eastAsia="es-MX"/>
        </w:rPr>
        <w:t xml:space="preserve"> pesos</w:t>
      </w:r>
      <w:r w:rsidR="00742403" w:rsidRPr="006906AC">
        <w:rPr>
          <w:rFonts w:ascii="Arial" w:hAnsi="Arial" w:cs="Arial"/>
          <w:iCs/>
          <w:noProof/>
          <w:spacing w:val="-8"/>
          <w:sz w:val="24"/>
          <w:szCs w:val="24"/>
          <w:lang w:eastAsia="es-MX"/>
        </w:rPr>
        <w:t>.</w:t>
      </w:r>
    </w:p>
    <w:p w14:paraId="16EDBDC9" w14:textId="39968589" w:rsidR="00742403" w:rsidRDefault="00742403" w:rsidP="00742403">
      <w:pPr>
        <w:spacing w:after="0"/>
        <w:ind w:left="-567"/>
        <w:jc w:val="both"/>
        <w:rPr>
          <w:rFonts w:ascii="Arial" w:hAnsi="Arial" w:cs="Arial"/>
          <w:iCs/>
          <w:noProof/>
          <w:sz w:val="24"/>
          <w:szCs w:val="24"/>
          <w:lang w:eastAsia="es-MX"/>
        </w:rPr>
      </w:pPr>
    </w:p>
    <w:p w14:paraId="00642FCE" w14:textId="189C0578" w:rsidR="004F6D07" w:rsidRDefault="009F6FC8" w:rsidP="004F6D07">
      <w:pPr>
        <w:spacing w:after="0"/>
        <w:ind w:left="-567"/>
        <w:jc w:val="center"/>
        <w:rPr>
          <w:rFonts w:ascii="Arial" w:hAnsi="Arial" w:cs="Arial"/>
          <w:b/>
          <w:bCs/>
          <w:i/>
          <w:iCs/>
          <w:color w:val="706F6F"/>
          <w:sz w:val="18"/>
          <w:szCs w:val="24"/>
        </w:rPr>
      </w:pPr>
      <w:r>
        <w:rPr>
          <w:rFonts w:ascii="Arial" w:hAnsi="Arial" w:cs="Arial"/>
          <w:b/>
          <w:bCs/>
          <w:i/>
          <w:iCs/>
          <w:color w:val="706F6F"/>
          <w:sz w:val="18"/>
          <w:szCs w:val="24"/>
        </w:rPr>
        <w:t xml:space="preserve">Cuadro </w:t>
      </w:r>
      <w:r w:rsidR="00947E3B">
        <w:rPr>
          <w:rFonts w:ascii="Arial" w:hAnsi="Arial" w:cs="Arial"/>
          <w:b/>
          <w:bCs/>
          <w:i/>
          <w:iCs/>
          <w:color w:val="706F6F"/>
          <w:sz w:val="18"/>
          <w:szCs w:val="24"/>
        </w:rPr>
        <w:t>2</w:t>
      </w:r>
      <w:r w:rsidR="004F6D07" w:rsidRPr="00E06815">
        <w:rPr>
          <w:rFonts w:ascii="Arial" w:hAnsi="Arial" w:cs="Arial"/>
          <w:b/>
          <w:bCs/>
          <w:i/>
          <w:iCs/>
          <w:color w:val="706F6F"/>
          <w:sz w:val="18"/>
          <w:szCs w:val="24"/>
        </w:rPr>
        <w:t xml:space="preserve">. </w:t>
      </w:r>
      <w:r w:rsidR="00987AF6">
        <w:rPr>
          <w:rFonts w:ascii="Arial" w:hAnsi="Arial" w:cs="Arial"/>
          <w:b/>
          <w:bCs/>
          <w:i/>
          <w:iCs/>
          <w:color w:val="706F6F"/>
          <w:sz w:val="18"/>
          <w:szCs w:val="24"/>
        </w:rPr>
        <w:t>Monto asociado a los contratos</w:t>
      </w:r>
      <w:r w:rsidR="004F6D07">
        <w:rPr>
          <w:rFonts w:ascii="Arial" w:hAnsi="Arial" w:cs="Arial"/>
          <w:b/>
          <w:bCs/>
          <w:i/>
          <w:iCs/>
          <w:color w:val="706F6F"/>
          <w:sz w:val="18"/>
          <w:szCs w:val="24"/>
        </w:rPr>
        <w:t xml:space="preserve"> realizados por </w:t>
      </w:r>
      <w:r w:rsidR="004F6D07" w:rsidRPr="00E06815">
        <w:rPr>
          <w:rFonts w:ascii="Arial" w:hAnsi="Arial" w:cs="Arial"/>
          <w:b/>
          <w:bCs/>
          <w:i/>
          <w:iCs/>
          <w:color w:val="706F6F"/>
          <w:sz w:val="18"/>
          <w:szCs w:val="24"/>
        </w:rPr>
        <w:t xml:space="preserve">las administraciones públicas estatales, por </w:t>
      </w:r>
      <w:r w:rsidR="00987AF6">
        <w:rPr>
          <w:rFonts w:ascii="Arial" w:hAnsi="Arial" w:cs="Arial"/>
          <w:b/>
          <w:bCs/>
          <w:i/>
          <w:iCs/>
          <w:color w:val="706F6F"/>
          <w:sz w:val="18"/>
          <w:szCs w:val="24"/>
        </w:rPr>
        <w:t>tipo de procedimiento de contratación</w:t>
      </w:r>
      <w:r w:rsidR="00CC2D83">
        <w:rPr>
          <w:rFonts w:ascii="Arial" w:hAnsi="Arial" w:cs="Arial"/>
          <w:b/>
          <w:bCs/>
          <w:i/>
          <w:iCs/>
          <w:color w:val="706F6F"/>
          <w:sz w:val="18"/>
          <w:szCs w:val="24"/>
        </w:rPr>
        <w:t xml:space="preserve"> y entidad federativa</w:t>
      </w:r>
      <w:r w:rsidR="004F6D07" w:rsidRPr="00E06815">
        <w:rPr>
          <w:rFonts w:ascii="Arial" w:hAnsi="Arial" w:cs="Arial"/>
          <w:b/>
          <w:bCs/>
          <w:i/>
          <w:iCs/>
          <w:color w:val="706F6F"/>
          <w:sz w:val="18"/>
          <w:szCs w:val="24"/>
        </w:rPr>
        <w:t>, 2020</w:t>
      </w:r>
    </w:p>
    <w:p w14:paraId="40B529E3" w14:textId="1D6B4F36" w:rsidR="00EC5E35" w:rsidRDefault="00EC5E35" w:rsidP="00B6215B">
      <w:pPr>
        <w:spacing w:after="0" w:line="240" w:lineRule="atLeast"/>
        <w:ind w:left="-567"/>
        <w:jc w:val="center"/>
        <w:rPr>
          <w:rFonts w:ascii="Arial" w:hAnsi="Arial" w:cs="Arial"/>
          <w:b/>
          <w:bCs/>
          <w:i/>
          <w:iCs/>
          <w:color w:val="706F6F"/>
          <w:sz w:val="18"/>
          <w:szCs w:val="24"/>
        </w:rPr>
      </w:pPr>
    </w:p>
    <w:tbl>
      <w:tblPr>
        <w:tblW w:w="10660" w:type="dxa"/>
        <w:jc w:val="center"/>
        <w:tblCellMar>
          <w:left w:w="70" w:type="dxa"/>
          <w:right w:w="70" w:type="dxa"/>
        </w:tblCellMar>
        <w:tblLook w:val="04A0" w:firstRow="1" w:lastRow="0" w:firstColumn="1" w:lastColumn="0" w:noHBand="0" w:noVBand="1"/>
      </w:tblPr>
      <w:tblGrid>
        <w:gridCol w:w="1080"/>
        <w:gridCol w:w="1520"/>
        <w:gridCol w:w="1520"/>
        <w:gridCol w:w="1520"/>
        <w:gridCol w:w="1980"/>
        <w:gridCol w:w="1520"/>
        <w:gridCol w:w="1520"/>
      </w:tblGrid>
      <w:tr w:rsidR="009C5B66" w:rsidRPr="00B6215B" w14:paraId="22BFF3ED" w14:textId="77777777" w:rsidTr="009C5B66">
        <w:trPr>
          <w:trHeight w:val="677"/>
          <w:jc w:val="center"/>
        </w:trPr>
        <w:tc>
          <w:tcPr>
            <w:tcW w:w="1080" w:type="dxa"/>
            <w:tcBorders>
              <w:top w:val="single" w:sz="4" w:space="0" w:color="auto"/>
              <w:left w:val="single" w:sz="4" w:space="0" w:color="auto"/>
              <w:bottom w:val="single" w:sz="4" w:space="0" w:color="auto"/>
              <w:right w:val="single" w:sz="4" w:space="0" w:color="auto"/>
            </w:tcBorders>
            <w:shd w:val="clear" w:color="000000" w:fill="706F6F"/>
            <w:vAlign w:val="center"/>
            <w:hideMark/>
          </w:tcPr>
          <w:p w14:paraId="7586CF9A" w14:textId="77777777" w:rsidR="009C5B66" w:rsidRPr="00B6215B" w:rsidRDefault="009C5B66" w:rsidP="009C5B66">
            <w:pPr>
              <w:spacing w:after="0" w:line="240" w:lineRule="auto"/>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 xml:space="preserve">Entidad </w:t>
            </w:r>
            <w:r w:rsidRPr="00B6215B">
              <w:rPr>
                <w:rFonts w:ascii="Arial" w:eastAsia="Times New Roman" w:hAnsi="Arial" w:cs="Arial"/>
                <w:b/>
                <w:bCs/>
                <w:color w:val="FFFFFF"/>
                <w:sz w:val="16"/>
                <w:szCs w:val="16"/>
                <w:lang w:eastAsia="es-MX"/>
              </w:rPr>
              <w:br/>
              <w:t>federativa</w:t>
            </w:r>
          </w:p>
        </w:tc>
        <w:tc>
          <w:tcPr>
            <w:tcW w:w="1520" w:type="dxa"/>
            <w:tcBorders>
              <w:top w:val="single" w:sz="4" w:space="0" w:color="auto"/>
              <w:left w:val="nil"/>
              <w:bottom w:val="single" w:sz="4" w:space="0" w:color="auto"/>
              <w:right w:val="single" w:sz="4" w:space="0" w:color="auto"/>
            </w:tcBorders>
            <w:shd w:val="clear" w:color="000000" w:fill="706F6F"/>
            <w:vAlign w:val="center"/>
            <w:hideMark/>
          </w:tcPr>
          <w:p w14:paraId="4FD732C4" w14:textId="77777777"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Total</w:t>
            </w:r>
          </w:p>
        </w:tc>
        <w:tc>
          <w:tcPr>
            <w:tcW w:w="1520" w:type="dxa"/>
            <w:tcBorders>
              <w:top w:val="single" w:sz="4" w:space="0" w:color="auto"/>
              <w:left w:val="nil"/>
              <w:bottom w:val="single" w:sz="4" w:space="0" w:color="auto"/>
              <w:right w:val="single" w:sz="4" w:space="0" w:color="auto"/>
            </w:tcBorders>
            <w:shd w:val="clear" w:color="000000" w:fill="706F6F"/>
            <w:vAlign w:val="center"/>
          </w:tcPr>
          <w:p w14:paraId="52300F3C" w14:textId="56BC384E"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 xml:space="preserve">Licitación </w:t>
            </w:r>
            <w:r w:rsidRPr="00B6215B">
              <w:rPr>
                <w:rFonts w:ascii="Arial" w:eastAsia="Times New Roman" w:hAnsi="Arial" w:cs="Arial"/>
                <w:b/>
                <w:bCs/>
                <w:color w:val="FFFFFF"/>
                <w:sz w:val="16"/>
                <w:szCs w:val="16"/>
                <w:lang w:eastAsia="es-MX"/>
              </w:rPr>
              <w:br/>
              <w:t xml:space="preserve">pública </w:t>
            </w:r>
            <w:r w:rsidRPr="00B6215B">
              <w:rPr>
                <w:rFonts w:ascii="Arial" w:eastAsia="Times New Roman" w:hAnsi="Arial" w:cs="Arial"/>
                <w:b/>
                <w:bCs/>
                <w:color w:val="FFFFFF"/>
                <w:sz w:val="16"/>
                <w:szCs w:val="16"/>
                <w:lang w:eastAsia="es-MX"/>
              </w:rPr>
              <w:br/>
              <w:t>nacional</w:t>
            </w:r>
          </w:p>
        </w:tc>
        <w:tc>
          <w:tcPr>
            <w:tcW w:w="1520" w:type="dxa"/>
            <w:tcBorders>
              <w:top w:val="single" w:sz="4" w:space="0" w:color="auto"/>
              <w:left w:val="single" w:sz="4" w:space="0" w:color="auto"/>
              <w:bottom w:val="single" w:sz="4" w:space="0" w:color="auto"/>
              <w:right w:val="single" w:sz="4" w:space="0" w:color="auto"/>
            </w:tcBorders>
            <w:shd w:val="clear" w:color="000000" w:fill="706F6F"/>
            <w:vAlign w:val="center"/>
            <w:hideMark/>
          </w:tcPr>
          <w:p w14:paraId="0DC371BB" w14:textId="1ADD39D3"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 xml:space="preserve">Adjudicación </w:t>
            </w:r>
            <w:r w:rsidRPr="00B6215B">
              <w:rPr>
                <w:rFonts w:ascii="Arial" w:eastAsia="Times New Roman" w:hAnsi="Arial" w:cs="Arial"/>
                <w:b/>
                <w:bCs/>
                <w:color w:val="FFFFFF"/>
                <w:sz w:val="16"/>
                <w:szCs w:val="16"/>
                <w:lang w:eastAsia="es-MX"/>
              </w:rPr>
              <w:br/>
              <w:t>directa</w:t>
            </w:r>
          </w:p>
        </w:tc>
        <w:tc>
          <w:tcPr>
            <w:tcW w:w="1980" w:type="dxa"/>
            <w:tcBorders>
              <w:top w:val="single" w:sz="4" w:space="0" w:color="auto"/>
              <w:left w:val="nil"/>
              <w:bottom w:val="single" w:sz="4" w:space="0" w:color="auto"/>
              <w:right w:val="single" w:sz="4" w:space="0" w:color="auto"/>
            </w:tcBorders>
            <w:shd w:val="clear" w:color="000000" w:fill="706F6F"/>
            <w:vAlign w:val="center"/>
            <w:hideMark/>
          </w:tcPr>
          <w:p w14:paraId="1DEED553" w14:textId="77777777"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Invitación a cuando menos tres personas o invitación restringida</w:t>
            </w:r>
          </w:p>
        </w:tc>
        <w:tc>
          <w:tcPr>
            <w:tcW w:w="1520" w:type="dxa"/>
            <w:tcBorders>
              <w:top w:val="single" w:sz="4" w:space="0" w:color="auto"/>
              <w:left w:val="nil"/>
              <w:bottom w:val="single" w:sz="4" w:space="0" w:color="auto"/>
              <w:right w:val="single" w:sz="4" w:space="0" w:color="auto"/>
            </w:tcBorders>
            <w:shd w:val="clear" w:color="000000" w:fill="706F6F"/>
            <w:vAlign w:val="center"/>
            <w:hideMark/>
          </w:tcPr>
          <w:p w14:paraId="6CDD2A8E" w14:textId="77777777"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 xml:space="preserve">Licitación </w:t>
            </w:r>
            <w:r w:rsidRPr="00B6215B">
              <w:rPr>
                <w:rFonts w:ascii="Arial" w:eastAsia="Times New Roman" w:hAnsi="Arial" w:cs="Arial"/>
                <w:b/>
                <w:bCs/>
                <w:color w:val="FFFFFF"/>
                <w:sz w:val="16"/>
                <w:szCs w:val="16"/>
                <w:lang w:eastAsia="es-MX"/>
              </w:rPr>
              <w:br/>
              <w:t xml:space="preserve">pública </w:t>
            </w:r>
            <w:r w:rsidRPr="00B6215B">
              <w:rPr>
                <w:rFonts w:ascii="Arial" w:eastAsia="Times New Roman" w:hAnsi="Arial" w:cs="Arial"/>
                <w:b/>
                <w:bCs/>
                <w:color w:val="FFFFFF"/>
                <w:sz w:val="16"/>
                <w:szCs w:val="16"/>
                <w:lang w:eastAsia="es-MX"/>
              </w:rPr>
              <w:br/>
              <w:t>internacional</w:t>
            </w:r>
          </w:p>
        </w:tc>
        <w:tc>
          <w:tcPr>
            <w:tcW w:w="1520" w:type="dxa"/>
            <w:tcBorders>
              <w:top w:val="single" w:sz="4" w:space="0" w:color="auto"/>
              <w:left w:val="nil"/>
              <w:bottom w:val="single" w:sz="4" w:space="0" w:color="auto"/>
              <w:right w:val="single" w:sz="4" w:space="0" w:color="auto"/>
            </w:tcBorders>
            <w:shd w:val="clear" w:color="000000" w:fill="706F6F"/>
            <w:vAlign w:val="center"/>
            <w:hideMark/>
          </w:tcPr>
          <w:p w14:paraId="7BB67C00" w14:textId="77777777" w:rsidR="009C5B66" w:rsidRPr="00B6215B" w:rsidRDefault="009C5B66" w:rsidP="009C5B66">
            <w:pPr>
              <w:spacing w:after="0" w:line="240" w:lineRule="auto"/>
              <w:jc w:val="right"/>
              <w:rPr>
                <w:rFonts w:ascii="Arial" w:eastAsia="Times New Roman" w:hAnsi="Arial" w:cs="Arial"/>
                <w:b/>
                <w:bCs/>
                <w:color w:val="FFFFFF"/>
                <w:sz w:val="16"/>
                <w:szCs w:val="16"/>
                <w:lang w:eastAsia="es-MX"/>
              </w:rPr>
            </w:pPr>
            <w:r w:rsidRPr="00B6215B">
              <w:rPr>
                <w:rFonts w:ascii="Arial" w:eastAsia="Times New Roman" w:hAnsi="Arial" w:cs="Arial"/>
                <w:b/>
                <w:bCs/>
                <w:color w:val="FFFFFF"/>
                <w:sz w:val="16"/>
                <w:szCs w:val="16"/>
                <w:lang w:eastAsia="es-MX"/>
              </w:rPr>
              <w:t>Otro</w:t>
            </w:r>
          </w:p>
        </w:tc>
      </w:tr>
      <w:tr w:rsidR="009C5B66" w:rsidRPr="00B6215B" w14:paraId="5952DECB"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38FDA28A"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CDMX</w:t>
            </w:r>
          </w:p>
        </w:tc>
        <w:tc>
          <w:tcPr>
            <w:tcW w:w="1520" w:type="dxa"/>
            <w:tcBorders>
              <w:top w:val="nil"/>
              <w:left w:val="nil"/>
              <w:bottom w:val="single" w:sz="4" w:space="0" w:color="auto"/>
              <w:right w:val="single" w:sz="4" w:space="0" w:color="auto"/>
            </w:tcBorders>
            <w:shd w:val="clear" w:color="000000" w:fill="8C1B67"/>
            <w:noWrap/>
            <w:vAlign w:val="center"/>
            <w:hideMark/>
          </w:tcPr>
          <w:p w14:paraId="755160F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37 780 887 083</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63F83EF2" w14:textId="0DC8ED5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8 956 062 948</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4E0300CF" w14:textId="0487FBD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23 790 613 281</w:t>
            </w:r>
          </w:p>
        </w:tc>
        <w:tc>
          <w:tcPr>
            <w:tcW w:w="1980" w:type="dxa"/>
            <w:tcBorders>
              <w:top w:val="nil"/>
              <w:left w:val="nil"/>
              <w:bottom w:val="single" w:sz="4" w:space="0" w:color="auto"/>
              <w:right w:val="single" w:sz="4" w:space="0" w:color="auto"/>
            </w:tcBorders>
            <w:shd w:val="clear" w:color="auto" w:fill="CE941F"/>
            <w:noWrap/>
            <w:vAlign w:val="center"/>
            <w:hideMark/>
          </w:tcPr>
          <w:p w14:paraId="6442EDD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1 345 585 400</w:t>
            </w:r>
          </w:p>
        </w:tc>
        <w:tc>
          <w:tcPr>
            <w:tcW w:w="1520" w:type="dxa"/>
            <w:tcBorders>
              <w:top w:val="nil"/>
              <w:left w:val="nil"/>
              <w:bottom w:val="single" w:sz="4" w:space="0" w:color="auto"/>
              <w:right w:val="single" w:sz="4" w:space="0" w:color="auto"/>
            </w:tcBorders>
            <w:shd w:val="clear" w:color="auto" w:fill="F7BFD8"/>
            <w:noWrap/>
            <w:vAlign w:val="center"/>
            <w:hideMark/>
          </w:tcPr>
          <w:p w14:paraId="51EBF413"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w:t>
            </w:r>
          </w:p>
        </w:tc>
        <w:tc>
          <w:tcPr>
            <w:tcW w:w="1520" w:type="dxa"/>
            <w:tcBorders>
              <w:top w:val="nil"/>
              <w:left w:val="nil"/>
              <w:bottom w:val="single" w:sz="4" w:space="0" w:color="auto"/>
              <w:right w:val="single" w:sz="4" w:space="0" w:color="auto"/>
            </w:tcBorders>
            <w:shd w:val="clear" w:color="000000" w:fill="DBD7D8"/>
            <w:noWrap/>
            <w:vAlign w:val="center"/>
            <w:hideMark/>
          </w:tcPr>
          <w:p w14:paraId="63FF6F0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3 688 625 455</w:t>
            </w:r>
          </w:p>
        </w:tc>
      </w:tr>
      <w:tr w:rsidR="009C5B66" w:rsidRPr="00B6215B" w14:paraId="1625497C"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B39F2A1"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JAL</w:t>
            </w:r>
          </w:p>
        </w:tc>
        <w:tc>
          <w:tcPr>
            <w:tcW w:w="1520" w:type="dxa"/>
            <w:tcBorders>
              <w:top w:val="nil"/>
              <w:left w:val="nil"/>
              <w:bottom w:val="single" w:sz="4" w:space="0" w:color="auto"/>
              <w:right w:val="single" w:sz="4" w:space="0" w:color="auto"/>
            </w:tcBorders>
            <w:shd w:val="clear" w:color="000000" w:fill="8C1B67"/>
            <w:noWrap/>
            <w:vAlign w:val="center"/>
            <w:hideMark/>
          </w:tcPr>
          <w:p w14:paraId="591DDF02"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17 114 564 268</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4E28BBD3" w14:textId="7045F6BF"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9 567 360 688</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6A01255E" w14:textId="5C1946EE"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1 039 943 330</w:t>
            </w:r>
          </w:p>
        </w:tc>
        <w:tc>
          <w:tcPr>
            <w:tcW w:w="1980" w:type="dxa"/>
            <w:tcBorders>
              <w:top w:val="nil"/>
              <w:left w:val="nil"/>
              <w:bottom w:val="single" w:sz="4" w:space="0" w:color="auto"/>
              <w:right w:val="single" w:sz="4" w:space="0" w:color="auto"/>
            </w:tcBorders>
            <w:shd w:val="clear" w:color="auto" w:fill="CE941F"/>
            <w:noWrap/>
            <w:vAlign w:val="center"/>
            <w:hideMark/>
          </w:tcPr>
          <w:p w14:paraId="49037897"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2 612 387 842</w:t>
            </w:r>
          </w:p>
        </w:tc>
        <w:tc>
          <w:tcPr>
            <w:tcW w:w="1520" w:type="dxa"/>
            <w:tcBorders>
              <w:top w:val="nil"/>
              <w:left w:val="nil"/>
              <w:bottom w:val="single" w:sz="4" w:space="0" w:color="auto"/>
              <w:right w:val="single" w:sz="4" w:space="0" w:color="auto"/>
            </w:tcBorders>
            <w:shd w:val="clear" w:color="auto" w:fill="F7BFD8"/>
            <w:noWrap/>
            <w:vAlign w:val="center"/>
            <w:hideMark/>
          </w:tcPr>
          <w:p w14:paraId="267DC81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auto" w:fill="DBD7D8"/>
            <w:noWrap/>
            <w:vAlign w:val="center"/>
            <w:hideMark/>
          </w:tcPr>
          <w:p w14:paraId="4271786A"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3 894 872 408</w:t>
            </w:r>
          </w:p>
        </w:tc>
      </w:tr>
      <w:tr w:rsidR="009C5B66" w:rsidRPr="00B6215B" w14:paraId="2EA39715"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2F80DEC2"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MEX</w:t>
            </w:r>
          </w:p>
        </w:tc>
        <w:tc>
          <w:tcPr>
            <w:tcW w:w="1520" w:type="dxa"/>
            <w:tcBorders>
              <w:top w:val="nil"/>
              <w:left w:val="nil"/>
              <w:bottom w:val="single" w:sz="4" w:space="0" w:color="auto"/>
              <w:right w:val="single" w:sz="4" w:space="0" w:color="auto"/>
            </w:tcBorders>
            <w:shd w:val="clear" w:color="000000" w:fill="8C1B67"/>
            <w:noWrap/>
            <w:vAlign w:val="center"/>
            <w:hideMark/>
          </w:tcPr>
          <w:p w14:paraId="7DEE819A"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14 305 870 949</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0A99AD82" w14:textId="4717FCEA"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9 181 606 970</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41EEFBF0" w14:textId="650C60A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5 115 242 775</w:t>
            </w:r>
          </w:p>
        </w:tc>
        <w:tc>
          <w:tcPr>
            <w:tcW w:w="1980" w:type="dxa"/>
            <w:tcBorders>
              <w:top w:val="nil"/>
              <w:left w:val="nil"/>
              <w:bottom w:val="single" w:sz="4" w:space="0" w:color="auto"/>
              <w:right w:val="single" w:sz="4" w:space="0" w:color="auto"/>
            </w:tcBorders>
            <w:shd w:val="clear" w:color="auto" w:fill="CE941F"/>
            <w:noWrap/>
            <w:vAlign w:val="center"/>
            <w:hideMark/>
          </w:tcPr>
          <w:p w14:paraId="0843FDE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9 021 203</w:t>
            </w:r>
          </w:p>
        </w:tc>
        <w:tc>
          <w:tcPr>
            <w:tcW w:w="1520" w:type="dxa"/>
            <w:tcBorders>
              <w:top w:val="nil"/>
              <w:left w:val="nil"/>
              <w:bottom w:val="single" w:sz="4" w:space="0" w:color="auto"/>
              <w:right w:val="single" w:sz="4" w:space="0" w:color="auto"/>
            </w:tcBorders>
            <w:shd w:val="clear" w:color="auto" w:fill="F7BFD8"/>
            <w:noWrap/>
            <w:vAlign w:val="center"/>
            <w:hideMark/>
          </w:tcPr>
          <w:p w14:paraId="1FC3286F"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auto" w:fill="DBD7D8"/>
            <w:noWrap/>
            <w:vAlign w:val="center"/>
            <w:hideMark/>
          </w:tcPr>
          <w:p w14:paraId="1CF2EE1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7391FD23"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4E7CE1B"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VER</w:t>
            </w:r>
          </w:p>
        </w:tc>
        <w:tc>
          <w:tcPr>
            <w:tcW w:w="1520" w:type="dxa"/>
            <w:tcBorders>
              <w:top w:val="nil"/>
              <w:left w:val="nil"/>
              <w:bottom w:val="single" w:sz="4" w:space="0" w:color="auto"/>
              <w:right w:val="single" w:sz="4" w:space="0" w:color="auto"/>
            </w:tcBorders>
            <w:shd w:val="clear" w:color="000000" w:fill="8C1B67"/>
            <w:noWrap/>
            <w:vAlign w:val="center"/>
            <w:hideMark/>
          </w:tcPr>
          <w:p w14:paraId="5BDAB49A"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12 141 664 534</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692BBA0" w14:textId="7E4E7CD6"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3 192 369 621</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704F6D21" w14:textId="3800B919"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6 676 996 608</w:t>
            </w:r>
          </w:p>
        </w:tc>
        <w:tc>
          <w:tcPr>
            <w:tcW w:w="1980" w:type="dxa"/>
            <w:tcBorders>
              <w:top w:val="nil"/>
              <w:left w:val="nil"/>
              <w:bottom w:val="single" w:sz="4" w:space="0" w:color="auto"/>
              <w:right w:val="single" w:sz="4" w:space="0" w:color="auto"/>
            </w:tcBorders>
            <w:shd w:val="clear" w:color="000000" w:fill="CE941F"/>
            <w:noWrap/>
            <w:vAlign w:val="center"/>
            <w:hideMark/>
          </w:tcPr>
          <w:p w14:paraId="321A8E7D"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1 563 937 404</w:t>
            </w:r>
          </w:p>
        </w:tc>
        <w:tc>
          <w:tcPr>
            <w:tcW w:w="1520" w:type="dxa"/>
            <w:tcBorders>
              <w:top w:val="nil"/>
              <w:left w:val="nil"/>
              <w:bottom w:val="single" w:sz="4" w:space="0" w:color="auto"/>
              <w:right w:val="single" w:sz="4" w:space="0" w:color="auto"/>
            </w:tcBorders>
            <w:shd w:val="clear" w:color="auto" w:fill="F7BFD8"/>
            <w:noWrap/>
            <w:vAlign w:val="center"/>
            <w:hideMark/>
          </w:tcPr>
          <w:p w14:paraId="081B166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auto" w:fill="DBD7D8"/>
            <w:noWrap/>
            <w:vAlign w:val="center"/>
            <w:hideMark/>
          </w:tcPr>
          <w:p w14:paraId="12376E5F"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708 360 902</w:t>
            </w:r>
          </w:p>
        </w:tc>
      </w:tr>
      <w:tr w:rsidR="009C5B66" w:rsidRPr="00B6215B" w14:paraId="4298BEE7"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42A9249F"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CHIH</w:t>
            </w:r>
          </w:p>
        </w:tc>
        <w:tc>
          <w:tcPr>
            <w:tcW w:w="1520" w:type="dxa"/>
            <w:tcBorders>
              <w:top w:val="nil"/>
              <w:left w:val="nil"/>
              <w:bottom w:val="single" w:sz="4" w:space="0" w:color="auto"/>
              <w:right w:val="single" w:sz="4" w:space="0" w:color="auto"/>
            </w:tcBorders>
            <w:shd w:val="clear" w:color="000000" w:fill="8C1B67"/>
            <w:noWrap/>
            <w:vAlign w:val="center"/>
            <w:hideMark/>
          </w:tcPr>
          <w:p w14:paraId="6DEEB9CE"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11 337 168 642</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7EE68965" w14:textId="24182A29"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7 328 383 780</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7A5B1010" w14:textId="6B5B918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3 937 199 361</w:t>
            </w:r>
          </w:p>
        </w:tc>
        <w:tc>
          <w:tcPr>
            <w:tcW w:w="1980" w:type="dxa"/>
            <w:tcBorders>
              <w:top w:val="nil"/>
              <w:left w:val="nil"/>
              <w:bottom w:val="single" w:sz="4" w:space="0" w:color="auto"/>
              <w:right w:val="single" w:sz="4" w:space="0" w:color="auto"/>
            </w:tcBorders>
            <w:shd w:val="clear" w:color="000000" w:fill="CE941F"/>
            <w:noWrap/>
            <w:vAlign w:val="center"/>
            <w:hideMark/>
          </w:tcPr>
          <w:p w14:paraId="12843C50"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41 797 082</w:t>
            </w:r>
          </w:p>
        </w:tc>
        <w:tc>
          <w:tcPr>
            <w:tcW w:w="1520" w:type="dxa"/>
            <w:tcBorders>
              <w:top w:val="nil"/>
              <w:left w:val="nil"/>
              <w:bottom w:val="single" w:sz="4" w:space="0" w:color="auto"/>
              <w:right w:val="single" w:sz="4" w:space="0" w:color="auto"/>
            </w:tcBorders>
            <w:shd w:val="clear" w:color="auto" w:fill="F7BFD8"/>
            <w:noWrap/>
            <w:vAlign w:val="center"/>
            <w:hideMark/>
          </w:tcPr>
          <w:p w14:paraId="0B9D88B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29 788 419</w:t>
            </w:r>
          </w:p>
        </w:tc>
        <w:tc>
          <w:tcPr>
            <w:tcW w:w="1520" w:type="dxa"/>
            <w:tcBorders>
              <w:top w:val="nil"/>
              <w:left w:val="nil"/>
              <w:bottom w:val="single" w:sz="4" w:space="0" w:color="auto"/>
              <w:right w:val="single" w:sz="4" w:space="0" w:color="auto"/>
            </w:tcBorders>
            <w:shd w:val="clear" w:color="auto" w:fill="DBD7D8"/>
            <w:noWrap/>
            <w:vAlign w:val="center"/>
            <w:hideMark/>
          </w:tcPr>
          <w:p w14:paraId="359224C1"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457E4A57"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78E085FF"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PUE</w:t>
            </w:r>
          </w:p>
        </w:tc>
        <w:tc>
          <w:tcPr>
            <w:tcW w:w="1520" w:type="dxa"/>
            <w:tcBorders>
              <w:top w:val="nil"/>
              <w:left w:val="nil"/>
              <w:bottom w:val="single" w:sz="4" w:space="0" w:color="auto"/>
              <w:right w:val="single" w:sz="4" w:space="0" w:color="auto"/>
            </w:tcBorders>
            <w:shd w:val="clear" w:color="000000" w:fill="8C1B67"/>
            <w:noWrap/>
            <w:vAlign w:val="center"/>
            <w:hideMark/>
          </w:tcPr>
          <w:p w14:paraId="58817EEC"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7 589 545 575</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2C3009AB" w14:textId="4E1629A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3 292 454 007</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7AEF042A" w14:textId="79B700CD"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1 218 105 523</w:t>
            </w:r>
          </w:p>
        </w:tc>
        <w:tc>
          <w:tcPr>
            <w:tcW w:w="1980" w:type="dxa"/>
            <w:tcBorders>
              <w:top w:val="nil"/>
              <w:left w:val="nil"/>
              <w:bottom w:val="single" w:sz="4" w:space="0" w:color="auto"/>
              <w:right w:val="single" w:sz="4" w:space="0" w:color="auto"/>
            </w:tcBorders>
            <w:shd w:val="clear" w:color="000000" w:fill="CE941F"/>
            <w:noWrap/>
            <w:vAlign w:val="center"/>
            <w:hideMark/>
          </w:tcPr>
          <w:p w14:paraId="3E7FB6B2"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1 330 804 748</w:t>
            </w:r>
          </w:p>
        </w:tc>
        <w:tc>
          <w:tcPr>
            <w:tcW w:w="1520" w:type="dxa"/>
            <w:tcBorders>
              <w:top w:val="nil"/>
              <w:left w:val="nil"/>
              <w:bottom w:val="single" w:sz="4" w:space="0" w:color="auto"/>
              <w:right w:val="single" w:sz="4" w:space="0" w:color="auto"/>
            </w:tcBorders>
            <w:shd w:val="clear" w:color="000000" w:fill="F7BFD8"/>
            <w:noWrap/>
            <w:vAlign w:val="center"/>
            <w:hideMark/>
          </w:tcPr>
          <w:p w14:paraId="795D590E"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auto" w:fill="DBD7D8"/>
            <w:noWrap/>
            <w:vAlign w:val="center"/>
            <w:hideMark/>
          </w:tcPr>
          <w:p w14:paraId="0D2E54F7"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1 748 181 296</w:t>
            </w:r>
          </w:p>
        </w:tc>
      </w:tr>
      <w:tr w:rsidR="009C5B66" w:rsidRPr="00B6215B" w14:paraId="5E1D0BEB"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18F6D7CE"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HGO</w:t>
            </w:r>
          </w:p>
        </w:tc>
        <w:tc>
          <w:tcPr>
            <w:tcW w:w="1520" w:type="dxa"/>
            <w:tcBorders>
              <w:top w:val="nil"/>
              <w:left w:val="nil"/>
              <w:bottom w:val="single" w:sz="4" w:space="0" w:color="auto"/>
              <w:right w:val="single" w:sz="4" w:space="0" w:color="auto"/>
            </w:tcBorders>
            <w:shd w:val="clear" w:color="000000" w:fill="8C1B67"/>
            <w:noWrap/>
            <w:vAlign w:val="center"/>
            <w:hideMark/>
          </w:tcPr>
          <w:p w14:paraId="50C1B866"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7 460 839 417</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0DFC2F5A" w14:textId="4348E5CD"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5 443 839 584</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2CC1498" w14:textId="23103649"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1 711 823 842</w:t>
            </w:r>
          </w:p>
        </w:tc>
        <w:tc>
          <w:tcPr>
            <w:tcW w:w="1980" w:type="dxa"/>
            <w:tcBorders>
              <w:top w:val="nil"/>
              <w:left w:val="nil"/>
              <w:bottom w:val="single" w:sz="4" w:space="0" w:color="auto"/>
              <w:right w:val="single" w:sz="4" w:space="0" w:color="auto"/>
            </w:tcBorders>
            <w:shd w:val="clear" w:color="000000" w:fill="CE941F"/>
            <w:noWrap/>
            <w:vAlign w:val="center"/>
            <w:hideMark/>
          </w:tcPr>
          <w:p w14:paraId="5A3EE88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121 137 097</w:t>
            </w:r>
          </w:p>
        </w:tc>
        <w:tc>
          <w:tcPr>
            <w:tcW w:w="1520" w:type="dxa"/>
            <w:tcBorders>
              <w:top w:val="nil"/>
              <w:left w:val="nil"/>
              <w:bottom w:val="single" w:sz="4" w:space="0" w:color="auto"/>
              <w:right w:val="single" w:sz="4" w:space="0" w:color="auto"/>
            </w:tcBorders>
            <w:shd w:val="clear" w:color="000000" w:fill="F7BFD8"/>
            <w:noWrap/>
            <w:vAlign w:val="center"/>
            <w:hideMark/>
          </w:tcPr>
          <w:p w14:paraId="222A7FA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127 681 116</w:t>
            </w:r>
          </w:p>
        </w:tc>
        <w:tc>
          <w:tcPr>
            <w:tcW w:w="1520" w:type="dxa"/>
            <w:tcBorders>
              <w:top w:val="nil"/>
              <w:left w:val="nil"/>
              <w:bottom w:val="single" w:sz="4" w:space="0" w:color="auto"/>
              <w:right w:val="single" w:sz="4" w:space="0" w:color="auto"/>
            </w:tcBorders>
            <w:shd w:val="clear" w:color="auto" w:fill="DBD7D8"/>
            <w:noWrap/>
            <w:vAlign w:val="center"/>
            <w:hideMark/>
          </w:tcPr>
          <w:p w14:paraId="536ED638"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56 357 777</w:t>
            </w:r>
          </w:p>
        </w:tc>
      </w:tr>
      <w:tr w:rsidR="009C5B66" w:rsidRPr="00B6215B" w14:paraId="6C989E87"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1B5F0D97"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GTO</w:t>
            </w:r>
          </w:p>
        </w:tc>
        <w:tc>
          <w:tcPr>
            <w:tcW w:w="1520" w:type="dxa"/>
            <w:tcBorders>
              <w:top w:val="nil"/>
              <w:left w:val="nil"/>
              <w:bottom w:val="single" w:sz="4" w:space="0" w:color="auto"/>
              <w:right w:val="single" w:sz="4" w:space="0" w:color="auto"/>
            </w:tcBorders>
            <w:shd w:val="clear" w:color="000000" w:fill="8C1B67"/>
            <w:noWrap/>
            <w:vAlign w:val="center"/>
            <w:hideMark/>
          </w:tcPr>
          <w:p w14:paraId="28991DD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6 841 603 151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2EBEF54" w14:textId="5EA4C62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4 407 862 693</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1519AB1A" w14:textId="3EC1A33D"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1 996 338 788</w:t>
            </w:r>
          </w:p>
        </w:tc>
        <w:tc>
          <w:tcPr>
            <w:tcW w:w="1980" w:type="dxa"/>
            <w:tcBorders>
              <w:top w:val="nil"/>
              <w:left w:val="nil"/>
              <w:bottom w:val="single" w:sz="4" w:space="0" w:color="auto"/>
              <w:right w:val="single" w:sz="4" w:space="0" w:color="auto"/>
            </w:tcBorders>
            <w:shd w:val="clear" w:color="000000" w:fill="CE941F"/>
            <w:noWrap/>
            <w:vAlign w:val="center"/>
            <w:hideMark/>
          </w:tcPr>
          <w:p w14:paraId="14C5C590"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326 539 547</w:t>
            </w:r>
          </w:p>
        </w:tc>
        <w:tc>
          <w:tcPr>
            <w:tcW w:w="1520" w:type="dxa"/>
            <w:tcBorders>
              <w:top w:val="nil"/>
              <w:left w:val="nil"/>
              <w:bottom w:val="single" w:sz="4" w:space="0" w:color="auto"/>
              <w:right w:val="single" w:sz="4" w:space="0" w:color="auto"/>
            </w:tcBorders>
            <w:shd w:val="clear" w:color="000000" w:fill="F7BFD8"/>
            <w:noWrap/>
            <w:vAlign w:val="center"/>
            <w:hideMark/>
          </w:tcPr>
          <w:p w14:paraId="58FE7945"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000000" w:fill="DBD7D8"/>
            <w:noWrap/>
            <w:vAlign w:val="center"/>
            <w:hideMark/>
          </w:tcPr>
          <w:p w14:paraId="357F381E"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110 862 124</w:t>
            </w:r>
          </w:p>
        </w:tc>
      </w:tr>
      <w:tr w:rsidR="009C5B66" w:rsidRPr="00B6215B" w14:paraId="3ECFE284"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360693C2"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YUC</w:t>
            </w:r>
          </w:p>
        </w:tc>
        <w:tc>
          <w:tcPr>
            <w:tcW w:w="1520" w:type="dxa"/>
            <w:tcBorders>
              <w:top w:val="nil"/>
              <w:left w:val="nil"/>
              <w:bottom w:val="single" w:sz="4" w:space="0" w:color="auto"/>
              <w:right w:val="single" w:sz="4" w:space="0" w:color="auto"/>
            </w:tcBorders>
            <w:shd w:val="clear" w:color="000000" w:fill="8C1B67"/>
            <w:noWrap/>
            <w:vAlign w:val="center"/>
            <w:hideMark/>
          </w:tcPr>
          <w:p w14:paraId="355F56EA"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6 013 813 350</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353E6A2" w14:textId="7252E0D1"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3 511 396 577</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259615E4" w14:textId="0FAAC0D4"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2 438 874 837</w:t>
            </w:r>
          </w:p>
        </w:tc>
        <w:tc>
          <w:tcPr>
            <w:tcW w:w="1980" w:type="dxa"/>
            <w:tcBorders>
              <w:top w:val="nil"/>
              <w:left w:val="nil"/>
              <w:bottom w:val="single" w:sz="4" w:space="0" w:color="auto"/>
              <w:right w:val="single" w:sz="4" w:space="0" w:color="auto"/>
            </w:tcBorders>
            <w:shd w:val="clear" w:color="000000" w:fill="CE941F"/>
            <w:noWrap/>
            <w:vAlign w:val="center"/>
            <w:hideMark/>
          </w:tcPr>
          <w:p w14:paraId="09D29F3A"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63 541 936</w:t>
            </w:r>
          </w:p>
        </w:tc>
        <w:tc>
          <w:tcPr>
            <w:tcW w:w="1520" w:type="dxa"/>
            <w:tcBorders>
              <w:top w:val="nil"/>
              <w:left w:val="nil"/>
              <w:bottom w:val="single" w:sz="4" w:space="0" w:color="auto"/>
              <w:right w:val="single" w:sz="4" w:space="0" w:color="auto"/>
            </w:tcBorders>
            <w:shd w:val="clear" w:color="000000" w:fill="F7BFD8"/>
            <w:noWrap/>
            <w:vAlign w:val="center"/>
            <w:hideMark/>
          </w:tcPr>
          <w:p w14:paraId="76754C8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0D061E95"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297820D4"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4831B81F"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SON</w:t>
            </w:r>
          </w:p>
        </w:tc>
        <w:tc>
          <w:tcPr>
            <w:tcW w:w="1520" w:type="dxa"/>
            <w:tcBorders>
              <w:top w:val="nil"/>
              <w:left w:val="nil"/>
              <w:bottom w:val="single" w:sz="4" w:space="0" w:color="auto"/>
              <w:right w:val="single" w:sz="4" w:space="0" w:color="auto"/>
            </w:tcBorders>
            <w:shd w:val="clear" w:color="000000" w:fill="8C1B67"/>
            <w:noWrap/>
            <w:vAlign w:val="center"/>
            <w:hideMark/>
          </w:tcPr>
          <w:p w14:paraId="367152C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4 477 213 667</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2E3A8892" w14:textId="7087AE8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2 630 214 289</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480999E" w14:textId="31D98095"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610 764 981</w:t>
            </w:r>
          </w:p>
        </w:tc>
        <w:tc>
          <w:tcPr>
            <w:tcW w:w="1980" w:type="dxa"/>
            <w:tcBorders>
              <w:top w:val="nil"/>
              <w:left w:val="nil"/>
              <w:bottom w:val="single" w:sz="4" w:space="0" w:color="auto"/>
              <w:right w:val="single" w:sz="4" w:space="0" w:color="auto"/>
            </w:tcBorders>
            <w:shd w:val="clear" w:color="000000" w:fill="CE941F"/>
            <w:noWrap/>
            <w:vAlign w:val="center"/>
            <w:hideMark/>
          </w:tcPr>
          <w:p w14:paraId="449224A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224 621 222</w:t>
            </w:r>
          </w:p>
        </w:tc>
        <w:tc>
          <w:tcPr>
            <w:tcW w:w="1520" w:type="dxa"/>
            <w:tcBorders>
              <w:top w:val="nil"/>
              <w:left w:val="nil"/>
              <w:bottom w:val="single" w:sz="4" w:space="0" w:color="auto"/>
              <w:right w:val="single" w:sz="4" w:space="0" w:color="auto"/>
            </w:tcBorders>
            <w:shd w:val="clear" w:color="000000" w:fill="F7BFD8"/>
            <w:noWrap/>
            <w:vAlign w:val="center"/>
            <w:hideMark/>
          </w:tcPr>
          <w:p w14:paraId="0CB71587"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000000" w:fill="DBD7D8"/>
            <w:noWrap/>
            <w:vAlign w:val="center"/>
            <w:hideMark/>
          </w:tcPr>
          <w:p w14:paraId="66C1878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1 011 613 175</w:t>
            </w:r>
          </w:p>
        </w:tc>
      </w:tr>
      <w:tr w:rsidR="009C5B66" w:rsidRPr="00B6215B" w14:paraId="2C91A135"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00902B01"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MICH</w:t>
            </w:r>
          </w:p>
        </w:tc>
        <w:tc>
          <w:tcPr>
            <w:tcW w:w="1520" w:type="dxa"/>
            <w:tcBorders>
              <w:top w:val="nil"/>
              <w:left w:val="nil"/>
              <w:bottom w:val="single" w:sz="4" w:space="0" w:color="auto"/>
              <w:right w:val="single" w:sz="4" w:space="0" w:color="auto"/>
            </w:tcBorders>
            <w:shd w:val="clear" w:color="000000" w:fill="8C1B67"/>
            <w:noWrap/>
            <w:vAlign w:val="center"/>
            <w:hideMark/>
          </w:tcPr>
          <w:p w14:paraId="35CE6B8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3 963 835 672</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7A79844" w14:textId="203F73F2"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3 465 905 178</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4AFEF8CC" w14:textId="66B9171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287 735 284</w:t>
            </w:r>
          </w:p>
        </w:tc>
        <w:tc>
          <w:tcPr>
            <w:tcW w:w="1980" w:type="dxa"/>
            <w:tcBorders>
              <w:top w:val="nil"/>
              <w:left w:val="nil"/>
              <w:bottom w:val="single" w:sz="4" w:space="0" w:color="auto"/>
              <w:right w:val="single" w:sz="4" w:space="0" w:color="auto"/>
            </w:tcBorders>
            <w:shd w:val="clear" w:color="000000" w:fill="CE941F"/>
            <w:noWrap/>
            <w:vAlign w:val="center"/>
            <w:hideMark/>
          </w:tcPr>
          <w:p w14:paraId="329B939C"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210 195 210</w:t>
            </w:r>
          </w:p>
        </w:tc>
        <w:tc>
          <w:tcPr>
            <w:tcW w:w="1520" w:type="dxa"/>
            <w:tcBorders>
              <w:top w:val="nil"/>
              <w:left w:val="nil"/>
              <w:bottom w:val="single" w:sz="4" w:space="0" w:color="auto"/>
              <w:right w:val="single" w:sz="4" w:space="0" w:color="auto"/>
            </w:tcBorders>
            <w:shd w:val="clear" w:color="000000" w:fill="F7BFD8"/>
            <w:noWrap/>
            <w:vAlign w:val="center"/>
            <w:hideMark/>
          </w:tcPr>
          <w:p w14:paraId="1B2300D1"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000000" w:fill="DBD7D8"/>
            <w:noWrap/>
            <w:vAlign w:val="center"/>
            <w:hideMark/>
          </w:tcPr>
          <w:p w14:paraId="28E321BA"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1A660BAD" w14:textId="77777777" w:rsidTr="009C5B66">
        <w:trPr>
          <w:trHeight w:val="270"/>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69E2306A"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BC</w:t>
            </w:r>
          </w:p>
        </w:tc>
        <w:tc>
          <w:tcPr>
            <w:tcW w:w="1520" w:type="dxa"/>
            <w:tcBorders>
              <w:top w:val="nil"/>
              <w:left w:val="nil"/>
              <w:bottom w:val="single" w:sz="4" w:space="0" w:color="auto"/>
              <w:right w:val="single" w:sz="4" w:space="0" w:color="auto"/>
            </w:tcBorders>
            <w:shd w:val="clear" w:color="000000" w:fill="8C1B67"/>
            <w:noWrap/>
            <w:vAlign w:val="center"/>
            <w:hideMark/>
          </w:tcPr>
          <w:p w14:paraId="25683B42"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3 952 546 936</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20A3459" w14:textId="3D4FCAFA"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876 832 830</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2AB62A45" w14:textId="56E2CC2E"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1 756 000 372</w:t>
            </w:r>
          </w:p>
        </w:tc>
        <w:tc>
          <w:tcPr>
            <w:tcW w:w="1980" w:type="dxa"/>
            <w:tcBorders>
              <w:top w:val="nil"/>
              <w:left w:val="nil"/>
              <w:bottom w:val="single" w:sz="4" w:space="0" w:color="auto"/>
              <w:right w:val="single" w:sz="4" w:space="0" w:color="auto"/>
            </w:tcBorders>
            <w:shd w:val="clear" w:color="000000" w:fill="CE941F"/>
            <w:noWrap/>
            <w:vAlign w:val="center"/>
            <w:hideMark/>
          </w:tcPr>
          <w:p w14:paraId="298063F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76 251 818</w:t>
            </w:r>
          </w:p>
        </w:tc>
        <w:tc>
          <w:tcPr>
            <w:tcW w:w="1520" w:type="dxa"/>
            <w:tcBorders>
              <w:top w:val="nil"/>
              <w:left w:val="nil"/>
              <w:bottom w:val="single" w:sz="4" w:space="0" w:color="auto"/>
              <w:right w:val="single" w:sz="4" w:space="0" w:color="auto"/>
            </w:tcBorders>
            <w:shd w:val="clear" w:color="000000" w:fill="F7BFD8"/>
            <w:noWrap/>
            <w:vAlign w:val="center"/>
            <w:hideMark/>
          </w:tcPr>
          <w:p w14:paraId="4ADFBCCA"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112 472 673</w:t>
            </w:r>
          </w:p>
        </w:tc>
        <w:tc>
          <w:tcPr>
            <w:tcW w:w="1520" w:type="dxa"/>
            <w:tcBorders>
              <w:top w:val="nil"/>
              <w:left w:val="nil"/>
              <w:bottom w:val="single" w:sz="4" w:space="0" w:color="auto"/>
              <w:right w:val="single" w:sz="4" w:space="0" w:color="auto"/>
            </w:tcBorders>
            <w:shd w:val="clear" w:color="000000" w:fill="DBD7D8"/>
            <w:noWrap/>
            <w:vAlign w:val="center"/>
            <w:hideMark/>
          </w:tcPr>
          <w:p w14:paraId="045A61C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1 130 989 243</w:t>
            </w:r>
          </w:p>
        </w:tc>
      </w:tr>
      <w:tr w:rsidR="009C5B66" w:rsidRPr="00B6215B" w14:paraId="19063346"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7DAB367"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NL</w:t>
            </w:r>
          </w:p>
        </w:tc>
        <w:tc>
          <w:tcPr>
            <w:tcW w:w="1520" w:type="dxa"/>
            <w:tcBorders>
              <w:top w:val="nil"/>
              <w:left w:val="nil"/>
              <w:bottom w:val="single" w:sz="4" w:space="0" w:color="auto"/>
              <w:right w:val="single" w:sz="4" w:space="0" w:color="auto"/>
            </w:tcBorders>
            <w:shd w:val="clear" w:color="000000" w:fill="8C1B67"/>
            <w:noWrap/>
            <w:vAlign w:val="center"/>
            <w:hideMark/>
          </w:tcPr>
          <w:p w14:paraId="7C216229"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3 824 212 532</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4DE840AF" w14:textId="392ABE46"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1 888 076 505</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27BFC6BE" w14:textId="3D1BDA4A"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965 626 026</w:t>
            </w:r>
          </w:p>
        </w:tc>
        <w:tc>
          <w:tcPr>
            <w:tcW w:w="1980" w:type="dxa"/>
            <w:tcBorders>
              <w:top w:val="nil"/>
              <w:left w:val="nil"/>
              <w:bottom w:val="single" w:sz="4" w:space="0" w:color="auto"/>
              <w:right w:val="single" w:sz="4" w:space="0" w:color="auto"/>
            </w:tcBorders>
            <w:shd w:val="clear" w:color="000000" w:fill="CE941F"/>
            <w:noWrap/>
            <w:vAlign w:val="center"/>
            <w:hideMark/>
          </w:tcPr>
          <w:p w14:paraId="033826A4"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196 628 215</w:t>
            </w:r>
          </w:p>
        </w:tc>
        <w:tc>
          <w:tcPr>
            <w:tcW w:w="1520" w:type="dxa"/>
            <w:tcBorders>
              <w:top w:val="nil"/>
              <w:left w:val="nil"/>
              <w:bottom w:val="single" w:sz="4" w:space="0" w:color="auto"/>
              <w:right w:val="single" w:sz="4" w:space="0" w:color="auto"/>
            </w:tcBorders>
            <w:shd w:val="clear" w:color="000000" w:fill="F7BFD8"/>
            <w:noWrap/>
            <w:vAlign w:val="center"/>
            <w:hideMark/>
          </w:tcPr>
          <w:p w14:paraId="5680DDAA"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28C497F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773 881 785</w:t>
            </w:r>
          </w:p>
        </w:tc>
      </w:tr>
      <w:tr w:rsidR="009C5B66" w:rsidRPr="00B6215B" w14:paraId="62311DFB"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1DE9D0C9"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TAMPS</w:t>
            </w:r>
          </w:p>
        </w:tc>
        <w:tc>
          <w:tcPr>
            <w:tcW w:w="1520" w:type="dxa"/>
            <w:tcBorders>
              <w:top w:val="nil"/>
              <w:left w:val="nil"/>
              <w:bottom w:val="single" w:sz="4" w:space="0" w:color="auto"/>
              <w:right w:val="single" w:sz="4" w:space="0" w:color="auto"/>
            </w:tcBorders>
            <w:shd w:val="clear" w:color="000000" w:fill="8C1B67"/>
            <w:noWrap/>
            <w:vAlign w:val="center"/>
            <w:hideMark/>
          </w:tcPr>
          <w:p w14:paraId="2DFB6605"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2 889 416 340</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2775DE49" w14:textId="37D25B06"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1 957 307 907</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20858DBC" w14:textId="325358FB"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308 442 720</w:t>
            </w:r>
          </w:p>
        </w:tc>
        <w:tc>
          <w:tcPr>
            <w:tcW w:w="1980" w:type="dxa"/>
            <w:tcBorders>
              <w:top w:val="nil"/>
              <w:left w:val="nil"/>
              <w:bottom w:val="single" w:sz="4" w:space="0" w:color="auto"/>
              <w:right w:val="single" w:sz="4" w:space="0" w:color="auto"/>
            </w:tcBorders>
            <w:shd w:val="clear" w:color="000000" w:fill="CE941F"/>
            <w:noWrap/>
            <w:vAlign w:val="center"/>
            <w:hideMark/>
          </w:tcPr>
          <w:p w14:paraId="3E9B1673"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623 665 713</w:t>
            </w:r>
          </w:p>
        </w:tc>
        <w:tc>
          <w:tcPr>
            <w:tcW w:w="1520" w:type="dxa"/>
            <w:tcBorders>
              <w:top w:val="nil"/>
              <w:left w:val="nil"/>
              <w:bottom w:val="single" w:sz="4" w:space="0" w:color="auto"/>
              <w:right w:val="single" w:sz="4" w:space="0" w:color="auto"/>
            </w:tcBorders>
            <w:shd w:val="clear" w:color="000000" w:fill="F7BFD8"/>
            <w:noWrap/>
            <w:vAlign w:val="center"/>
            <w:hideMark/>
          </w:tcPr>
          <w:p w14:paraId="7E185BB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0783B12F"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1E2D981C"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11581215"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QROO</w:t>
            </w:r>
          </w:p>
        </w:tc>
        <w:tc>
          <w:tcPr>
            <w:tcW w:w="1520" w:type="dxa"/>
            <w:tcBorders>
              <w:top w:val="nil"/>
              <w:left w:val="nil"/>
              <w:bottom w:val="single" w:sz="4" w:space="0" w:color="auto"/>
              <w:right w:val="single" w:sz="4" w:space="0" w:color="auto"/>
            </w:tcBorders>
            <w:shd w:val="clear" w:color="000000" w:fill="8C1B67"/>
            <w:noWrap/>
            <w:vAlign w:val="center"/>
            <w:hideMark/>
          </w:tcPr>
          <w:p w14:paraId="7ABA78AE"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2 767 505 411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AAE27CF" w14:textId="1BFAB59F"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1 547 202 347</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5EB4AF3C" w14:textId="2E16039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940 296 201</w:t>
            </w:r>
          </w:p>
        </w:tc>
        <w:tc>
          <w:tcPr>
            <w:tcW w:w="1980" w:type="dxa"/>
            <w:tcBorders>
              <w:top w:val="nil"/>
              <w:left w:val="nil"/>
              <w:bottom w:val="single" w:sz="4" w:space="0" w:color="auto"/>
              <w:right w:val="single" w:sz="4" w:space="0" w:color="auto"/>
            </w:tcBorders>
            <w:shd w:val="clear" w:color="000000" w:fill="CE941F"/>
            <w:noWrap/>
            <w:vAlign w:val="center"/>
            <w:hideMark/>
          </w:tcPr>
          <w:p w14:paraId="54B36CBC"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262 470 492</w:t>
            </w:r>
          </w:p>
        </w:tc>
        <w:tc>
          <w:tcPr>
            <w:tcW w:w="1520" w:type="dxa"/>
            <w:tcBorders>
              <w:top w:val="nil"/>
              <w:left w:val="nil"/>
              <w:bottom w:val="single" w:sz="4" w:space="0" w:color="auto"/>
              <w:right w:val="single" w:sz="4" w:space="0" w:color="auto"/>
            </w:tcBorders>
            <w:shd w:val="clear" w:color="000000" w:fill="F7BFD8"/>
            <w:noWrap/>
            <w:vAlign w:val="center"/>
            <w:hideMark/>
          </w:tcPr>
          <w:p w14:paraId="1ABE32CC"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0DAF6E78"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17 536 371</w:t>
            </w:r>
          </w:p>
        </w:tc>
      </w:tr>
      <w:tr w:rsidR="009C5B66" w:rsidRPr="00B6215B" w14:paraId="083AB5DF"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6312B95"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AGS</w:t>
            </w:r>
          </w:p>
        </w:tc>
        <w:tc>
          <w:tcPr>
            <w:tcW w:w="1520" w:type="dxa"/>
            <w:tcBorders>
              <w:top w:val="nil"/>
              <w:left w:val="nil"/>
              <w:bottom w:val="single" w:sz="4" w:space="0" w:color="auto"/>
              <w:right w:val="single" w:sz="4" w:space="0" w:color="auto"/>
            </w:tcBorders>
            <w:shd w:val="clear" w:color="000000" w:fill="8C1B67"/>
            <w:noWrap/>
            <w:vAlign w:val="center"/>
            <w:hideMark/>
          </w:tcPr>
          <w:p w14:paraId="3761E2EC"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2 187 107 076</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14EEC063" w14:textId="7C165054"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1 331 316 366</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414B51E0" w14:textId="043CA214"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590 785 442</w:t>
            </w:r>
          </w:p>
        </w:tc>
        <w:tc>
          <w:tcPr>
            <w:tcW w:w="1980" w:type="dxa"/>
            <w:tcBorders>
              <w:top w:val="nil"/>
              <w:left w:val="nil"/>
              <w:bottom w:val="single" w:sz="4" w:space="0" w:color="auto"/>
              <w:right w:val="single" w:sz="4" w:space="0" w:color="auto"/>
            </w:tcBorders>
            <w:shd w:val="clear" w:color="000000" w:fill="CE941F"/>
            <w:noWrap/>
            <w:vAlign w:val="center"/>
            <w:hideMark/>
          </w:tcPr>
          <w:p w14:paraId="0190C590"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246 520 750</w:t>
            </w:r>
          </w:p>
        </w:tc>
        <w:tc>
          <w:tcPr>
            <w:tcW w:w="1520" w:type="dxa"/>
            <w:tcBorders>
              <w:top w:val="nil"/>
              <w:left w:val="nil"/>
              <w:bottom w:val="single" w:sz="4" w:space="0" w:color="auto"/>
              <w:right w:val="single" w:sz="4" w:space="0" w:color="auto"/>
            </w:tcBorders>
            <w:shd w:val="clear" w:color="000000" w:fill="F7BFD8"/>
            <w:noWrap/>
            <w:vAlign w:val="center"/>
            <w:hideMark/>
          </w:tcPr>
          <w:p w14:paraId="21BAEC4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18 484 518</w:t>
            </w:r>
          </w:p>
        </w:tc>
        <w:tc>
          <w:tcPr>
            <w:tcW w:w="1520" w:type="dxa"/>
            <w:tcBorders>
              <w:top w:val="nil"/>
              <w:left w:val="nil"/>
              <w:bottom w:val="single" w:sz="4" w:space="0" w:color="auto"/>
              <w:right w:val="single" w:sz="4" w:space="0" w:color="auto"/>
            </w:tcBorders>
            <w:shd w:val="clear" w:color="000000" w:fill="DBD7D8"/>
            <w:noWrap/>
            <w:vAlign w:val="center"/>
            <w:hideMark/>
          </w:tcPr>
          <w:p w14:paraId="1B0775B1"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50C9365D"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4F5FEE6F"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TAB</w:t>
            </w:r>
          </w:p>
        </w:tc>
        <w:tc>
          <w:tcPr>
            <w:tcW w:w="1520" w:type="dxa"/>
            <w:tcBorders>
              <w:top w:val="nil"/>
              <w:left w:val="nil"/>
              <w:bottom w:val="single" w:sz="4" w:space="0" w:color="auto"/>
              <w:right w:val="single" w:sz="4" w:space="0" w:color="auto"/>
            </w:tcBorders>
            <w:shd w:val="clear" w:color="000000" w:fill="8C1B67"/>
            <w:noWrap/>
            <w:vAlign w:val="center"/>
            <w:hideMark/>
          </w:tcPr>
          <w:p w14:paraId="2E4B0648"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2 078 419 236</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7DBA84F1" w14:textId="7F148FD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941 781 979</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0F3CD42C" w14:textId="3692C852"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378 957 260</w:t>
            </w:r>
          </w:p>
        </w:tc>
        <w:tc>
          <w:tcPr>
            <w:tcW w:w="1980" w:type="dxa"/>
            <w:tcBorders>
              <w:top w:val="nil"/>
              <w:left w:val="nil"/>
              <w:bottom w:val="single" w:sz="4" w:space="0" w:color="auto"/>
              <w:right w:val="single" w:sz="4" w:space="0" w:color="auto"/>
            </w:tcBorders>
            <w:shd w:val="clear" w:color="000000" w:fill="CE941F"/>
            <w:noWrap/>
            <w:vAlign w:val="center"/>
            <w:hideMark/>
          </w:tcPr>
          <w:p w14:paraId="2BA4518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757 679 997</w:t>
            </w:r>
          </w:p>
        </w:tc>
        <w:tc>
          <w:tcPr>
            <w:tcW w:w="1520" w:type="dxa"/>
            <w:tcBorders>
              <w:top w:val="nil"/>
              <w:left w:val="nil"/>
              <w:bottom w:val="single" w:sz="4" w:space="0" w:color="auto"/>
              <w:right w:val="single" w:sz="4" w:space="0" w:color="auto"/>
            </w:tcBorders>
            <w:shd w:val="clear" w:color="000000" w:fill="F7BFD8"/>
            <w:noWrap/>
            <w:vAlign w:val="center"/>
            <w:hideMark/>
          </w:tcPr>
          <w:p w14:paraId="0F3EA377"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7111BE9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705219D8"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2377EB4"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QRO</w:t>
            </w:r>
          </w:p>
        </w:tc>
        <w:tc>
          <w:tcPr>
            <w:tcW w:w="1520" w:type="dxa"/>
            <w:tcBorders>
              <w:top w:val="nil"/>
              <w:left w:val="nil"/>
              <w:bottom w:val="single" w:sz="4" w:space="0" w:color="auto"/>
              <w:right w:val="single" w:sz="4" w:space="0" w:color="auto"/>
            </w:tcBorders>
            <w:shd w:val="clear" w:color="000000" w:fill="8C1B67"/>
            <w:noWrap/>
            <w:vAlign w:val="center"/>
            <w:hideMark/>
          </w:tcPr>
          <w:p w14:paraId="36048EF7"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1 858 317 964</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2F2ED41A" w14:textId="52DFFA1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1 152 328 213</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67ED6FD2" w14:textId="1CE6F69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59 340 048</w:t>
            </w:r>
          </w:p>
        </w:tc>
        <w:tc>
          <w:tcPr>
            <w:tcW w:w="1980" w:type="dxa"/>
            <w:tcBorders>
              <w:top w:val="nil"/>
              <w:left w:val="nil"/>
              <w:bottom w:val="single" w:sz="4" w:space="0" w:color="auto"/>
              <w:right w:val="single" w:sz="4" w:space="0" w:color="auto"/>
            </w:tcBorders>
            <w:shd w:val="clear" w:color="000000" w:fill="CE941F"/>
            <w:noWrap/>
            <w:vAlign w:val="center"/>
            <w:hideMark/>
          </w:tcPr>
          <w:p w14:paraId="1AE7C02E"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468 709 638</w:t>
            </w:r>
          </w:p>
        </w:tc>
        <w:tc>
          <w:tcPr>
            <w:tcW w:w="1520" w:type="dxa"/>
            <w:tcBorders>
              <w:top w:val="nil"/>
              <w:left w:val="nil"/>
              <w:bottom w:val="single" w:sz="4" w:space="0" w:color="auto"/>
              <w:right w:val="single" w:sz="4" w:space="0" w:color="auto"/>
            </w:tcBorders>
            <w:shd w:val="clear" w:color="000000" w:fill="F7BFD8"/>
            <w:noWrap/>
            <w:vAlign w:val="center"/>
            <w:hideMark/>
          </w:tcPr>
          <w:p w14:paraId="5488E35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22855672"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177 940 067</w:t>
            </w:r>
          </w:p>
        </w:tc>
      </w:tr>
      <w:tr w:rsidR="009C5B66" w:rsidRPr="00B6215B" w14:paraId="579954D2"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18B669C9"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GRO</w:t>
            </w:r>
          </w:p>
        </w:tc>
        <w:tc>
          <w:tcPr>
            <w:tcW w:w="1520" w:type="dxa"/>
            <w:tcBorders>
              <w:top w:val="nil"/>
              <w:left w:val="nil"/>
              <w:bottom w:val="single" w:sz="4" w:space="0" w:color="auto"/>
              <w:right w:val="single" w:sz="4" w:space="0" w:color="auto"/>
            </w:tcBorders>
            <w:shd w:val="clear" w:color="000000" w:fill="8C1B67"/>
            <w:noWrap/>
            <w:vAlign w:val="center"/>
            <w:hideMark/>
          </w:tcPr>
          <w:p w14:paraId="2904F04E"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1 602 746 709</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296C9D2" w14:textId="758AE281"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854 890 745</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D83A139" w14:textId="7CFBD53A"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611 296 789</w:t>
            </w:r>
          </w:p>
        </w:tc>
        <w:tc>
          <w:tcPr>
            <w:tcW w:w="1980" w:type="dxa"/>
            <w:tcBorders>
              <w:top w:val="nil"/>
              <w:left w:val="nil"/>
              <w:bottom w:val="single" w:sz="4" w:space="0" w:color="auto"/>
              <w:right w:val="single" w:sz="4" w:space="0" w:color="auto"/>
            </w:tcBorders>
            <w:shd w:val="clear" w:color="000000" w:fill="CE941F"/>
            <w:noWrap/>
            <w:vAlign w:val="center"/>
            <w:hideMark/>
          </w:tcPr>
          <w:p w14:paraId="7DCCED15"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136 559 175</w:t>
            </w:r>
          </w:p>
        </w:tc>
        <w:tc>
          <w:tcPr>
            <w:tcW w:w="1520" w:type="dxa"/>
            <w:tcBorders>
              <w:top w:val="nil"/>
              <w:left w:val="nil"/>
              <w:bottom w:val="single" w:sz="4" w:space="0" w:color="auto"/>
              <w:right w:val="single" w:sz="4" w:space="0" w:color="auto"/>
            </w:tcBorders>
            <w:shd w:val="clear" w:color="000000" w:fill="F7BFD8"/>
            <w:noWrap/>
            <w:vAlign w:val="center"/>
            <w:hideMark/>
          </w:tcPr>
          <w:p w14:paraId="3805B2F5"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4DAF428F"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5655951C"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3057D335"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SIN</w:t>
            </w:r>
          </w:p>
        </w:tc>
        <w:tc>
          <w:tcPr>
            <w:tcW w:w="1520" w:type="dxa"/>
            <w:tcBorders>
              <w:top w:val="nil"/>
              <w:left w:val="nil"/>
              <w:bottom w:val="single" w:sz="4" w:space="0" w:color="auto"/>
              <w:right w:val="single" w:sz="4" w:space="0" w:color="auto"/>
            </w:tcBorders>
            <w:shd w:val="clear" w:color="000000" w:fill="8C1B67"/>
            <w:noWrap/>
            <w:vAlign w:val="center"/>
            <w:hideMark/>
          </w:tcPr>
          <w:p w14:paraId="344E66B4"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1 592 650 431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0C8E47CA" w14:textId="6C206300"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1 034 023 986</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EC6E80C" w14:textId="2048BB10"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276 920 691</w:t>
            </w:r>
          </w:p>
        </w:tc>
        <w:tc>
          <w:tcPr>
            <w:tcW w:w="1980" w:type="dxa"/>
            <w:tcBorders>
              <w:top w:val="nil"/>
              <w:left w:val="nil"/>
              <w:bottom w:val="single" w:sz="4" w:space="0" w:color="auto"/>
              <w:right w:val="single" w:sz="4" w:space="0" w:color="auto"/>
            </w:tcBorders>
            <w:shd w:val="clear" w:color="000000" w:fill="CE941F"/>
            <w:noWrap/>
            <w:vAlign w:val="center"/>
            <w:hideMark/>
          </w:tcPr>
          <w:p w14:paraId="6FC0FA56"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238 556 675</w:t>
            </w:r>
          </w:p>
        </w:tc>
        <w:tc>
          <w:tcPr>
            <w:tcW w:w="1520" w:type="dxa"/>
            <w:tcBorders>
              <w:top w:val="nil"/>
              <w:left w:val="nil"/>
              <w:bottom w:val="single" w:sz="4" w:space="0" w:color="auto"/>
              <w:right w:val="single" w:sz="4" w:space="0" w:color="auto"/>
            </w:tcBorders>
            <w:shd w:val="clear" w:color="000000" w:fill="F7BFD8"/>
            <w:noWrap/>
            <w:vAlign w:val="center"/>
            <w:hideMark/>
          </w:tcPr>
          <w:p w14:paraId="03C73C35"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0D5D7B73"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43 139 079</w:t>
            </w:r>
          </w:p>
        </w:tc>
      </w:tr>
      <w:tr w:rsidR="009C5B66" w:rsidRPr="00B6215B" w14:paraId="3EBD9FF8"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2C464510"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COAH</w:t>
            </w:r>
          </w:p>
        </w:tc>
        <w:tc>
          <w:tcPr>
            <w:tcW w:w="1520" w:type="dxa"/>
            <w:tcBorders>
              <w:top w:val="nil"/>
              <w:left w:val="nil"/>
              <w:bottom w:val="single" w:sz="4" w:space="0" w:color="auto"/>
              <w:right w:val="single" w:sz="4" w:space="0" w:color="auto"/>
            </w:tcBorders>
            <w:shd w:val="clear" w:color="000000" w:fill="8C1B67"/>
            <w:noWrap/>
            <w:vAlign w:val="center"/>
            <w:hideMark/>
          </w:tcPr>
          <w:p w14:paraId="1ED45440"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1 348 591 983</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A9516C4" w14:textId="3182E5D2"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742 700 000</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52B0E222" w14:textId="3F429BB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118 324 667</w:t>
            </w:r>
          </w:p>
        </w:tc>
        <w:tc>
          <w:tcPr>
            <w:tcW w:w="1980" w:type="dxa"/>
            <w:tcBorders>
              <w:top w:val="nil"/>
              <w:left w:val="nil"/>
              <w:bottom w:val="single" w:sz="4" w:space="0" w:color="auto"/>
              <w:right w:val="single" w:sz="4" w:space="0" w:color="auto"/>
            </w:tcBorders>
            <w:shd w:val="clear" w:color="000000" w:fill="CE941F"/>
            <w:noWrap/>
            <w:vAlign w:val="center"/>
            <w:hideMark/>
          </w:tcPr>
          <w:p w14:paraId="66E005B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477 854 688</w:t>
            </w:r>
          </w:p>
        </w:tc>
        <w:tc>
          <w:tcPr>
            <w:tcW w:w="1520" w:type="dxa"/>
            <w:tcBorders>
              <w:top w:val="nil"/>
              <w:left w:val="nil"/>
              <w:bottom w:val="single" w:sz="4" w:space="0" w:color="auto"/>
              <w:right w:val="single" w:sz="4" w:space="0" w:color="auto"/>
            </w:tcBorders>
            <w:shd w:val="clear" w:color="000000" w:fill="F7BFD8"/>
            <w:noWrap/>
            <w:vAlign w:val="center"/>
            <w:hideMark/>
          </w:tcPr>
          <w:p w14:paraId="06A5B9C1"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1ED3CF1F"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9 712 629</w:t>
            </w:r>
          </w:p>
        </w:tc>
      </w:tr>
      <w:tr w:rsidR="009C5B66" w:rsidRPr="00B6215B" w14:paraId="7AD95B92"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0BAEC06B"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BCS</w:t>
            </w:r>
          </w:p>
        </w:tc>
        <w:tc>
          <w:tcPr>
            <w:tcW w:w="1520" w:type="dxa"/>
            <w:tcBorders>
              <w:top w:val="nil"/>
              <w:left w:val="nil"/>
              <w:bottom w:val="single" w:sz="4" w:space="0" w:color="auto"/>
              <w:right w:val="single" w:sz="4" w:space="0" w:color="auto"/>
            </w:tcBorders>
            <w:shd w:val="clear" w:color="000000" w:fill="8C1B67"/>
            <w:noWrap/>
            <w:vAlign w:val="center"/>
            <w:hideMark/>
          </w:tcPr>
          <w:p w14:paraId="4A187BBF"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1 223 344 793</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724BE4F" w14:textId="05B775A5"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695 144 876</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2850350A" w14:textId="0AD4A5B2"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466 749 608</w:t>
            </w:r>
          </w:p>
        </w:tc>
        <w:tc>
          <w:tcPr>
            <w:tcW w:w="1980" w:type="dxa"/>
            <w:tcBorders>
              <w:top w:val="nil"/>
              <w:left w:val="nil"/>
              <w:bottom w:val="single" w:sz="4" w:space="0" w:color="auto"/>
              <w:right w:val="single" w:sz="4" w:space="0" w:color="auto"/>
            </w:tcBorders>
            <w:shd w:val="clear" w:color="000000" w:fill="CE941F"/>
            <w:noWrap/>
            <w:vAlign w:val="center"/>
            <w:hideMark/>
          </w:tcPr>
          <w:p w14:paraId="280F94A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58 385 163</w:t>
            </w:r>
          </w:p>
        </w:tc>
        <w:tc>
          <w:tcPr>
            <w:tcW w:w="1520" w:type="dxa"/>
            <w:tcBorders>
              <w:top w:val="nil"/>
              <w:left w:val="nil"/>
              <w:bottom w:val="single" w:sz="4" w:space="0" w:color="auto"/>
              <w:right w:val="single" w:sz="4" w:space="0" w:color="auto"/>
            </w:tcBorders>
            <w:shd w:val="clear" w:color="000000" w:fill="F7BFD8"/>
            <w:noWrap/>
            <w:vAlign w:val="center"/>
            <w:hideMark/>
          </w:tcPr>
          <w:p w14:paraId="52F2E768"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0</w:t>
            </w:r>
          </w:p>
        </w:tc>
        <w:tc>
          <w:tcPr>
            <w:tcW w:w="1520" w:type="dxa"/>
            <w:tcBorders>
              <w:top w:val="nil"/>
              <w:left w:val="nil"/>
              <w:bottom w:val="single" w:sz="4" w:space="0" w:color="auto"/>
              <w:right w:val="single" w:sz="4" w:space="0" w:color="auto"/>
            </w:tcBorders>
            <w:shd w:val="clear" w:color="000000" w:fill="DBD7D8"/>
            <w:noWrap/>
            <w:vAlign w:val="center"/>
            <w:hideMark/>
          </w:tcPr>
          <w:p w14:paraId="4BA4583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3 065 146</w:t>
            </w:r>
          </w:p>
        </w:tc>
      </w:tr>
      <w:tr w:rsidR="009C5B66" w:rsidRPr="00B6215B" w14:paraId="44E72766"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7F9ADA35"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CAMP</w:t>
            </w:r>
          </w:p>
        </w:tc>
        <w:tc>
          <w:tcPr>
            <w:tcW w:w="1520" w:type="dxa"/>
            <w:tcBorders>
              <w:top w:val="nil"/>
              <w:left w:val="nil"/>
              <w:bottom w:val="single" w:sz="4" w:space="0" w:color="auto"/>
              <w:right w:val="single" w:sz="4" w:space="0" w:color="auto"/>
            </w:tcBorders>
            <w:shd w:val="clear" w:color="000000" w:fill="8C1B67"/>
            <w:noWrap/>
            <w:vAlign w:val="center"/>
            <w:hideMark/>
          </w:tcPr>
          <w:p w14:paraId="72B2324A"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1 207 680 511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495EB491" w14:textId="6A28F1F0"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214 378 513</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94037A5" w14:textId="6991ED51"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89 795 279</w:t>
            </w:r>
          </w:p>
        </w:tc>
        <w:tc>
          <w:tcPr>
            <w:tcW w:w="1980" w:type="dxa"/>
            <w:tcBorders>
              <w:top w:val="nil"/>
              <w:left w:val="nil"/>
              <w:bottom w:val="single" w:sz="4" w:space="0" w:color="auto"/>
              <w:right w:val="single" w:sz="4" w:space="0" w:color="auto"/>
            </w:tcBorders>
            <w:shd w:val="clear" w:color="000000" w:fill="CE941F"/>
            <w:noWrap/>
            <w:vAlign w:val="center"/>
            <w:hideMark/>
          </w:tcPr>
          <w:p w14:paraId="6FA38B08"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335 476 370</w:t>
            </w:r>
          </w:p>
        </w:tc>
        <w:tc>
          <w:tcPr>
            <w:tcW w:w="1520" w:type="dxa"/>
            <w:tcBorders>
              <w:top w:val="nil"/>
              <w:left w:val="nil"/>
              <w:bottom w:val="single" w:sz="4" w:space="0" w:color="auto"/>
              <w:right w:val="single" w:sz="4" w:space="0" w:color="auto"/>
            </w:tcBorders>
            <w:shd w:val="clear" w:color="000000" w:fill="F7BFD8"/>
            <w:noWrap/>
            <w:vAlign w:val="center"/>
            <w:hideMark/>
          </w:tcPr>
          <w:p w14:paraId="2320A16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35DB9B72"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568 030 349</w:t>
            </w:r>
          </w:p>
        </w:tc>
      </w:tr>
      <w:tr w:rsidR="009C5B66" w:rsidRPr="00B6215B" w14:paraId="638BD255"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72DF5CBA"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ZAC</w:t>
            </w:r>
          </w:p>
        </w:tc>
        <w:tc>
          <w:tcPr>
            <w:tcW w:w="1520" w:type="dxa"/>
            <w:tcBorders>
              <w:top w:val="nil"/>
              <w:left w:val="nil"/>
              <w:bottom w:val="single" w:sz="4" w:space="0" w:color="auto"/>
              <w:right w:val="single" w:sz="4" w:space="0" w:color="auto"/>
            </w:tcBorders>
            <w:shd w:val="clear" w:color="000000" w:fill="8C1B67"/>
            <w:noWrap/>
            <w:vAlign w:val="center"/>
            <w:hideMark/>
          </w:tcPr>
          <w:p w14:paraId="7DF5424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1 144 439 748</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6A4C789B" w14:textId="3FD66A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539 206 899</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44FBAD07" w14:textId="20A8C24D"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379 654 856</w:t>
            </w:r>
          </w:p>
        </w:tc>
        <w:tc>
          <w:tcPr>
            <w:tcW w:w="1980" w:type="dxa"/>
            <w:tcBorders>
              <w:top w:val="nil"/>
              <w:left w:val="nil"/>
              <w:bottom w:val="single" w:sz="4" w:space="0" w:color="auto"/>
              <w:right w:val="single" w:sz="4" w:space="0" w:color="auto"/>
            </w:tcBorders>
            <w:shd w:val="clear" w:color="000000" w:fill="CE941F"/>
            <w:noWrap/>
            <w:vAlign w:val="center"/>
            <w:hideMark/>
          </w:tcPr>
          <w:p w14:paraId="0629B14D"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51 614 361</w:t>
            </w:r>
          </w:p>
        </w:tc>
        <w:tc>
          <w:tcPr>
            <w:tcW w:w="1520" w:type="dxa"/>
            <w:tcBorders>
              <w:top w:val="nil"/>
              <w:left w:val="nil"/>
              <w:bottom w:val="single" w:sz="4" w:space="0" w:color="auto"/>
              <w:right w:val="single" w:sz="4" w:space="0" w:color="auto"/>
            </w:tcBorders>
            <w:shd w:val="clear" w:color="000000" w:fill="F7BFD8"/>
            <w:noWrap/>
            <w:vAlign w:val="center"/>
            <w:hideMark/>
          </w:tcPr>
          <w:p w14:paraId="374F6760"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w:t>
            </w:r>
          </w:p>
        </w:tc>
        <w:tc>
          <w:tcPr>
            <w:tcW w:w="1520" w:type="dxa"/>
            <w:tcBorders>
              <w:top w:val="nil"/>
              <w:left w:val="nil"/>
              <w:bottom w:val="single" w:sz="4" w:space="0" w:color="auto"/>
              <w:right w:val="single" w:sz="4" w:space="0" w:color="auto"/>
            </w:tcBorders>
            <w:shd w:val="clear" w:color="000000" w:fill="DBD7D8"/>
            <w:noWrap/>
            <w:vAlign w:val="center"/>
            <w:hideMark/>
          </w:tcPr>
          <w:p w14:paraId="7C3DA264"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173 963 632</w:t>
            </w:r>
          </w:p>
        </w:tc>
      </w:tr>
      <w:tr w:rsidR="009C5B66" w:rsidRPr="00B6215B" w14:paraId="0A04D834"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0610F866"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TLAX</w:t>
            </w:r>
          </w:p>
        </w:tc>
        <w:tc>
          <w:tcPr>
            <w:tcW w:w="1520" w:type="dxa"/>
            <w:tcBorders>
              <w:top w:val="nil"/>
              <w:left w:val="nil"/>
              <w:bottom w:val="single" w:sz="4" w:space="0" w:color="auto"/>
              <w:right w:val="single" w:sz="4" w:space="0" w:color="auto"/>
            </w:tcBorders>
            <w:shd w:val="clear" w:color="000000" w:fill="8C1B67"/>
            <w:noWrap/>
            <w:vAlign w:val="center"/>
            <w:hideMark/>
          </w:tcPr>
          <w:p w14:paraId="54161BA6"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1 053 212 613</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49514B3B" w14:textId="1FBF2EC0"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930 246 564</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6F2F8ACA" w14:textId="08272C43"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39 156 704</w:t>
            </w:r>
          </w:p>
        </w:tc>
        <w:tc>
          <w:tcPr>
            <w:tcW w:w="1980" w:type="dxa"/>
            <w:tcBorders>
              <w:top w:val="nil"/>
              <w:left w:val="nil"/>
              <w:bottom w:val="single" w:sz="4" w:space="0" w:color="auto"/>
              <w:right w:val="single" w:sz="4" w:space="0" w:color="auto"/>
            </w:tcBorders>
            <w:shd w:val="clear" w:color="000000" w:fill="CE941F"/>
            <w:noWrap/>
            <w:vAlign w:val="center"/>
            <w:hideMark/>
          </w:tcPr>
          <w:p w14:paraId="0DEC5F45"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83 809 345</w:t>
            </w:r>
          </w:p>
        </w:tc>
        <w:tc>
          <w:tcPr>
            <w:tcW w:w="1520" w:type="dxa"/>
            <w:tcBorders>
              <w:top w:val="nil"/>
              <w:left w:val="nil"/>
              <w:bottom w:val="single" w:sz="4" w:space="0" w:color="auto"/>
              <w:right w:val="single" w:sz="4" w:space="0" w:color="auto"/>
            </w:tcBorders>
            <w:shd w:val="clear" w:color="000000" w:fill="F7BFD8"/>
            <w:noWrap/>
            <w:vAlign w:val="center"/>
            <w:hideMark/>
          </w:tcPr>
          <w:p w14:paraId="334DB5C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4743AB06"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62CB14C7"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76E70041"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MOR</w:t>
            </w:r>
          </w:p>
        </w:tc>
        <w:tc>
          <w:tcPr>
            <w:tcW w:w="1520" w:type="dxa"/>
            <w:tcBorders>
              <w:top w:val="nil"/>
              <w:left w:val="nil"/>
              <w:bottom w:val="single" w:sz="4" w:space="0" w:color="auto"/>
              <w:right w:val="single" w:sz="4" w:space="0" w:color="auto"/>
            </w:tcBorders>
            <w:shd w:val="clear" w:color="000000" w:fill="8C1B67"/>
            <w:noWrap/>
            <w:vAlign w:val="center"/>
            <w:hideMark/>
          </w:tcPr>
          <w:p w14:paraId="1701B4C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1 002 838 758</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215DA43" w14:textId="04713539"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511 892 328</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77FFC66" w14:textId="7641F50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179 304 472</w:t>
            </w:r>
          </w:p>
        </w:tc>
        <w:tc>
          <w:tcPr>
            <w:tcW w:w="1980" w:type="dxa"/>
            <w:tcBorders>
              <w:top w:val="nil"/>
              <w:left w:val="nil"/>
              <w:bottom w:val="single" w:sz="4" w:space="0" w:color="auto"/>
              <w:right w:val="single" w:sz="4" w:space="0" w:color="auto"/>
            </w:tcBorders>
            <w:shd w:val="clear" w:color="000000" w:fill="CE941F"/>
            <w:noWrap/>
            <w:vAlign w:val="center"/>
            <w:hideMark/>
          </w:tcPr>
          <w:p w14:paraId="440295F1"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260 801 702</w:t>
            </w:r>
          </w:p>
        </w:tc>
        <w:tc>
          <w:tcPr>
            <w:tcW w:w="1520" w:type="dxa"/>
            <w:tcBorders>
              <w:top w:val="nil"/>
              <w:left w:val="nil"/>
              <w:bottom w:val="single" w:sz="4" w:space="0" w:color="auto"/>
              <w:right w:val="single" w:sz="4" w:space="0" w:color="auto"/>
            </w:tcBorders>
            <w:shd w:val="clear" w:color="000000" w:fill="F7BFD8"/>
            <w:noWrap/>
            <w:vAlign w:val="center"/>
            <w:hideMark/>
          </w:tcPr>
          <w:p w14:paraId="3B523216"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50 840 257</w:t>
            </w:r>
          </w:p>
        </w:tc>
        <w:tc>
          <w:tcPr>
            <w:tcW w:w="1520" w:type="dxa"/>
            <w:tcBorders>
              <w:top w:val="nil"/>
              <w:left w:val="nil"/>
              <w:bottom w:val="single" w:sz="4" w:space="0" w:color="auto"/>
              <w:right w:val="single" w:sz="4" w:space="0" w:color="auto"/>
            </w:tcBorders>
            <w:shd w:val="clear" w:color="000000" w:fill="DBD7D8"/>
            <w:noWrap/>
            <w:vAlign w:val="center"/>
            <w:hideMark/>
          </w:tcPr>
          <w:p w14:paraId="5B583A8D"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2AB407AB"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23E9032A"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DGO</w:t>
            </w:r>
          </w:p>
        </w:tc>
        <w:tc>
          <w:tcPr>
            <w:tcW w:w="1520" w:type="dxa"/>
            <w:tcBorders>
              <w:top w:val="nil"/>
              <w:left w:val="nil"/>
              <w:bottom w:val="single" w:sz="4" w:space="0" w:color="auto"/>
              <w:right w:val="single" w:sz="4" w:space="0" w:color="auto"/>
            </w:tcBorders>
            <w:shd w:val="clear" w:color="000000" w:fill="8C1B67"/>
            <w:noWrap/>
            <w:vAlign w:val="center"/>
            <w:hideMark/>
          </w:tcPr>
          <w:p w14:paraId="3D2B392D"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766 293 554</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70BBD262" w14:textId="06138B66"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542 711 021</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E3D41CC" w14:textId="76473825"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86 529 340</w:t>
            </w:r>
          </w:p>
        </w:tc>
        <w:tc>
          <w:tcPr>
            <w:tcW w:w="1980" w:type="dxa"/>
            <w:tcBorders>
              <w:top w:val="nil"/>
              <w:left w:val="nil"/>
              <w:bottom w:val="single" w:sz="4" w:space="0" w:color="auto"/>
              <w:right w:val="single" w:sz="4" w:space="0" w:color="auto"/>
            </w:tcBorders>
            <w:shd w:val="clear" w:color="000000" w:fill="CE941F"/>
            <w:noWrap/>
            <w:vAlign w:val="center"/>
            <w:hideMark/>
          </w:tcPr>
          <w:p w14:paraId="4F120FC4"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133 210 346</w:t>
            </w:r>
          </w:p>
        </w:tc>
        <w:tc>
          <w:tcPr>
            <w:tcW w:w="1520" w:type="dxa"/>
            <w:tcBorders>
              <w:top w:val="nil"/>
              <w:left w:val="nil"/>
              <w:bottom w:val="single" w:sz="4" w:space="0" w:color="auto"/>
              <w:right w:val="single" w:sz="4" w:space="0" w:color="auto"/>
            </w:tcBorders>
            <w:shd w:val="clear" w:color="000000" w:fill="F7BFD8"/>
            <w:noWrap/>
            <w:vAlign w:val="center"/>
            <w:hideMark/>
          </w:tcPr>
          <w:p w14:paraId="5AED9EB7"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3 842 847</w:t>
            </w:r>
          </w:p>
        </w:tc>
        <w:tc>
          <w:tcPr>
            <w:tcW w:w="1520" w:type="dxa"/>
            <w:tcBorders>
              <w:top w:val="nil"/>
              <w:left w:val="nil"/>
              <w:bottom w:val="single" w:sz="4" w:space="0" w:color="auto"/>
              <w:right w:val="single" w:sz="4" w:space="0" w:color="auto"/>
            </w:tcBorders>
            <w:shd w:val="clear" w:color="000000" w:fill="DBD7D8"/>
            <w:noWrap/>
            <w:vAlign w:val="center"/>
            <w:hideMark/>
          </w:tcPr>
          <w:p w14:paraId="68EEC2CC"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4846AB8D"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796F2C0"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SLP</w:t>
            </w:r>
          </w:p>
        </w:tc>
        <w:tc>
          <w:tcPr>
            <w:tcW w:w="1520" w:type="dxa"/>
            <w:tcBorders>
              <w:top w:val="nil"/>
              <w:left w:val="nil"/>
              <w:bottom w:val="single" w:sz="4" w:space="0" w:color="auto"/>
              <w:right w:val="single" w:sz="4" w:space="0" w:color="auto"/>
            </w:tcBorders>
            <w:shd w:val="clear" w:color="000000" w:fill="8C1B67"/>
            <w:noWrap/>
            <w:vAlign w:val="center"/>
            <w:hideMark/>
          </w:tcPr>
          <w:p w14:paraId="54EBA277"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569 957 745</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6B31EB88" w14:textId="36D78AAB"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12 391 333</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6EC48C97" w14:textId="6BD561F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209 463 097</w:t>
            </w:r>
          </w:p>
        </w:tc>
        <w:tc>
          <w:tcPr>
            <w:tcW w:w="1980" w:type="dxa"/>
            <w:tcBorders>
              <w:top w:val="nil"/>
              <w:left w:val="nil"/>
              <w:bottom w:val="single" w:sz="4" w:space="0" w:color="auto"/>
              <w:right w:val="single" w:sz="4" w:space="0" w:color="auto"/>
            </w:tcBorders>
            <w:shd w:val="clear" w:color="000000" w:fill="CE941F"/>
            <w:noWrap/>
            <w:vAlign w:val="center"/>
            <w:hideMark/>
          </w:tcPr>
          <w:p w14:paraId="05526323"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55 367 762</w:t>
            </w:r>
          </w:p>
        </w:tc>
        <w:tc>
          <w:tcPr>
            <w:tcW w:w="1520" w:type="dxa"/>
            <w:tcBorders>
              <w:top w:val="nil"/>
              <w:left w:val="nil"/>
              <w:bottom w:val="single" w:sz="4" w:space="0" w:color="auto"/>
              <w:right w:val="single" w:sz="4" w:space="0" w:color="auto"/>
            </w:tcBorders>
            <w:shd w:val="clear" w:color="000000" w:fill="F7BFD8"/>
            <w:noWrap/>
            <w:vAlign w:val="center"/>
            <w:hideMark/>
          </w:tcPr>
          <w:p w14:paraId="77F59259"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22FC68A1"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292 735 553</w:t>
            </w:r>
          </w:p>
        </w:tc>
      </w:tr>
      <w:tr w:rsidR="009C5B66" w:rsidRPr="00B6215B" w14:paraId="6364F8B6"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5A300980"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NAY</w:t>
            </w:r>
          </w:p>
        </w:tc>
        <w:tc>
          <w:tcPr>
            <w:tcW w:w="1520" w:type="dxa"/>
            <w:tcBorders>
              <w:top w:val="nil"/>
              <w:left w:val="nil"/>
              <w:bottom w:val="single" w:sz="4" w:space="0" w:color="auto"/>
              <w:right w:val="single" w:sz="4" w:space="0" w:color="auto"/>
            </w:tcBorders>
            <w:shd w:val="clear" w:color="000000" w:fill="8C1B67"/>
            <w:noWrap/>
            <w:vAlign w:val="center"/>
            <w:hideMark/>
          </w:tcPr>
          <w:p w14:paraId="7FE96610"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291 450 811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F41ED22" w14:textId="05EF87F5"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NA</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37FD699A" w14:textId="77CC26FC"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189 120 260</w:t>
            </w:r>
          </w:p>
        </w:tc>
        <w:tc>
          <w:tcPr>
            <w:tcW w:w="1980" w:type="dxa"/>
            <w:tcBorders>
              <w:top w:val="nil"/>
              <w:left w:val="nil"/>
              <w:bottom w:val="single" w:sz="4" w:space="0" w:color="auto"/>
              <w:right w:val="single" w:sz="4" w:space="0" w:color="auto"/>
            </w:tcBorders>
            <w:shd w:val="clear" w:color="000000" w:fill="CE941F"/>
            <w:noWrap/>
            <w:vAlign w:val="center"/>
            <w:hideMark/>
          </w:tcPr>
          <w:p w14:paraId="0FC9011B"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1 553 511</w:t>
            </w:r>
          </w:p>
        </w:tc>
        <w:tc>
          <w:tcPr>
            <w:tcW w:w="1520" w:type="dxa"/>
            <w:tcBorders>
              <w:top w:val="nil"/>
              <w:left w:val="nil"/>
              <w:bottom w:val="single" w:sz="4" w:space="0" w:color="auto"/>
              <w:right w:val="single" w:sz="4" w:space="0" w:color="auto"/>
            </w:tcBorders>
            <w:shd w:val="clear" w:color="000000" w:fill="F7BFD8"/>
            <w:noWrap/>
            <w:vAlign w:val="center"/>
            <w:hideMark/>
          </w:tcPr>
          <w:p w14:paraId="75A0137E"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1918B1AD"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100 777 040</w:t>
            </w:r>
          </w:p>
        </w:tc>
      </w:tr>
      <w:tr w:rsidR="009C5B66" w:rsidRPr="00B6215B" w14:paraId="7B5252AC"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33A6472B"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COL</w:t>
            </w:r>
          </w:p>
        </w:tc>
        <w:tc>
          <w:tcPr>
            <w:tcW w:w="1520" w:type="dxa"/>
            <w:tcBorders>
              <w:top w:val="nil"/>
              <w:left w:val="nil"/>
              <w:bottom w:val="single" w:sz="4" w:space="0" w:color="auto"/>
              <w:right w:val="single" w:sz="4" w:space="0" w:color="auto"/>
            </w:tcBorders>
            <w:shd w:val="clear" w:color="000000" w:fill="8C1B67"/>
            <w:noWrap/>
            <w:vAlign w:val="center"/>
            <w:hideMark/>
          </w:tcPr>
          <w:p w14:paraId="0D05096D"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286 109 522</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43EAEC5A" w14:textId="513F8091"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132 527 913</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1547550B" w14:textId="243DE305"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87 952 367</w:t>
            </w:r>
          </w:p>
        </w:tc>
        <w:tc>
          <w:tcPr>
            <w:tcW w:w="1980" w:type="dxa"/>
            <w:tcBorders>
              <w:top w:val="nil"/>
              <w:left w:val="nil"/>
              <w:bottom w:val="single" w:sz="4" w:space="0" w:color="auto"/>
              <w:right w:val="single" w:sz="4" w:space="0" w:color="auto"/>
            </w:tcBorders>
            <w:shd w:val="clear" w:color="000000" w:fill="CE941F"/>
            <w:noWrap/>
            <w:vAlign w:val="center"/>
            <w:hideMark/>
          </w:tcPr>
          <w:p w14:paraId="6C96548B"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65 629 241</w:t>
            </w:r>
          </w:p>
        </w:tc>
        <w:tc>
          <w:tcPr>
            <w:tcW w:w="1520" w:type="dxa"/>
            <w:tcBorders>
              <w:top w:val="nil"/>
              <w:left w:val="nil"/>
              <w:bottom w:val="single" w:sz="4" w:space="0" w:color="auto"/>
              <w:right w:val="single" w:sz="4" w:space="0" w:color="auto"/>
            </w:tcBorders>
            <w:shd w:val="clear" w:color="000000" w:fill="F7BFD8"/>
            <w:noWrap/>
            <w:vAlign w:val="center"/>
            <w:hideMark/>
          </w:tcPr>
          <w:p w14:paraId="65F2BCFA"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2C48AE45"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r>
      <w:tr w:rsidR="009C5B66" w:rsidRPr="00B6215B" w14:paraId="299B05DA" w14:textId="77777777" w:rsidTr="009C5B66">
        <w:trPr>
          <w:trHeight w:val="285"/>
          <w:jc w:val="center"/>
        </w:trPr>
        <w:tc>
          <w:tcPr>
            <w:tcW w:w="1080" w:type="dxa"/>
            <w:tcBorders>
              <w:top w:val="nil"/>
              <w:left w:val="single" w:sz="4" w:space="0" w:color="auto"/>
              <w:bottom w:val="single" w:sz="4" w:space="0" w:color="auto"/>
              <w:right w:val="single" w:sz="4" w:space="0" w:color="auto"/>
            </w:tcBorders>
            <w:shd w:val="clear" w:color="000000" w:fill="706F6F"/>
            <w:noWrap/>
            <w:vAlign w:val="center"/>
            <w:hideMark/>
          </w:tcPr>
          <w:p w14:paraId="203A86E0" w14:textId="77777777" w:rsidR="009C5B66" w:rsidRPr="00B6215B" w:rsidRDefault="009C5B66" w:rsidP="009C5B66">
            <w:pPr>
              <w:spacing w:after="0" w:line="240" w:lineRule="auto"/>
              <w:rPr>
                <w:rFonts w:ascii="Arial" w:eastAsia="Times New Roman" w:hAnsi="Arial" w:cs="Arial"/>
                <w:color w:val="FFFFFF"/>
                <w:sz w:val="16"/>
                <w:szCs w:val="16"/>
                <w:lang w:eastAsia="es-MX"/>
              </w:rPr>
            </w:pPr>
            <w:r w:rsidRPr="00B6215B">
              <w:rPr>
                <w:rFonts w:ascii="Arial" w:eastAsia="Times New Roman" w:hAnsi="Arial" w:cs="Arial"/>
                <w:color w:val="FFFFFF"/>
                <w:sz w:val="16"/>
                <w:szCs w:val="16"/>
                <w:lang w:eastAsia="es-MX"/>
              </w:rPr>
              <w:t>CHIS</w:t>
            </w:r>
          </w:p>
        </w:tc>
        <w:tc>
          <w:tcPr>
            <w:tcW w:w="1520" w:type="dxa"/>
            <w:tcBorders>
              <w:top w:val="nil"/>
              <w:left w:val="nil"/>
              <w:bottom w:val="single" w:sz="4" w:space="0" w:color="auto"/>
              <w:right w:val="single" w:sz="4" w:space="0" w:color="auto"/>
            </w:tcBorders>
            <w:shd w:val="clear" w:color="000000" w:fill="8C1B67"/>
            <w:noWrap/>
            <w:vAlign w:val="center"/>
            <w:hideMark/>
          </w:tcPr>
          <w:p w14:paraId="0054F28E"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140 782 151</w:t>
            </w:r>
          </w:p>
        </w:tc>
        <w:tc>
          <w:tcPr>
            <w:tcW w:w="1520" w:type="dxa"/>
            <w:tcBorders>
              <w:top w:val="single" w:sz="4" w:space="0" w:color="auto"/>
              <w:left w:val="nil"/>
              <w:bottom w:val="single" w:sz="4" w:space="0" w:color="auto"/>
              <w:right w:val="single" w:sz="4" w:space="0" w:color="auto"/>
            </w:tcBorders>
            <w:shd w:val="clear" w:color="auto" w:fill="8E61A5"/>
            <w:vAlign w:val="center"/>
          </w:tcPr>
          <w:p w14:paraId="355C557A" w14:textId="0C342E38"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19 379 017</w:t>
            </w:r>
          </w:p>
        </w:tc>
        <w:tc>
          <w:tcPr>
            <w:tcW w:w="1520" w:type="dxa"/>
            <w:tcBorders>
              <w:top w:val="nil"/>
              <w:left w:val="single" w:sz="4" w:space="0" w:color="auto"/>
              <w:bottom w:val="single" w:sz="4" w:space="0" w:color="auto"/>
              <w:right w:val="single" w:sz="4" w:space="0" w:color="auto"/>
            </w:tcBorders>
            <w:shd w:val="clear" w:color="000000" w:fill="006098"/>
            <w:noWrap/>
            <w:vAlign w:val="center"/>
            <w:hideMark/>
          </w:tcPr>
          <w:p w14:paraId="55E9E762" w14:textId="733D6E41"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85 960 665</w:t>
            </w:r>
          </w:p>
        </w:tc>
        <w:tc>
          <w:tcPr>
            <w:tcW w:w="1980" w:type="dxa"/>
            <w:tcBorders>
              <w:top w:val="nil"/>
              <w:left w:val="nil"/>
              <w:bottom w:val="single" w:sz="4" w:space="0" w:color="auto"/>
              <w:right w:val="single" w:sz="4" w:space="0" w:color="auto"/>
            </w:tcBorders>
            <w:shd w:val="clear" w:color="000000" w:fill="CE941F"/>
            <w:noWrap/>
            <w:vAlign w:val="center"/>
            <w:hideMark/>
          </w:tcPr>
          <w:p w14:paraId="095E847B" w14:textId="77777777" w:rsidR="009C5B66" w:rsidRPr="00B6215B" w:rsidRDefault="009C5B66" w:rsidP="009C5B66">
            <w:pPr>
              <w:spacing w:after="0" w:line="240" w:lineRule="auto"/>
              <w:jc w:val="right"/>
              <w:rPr>
                <w:rFonts w:ascii="Arial" w:eastAsia="Times New Roman" w:hAnsi="Arial" w:cs="Arial"/>
                <w:color w:val="FFFFFF"/>
                <w:sz w:val="18"/>
                <w:szCs w:val="18"/>
                <w:lang w:eastAsia="es-MX"/>
              </w:rPr>
            </w:pPr>
            <w:r w:rsidRPr="00B6215B">
              <w:rPr>
                <w:rFonts w:ascii="Arial" w:eastAsia="Times New Roman" w:hAnsi="Arial" w:cs="Arial"/>
                <w:color w:val="FFFFFF"/>
                <w:sz w:val="18"/>
                <w:szCs w:val="18"/>
                <w:lang w:eastAsia="es-MX"/>
              </w:rPr>
              <w:t xml:space="preserve">   19 515 687</w:t>
            </w:r>
          </w:p>
        </w:tc>
        <w:tc>
          <w:tcPr>
            <w:tcW w:w="1520" w:type="dxa"/>
            <w:tcBorders>
              <w:top w:val="nil"/>
              <w:left w:val="nil"/>
              <w:bottom w:val="single" w:sz="4" w:space="0" w:color="auto"/>
              <w:right w:val="single" w:sz="4" w:space="0" w:color="auto"/>
            </w:tcBorders>
            <w:shd w:val="clear" w:color="000000" w:fill="F7BFD8"/>
            <w:noWrap/>
            <w:vAlign w:val="center"/>
            <w:hideMark/>
          </w:tcPr>
          <w:p w14:paraId="3348D25E"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NA</w:t>
            </w:r>
          </w:p>
        </w:tc>
        <w:tc>
          <w:tcPr>
            <w:tcW w:w="1520" w:type="dxa"/>
            <w:tcBorders>
              <w:top w:val="nil"/>
              <w:left w:val="nil"/>
              <w:bottom w:val="single" w:sz="4" w:space="0" w:color="auto"/>
              <w:right w:val="single" w:sz="4" w:space="0" w:color="auto"/>
            </w:tcBorders>
            <w:shd w:val="clear" w:color="000000" w:fill="DBD7D8"/>
            <w:noWrap/>
            <w:vAlign w:val="center"/>
            <w:hideMark/>
          </w:tcPr>
          <w:p w14:paraId="0BBB4036" w14:textId="77777777" w:rsidR="009C5B66" w:rsidRPr="00B6215B" w:rsidRDefault="009C5B66" w:rsidP="009C5B66">
            <w:pPr>
              <w:spacing w:after="0" w:line="240" w:lineRule="auto"/>
              <w:jc w:val="right"/>
              <w:rPr>
                <w:rFonts w:ascii="Arial" w:eastAsia="Times New Roman" w:hAnsi="Arial" w:cs="Arial"/>
                <w:sz w:val="18"/>
                <w:szCs w:val="18"/>
                <w:lang w:eastAsia="es-MX"/>
              </w:rPr>
            </w:pPr>
            <w:r w:rsidRPr="00B6215B">
              <w:rPr>
                <w:rFonts w:ascii="Arial" w:eastAsia="Times New Roman" w:hAnsi="Arial" w:cs="Arial"/>
                <w:sz w:val="18"/>
                <w:szCs w:val="18"/>
                <w:lang w:eastAsia="es-MX"/>
              </w:rPr>
              <w:t xml:space="preserve">   15 926 782</w:t>
            </w:r>
          </w:p>
        </w:tc>
      </w:tr>
    </w:tbl>
    <w:p w14:paraId="6E78A458" w14:textId="68821AB6" w:rsidR="004F6D07" w:rsidRPr="00DC0760" w:rsidRDefault="002A750D" w:rsidP="002A750D">
      <w:pPr>
        <w:spacing w:after="0"/>
        <w:ind w:left="-567"/>
        <w:jc w:val="center"/>
        <w:rPr>
          <w:rFonts w:ascii="Arial" w:hAnsi="Arial" w:cs="Arial"/>
          <w:iCs/>
          <w:noProof/>
          <w:sz w:val="16"/>
          <w:szCs w:val="16"/>
          <w:lang w:eastAsia="es-MX"/>
        </w:rPr>
      </w:pPr>
      <w:r w:rsidRPr="00DC0760">
        <w:rPr>
          <w:rFonts w:ascii="Arial" w:hAnsi="Arial" w:cs="Arial"/>
          <w:iCs/>
          <w:noProof/>
          <w:sz w:val="16"/>
          <w:szCs w:val="16"/>
          <w:lang w:eastAsia="es-MX"/>
        </w:rPr>
        <w:t xml:space="preserve">Nota: </w:t>
      </w:r>
      <w:r w:rsidR="005E17C6" w:rsidRPr="00DC0760">
        <w:rPr>
          <w:rFonts w:ascii="Arial" w:hAnsi="Arial" w:cs="Arial"/>
          <w:iCs/>
          <w:noProof/>
          <w:sz w:val="16"/>
          <w:szCs w:val="16"/>
          <w:lang w:eastAsia="es-MX"/>
        </w:rPr>
        <w:t xml:space="preserve">no se incluye la categoría no especificado tipo de materia que para el estado de Sinaloa correspondió a 10,000 pesos para el  procedimiento de invitación a cuando menos tres personas o invitación restringida. Tampoco </w:t>
      </w:r>
      <w:r w:rsidRPr="00DC0760">
        <w:rPr>
          <w:rFonts w:ascii="Arial" w:hAnsi="Arial" w:cs="Arial"/>
          <w:iCs/>
          <w:noProof/>
          <w:sz w:val="16"/>
          <w:szCs w:val="16"/>
          <w:lang w:eastAsia="es-MX"/>
        </w:rPr>
        <w:t>se incluye la entidad de Oaxaca ya que no contó con da</w:t>
      </w:r>
      <w:r w:rsidR="00222241" w:rsidRPr="00DC0760">
        <w:rPr>
          <w:rFonts w:ascii="Arial" w:hAnsi="Arial" w:cs="Arial"/>
          <w:iCs/>
          <w:noProof/>
          <w:sz w:val="16"/>
          <w:szCs w:val="16"/>
          <w:lang w:eastAsia="es-MX"/>
        </w:rPr>
        <w:t>t</w:t>
      </w:r>
      <w:r w:rsidRPr="00DC0760">
        <w:rPr>
          <w:rFonts w:ascii="Arial" w:hAnsi="Arial" w:cs="Arial"/>
          <w:iCs/>
          <w:noProof/>
          <w:sz w:val="16"/>
          <w:szCs w:val="16"/>
          <w:lang w:eastAsia="es-MX"/>
        </w:rPr>
        <w:t>os o elementos para responder sobre el tema</w:t>
      </w:r>
      <w:r w:rsidR="006C0306" w:rsidRPr="00DC0760">
        <w:rPr>
          <w:rFonts w:ascii="Arial" w:hAnsi="Arial" w:cs="Arial"/>
          <w:iCs/>
          <w:noProof/>
          <w:sz w:val="16"/>
          <w:szCs w:val="16"/>
          <w:lang w:eastAsia="es-MX"/>
        </w:rPr>
        <w:t>, o bien, reportó que algunos procedimientos no le aplicaban.</w:t>
      </w:r>
    </w:p>
    <w:p w14:paraId="37397E72" w14:textId="339B3D70" w:rsidR="002734DE" w:rsidRPr="00DC0760" w:rsidRDefault="002734DE" w:rsidP="002A750D">
      <w:pPr>
        <w:spacing w:after="0"/>
        <w:ind w:left="-567"/>
        <w:jc w:val="center"/>
        <w:rPr>
          <w:rFonts w:ascii="Arial" w:hAnsi="Arial" w:cs="Arial"/>
          <w:iCs/>
          <w:noProof/>
          <w:sz w:val="16"/>
          <w:szCs w:val="16"/>
          <w:lang w:eastAsia="es-MX"/>
        </w:rPr>
      </w:pPr>
      <w:r w:rsidRPr="00DC0760">
        <w:rPr>
          <w:rFonts w:ascii="Arial" w:hAnsi="Arial" w:cs="Arial"/>
          <w:iCs/>
          <w:noProof/>
          <w:sz w:val="16"/>
          <w:szCs w:val="16"/>
          <w:lang w:eastAsia="es-MX"/>
        </w:rPr>
        <w:t>NA: no aplica</w:t>
      </w:r>
    </w:p>
    <w:p w14:paraId="5FB4E864" w14:textId="40B88FD2" w:rsidR="00D0513D" w:rsidRPr="00DC0760" w:rsidRDefault="002734DE" w:rsidP="002734DE">
      <w:pPr>
        <w:spacing w:after="0"/>
        <w:ind w:left="-567"/>
        <w:jc w:val="center"/>
        <w:rPr>
          <w:rFonts w:ascii="Arial" w:hAnsi="Arial" w:cs="Arial"/>
          <w:b/>
          <w:bCs/>
          <w:iCs/>
          <w:noProof/>
          <w:sz w:val="24"/>
          <w:szCs w:val="24"/>
          <w:lang w:eastAsia="es-MX"/>
        </w:rPr>
      </w:pPr>
      <w:r w:rsidRPr="00DC0760">
        <w:rPr>
          <w:rFonts w:ascii="Arial" w:hAnsi="Arial" w:cs="Arial"/>
          <w:iCs/>
          <w:noProof/>
          <w:sz w:val="16"/>
          <w:szCs w:val="16"/>
          <w:lang w:eastAsia="es-MX"/>
        </w:rPr>
        <w:t>(-): no c</w:t>
      </w:r>
      <w:r w:rsidR="004A19B9">
        <w:rPr>
          <w:rFonts w:ascii="Arial" w:hAnsi="Arial" w:cs="Arial"/>
          <w:iCs/>
          <w:noProof/>
          <w:sz w:val="16"/>
          <w:szCs w:val="16"/>
          <w:lang w:eastAsia="es-MX"/>
        </w:rPr>
        <w:t>ontó</w:t>
      </w:r>
      <w:r w:rsidRPr="00DC0760">
        <w:rPr>
          <w:rFonts w:ascii="Arial" w:hAnsi="Arial" w:cs="Arial"/>
          <w:iCs/>
          <w:noProof/>
          <w:sz w:val="16"/>
          <w:szCs w:val="16"/>
          <w:lang w:eastAsia="es-MX"/>
        </w:rPr>
        <w:t xml:space="preserve"> con datos o elementos para responder.</w:t>
      </w:r>
    </w:p>
    <w:p w14:paraId="66DAF487" w14:textId="78E3BF06" w:rsidR="00D0513D" w:rsidRDefault="00D0513D" w:rsidP="00D80ECA">
      <w:pPr>
        <w:spacing w:after="0"/>
        <w:ind w:left="-567"/>
        <w:rPr>
          <w:rFonts w:ascii="Arial" w:hAnsi="Arial" w:cs="Arial"/>
          <w:b/>
          <w:bCs/>
          <w:iCs/>
          <w:noProof/>
          <w:sz w:val="24"/>
          <w:szCs w:val="24"/>
          <w:lang w:eastAsia="es-MX"/>
        </w:rPr>
      </w:pPr>
    </w:p>
    <w:p w14:paraId="369B9A84" w14:textId="348A82FE" w:rsidR="009C5B66" w:rsidRDefault="009F6FC8" w:rsidP="009C5B66">
      <w:pPr>
        <w:spacing w:after="0"/>
        <w:ind w:left="-567"/>
        <w:jc w:val="center"/>
        <w:rPr>
          <w:rFonts w:ascii="Arial" w:hAnsi="Arial" w:cs="Arial"/>
          <w:b/>
          <w:bCs/>
          <w:i/>
          <w:iCs/>
          <w:color w:val="706F6F"/>
          <w:sz w:val="18"/>
          <w:szCs w:val="24"/>
        </w:rPr>
      </w:pPr>
      <w:r>
        <w:rPr>
          <w:rFonts w:ascii="Arial" w:hAnsi="Arial" w:cs="Arial"/>
          <w:b/>
          <w:bCs/>
          <w:i/>
          <w:iCs/>
          <w:color w:val="706F6F"/>
          <w:sz w:val="18"/>
          <w:szCs w:val="24"/>
        </w:rPr>
        <w:t xml:space="preserve">Cuadro </w:t>
      </w:r>
      <w:r w:rsidR="009C5B66">
        <w:rPr>
          <w:rFonts w:ascii="Arial" w:hAnsi="Arial" w:cs="Arial"/>
          <w:b/>
          <w:bCs/>
          <w:i/>
          <w:iCs/>
          <w:color w:val="706F6F"/>
          <w:sz w:val="18"/>
          <w:szCs w:val="24"/>
        </w:rPr>
        <w:t>3</w:t>
      </w:r>
      <w:r w:rsidR="009C5B66" w:rsidRPr="00E06815">
        <w:rPr>
          <w:rFonts w:ascii="Arial" w:hAnsi="Arial" w:cs="Arial"/>
          <w:b/>
          <w:bCs/>
          <w:i/>
          <w:iCs/>
          <w:color w:val="706F6F"/>
          <w:sz w:val="18"/>
          <w:szCs w:val="24"/>
        </w:rPr>
        <w:t>.</w:t>
      </w:r>
      <w:r w:rsidR="009C5B66">
        <w:rPr>
          <w:rFonts w:ascii="Arial" w:hAnsi="Arial" w:cs="Arial"/>
          <w:b/>
          <w:bCs/>
          <w:i/>
          <w:iCs/>
          <w:color w:val="706F6F"/>
          <w:sz w:val="18"/>
          <w:szCs w:val="24"/>
        </w:rPr>
        <w:t xml:space="preserve"> Distribución porcentual del monto asociado a los contratos realizados por </w:t>
      </w:r>
      <w:r w:rsidR="009C5B66" w:rsidRPr="00E06815">
        <w:rPr>
          <w:rFonts w:ascii="Arial" w:hAnsi="Arial" w:cs="Arial"/>
          <w:b/>
          <w:bCs/>
          <w:i/>
          <w:iCs/>
          <w:color w:val="706F6F"/>
          <w:sz w:val="18"/>
          <w:szCs w:val="24"/>
        </w:rPr>
        <w:t xml:space="preserve">las administraciones públicas estatales, por </w:t>
      </w:r>
      <w:r w:rsidR="009C5B66">
        <w:rPr>
          <w:rFonts w:ascii="Arial" w:hAnsi="Arial" w:cs="Arial"/>
          <w:b/>
          <w:bCs/>
          <w:i/>
          <w:iCs/>
          <w:color w:val="706F6F"/>
          <w:sz w:val="18"/>
          <w:szCs w:val="24"/>
        </w:rPr>
        <w:t>tipo de procedimiento de contratación y entidad federativa</w:t>
      </w:r>
      <w:r w:rsidR="009C5B66" w:rsidRPr="00E06815">
        <w:rPr>
          <w:rFonts w:ascii="Arial" w:hAnsi="Arial" w:cs="Arial"/>
          <w:b/>
          <w:bCs/>
          <w:i/>
          <w:iCs/>
          <w:color w:val="706F6F"/>
          <w:sz w:val="18"/>
          <w:szCs w:val="24"/>
        </w:rPr>
        <w:t>, 2020</w:t>
      </w:r>
    </w:p>
    <w:tbl>
      <w:tblPr>
        <w:tblW w:w="9825" w:type="dxa"/>
        <w:tblInd w:w="-431" w:type="dxa"/>
        <w:tblLayout w:type="fixed"/>
        <w:tblCellMar>
          <w:left w:w="70" w:type="dxa"/>
          <w:right w:w="70" w:type="dxa"/>
        </w:tblCellMar>
        <w:tblLook w:val="04A0" w:firstRow="1" w:lastRow="0" w:firstColumn="1" w:lastColumn="0" w:noHBand="0" w:noVBand="1"/>
      </w:tblPr>
      <w:tblGrid>
        <w:gridCol w:w="1320"/>
        <w:gridCol w:w="1701"/>
        <w:gridCol w:w="1701"/>
        <w:gridCol w:w="1701"/>
        <w:gridCol w:w="1701"/>
        <w:gridCol w:w="1701"/>
      </w:tblGrid>
      <w:tr w:rsidR="00472CF0" w:rsidRPr="009C5B66" w14:paraId="68F0CBED" w14:textId="77777777" w:rsidTr="00472CF0">
        <w:trPr>
          <w:trHeight w:val="870"/>
        </w:trPr>
        <w:tc>
          <w:tcPr>
            <w:tcW w:w="1320" w:type="dxa"/>
            <w:tcBorders>
              <w:top w:val="single" w:sz="4" w:space="0" w:color="auto"/>
              <w:left w:val="single" w:sz="4" w:space="0" w:color="auto"/>
              <w:bottom w:val="single" w:sz="4" w:space="0" w:color="auto"/>
              <w:right w:val="single" w:sz="4" w:space="0" w:color="auto"/>
            </w:tcBorders>
            <w:shd w:val="clear" w:color="000000" w:fill="706F6F"/>
            <w:vAlign w:val="center"/>
            <w:hideMark/>
          </w:tcPr>
          <w:p w14:paraId="2BE2E1B7" w14:textId="77777777" w:rsidR="009C5B66" w:rsidRPr="009C5B66" w:rsidRDefault="009C5B66" w:rsidP="009C5B66">
            <w:pPr>
              <w:spacing w:after="0" w:line="240" w:lineRule="auto"/>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 xml:space="preserve">Entidad </w:t>
            </w:r>
            <w:r w:rsidRPr="009C5B66">
              <w:rPr>
                <w:rFonts w:ascii="Arial" w:eastAsia="Times New Roman" w:hAnsi="Arial" w:cs="Arial"/>
                <w:b/>
                <w:bCs/>
                <w:color w:val="FFFFFF"/>
                <w:sz w:val="16"/>
                <w:szCs w:val="16"/>
                <w:lang w:eastAsia="es-MX"/>
              </w:rPr>
              <w:br/>
              <w:t>federativa</w:t>
            </w:r>
          </w:p>
        </w:tc>
        <w:tc>
          <w:tcPr>
            <w:tcW w:w="1701" w:type="dxa"/>
            <w:tcBorders>
              <w:top w:val="single" w:sz="4" w:space="0" w:color="auto"/>
              <w:left w:val="nil"/>
              <w:bottom w:val="single" w:sz="4" w:space="0" w:color="auto"/>
              <w:right w:val="single" w:sz="4" w:space="0" w:color="auto"/>
            </w:tcBorders>
            <w:shd w:val="clear" w:color="000000" w:fill="706F6F"/>
            <w:vAlign w:val="center"/>
            <w:hideMark/>
          </w:tcPr>
          <w:p w14:paraId="39F9F17D" w14:textId="77777777" w:rsidR="009C5B66" w:rsidRPr="009C5B66" w:rsidRDefault="009C5B66" w:rsidP="009C5B66">
            <w:pPr>
              <w:spacing w:after="0" w:line="240" w:lineRule="auto"/>
              <w:jc w:val="right"/>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 xml:space="preserve">Licitación </w:t>
            </w:r>
            <w:r w:rsidRPr="009C5B66">
              <w:rPr>
                <w:rFonts w:ascii="Arial" w:eastAsia="Times New Roman" w:hAnsi="Arial" w:cs="Arial"/>
                <w:b/>
                <w:bCs/>
                <w:color w:val="FFFFFF"/>
                <w:sz w:val="16"/>
                <w:szCs w:val="16"/>
                <w:lang w:eastAsia="es-MX"/>
              </w:rPr>
              <w:br/>
              <w:t xml:space="preserve">pública </w:t>
            </w:r>
            <w:r w:rsidRPr="009C5B66">
              <w:rPr>
                <w:rFonts w:ascii="Arial" w:eastAsia="Times New Roman" w:hAnsi="Arial" w:cs="Arial"/>
                <w:b/>
                <w:bCs/>
                <w:color w:val="FFFFFF"/>
                <w:sz w:val="16"/>
                <w:szCs w:val="16"/>
                <w:lang w:eastAsia="es-MX"/>
              </w:rPr>
              <w:br/>
              <w:t>nacional</w:t>
            </w:r>
          </w:p>
        </w:tc>
        <w:tc>
          <w:tcPr>
            <w:tcW w:w="1701" w:type="dxa"/>
            <w:tcBorders>
              <w:top w:val="single" w:sz="4" w:space="0" w:color="auto"/>
              <w:left w:val="nil"/>
              <w:bottom w:val="single" w:sz="4" w:space="0" w:color="auto"/>
              <w:right w:val="single" w:sz="4" w:space="0" w:color="auto"/>
            </w:tcBorders>
            <w:shd w:val="clear" w:color="000000" w:fill="706F6F"/>
            <w:vAlign w:val="center"/>
            <w:hideMark/>
          </w:tcPr>
          <w:p w14:paraId="44B2113E" w14:textId="77777777" w:rsidR="009C5B66" w:rsidRPr="009C5B66" w:rsidRDefault="009C5B66" w:rsidP="009C5B66">
            <w:pPr>
              <w:spacing w:after="0" w:line="240" w:lineRule="auto"/>
              <w:jc w:val="right"/>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 xml:space="preserve">Adjudicación </w:t>
            </w:r>
            <w:r w:rsidRPr="009C5B66">
              <w:rPr>
                <w:rFonts w:ascii="Arial" w:eastAsia="Times New Roman" w:hAnsi="Arial" w:cs="Arial"/>
                <w:b/>
                <w:bCs/>
                <w:color w:val="FFFFFF"/>
                <w:sz w:val="16"/>
                <w:szCs w:val="16"/>
                <w:lang w:eastAsia="es-MX"/>
              </w:rPr>
              <w:br/>
              <w:t>directa</w:t>
            </w:r>
          </w:p>
        </w:tc>
        <w:tc>
          <w:tcPr>
            <w:tcW w:w="1701" w:type="dxa"/>
            <w:tcBorders>
              <w:top w:val="single" w:sz="4" w:space="0" w:color="auto"/>
              <w:left w:val="nil"/>
              <w:bottom w:val="single" w:sz="4" w:space="0" w:color="auto"/>
              <w:right w:val="single" w:sz="4" w:space="0" w:color="auto"/>
            </w:tcBorders>
            <w:shd w:val="clear" w:color="000000" w:fill="706F6F"/>
            <w:vAlign w:val="center"/>
            <w:hideMark/>
          </w:tcPr>
          <w:p w14:paraId="7E4C4046" w14:textId="77777777" w:rsidR="009C5B66" w:rsidRPr="009C5B66" w:rsidRDefault="009C5B66" w:rsidP="009C5B66">
            <w:pPr>
              <w:spacing w:after="0" w:line="240" w:lineRule="auto"/>
              <w:jc w:val="right"/>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Invitación a cuando menos tres personas o invitación restringida</w:t>
            </w:r>
          </w:p>
        </w:tc>
        <w:tc>
          <w:tcPr>
            <w:tcW w:w="1701" w:type="dxa"/>
            <w:tcBorders>
              <w:top w:val="single" w:sz="4" w:space="0" w:color="auto"/>
              <w:left w:val="nil"/>
              <w:bottom w:val="single" w:sz="4" w:space="0" w:color="auto"/>
              <w:right w:val="single" w:sz="4" w:space="0" w:color="auto"/>
            </w:tcBorders>
            <w:shd w:val="clear" w:color="000000" w:fill="706F6F"/>
            <w:vAlign w:val="center"/>
            <w:hideMark/>
          </w:tcPr>
          <w:p w14:paraId="4E4ACBF1" w14:textId="77777777" w:rsidR="009C5B66" w:rsidRPr="009C5B66" w:rsidRDefault="009C5B66" w:rsidP="009C5B66">
            <w:pPr>
              <w:spacing w:after="0" w:line="240" w:lineRule="auto"/>
              <w:jc w:val="right"/>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 xml:space="preserve">Licitación </w:t>
            </w:r>
            <w:r w:rsidRPr="009C5B66">
              <w:rPr>
                <w:rFonts w:ascii="Arial" w:eastAsia="Times New Roman" w:hAnsi="Arial" w:cs="Arial"/>
                <w:b/>
                <w:bCs/>
                <w:color w:val="FFFFFF"/>
                <w:sz w:val="16"/>
                <w:szCs w:val="16"/>
                <w:lang w:eastAsia="es-MX"/>
              </w:rPr>
              <w:br/>
              <w:t xml:space="preserve">pública </w:t>
            </w:r>
            <w:r w:rsidRPr="009C5B66">
              <w:rPr>
                <w:rFonts w:ascii="Arial" w:eastAsia="Times New Roman" w:hAnsi="Arial" w:cs="Arial"/>
                <w:b/>
                <w:bCs/>
                <w:color w:val="FFFFFF"/>
                <w:sz w:val="16"/>
                <w:szCs w:val="16"/>
                <w:lang w:eastAsia="es-MX"/>
              </w:rPr>
              <w:br/>
              <w:t>internacional</w:t>
            </w:r>
          </w:p>
        </w:tc>
        <w:tc>
          <w:tcPr>
            <w:tcW w:w="1701" w:type="dxa"/>
            <w:tcBorders>
              <w:top w:val="single" w:sz="4" w:space="0" w:color="auto"/>
              <w:left w:val="nil"/>
              <w:bottom w:val="single" w:sz="4" w:space="0" w:color="auto"/>
              <w:right w:val="single" w:sz="4" w:space="0" w:color="auto"/>
            </w:tcBorders>
            <w:shd w:val="clear" w:color="000000" w:fill="706F6F"/>
            <w:vAlign w:val="center"/>
            <w:hideMark/>
          </w:tcPr>
          <w:p w14:paraId="267EC8F9" w14:textId="77777777" w:rsidR="009C5B66" w:rsidRPr="009C5B66" w:rsidRDefault="009C5B66" w:rsidP="009C5B66">
            <w:pPr>
              <w:spacing w:after="0" w:line="240" w:lineRule="auto"/>
              <w:jc w:val="right"/>
              <w:rPr>
                <w:rFonts w:ascii="Arial" w:eastAsia="Times New Roman" w:hAnsi="Arial" w:cs="Arial"/>
                <w:b/>
                <w:bCs/>
                <w:color w:val="FFFFFF"/>
                <w:sz w:val="16"/>
                <w:szCs w:val="16"/>
                <w:lang w:eastAsia="es-MX"/>
              </w:rPr>
            </w:pPr>
            <w:r w:rsidRPr="009C5B66">
              <w:rPr>
                <w:rFonts w:ascii="Arial" w:eastAsia="Times New Roman" w:hAnsi="Arial" w:cs="Arial"/>
                <w:b/>
                <w:bCs/>
                <w:color w:val="FFFFFF"/>
                <w:sz w:val="16"/>
                <w:szCs w:val="16"/>
                <w:lang w:eastAsia="es-MX"/>
              </w:rPr>
              <w:t>Otro</w:t>
            </w:r>
          </w:p>
        </w:tc>
      </w:tr>
      <w:tr w:rsidR="00472CF0" w:rsidRPr="009C5B66" w14:paraId="2C62772E"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8CC2A45"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CDMX</w:t>
            </w:r>
          </w:p>
        </w:tc>
        <w:tc>
          <w:tcPr>
            <w:tcW w:w="1701" w:type="dxa"/>
            <w:tcBorders>
              <w:top w:val="nil"/>
              <w:left w:val="nil"/>
              <w:bottom w:val="single" w:sz="4" w:space="0" w:color="auto"/>
              <w:right w:val="single" w:sz="4" w:space="0" w:color="auto"/>
            </w:tcBorders>
            <w:shd w:val="clear" w:color="000000" w:fill="8E61A5"/>
            <w:noWrap/>
            <w:vAlign w:val="center"/>
            <w:hideMark/>
          </w:tcPr>
          <w:p w14:paraId="4B7E9DD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23.7%</w:t>
            </w:r>
          </w:p>
        </w:tc>
        <w:tc>
          <w:tcPr>
            <w:tcW w:w="1701" w:type="dxa"/>
            <w:tcBorders>
              <w:top w:val="nil"/>
              <w:left w:val="nil"/>
              <w:bottom w:val="single" w:sz="4" w:space="0" w:color="auto"/>
              <w:right w:val="single" w:sz="4" w:space="0" w:color="auto"/>
            </w:tcBorders>
            <w:shd w:val="clear" w:color="000000" w:fill="006098"/>
            <w:noWrap/>
            <w:vAlign w:val="center"/>
            <w:hideMark/>
          </w:tcPr>
          <w:p w14:paraId="537A15D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63.0%</w:t>
            </w:r>
          </w:p>
        </w:tc>
        <w:tc>
          <w:tcPr>
            <w:tcW w:w="1701" w:type="dxa"/>
            <w:tcBorders>
              <w:top w:val="nil"/>
              <w:left w:val="nil"/>
              <w:bottom w:val="single" w:sz="4" w:space="0" w:color="auto"/>
              <w:right w:val="single" w:sz="4" w:space="0" w:color="auto"/>
            </w:tcBorders>
            <w:shd w:val="clear" w:color="000000" w:fill="CE941F"/>
            <w:noWrap/>
            <w:vAlign w:val="center"/>
            <w:hideMark/>
          </w:tcPr>
          <w:p w14:paraId="0DA51062" w14:textId="40D01F2B"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w:t>
            </w:r>
            <w:r w:rsidR="00B21178">
              <w:rPr>
                <w:rFonts w:ascii="Arial" w:eastAsia="Times New Roman" w:hAnsi="Arial" w:cs="Arial"/>
                <w:color w:val="FFFFFF"/>
                <w:sz w:val="18"/>
                <w:szCs w:val="18"/>
                <w:lang w:eastAsia="es-MX"/>
              </w:rPr>
              <w:t>5</w:t>
            </w:r>
            <w:r w:rsidRPr="009C5B66">
              <w:rPr>
                <w:rFonts w:ascii="Arial" w:eastAsia="Times New Roman" w:hAnsi="Arial" w:cs="Arial"/>
                <w:color w:val="FFFFFF"/>
                <w:sz w:val="18"/>
                <w:szCs w:val="18"/>
                <w:lang w:eastAsia="es-MX"/>
              </w:rPr>
              <w:t>%</w:t>
            </w:r>
          </w:p>
        </w:tc>
        <w:tc>
          <w:tcPr>
            <w:tcW w:w="1701" w:type="dxa"/>
            <w:tcBorders>
              <w:top w:val="nil"/>
              <w:left w:val="nil"/>
              <w:bottom w:val="single" w:sz="4" w:space="0" w:color="auto"/>
              <w:right w:val="single" w:sz="4" w:space="0" w:color="auto"/>
            </w:tcBorders>
            <w:shd w:val="clear" w:color="000000" w:fill="F7BFD8"/>
            <w:noWrap/>
            <w:vAlign w:val="center"/>
            <w:hideMark/>
          </w:tcPr>
          <w:p w14:paraId="10723E5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w:t>
            </w:r>
          </w:p>
        </w:tc>
        <w:tc>
          <w:tcPr>
            <w:tcW w:w="1701" w:type="dxa"/>
            <w:tcBorders>
              <w:top w:val="nil"/>
              <w:left w:val="nil"/>
              <w:bottom w:val="single" w:sz="4" w:space="0" w:color="auto"/>
              <w:right w:val="single" w:sz="4" w:space="0" w:color="auto"/>
            </w:tcBorders>
            <w:shd w:val="clear" w:color="000000" w:fill="DBD7D8"/>
            <w:noWrap/>
            <w:vAlign w:val="center"/>
            <w:hideMark/>
          </w:tcPr>
          <w:p w14:paraId="09CD848B"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9.8%</w:t>
            </w:r>
          </w:p>
        </w:tc>
      </w:tr>
      <w:tr w:rsidR="00472CF0" w:rsidRPr="009C5B66" w14:paraId="7BDAF4C0"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5882D968"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JAL</w:t>
            </w:r>
          </w:p>
        </w:tc>
        <w:tc>
          <w:tcPr>
            <w:tcW w:w="1701" w:type="dxa"/>
            <w:tcBorders>
              <w:top w:val="nil"/>
              <w:left w:val="nil"/>
              <w:bottom w:val="single" w:sz="4" w:space="0" w:color="auto"/>
              <w:right w:val="single" w:sz="4" w:space="0" w:color="auto"/>
            </w:tcBorders>
            <w:shd w:val="clear" w:color="000000" w:fill="8E61A5"/>
            <w:noWrap/>
            <w:vAlign w:val="center"/>
            <w:hideMark/>
          </w:tcPr>
          <w:p w14:paraId="2EDB3F6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55.9%</w:t>
            </w:r>
          </w:p>
        </w:tc>
        <w:tc>
          <w:tcPr>
            <w:tcW w:w="1701" w:type="dxa"/>
            <w:tcBorders>
              <w:top w:val="nil"/>
              <w:left w:val="nil"/>
              <w:bottom w:val="single" w:sz="4" w:space="0" w:color="auto"/>
              <w:right w:val="single" w:sz="4" w:space="0" w:color="auto"/>
            </w:tcBorders>
            <w:shd w:val="clear" w:color="000000" w:fill="006098"/>
            <w:noWrap/>
            <w:vAlign w:val="center"/>
            <w:hideMark/>
          </w:tcPr>
          <w:p w14:paraId="2C1B227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6.1%</w:t>
            </w:r>
          </w:p>
        </w:tc>
        <w:tc>
          <w:tcPr>
            <w:tcW w:w="1701" w:type="dxa"/>
            <w:tcBorders>
              <w:top w:val="nil"/>
              <w:left w:val="nil"/>
              <w:bottom w:val="single" w:sz="4" w:space="0" w:color="auto"/>
              <w:right w:val="single" w:sz="4" w:space="0" w:color="auto"/>
            </w:tcBorders>
            <w:shd w:val="clear" w:color="000000" w:fill="CE941F"/>
            <w:noWrap/>
            <w:vAlign w:val="center"/>
            <w:hideMark/>
          </w:tcPr>
          <w:p w14:paraId="2806DC5E"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15.3%</w:t>
            </w:r>
          </w:p>
        </w:tc>
        <w:tc>
          <w:tcPr>
            <w:tcW w:w="1701" w:type="dxa"/>
            <w:tcBorders>
              <w:top w:val="nil"/>
              <w:left w:val="nil"/>
              <w:bottom w:val="single" w:sz="4" w:space="0" w:color="auto"/>
              <w:right w:val="single" w:sz="4" w:space="0" w:color="auto"/>
            </w:tcBorders>
            <w:shd w:val="clear" w:color="000000" w:fill="F7BFD8"/>
            <w:noWrap/>
            <w:vAlign w:val="center"/>
            <w:hideMark/>
          </w:tcPr>
          <w:p w14:paraId="2A40DC83"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155869A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22.8%</w:t>
            </w:r>
          </w:p>
        </w:tc>
      </w:tr>
      <w:tr w:rsidR="00472CF0" w:rsidRPr="009C5B66" w14:paraId="5C6FD172"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19EC60F7"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MEX</w:t>
            </w:r>
          </w:p>
        </w:tc>
        <w:tc>
          <w:tcPr>
            <w:tcW w:w="1701" w:type="dxa"/>
            <w:tcBorders>
              <w:top w:val="nil"/>
              <w:left w:val="nil"/>
              <w:bottom w:val="single" w:sz="4" w:space="0" w:color="auto"/>
              <w:right w:val="single" w:sz="4" w:space="0" w:color="auto"/>
            </w:tcBorders>
            <w:shd w:val="clear" w:color="000000" w:fill="8E61A5"/>
            <w:noWrap/>
            <w:vAlign w:val="center"/>
            <w:hideMark/>
          </w:tcPr>
          <w:p w14:paraId="1C5096E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64.2%</w:t>
            </w:r>
          </w:p>
        </w:tc>
        <w:tc>
          <w:tcPr>
            <w:tcW w:w="1701" w:type="dxa"/>
            <w:tcBorders>
              <w:top w:val="nil"/>
              <w:left w:val="nil"/>
              <w:bottom w:val="single" w:sz="4" w:space="0" w:color="auto"/>
              <w:right w:val="single" w:sz="4" w:space="0" w:color="auto"/>
            </w:tcBorders>
            <w:shd w:val="clear" w:color="000000" w:fill="006098"/>
            <w:noWrap/>
            <w:vAlign w:val="center"/>
            <w:hideMark/>
          </w:tcPr>
          <w:p w14:paraId="5ABA1E7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35.8%</w:t>
            </w:r>
          </w:p>
        </w:tc>
        <w:tc>
          <w:tcPr>
            <w:tcW w:w="1701" w:type="dxa"/>
            <w:tcBorders>
              <w:top w:val="nil"/>
              <w:left w:val="nil"/>
              <w:bottom w:val="single" w:sz="4" w:space="0" w:color="auto"/>
              <w:right w:val="single" w:sz="4" w:space="0" w:color="auto"/>
            </w:tcBorders>
            <w:shd w:val="clear" w:color="000000" w:fill="CE941F"/>
            <w:noWrap/>
            <w:vAlign w:val="center"/>
            <w:hideMark/>
          </w:tcPr>
          <w:p w14:paraId="312EBEE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0.1%</w:t>
            </w:r>
          </w:p>
        </w:tc>
        <w:tc>
          <w:tcPr>
            <w:tcW w:w="1701" w:type="dxa"/>
            <w:tcBorders>
              <w:top w:val="nil"/>
              <w:left w:val="nil"/>
              <w:bottom w:val="single" w:sz="4" w:space="0" w:color="auto"/>
              <w:right w:val="single" w:sz="4" w:space="0" w:color="auto"/>
            </w:tcBorders>
            <w:shd w:val="clear" w:color="000000" w:fill="F7BFD8"/>
            <w:noWrap/>
            <w:vAlign w:val="center"/>
            <w:hideMark/>
          </w:tcPr>
          <w:p w14:paraId="695F56D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0992B67F"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7469E99C"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48C2DBCE"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VER</w:t>
            </w:r>
          </w:p>
        </w:tc>
        <w:tc>
          <w:tcPr>
            <w:tcW w:w="1701" w:type="dxa"/>
            <w:tcBorders>
              <w:top w:val="nil"/>
              <w:left w:val="nil"/>
              <w:bottom w:val="single" w:sz="4" w:space="0" w:color="auto"/>
              <w:right w:val="single" w:sz="4" w:space="0" w:color="auto"/>
            </w:tcBorders>
            <w:shd w:val="clear" w:color="000000" w:fill="8E61A5"/>
            <w:noWrap/>
            <w:vAlign w:val="center"/>
            <w:hideMark/>
          </w:tcPr>
          <w:p w14:paraId="76773C0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26.3%</w:t>
            </w:r>
          </w:p>
        </w:tc>
        <w:tc>
          <w:tcPr>
            <w:tcW w:w="1701" w:type="dxa"/>
            <w:tcBorders>
              <w:top w:val="nil"/>
              <w:left w:val="nil"/>
              <w:bottom w:val="single" w:sz="4" w:space="0" w:color="auto"/>
              <w:right w:val="single" w:sz="4" w:space="0" w:color="auto"/>
            </w:tcBorders>
            <w:shd w:val="clear" w:color="000000" w:fill="006098"/>
            <w:noWrap/>
            <w:vAlign w:val="center"/>
            <w:hideMark/>
          </w:tcPr>
          <w:p w14:paraId="5747FD9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55.0%</w:t>
            </w:r>
          </w:p>
        </w:tc>
        <w:tc>
          <w:tcPr>
            <w:tcW w:w="1701" w:type="dxa"/>
            <w:tcBorders>
              <w:top w:val="nil"/>
              <w:left w:val="nil"/>
              <w:bottom w:val="single" w:sz="4" w:space="0" w:color="auto"/>
              <w:right w:val="single" w:sz="4" w:space="0" w:color="auto"/>
            </w:tcBorders>
            <w:shd w:val="clear" w:color="000000" w:fill="CE941F"/>
            <w:noWrap/>
            <w:vAlign w:val="center"/>
            <w:hideMark/>
          </w:tcPr>
          <w:p w14:paraId="7FD76FB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12.9%</w:t>
            </w:r>
          </w:p>
        </w:tc>
        <w:tc>
          <w:tcPr>
            <w:tcW w:w="1701" w:type="dxa"/>
            <w:tcBorders>
              <w:top w:val="nil"/>
              <w:left w:val="nil"/>
              <w:bottom w:val="single" w:sz="4" w:space="0" w:color="auto"/>
              <w:right w:val="single" w:sz="4" w:space="0" w:color="auto"/>
            </w:tcBorders>
            <w:shd w:val="clear" w:color="000000" w:fill="F7BFD8"/>
            <w:noWrap/>
            <w:vAlign w:val="center"/>
            <w:hideMark/>
          </w:tcPr>
          <w:p w14:paraId="06E61A6D"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449071C8"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5.8%</w:t>
            </w:r>
          </w:p>
        </w:tc>
      </w:tr>
      <w:tr w:rsidR="00472CF0" w:rsidRPr="009C5B66" w14:paraId="06C2275A"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1E33EB5A"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CHIH</w:t>
            </w:r>
          </w:p>
        </w:tc>
        <w:tc>
          <w:tcPr>
            <w:tcW w:w="1701" w:type="dxa"/>
            <w:tcBorders>
              <w:top w:val="nil"/>
              <w:left w:val="nil"/>
              <w:bottom w:val="single" w:sz="4" w:space="0" w:color="auto"/>
              <w:right w:val="single" w:sz="4" w:space="0" w:color="auto"/>
            </w:tcBorders>
            <w:shd w:val="clear" w:color="000000" w:fill="8E61A5"/>
            <w:noWrap/>
            <w:vAlign w:val="center"/>
            <w:hideMark/>
          </w:tcPr>
          <w:p w14:paraId="48D8A1E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64.6%</w:t>
            </w:r>
          </w:p>
        </w:tc>
        <w:tc>
          <w:tcPr>
            <w:tcW w:w="1701" w:type="dxa"/>
            <w:tcBorders>
              <w:top w:val="nil"/>
              <w:left w:val="nil"/>
              <w:bottom w:val="single" w:sz="4" w:space="0" w:color="auto"/>
              <w:right w:val="single" w:sz="4" w:space="0" w:color="auto"/>
            </w:tcBorders>
            <w:shd w:val="clear" w:color="000000" w:fill="006098"/>
            <w:noWrap/>
            <w:vAlign w:val="center"/>
            <w:hideMark/>
          </w:tcPr>
          <w:p w14:paraId="39C7FC5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34.7%</w:t>
            </w:r>
          </w:p>
        </w:tc>
        <w:tc>
          <w:tcPr>
            <w:tcW w:w="1701" w:type="dxa"/>
            <w:tcBorders>
              <w:top w:val="nil"/>
              <w:left w:val="nil"/>
              <w:bottom w:val="single" w:sz="4" w:space="0" w:color="auto"/>
              <w:right w:val="single" w:sz="4" w:space="0" w:color="auto"/>
            </w:tcBorders>
            <w:shd w:val="clear" w:color="000000" w:fill="CE941F"/>
            <w:noWrap/>
            <w:vAlign w:val="center"/>
            <w:hideMark/>
          </w:tcPr>
          <w:p w14:paraId="4827DB16"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0.4%</w:t>
            </w:r>
          </w:p>
        </w:tc>
        <w:tc>
          <w:tcPr>
            <w:tcW w:w="1701" w:type="dxa"/>
            <w:tcBorders>
              <w:top w:val="nil"/>
              <w:left w:val="nil"/>
              <w:bottom w:val="single" w:sz="4" w:space="0" w:color="auto"/>
              <w:right w:val="single" w:sz="4" w:space="0" w:color="auto"/>
            </w:tcBorders>
            <w:shd w:val="clear" w:color="000000" w:fill="F7BFD8"/>
            <w:noWrap/>
            <w:vAlign w:val="center"/>
            <w:hideMark/>
          </w:tcPr>
          <w:p w14:paraId="3C0CBA2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0.3%</w:t>
            </w:r>
          </w:p>
        </w:tc>
        <w:tc>
          <w:tcPr>
            <w:tcW w:w="1701" w:type="dxa"/>
            <w:tcBorders>
              <w:top w:val="nil"/>
              <w:left w:val="nil"/>
              <w:bottom w:val="single" w:sz="4" w:space="0" w:color="auto"/>
              <w:right w:val="single" w:sz="4" w:space="0" w:color="auto"/>
            </w:tcBorders>
            <w:shd w:val="clear" w:color="000000" w:fill="DBD7D8"/>
            <w:noWrap/>
            <w:vAlign w:val="center"/>
            <w:hideMark/>
          </w:tcPr>
          <w:p w14:paraId="4F4E37D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4F8DCE6F"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616C6A28"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PUE</w:t>
            </w:r>
          </w:p>
        </w:tc>
        <w:tc>
          <w:tcPr>
            <w:tcW w:w="1701" w:type="dxa"/>
            <w:tcBorders>
              <w:top w:val="nil"/>
              <w:left w:val="nil"/>
              <w:bottom w:val="single" w:sz="4" w:space="0" w:color="auto"/>
              <w:right w:val="single" w:sz="4" w:space="0" w:color="auto"/>
            </w:tcBorders>
            <w:shd w:val="clear" w:color="000000" w:fill="8E61A5"/>
            <w:noWrap/>
            <w:vAlign w:val="center"/>
            <w:hideMark/>
          </w:tcPr>
          <w:p w14:paraId="17315EC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43.4%</w:t>
            </w:r>
          </w:p>
        </w:tc>
        <w:tc>
          <w:tcPr>
            <w:tcW w:w="1701" w:type="dxa"/>
            <w:tcBorders>
              <w:top w:val="nil"/>
              <w:left w:val="nil"/>
              <w:bottom w:val="single" w:sz="4" w:space="0" w:color="auto"/>
              <w:right w:val="single" w:sz="4" w:space="0" w:color="auto"/>
            </w:tcBorders>
            <w:shd w:val="clear" w:color="000000" w:fill="006098"/>
            <w:noWrap/>
            <w:vAlign w:val="center"/>
            <w:hideMark/>
          </w:tcPr>
          <w:p w14:paraId="5C0E588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16.0%</w:t>
            </w:r>
          </w:p>
        </w:tc>
        <w:tc>
          <w:tcPr>
            <w:tcW w:w="1701" w:type="dxa"/>
            <w:tcBorders>
              <w:top w:val="nil"/>
              <w:left w:val="nil"/>
              <w:bottom w:val="single" w:sz="4" w:space="0" w:color="auto"/>
              <w:right w:val="single" w:sz="4" w:space="0" w:color="auto"/>
            </w:tcBorders>
            <w:shd w:val="clear" w:color="000000" w:fill="CE941F"/>
            <w:noWrap/>
            <w:vAlign w:val="center"/>
            <w:hideMark/>
          </w:tcPr>
          <w:p w14:paraId="2D680C0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17.5%</w:t>
            </w:r>
          </w:p>
        </w:tc>
        <w:tc>
          <w:tcPr>
            <w:tcW w:w="1701" w:type="dxa"/>
            <w:tcBorders>
              <w:top w:val="nil"/>
              <w:left w:val="nil"/>
              <w:bottom w:val="single" w:sz="4" w:space="0" w:color="auto"/>
              <w:right w:val="single" w:sz="4" w:space="0" w:color="auto"/>
            </w:tcBorders>
            <w:shd w:val="clear" w:color="000000" w:fill="F7BFD8"/>
            <w:noWrap/>
            <w:vAlign w:val="center"/>
            <w:hideMark/>
          </w:tcPr>
          <w:p w14:paraId="0BA1B36C"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556CF20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23.0%</w:t>
            </w:r>
          </w:p>
        </w:tc>
      </w:tr>
      <w:tr w:rsidR="00472CF0" w:rsidRPr="009C5B66" w14:paraId="6748F371"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0E3554A4"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HGO</w:t>
            </w:r>
          </w:p>
        </w:tc>
        <w:tc>
          <w:tcPr>
            <w:tcW w:w="1701" w:type="dxa"/>
            <w:tcBorders>
              <w:top w:val="nil"/>
              <w:left w:val="nil"/>
              <w:bottom w:val="single" w:sz="4" w:space="0" w:color="auto"/>
              <w:right w:val="single" w:sz="4" w:space="0" w:color="auto"/>
            </w:tcBorders>
            <w:shd w:val="clear" w:color="000000" w:fill="8E61A5"/>
            <w:noWrap/>
            <w:vAlign w:val="center"/>
            <w:hideMark/>
          </w:tcPr>
          <w:p w14:paraId="2EFCC2AA"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73.0%</w:t>
            </w:r>
          </w:p>
        </w:tc>
        <w:tc>
          <w:tcPr>
            <w:tcW w:w="1701" w:type="dxa"/>
            <w:tcBorders>
              <w:top w:val="nil"/>
              <w:left w:val="nil"/>
              <w:bottom w:val="single" w:sz="4" w:space="0" w:color="auto"/>
              <w:right w:val="single" w:sz="4" w:space="0" w:color="auto"/>
            </w:tcBorders>
            <w:shd w:val="clear" w:color="000000" w:fill="006098"/>
            <w:noWrap/>
            <w:vAlign w:val="center"/>
            <w:hideMark/>
          </w:tcPr>
          <w:p w14:paraId="31C4B83E"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22.9%</w:t>
            </w:r>
          </w:p>
        </w:tc>
        <w:tc>
          <w:tcPr>
            <w:tcW w:w="1701" w:type="dxa"/>
            <w:tcBorders>
              <w:top w:val="nil"/>
              <w:left w:val="nil"/>
              <w:bottom w:val="single" w:sz="4" w:space="0" w:color="auto"/>
              <w:right w:val="single" w:sz="4" w:space="0" w:color="auto"/>
            </w:tcBorders>
            <w:shd w:val="clear" w:color="000000" w:fill="CE941F"/>
            <w:noWrap/>
            <w:vAlign w:val="center"/>
            <w:hideMark/>
          </w:tcPr>
          <w:p w14:paraId="62DCFD1C"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1.6%</w:t>
            </w:r>
          </w:p>
        </w:tc>
        <w:tc>
          <w:tcPr>
            <w:tcW w:w="1701" w:type="dxa"/>
            <w:tcBorders>
              <w:top w:val="nil"/>
              <w:left w:val="nil"/>
              <w:bottom w:val="single" w:sz="4" w:space="0" w:color="auto"/>
              <w:right w:val="single" w:sz="4" w:space="0" w:color="auto"/>
            </w:tcBorders>
            <w:shd w:val="clear" w:color="000000" w:fill="F7BFD8"/>
            <w:noWrap/>
            <w:vAlign w:val="center"/>
            <w:hideMark/>
          </w:tcPr>
          <w:p w14:paraId="52E70C2A"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1.7%</w:t>
            </w:r>
          </w:p>
        </w:tc>
        <w:tc>
          <w:tcPr>
            <w:tcW w:w="1701" w:type="dxa"/>
            <w:tcBorders>
              <w:top w:val="nil"/>
              <w:left w:val="nil"/>
              <w:bottom w:val="single" w:sz="4" w:space="0" w:color="auto"/>
              <w:right w:val="single" w:sz="4" w:space="0" w:color="auto"/>
            </w:tcBorders>
            <w:shd w:val="clear" w:color="000000" w:fill="DBD7D8"/>
            <w:noWrap/>
            <w:vAlign w:val="center"/>
            <w:hideMark/>
          </w:tcPr>
          <w:p w14:paraId="04CA7DC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0.8%</w:t>
            </w:r>
          </w:p>
        </w:tc>
      </w:tr>
      <w:tr w:rsidR="00472CF0" w:rsidRPr="009C5B66" w14:paraId="070C8E0C"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4B02B50"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GTO</w:t>
            </w:r>
          </w:p>
        </w:tc>
        <w:tc>
          <w:tcPr>
            <w:tcW w:w="1701" w:type="dxa"/>
            <w:tcBorders>
              <w:top w:val="nil"/>
              <w:left w:val="nil"/>
              <w:bottom w:val="single" w:sz="4" w:space="0" w:color="auto"/>
              <w:right w:val="single" w:sz="4" w:space="0" w:color="auto"/>
            </w:tcBorders>
            <w:shd w:val="clear" w:color="000000" w:fill="8E61A5"/>
            <w:noWrap/>
            <w:vAlign w:val="center"/>
            <w:hideMark/>
          </w:tcPr>
          <w:p w14:paraId="257A802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64.4%</w:t>
            </w:r>
          </w:p>
        </w:tc>
        <w:tc>
          <w:tcPr>
            <w:tcW w:w="1701" w:type="dxa"/>
            <w:tcBorders>
              <w:top w:val="nil"/>
              <w:left w:val="nil"/>
              <w:bottom w:val="single" w:sz="4" w:space="0" w:color="auto"/>
              <w:right w:val="single" w:sz="4" w:space="0" w:color="auto"/>
            </w:tcBorders>
            <w:shd w:val="clear" w:color="000000" w:fill="006098"/>
            <w:noWrap/>
            <w:vAlign w:val="center"/>
            <w:hideMark/>
          </w:tcPr>
          <w:p w14:paraId="6793BED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29.2%</w:t>
            </w:r>
          </w:p>
        </w:tc>
        <w:tc>
          <w:tcPr>
            <w:tcW w:w="1701" w:type="dxa"/>
            <w:tcBorders>
              <w:top w:val="nil"/>
              <w:left w:val="nil"/>
              <w:bottom w:val="single" w:sz="4" w:space="0" w:color="auto"/>
              <w:right w:val="single" w:sz="4" w:space="0" w:color="auto"/>
            </w:tcBorders>
            <w:shd w:val="clear" w:color="000000" w:fill="CE941F"/>
            <w:noWrap/>
            <w:vAlign w:val="center"/>
            <w:hideMark/>
          </w:tcPr>
          <w:p w14:paraId="2A0E554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4.8%</w:t>
            </w:r>
          </w:p>
        </w:tc>
        <w:tc>
          <w:tcPr>
            <w:tcW w:w="1701" w:type="dxa"/>
            <w:tcBorders>
              <w:top w:val="nil"/>
              <w:left w:val="nil"/>
              <w:bottom w:val="single" w:sz="4" w:space="0" w:color="auto"/>
              <w:right w:val="single" w:sz="4" w:space="0" w:color="auto"/>
            </w:tcBorders>
            <w:shd w:val="clear" w:color="000000" w:fill="F7BFD8"/>
            <w:noWrap/>
            <w:vAlign w:val="center"/>
            <w:hideMark/>
          </w:tcPr>
          <w:p w14:paraId="02E9ECE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6331C2D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1.6%</w:t>
            </w:r>
          </w:p>
        </w:tc>
      </w:tr>
      <w:tr w:rsidR="00472CF0" w:rsidRPr="009C5B66" w14:paraId="57C0AF86"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07B227F9"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YUC</w:t>
            </w:r>
          </w:p>
        </w:tc>
        <w:tc>
          <w:tcPr>
            <w:tcW w:w="1701" w:type="dxa"/>
            <w:tcBorders>
              <w:top w:val="nil"/>
              <w:left w:val="nil"/>
              <w:bottom w:val="single" w:sz="4" w:space="0" w:color="auto"/>
              <w:right w:val="single" w:sz="4" w:space="0" w:color="auto"/>
            </w:tcBorders>
            <w:shd w:val="clear" w:color="000000" w:fill="8E61A5"/>
            <w:noWrap/>
            <w:vAlign w:val="center"/>
            <w:hideMark/>
          </w:tcPr>
          <w:p w14:paraId="58B4251E"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58.4%</w:t>
            </w:r>
          </w:p>
        </w:tc>
        <w:tc>
          <w:tcPr>
            <w:tcW w:w="1701" w:type="dxa"/>
            <w:tcBorders>
              <w:top w:val="nil"/>
              <w:left w:val="nil"/>
              <w:bottom w:val="single" w:sz="4" w:space="0" w:color="auto"/>
              <w:right w:val="single" w:sz="4" w:space="0" w:color="auto"/>
            </w:tcBorders>
            <w:shd w:val="clear" w:color="000000" w:fill="006098"/>
            <w:noWrap/>
            <w:vAlign w:val="center"/>
            <w:hideMark/>
          </w:tcPr>
          <w:p w14:paraId="1200C97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40.6%</w:t>
            </w:r>
          </w:p>
        </w:tc>
        <w:tc>
          <w:tcPr>
            <w:tcW w:w="1701" w:type="dxa"/>
            <w:tcBorders>
              <w:top w:val="nil"/>
              <w:left w:val="nil"/>
              <w:bottom w:val="single" w:sz="4" w:space="0" w:color="auto"/>
              <w:right w:val="single" w:sz="4" w:space="0" w:color="auto"/>
            </w:tcBorders>
            <w:shd w:val="clear" w:color="000000" w:fill="CE941F"/>
            <w:noWrap/>
            <w:vAlign w:val="center"/>
            <w:hideMark/>
          </w:tcPr>
          <w:p w14:paraId="433CA9D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1.1%</w:t>
            </w:r>
          </w:p>
        </w:tc>
        <w:tc>
          <w:tcPr>
            <w:tcW w:w="1701" w:type="dxa"/>
            <w:tcBorders>
              <w:top w:val="nil"/>
              <w:left w:val="nil"/>
              <w:bottom w:val="single" w:sz="4" w:space="0" w:color="auto"/>
              <w:right w:val="single" w:sz="4" w:space="0" w:color="auto"/>
            </w:tcBorders>
            <w:shd w:val="clear" w:color="000000" w:fill="F7BFD8"/>
            <w:noWrap/>
            <w:vAlign w:val="center"/>
            <w:hideMark/>
          </w:tcPr>
          <w:p w14:paraId="094CD3B6"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6362937B"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3BE8ED79"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161A795B"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SON</w:t>
            </w:r>
          </w:p>
        </w:tc>
        <w:tc>
          <w:tcPr>
            <w:tcW w:w="1701" w:type="dxa"/>
            <w:tcBorders>
              <w:top w:val="nil"/>
              <w:left w:val="nil"/>
              <w:bottom w:val="single" w:sz="4" w:space="0" w:color="auto"/>
              <w:right w:val="single" w:sz="4" w:space="0" w:color="auto"/>
            </w:tcBorders>
            <w:shd w:val="clear" w:color="000000" w:fill="8E61A5"/>
            <w:noWrap/>
            <w:vAlign w:val="center"/>
            <w:hideMark/>
          </w:tcPr>
          <w:p w14:paraId="10AE4B1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58.7%</w:t>
            </w:r>
          </w:p>
        </w:tc>
        <w:tc>
          <w:tcPr>
            <w:tcW w:w="1701" w:type="dxa"/>
            <w:tcBorders>
              <w:top w:val="nil"/>
              <w:left w:val="nil"/>
              <w:bottom w:val="single" w:sz="4" w:space="0" w:color="auto"/>
              <w:right w:val="single" w:sz="4" w:space="0" w:color="auto"/>
            </w:tcBorders>
            <w:shd w:val="clear" w:color="000000" w:fill="006098"/>
            <w:noWrap/>
            <w:vAlign w:val="center"/>
            <w:hideMark/>
          </w:tcPr>
          <w:p w14:paraId="0983593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13.6%</w:t>
            </w:r>
          </w:p>
        </w:tc>
        <w:tc>
          <w:tcPr>
            <w:tcW w:w="1701" w:type="dxa"/>
            <w:tcBorders>
              <w:top w:val="nil"/>
              <w:left w:val="nil"/>
              <w:bottom w:val="single" w:sz="4" w:space="0" w:color="auto"/>
              <w:right w:val="single" w:sz="4" w:space="0" w:color="auto"/>
            </w:tcBorders>
            <w:shd w:val="clear" w:color="000000" w:fill="CE941F"/>
            <w:noWrap/>
            <w:vAlign w:val="center"/>
            <w:hideMark/>
          </w:tcPr>
          <w:p w14:paraId="0F02851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5.0%</w:t>
            </w:r>
          </w:p>
        </w:tc>
        <w:tc>
          <w:tcPr>
            <w:tcW w:w="1701" w:type="dxa"/>
            <w:tcBorders>
              <w:top w:val="nil"/>
              <w:left w:val="nil"/>
              <w:bottom w:val="single" w:sz="4" w:space="0" w:color="auto"/>
              <w:right w:val="single" w:sz="4" w:space="0" w:color="auto"/>
            </w:tcBorders>
            <w:shd w:val="clear" w:color="000000" w:fill="F7BFD8"/>
            <w:noWrap/>
            <w:vAlign w:val="center"/>
            <w:hideMark/>
          </w:tcPr>
          <w:p w14:paraId="6EB8DC0F"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44DF0C5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22.6%</w:t>
            </w:r>
          </w:p>
        </w:tc>
      </w:tr>
      <w:tr w:rsidR="00472CF0" w:rsidRPr="009C5B66" w14:paraId="7B4A6D40"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1EB1791"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MICH</w:t>
            </w:r>
          </w:p>
        </w:tc>
        <w:tc>
          <w:tcPr>
            <w:tcW w:w="1701" w:type="dxa"/>
            <w:tcBorders>
              <w:top w:val="nil"/>
              <w:left w:val="nil"/>
              <w:bottom w:val="single" w:sz="4" w:space="0" w:color="auto"/>
              <w:right w:val="single" w:sz="4" w:space="0" w:color="auto"/>
            </w:tcBorders>
            <w:shd w:val="clear" w:color="000000" w:fill="8E61A5"/>
            <w:noWrap/>
            <w:vAlign w:val="center"/>
            <w:hideMark/>
          </w:tcPr>
          <w:p w14:paraId="62F402F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87.4%</w:t>
            </w:r>
          </w:p>
        </w:tc>
        <w:tc>
          <w:tcPr>
            <w:tcW w:w="1701" w:type="dxa"/>
            <w:tcBorders>
              <w:top w:val="nil"/>
              <w:left w:val="nil"/>
              <w:bottom w:val="single" w:sz="4" w:space="0" w:color="auto"/>
              <w:right w:val="single" w:sz="4" w:space="0" w:color="auto"/>
            </w:tcBorders>
            <w:shd w:val="clear" w:color="000000" w:fill="006098"/>
            <w:noWrap/>
            <w:vAlign w:val="center"/>
            <w:hideMark/>
          </w:tcPr>
          <w:p w14:paraId="4623CB1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7.3%</w:t>
            </w:r>
          </w:p>
        </w:tc>
        <w:tc>
          <w:tcPr>
            <w:tcW w:w="1701" w:type="dxa"/>
            <w:tcBorders>
              <w:top w:val="nil"/>
              <w:left w:val="nil"/>
              <w:bottom w:val="single" w:sz="4" w:space="0" w:color="auto"/>
              <w:right w:val="single" w:sz="4" w:space="0" w:color="auto"/>
            </w:tcBorders>
            <w:shd w:val="clear" w:color="000000" w:fill="CE941F"/>
            <w:noWrap/>
            <w:vAlign w:val="center"/>
            <w:hideMark/>
          </w:tcPr>
          <w:p w14:paraId="66327AF5"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5.3%</w:t>
            </w:r>
          </w:p>
        </w:tc>
        <w:tc>
          <w:tcPr>
            <w:tcW w:w="1701" w:type="dxa"/>
            <w:tcBorders>
              <w:top w:val="nil"/>
              <w:left w:val="nil"/>
              <w:bottom w:val="single" w:sz="4" w:space="0" w:color="auto"/>
              <w:right w:val="single" w:sz="4" w:space="0" w:color="auto"/>
            </w:tcBorders>
            <w:shd w:val="clear" w:color="000000" w:fill="F7BFD8"/>
            <w:noWrap/>
            <w:vAlign w:val="center"/>
            <w:hideMark/>
          </w:tcPr>
          <w:p w14:paraId="39A3E7CA"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6000019A"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71346CB3" w14:textId="77777777" w:rsidTr="00472CF0">
        <w:trPr>
          <w:trHeight w:val="270"/>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14E1733"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BC</w:t>
            </w:r>
          </w:p>
        </w:tc>
        <w:tc>
          <w:tcPr>
            <w:tcW w:w="1701" w:type="dxa"/>
            <w:tcBorders>
              <w:top w:val="nil"/>
              <w:left w:val="nil"/>
              <w:bottom w:val="single" w:sz="4" w:space="0" w:color="auto"/>
              <w:right w:val="single" w:sz="4" w:space="0" w:color="auto"/>
            </w:tcBorders>
            <w:shd w:val="clear" w:color="000000" w:fill="8E61A5"/>
            <w:noWrap/>
            <w:vAlign w:val="center"/>
            <w:hideMark/>
          </w:tcPr>
          <w:p w14:paraId="5BDCEF8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22.2%</w:t>
            </w:r>
          </w:p>
        </w:tc>
        <w:tc>
          <w:tcPr>
            <w:tcW w:w="1701" w:type="dxa"/>
            <w:tcBorders>
              <w:top w:val="nil"/>
              <w:left w:val="nil"/>
              <w:bottom w:val="single" w:sz="4" w:space="0" w:color="auto"/>
              <w:right w:val="single" w:sz="4" w:space="0" w:color="auto"/>
            </w:tcBorders>
            <w:shd w:val="clear" w:color="000000" w:fill="006098"/>
            <w:noWrap/>
            <w:vAlign w:val="center"/>
            <w:hideMark/>
          </w:tcPr>
          <w:p w14:paraId="45DE969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44.4%</w:t>
            </w:r>
          </w:p>
        </w:tc>
        <w:tc>
          <w:tcPr>
            <w:tcW w:w="1701" w:type="dxa"/>
            <w:tcBorders>
              <w:top w:val="nil"/>
              <w:left w:val="nil"/>
              <w:bottom w:val="single" w:sz="4" w:space="0" w:color="auto"/>
              <w:right w:val="single" w:sz="4" w:space="0" w:color="auto"/>
            </w:tcBorders>
            <w:shd w:val="clear" w:color="000000" w:fill="CE941F"/>
            <w:noWrap/>
            <w:vAlign w:val="center"/>
            <w:hideMark/>
          </w:tcPr>
          <w:p w14:paraId="0744ED3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1.9%</w:t>
            </w:r>
          </w:p>
        </w:tc>
        <w:tc>
          <w:tcPr>
            <w:tcW w:w="1701" w:type="dxa"/>
            <w:tcBorders>
              <w:top w:val="nil"/>
              <w:left w:val="nil"/>
              <w:bottom w:val="single" w:sz="4" w:space="0" w:color="auto"/>
              <w:right w:val="single" w:sz="4" w:space="0" w:color="auto"/>
            </w:tcBorders>
            <w:shd w:val="clear" w:color="000000" w:fill="F7BFD8"/>
            <w:noWrap/>
            <w:vAlign w:val="center"/>
            <w:hideMark/>
          </w:tcPr>
          <w:p w14:paraId="7A4C1058"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2.8%</w:t>
            </w:r>
          </w:p>
        </w:tc>
        <w:tc>
          <w:tcPr>
            <w:tcW w:w="1701" w:type="dxa"/>
            <w:tcBorders>
              <w:top w:val="nil"/>
              <w:left w:val="nil"/>
              <w:bottom w:val="single" w:sz="4" w:space="0" w:color="auto"/>
              <w:right w:val="single" w:sz="4" w:space="0" w:color="auto"/>
            </w:tcBorders>
            <w:shd w:val="clear" w:color="000000" w:fill="DBD7D8"/>
            <w:noWrap/>
            <w:vAlign w:val="center"/>
            <w:hideMark/>
          </w:tcPr>
          <w:p w14:paraId="531BEBDD"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28.6%</w:t>
            </w:r>
          </w:p>
        </w:tc>
      </w:tr>
      <w:tr w:rsidR="00472CF0" w:rsidRPr="009C5B66" w14:paraId="53DA52FE"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033B130E"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NL</w:t>
            </w:r>
          </w:p>
        </w:tc>
        <w:tc>
          <w:tcPr>
            <w:tcW w:w="1701" w:type="dxa"/>
            <w:tcBorders>
              <w:top w:val="nil"/>
              <w:left w:val="nil"/>
              <w:bottom w:val="single" w:sz="4" w:space="0" w:color="auto"/>
              <w:right w:val="single" w:sz="4" w:space="0" w:color="auto"/>
            </w:tcBorders>
            <w:shd w:val="clear" w:color="000000" w:fill="8E61A5"/>
            <w:noWrap/>
            <w:vAlign w:val="center"/>
            <w:hideMark/>
          </w:tcPr>
          <w:p w14:paraId="0C56B5AA"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49.4%</w:t>
            </w:r>
          </w:p>
        </w:tc>
        <w:tc>
          <w:tcPr>
            <w:tcW w:w="1701" w:type="dxa"/>
            <w:tcBorders>
              <w:top w:val="nil"/>
              <w:left w:val="nil"/>
              <w:bottom w:val="single" w:sz="4" w:space="0" w:color="auto"/>
              <w:right w:val="single" w:sz="4" w:space="0" w:color="auto"/>
            </w:tcBorders>
            <w:shd w:val="clear" w:color="000000" w:fill="006098"/>
            <w:noWrap/>
            <w:vAlign w:val="center"/>
            <w:hideMark/>
          </w:tcPr>
          <w:p w14:paraId="7583E95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25.3%</w:t>
            </w:r>
          </w:p>
        </w:tc>
        <w:tc>
          <w:tcPr>
            <w:tcW w:w="1701" w:type="dxa"/>
            <w:tcBorders>
              <w:top w:val="nil"/>
              <w:left w:val="nil"/>
              <w:bottom w:val="single" w:sz="4" w:space="0" w:color="auto"/>
              <w:right w:val="single" w:sz="4" w:space="0" w:color="auto"/>
            </w:tcBorders>
            <w:shd w:val="clear" w:color="000000" w:fill="CE941F"/>
            <w:noWrap/>
            <w:vAlign w:val="center"/>
            <w:hideMark/>
          </w:tcPr>
          <w:p w14:paraId="609C84DE"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5.1%</w:t>
            </w:r>
          </w:p>
        </w:tc>
        <w:tc>
          <w:tcPr>
            <w:tcW w:w="1701" w:type="dxa"/>
            <w:tcBorders>
              <w:top w:val="nil"/>
              <w:left w:val="nil"/>
              <w:bottom w:val="single" w:sz="4" w:space="0" w:color="auto"/>
              <w:right w:val="single" w:sz="4" w:space="0" w:color="auto"/>
            </w:tcBorders>
            <w:shd w:val="clear" w:color="000000" w:fill="F7BFD8"/>
            <w:noWrap/>
            <w:vAlign w:val="center"/>
            <w:hideMark/>
          </w:tcPr>
          <w:p w14:paraId="6FA21F86"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39A04094"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20.2%</w:t>
            </w:r>
          </w:p>
        </w:tc>
      </w:tr>
      <w:tr w:rsidR="00472CF0" w:rsidRPr="009C5B66" w14:paraId="4F6065CD"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9AEC352"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TAMPS</w:t>
            </w:r>
          </w:p>
        </w:tc>
        <w:tc>
          <w:tcPr>
            <w:tcW w:w="1701" w:type="dxa"/>
            <w:tcBorders>
              <w:top w:val="nil"/>
              <w:left w:val="nil"/>
              <w:bottom w:val="single" w:sz="4" w:space="0" w:color="auto"/>
              <w:right w:val="single" w:sz="4" w:space="0" w:color="auto"/>
            </w:tcBorders>
            <w:shd w:val="clear" w:color="000000" w:fill="8E61A5"/>
            <w:noWrap/>
            <w:vAlign w:val="center"/>
            <w:hideMark/>
          </w:tcPr>
          <w:p w14:paraId="408813F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67.7%</w:t>
            </w:r>
          </w:p>
        </w:tc>
        <w:tc>
          <w:tcPr>
            <w:tcW w:w="1701" w:type="dxa"/>
            <w:tcBorders>
              <w:top w:val="nil"/>
              <w:left w:val="nil"/>
              <w:bottom w:val="single" w:sz="4" w:space="0" w:color="auto"/>
              <w:right w:val="single" w:sz="4" w:space="0" w:color="auto"/>
            </w:tcBorders>
            <w:shd w:val="clear" w:color="000000" w:fill="006098"/>
            <w:noWrap/>
            <w:vAlign w:val="center"/>
            <w:hideMark/>
          </w:tcPr>
          <w:p w14:paraId="3F725886"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10.7%</w:t>
            </w:r>
          </w:p>
        </w:tc>
        <w:tc>
          <w:tcPr>
            <w:tcW w:w="1701" w:type="dxa"/>
            <w:tcBorders>
              <w:top w:val="nil"/>
              <w:left w:val="nil"/>
              <w:bottom w:val="single" w:sz="4" w:space="0" w:color="auto"/>
              <w:right w:val="single" w:sz="4" w:space="0" w:color="auto"/>
            </w:tcBorders>
            <w:shd w:val="clear" w:color="000000" w:fill="CE941F"/>
            <w:noWrap/>
            <w:vAlign w:val="center"/>
            <w:hideMark/>
          </w:tcPr>
          <w:p w14:paraId="20BAE13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21.6%</w:t>
            </w:r>
          </w:p>
        </w:tc>
        <w:tc>
          <w:tcPr>
            <w:tcW w:w="1701" w:type="dxa"/>
            <w:tcBorders>
              <w:top w:val="nil"/>
              <w:left w:val="nil"/>
              <w:bottom w:val="single" w:sz="4" w:space="0" w:color="auto"/>
              <w:right w:val="single" w:sz="4" w:space="0" w:color="auto"/>
            </w:tcBorders>
            <w:shd w:val="clear" w:color="000000" w:fill="F7BFD8"/>
            <w:noWrap/>
            <w:vAlign w:val="center"/>
            <w:hideMark/>
          </w:tcPr>
          <w:p w14:paraId="3C5E372C"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05775E11"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44D666F4"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402E4915"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QROO</w:t>
            </w:r>
          </w:p>
        </w:tc>
        <w:tc>
          <w:tcPr>
            <w:tcW w:w="1701" w:type="dxa"/>
            <w:tcBorders>
              <w:top w:val="nil"/>
              <w:left w:val="nil"/>
              <w:bottom w:val="single" w:sz="4" w:space="0" w:color="auto"/>
              <w:right w:val="single" w:sz="4" w:space="0" w:color="auto"/>
            </w:tcBorders>
            <w:shd w:val="clear" w:color="000000" w:fill="8E61A5"/>
            <w:noWrap/>
            <w:vAlign w:val="center"/>
            <w:hideMark/>
          </w:tcPr>
          <w:p w14:paraId="4AB67BC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55.9%</w:t>
            </w:r>
          </w:p>
        </w:tc>
        <w:tc>
          <w:tcPr>
            <w:tcW w:w="1701" w:type="dxa"/>
            <w:tcBorders>
              <w:top w:val="nil"/>
              <w:left w:val="nil"/>
              <w:bottom w:val="single" w:sz="4" w:space="0" w:color="auto"/>
              <w:right w:val="single" w:sz="4" w:space="0" w:color="auto"/>
            </w:tcBorders>
            <w:shd w:val="clear" w:color="000000" w:fill="006098"/>
            <w:noWrap/>
            <w:vAlign w:val="center"/>
            <w:hideMark/>
          </w:tcPr>
          <w:p w14:paraId="55B7504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34.0%</w:t>
            </w:r>
          </w:p>
        </w:tc>
        <w:tc>
          <w:tcPr>
            <w:tcW w:w="1701" w:type="dxa"/>
            <w:tcBorders>
              <w:top w:val="nil"/>
              <w:left w:val="nil"/>
              <w:bottom w:val="single" w:sz="4" w:space="0" w:color="auto"/>
              <w:right w:val="single" w:sz="4" w:space="0" w:color="auto"/>
            </w:tcBorders>
            <w:shd w:val="clear" w:color="000000" w:fill="CE941F"/>
            <w:noWrap/>
            <w:vAlign w:val="center"/>
            <w:hideMark/>
          </w:tcPr>
          <w:p w14:paraId="748F2BC6"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9.5%</w:t>
            </w:r>
          </w:p>
        </w:tc>
        <w:tc>
          <w:tcPr>
            <w:tcW w:w="1701" w:type="dxa"/>
            <w:tcBorders>
              <w:top w:val="nil"/>
              <w:left w:val="nil"/>
              <w:bottom w:val="single" w:sz="4" w:space="0" w:color="auto"/>
              <w:right w:val="single" w:sz="4" w:space="0" w:color="auto"/>
            </w:tcBorders>
            <w:shd w:val="clear" w:color="000000" w:fill="F7BFD8"/>
            <w:noWrap/>
            <w:vAlign w:val="center"/>
            <w:hideMark/>
          </w:tcPr>
          <w:p w14:paraId="338F3A6D"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18C125D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0.6%</w:t>
            </w:r>
          </w:p>
        </w:tc>
      </w:tr>
      <w:tr w:rsidR="00472CF0" w:rsidRPr="009C5B66" w14:paraId="35BDEA31"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038660B"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AGS</w:t>
            </w:r>
          </w:p>
        </w:tc>
        <w:tc>
          <w:tcPr>
            <w:tcW w:w="1701" w:type="dxa"/>
            <w:tcBorders>
              <w:top w:val="nil"/>
              <w:left w:val="nil"/>
              <w:bottom w:val="single" w:sz="4" w:space="0" w:color="auto"/>
              <w:right w:val="single" w:sz="4" w:space="0" w:color="auto"/>
            </w:tcBorders>
            <w:shd w:val="clear" w:color="000000" w:fill="8E61A5"/>
            <w:noWrap/>
            <w:vAlign w:val="center"/>
            <w:hideMark/>
          </w:tcPr>
          <w:p w14:paraId="3EAFB82C"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60.9%</w:t>
            </w:r>
          </w:p>
        </w:tc>
        <w:tc>
          <w:tcPr>
            <w:tcW w:w="1701" w:type="dxa"/>
            <w:tcBorders>
              <w:top w:val="nil"/>
              <w:left w:val="nil"/>
              <w:bottom w:val="single" w:sz="4" w:space="0" w:color="auto"/>
              <w:right w:val="single" w:sz="4" w:space="0" w:color="auto"/>
            </w:tcBorders>
            <w:shd w:val="clear" w:color="000000" w:fill="006098"/>
            <w:noWrap/>
            <w:vAlign w:val="center"/>
            <w:hideMark/>
          </w:tcPr>
          <w:p w14:paraId="7639335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27.0%</w:t>
            </w:r>
          </w:p>
        </w:tc>
        <w:tc>
          <w:tcPr>
            <w:tcW w:w="1701" w:type="dxa"/>
            <w:tcBorders>
              <w:top w:val="nil"/>
              <w:left w:val="nil"/>
              <w:bottom w:val="single" w:sz="4" w:space="0" w:color="auto"/>
              <w:right w:val="single" w:sz="4" w:space="0" w:color="auto"/>
            </w:tcBorders>
            <w:shd w:val="clear" w:color="000000" w:fill="CE941F"/>
            <w:noWrap/>
            <w:vAlign w:val="center"/>
            <w:hideMark/>
          </w:tcPr>
          <w:p w14:paraId="0B739C2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11.3%</w:t>
            </w:r>
          </w:p>
        </w:tc>
        <w:tc>
          <w:tcPr>
            <w:tcW w:w="1701" w:type="dxa"/>
            <w:tcBorders>
              <w:top w:val="nil"/>
              <w:left w:val="nil"/>
              <w:bottom w:val="single" w:sz="4" w:space="0" w:color="auto"/>
              <w:right w:val="single" w:sz="4" w:space="0" w:color="auto"/>
            </w:tcBorders>
            <w:shd w:val="clear" w:color="000000" w:fill="F7BFD8"/>
            <w:noWrap/>
            <w:vAlign w:val="center"/>
            <w:hideMark/>
          </w:tcPr>
          <w:p w14:paraId="6D39337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0.8%</w:t>
            </w:r>
          </w:p>
        </w:tc>
        <w:tc>
          <w:tcPr>
            <w:tcW w:w="1701" w:type="dxa"/>
            <w:tcBorders>
              <w:top w:val="nil"/>
              <w:left w:val="nil"/>
              <w:bottom w:val="single" w:sz="4" w:space="0" w:color="auto"/>
              <w:right w:val="single" w:sz="4" w:space="0" w:color="auto"/>
            </w:tcBorders>
            <w:shd w:val="clear" w:color="000000" w:fill="DBD7D8"/>
            <w:noWrap/>
            <w:vAlign w:val="center"/>
            <w:hideMark/>
          </w:tcPr>
          <w:p w14:paraId="467947A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32869F77"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51CE398F"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TAB</w:t>
            </w:r>
          </w:p>
        </w:tc>
        <w:tc>
          <w:tcPr>
            <w:tcW w:w="1701" w:type="dxa"/>
            <w:tcBorders>
              <w:top w:val="nil"/>
              <w:left w:val="nil"/>
              <w:bottom w:val="single" w:sz="4" w:space="0" w:color="auto"/>
              <w:right w:val="single" w:sz="4" w:space="0" w:color="auto"/>
            </w:tcBorders>
            <w:shd w:val="clear" w:color="000000" w:fill="8E61A5"/>
            <w:noWrap/>
            <w:vAlign w:val="center"/>
            <w:hideMark/>
          </w:tcPr>
          <w:p w14:paraId="6F83020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45.3%</w:t>
            </w:r>
          </w:p>
        </w:tc>
        <w:tc>
          <w:tcPr>
            <w:tcW w:w="1701" w:type="dxa"/>
            <w:tcBorders>
              <w:top w:val="nil"/>
              <w:left w:val="nil"/>
              <w:bottom w:val="single" w:sz="4" w:space="0" w:color="auto"/>
              <w:right w:val="single" w:sz="4" w:space="0" w:color="auto"/>
            </w:tcBorders>
            <w:shd w:val="clear" w:color="000000" w:fill="006098"/>
            <w:noWrap/>
            <w:vAlign w:val="center"/>
            <w:hideMark/>
          </w:tcPr>
          <w:p w14:paraId="0FF1DA0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18.2%</w:t>
            </w:r>
          </w:p>
        </w:tc>
        <w:tc>
          <w:tcPr>
            <w:tcW w:w="1701" w:type="dxa"/>
            <w:tcBorders>
              <w:top w:val="nil"/>
              <w:left w:val="nil"/>
              <w:bottom w:val="single" w:sz="4" w:space="0" w:color="auto"/>
              <w:right w:val="single" w:sz="4" w:space="0" w:color="auto"/>
            </w:tcBorders>
            <w:shd w:val="clear" w:color="000000" w:fill="CE941F"/>
            <w:noWrap/>
            <w:vAlign w:val="center"/>
            <w:hideMark/>
          </w:tcPr>
          <w:p w14:paraId="4C451DD2"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36.5%</w:t>
            </w:r>
          </w:p>
        </w:tc>
        <w:tc>
          <w:tcPr>
            <w:tcW w:w="1701" w:type="dxa"/>
            <w:tcBorders>
              <w:top w:val="nil"/>
              <w:left w:val="nil"/>
              <w:bottom w:val="single" w:sz="4" w:space="0" w:color="auto"/>
              <w:right w:val="single" w:sz="4" w:space="0" w:color="auto"/>
            </w:tcBorders>
            <w:shd w:val="clear" w:color="000000" w:fill="F7BFD8"/>
            <w:noWrap/>
            <w:vAlign w:val="center"/>
            <w:hideMark/>
          </w:tcPr>
          <w:p w14:paraId="1295E9B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1C34D97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353F5B3C"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1A062C8"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QRO</w:t>
            </w:r>
          </w:p>
        </w:tc>
        <w:tc>
          <w:tcPr>
            <w:tcW w:w="1701" w:type="dxa"/>
            <w:tcBorders>
              <w:top w:val="nil"/>
              <w:left w:val="nil"/>
              <w:bottom w:val="single" w:sz="4" w:space="0" w:color="auto"/>
              <w:right w:val="single" w:sz="4" w:space="0" w:color="auto"/>
            </w:tcBorders>
            <w:shd w:val="clear" w:color="000000" w:fill="8E61A5"/>
            <w:noWrap/>
            <w:vAlign w:val="center"/>
            <w:hideMark/>
          </w:tcPr>
          <w:p w14:paraId="30FA889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62.0%</w:t>
            </w:r>
          </w:p>
        </w:tc>
        <w:tc>
          <w:tcPr>
            <w:tcW w:w="1701" w:type="dxa"/>
            <w:tcBorders>
              <w:top w:val="nil"/>
              <w:left w:val="nil"/>
              <w:bottom w:val="single" w:sz="4" w:space="0" w:color="auto"/>
              <w:right w:val="single" w:sz="4" w:space="0" w:color="auto"/>
            </w:tcBorders>
            <w:shd w:val="clear" w:color="000000" w:fill="006098"/>
            <w:noWrap/>
            <w:vAlign w:val="center"/>
            <w:hideMark/>
          </w:tcPr>
          <w:p w14:paraId="1657057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3.2%</w:t>
            </w:r>
          </w:p>
        </w:tc>
        <w:tc>
          <w:tcPr>
            <w:tcW w:w="1701" w:type="dxa"/>
            <w:tcBorders>
              <w:top w:val="nil"/>
              <w:left w:val="nil"/>
              <w:bottom w:val="single" w:sz="4" w:space="0" w:color="auto"/>
              <w:right w:val="single" w:sz="4" w:space="0" w:color="auto"/>
            </w:tcBorders>
            <w:shd w:val="clear" w:color="000000" w:fill="CE941F"/>
            <w:noWrap/>
            <w:vAlign w:val="center"/>
            <w:hideMark/>
          </w:tcPr>
          <w:p w14:paraId="23795C55"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25.2%</w:t>
            </w:r>
          </w:p>
        </w:tc>
        <w:tc>
          <w:tcPr>
            <w:tcW w:w="1701" w:type="dxa"/>
            <w:tcBorders>
              <w:top w:val="nil"/>
              <w:left w:val="nil"/>
              <w:bottom w:val="single" w:sz="4" w:space="0" w:color="auto"/>
              <w:right w:val="single" w:sz="4" w:space="0" w:color="auto"/>
            </w:tcBorders>
            <w:shd w:val="clear" w:color="000000" w:fill="F7BFD8"/>
            <w:noWrap/>
            <w:vAlign w:val="center"/>
            <w:hideMark/>
          </w:tcPr>
          <w:p w14:paraId="01D7E1E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52021729"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9.6%</w:t>
            </w:r>
          </w:p>
        </w:tc>
      </w:tr>
      <w:tr w:rsidR="00472CF0" w:rsidRPr="009C5B66" w14:paraId="35EF7FB6"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5A9BE762"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GRO</w:t>
            </w:r>
          </w:p>
        </w:tc>
        <w:tc>
          <w:tcPr>
            <w:tcW w:w="1701" w:type="dxa"/>
            <w:tcBorders>
              <w:top w:val="nil"/>
              <w:left w:val="nil"/>
              <w:bottom w:val="single" w:sz="4" w:space="0" w:color="auto"/>
              <w:right w:val="single" w:sz="4" w:space="0" w:color="auto"/>
            </w:tcBorders>
            <w:shd w:val="clear" w:color="000000" w:fill="8E61A5"/>
            <w:noWrap/>
            <w:vAlign w:val="center"/>
            <w:hideMark/>
          </w:tcPr>
          <w:p w14:paraId="2A088B9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53.3%</w:t>
            </w:r>
          </w:p>
        </w:tc>
        <w:tc>
          <w:tcPr>
            <w:tcW w:w="1701" w:type="dxa"/>
            <w:tcBorders>
              <w:top w:val="nil"/>
              <w:left w:val="nil"/>
              <w:bottom w:val="single" w:sz="4" w:space="0" w:color="auto"/>
              <w:right w:val="single" w:sz="4" w:space="0" w:color="auto"/>
            </w:tcBorders>
            <w:shd w:val="clear" w:color="000000" w:fill="006098"/>
            <w:noWrap/>
            <w:vAlign w:val="center"/>
            <w:hideMark/>
          </w:tcPr>
          <w:p w14:paraId="24E01CC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38.1%</w:t>
            </w:r>
          </w:p>
        </w:tc>
        <w:tc>
          <w:tcPr>
            <w:tcW w:w="1701" w:type="dxa"/>
            <w:tcBorders>
              <w:top w:val="nil"/>
              <w:left w:val="nil"/>
              <w:bottom w:val="single" w:sz="4" w:space="0" w:color="auto"/>
              <w:right w:val="single" w:sz="4" w:space="0" w:color="auto"/>
            </w:tcBorders>
            <w:shd w:val="clear" w:color="000000" w:fill="CE941F"/>
            <w:noWrap/>
            <w:vAlign w:val="center"/>
            <w:hideMark/>
          </w:tcPr>
          <w:p w14:paraId="44BC36D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8.5%</w:t>
            </w:r>
          </w:p>
        </w:tc>
        <w:tc>
          <w:tcPr>
            <w:tcW w:w="1701" w:type="dxa"/>
            <w:tcBorders>
              <w:top w:val="nil"/>
              <w:left w:val="nil"/>
              <w:bottom w:val="single" w:sz="4" w:space="0" w:color="auto"/>
              <w:right w:val="single" w:sz="4" w:space="0" w:color="auto"/>
            </w:tcBorders>
            <w:shd w:val="clear" w:color="000000" w:fill="F7BFD8"/>
            <w:noWrap/>
            <w:vAlign w:val="center"/>
            <w:hideMark/>
          </w:tcPr>
          <w:p w14:paraId="038F987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36D8CAF9"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4298B6F2"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40032702"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SIN</w:t>
            </w:r>
          </w:p>
        </w:tc>
        <w:tc>
          <w:tcPr>
            <w:tcW w:w="1701" w:type="dxa"/>
            <w:tcBorders>
              <w:top w:val="nil"/>
              <w:left w:val="nil"/>
              <w:bottom w:val="single" w:sz="4" w:space="0" w:color="auto"/>
              <w:right w:val="single" w:sz="4" w:space="0" w:color="auto"/>
            </w:tcBorders>
            <w:shd w:val="clear" w:color="000000" w:fill="8E61A5"/>
            <w:noWrap/>
            <w:vAlign w:val="center"/>
            <w:hideMark/>
          </w:tcPr>
          <w:p w14:paraId="53FC52EA"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64.9%</w:t>
            </w:r>
          </w:p>
        </w:tc>
        <w:tc>
          <w:tcPr>
            <w:tcW w:w="1701" w:type="dxa"/>
            <w:tcBorders>
              <w:top w:val="nil"/>
              <w:left w:val="nil"/>
              <w:bottom w:val="single" w:sz="4" w:space="0" w:color="auto"/>
              <w:right w:val="single" w:sz="4" w:space="0" w:color="auto"/>
            </w:tcBorders>
            <w:shd w:val="clear" w:color="000000" w:fill="006098"/>
            <w:noWrap/>
            <w:vAlign w:val="center"/>
            <w:hideMark/>
          </w:tcPr>
          <w:p w14:paraId="1205B706"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17.4%</w:t>
            </w:r>
          </w:p>
        </w:tc>
        <w:tc>
          <w:tcPr>
            <w:tcW w:w="1701" w:type="dxa"/>
            <w:tcBorders>
              <w:top w:val="nil"/>
              <w:left w:val="nil"/>
              <w:bottom w:val="single" w:sz="4" w:space="0" w:color="auto"/>
              <w:right w:val="single" w:sz="4" w:space="0" w:color="auto"/>
            </w:tcBorders>
            <w:shd w:val="clear" w:color="000000" w:fill="CE941F"/>
            <w:noWrap/>
            <w:vAlign w:val="center"/>
            <w:hideMark/>
          </w:tcPr>
          <w:p w14:paraId="004B16C2"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15.0%</w:t>
            </w:r>
          </w:p>
        </w:tc>
        <w:tc>
          <w:tcPr>
            <w:tcW w:w="1701" w:type="dxa"/>
            <w:tcBorders>
              <w:top w:val="nil"/>
              <w:left w:val="nil"/>
              <w:bottom w:val="single" w:sz="4" w:space="0" w:color="auto"/>
              <w:right w:val="single" w:sz="4" w:space="0" w:color="auto"/>
            </w:tcBorders>
            <w:shd w:val="clear" w:color="000000" w:fill="F7BFD8"/>
            <w:noWrap/>
            <w:vAlign w:val="center"/>
            <w:hideMark/>
          </w:tcPr>
          <w:p w14:paraId="5BB4BF1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401361B8"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2.7%</w:t>
            </w:r>
          </w:p>
        </w:tc>
      </w:tr>
      <w:tr w:rsidR="00472CF0" w:rsidRPr="009C5B66" w14:paraId="3E6E37C2"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7AF395A"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COAH</w:t>
            </w:r>
          </w:p>
        </w:tc>
        <w:tc>
          <w:tcPr>
            <w:tcW w:w="1701" w:type="dxa"/>
            <w:tcBorders>
              <w:top w:val="nil"/>
              <w:left w:val="nil"/>
              <w:bottom w:val="single" w:sz="4" w:space="0" w:color="auto"/>
              <w:right w:val="single" w:sz="4" w:space="0" w:color="auto"/>
            </w:tcBorders>
            <w:shd w:val="clear" w:color="000000" w:fill="8E61A5"/>
            <w:noWrap/>
            <w:vAlign w:val="center"/>
            <w:hideMark/>
          </w:tcPr>
          <w:p w14:paraId="183830E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55.1%</w:t>
            </w:r>
          </w:p>
        </w:tc>
        <w:tc>
          <w:tcPr>
            <w:tcW w:w="1701" w:type="dxa"/>
            <w:tcBorders>
              <w:top w:val="nil"/>
              <w:left w:val="nil"/>
              <w:bottom w:val="single" w:sz="4" w:space="0" w:color="auto"/>
              <w:right w:val="single" w:sz="4" w:space="0" w:color="auto"/>
            </w:tcBorders>
            <w:shd w:val="clear" w:color="000000" w:fill="006098"/>
            <w:noWrap/>
            <w:vAlign w:val="center"/>
            <w:hideMark/>
          </w:tcPr>
          <w:p w14:paraId="3EB9B80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8.8%</w:t>
            </w:r>
          </w:p>
        </w:tc>
        <w:tc>
          <w:tcPr>
            <w:tcW w:w="1701" w:type="dxa"/>
            <w:tcBorders>
              <w:top w:val="nil"/>
              <w:left w:val="nil"/>
              <w:bottom w:val="single" w:sz="4" w:space="0" w:color="auto"/>
              <w:right w:val="single" w:sz="4" w:space="0" w:color="auto"/>
            </w:tcBorders>
            <w:shd w:val="clear" w:color="000000" w:fill="CE941F"/>
            <w:noWrap/>
            <w:vAlign w:val="center"/>
            <w:hideMark/>
          </w:tcPr>
          <w:p w14:paraId="75D6E79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35.4%</w:t>
            </w:r>
          </w:p>
        </w:tc>
        <w:tc>
          <w:tcPr>
            <w:tcW w:w="1701" w:type="dxa"/>
            <w:tcBorders>
              <w:top w:val="nil"/>
              <w:left w:val="nil"/>
              <w:bottom w:val="single" w:sz="4" w:space="0" w:color="auto"/>
              <w:right w:val="single" w:sz="4" w:space="0" w:color="auto"/>
            </w:tcBorders>
            <w:shd w:val="clear" w:color="000000" w:fill="F7BFD8"/>
            <w:noWrap/>
            <w:vAlign w:val="center"/>
            <w:hideMark/>
          </w:tcPr>
          <w:p w14:paraId="5080A63D"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7276462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0.7%</w:t>
            </w:r>
          </w:p>
        </w:tc>
      </w:tr>
      <w:tr w:rsidR="00472CF0" w:rsidRPr="009C5B66" w14:paraId="3A428C58"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255DF567"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BCS</w:t>
            </w:r>
          </w:p>
        </w:tc>
        <w:tc>
          <w:tcPr>
            <w:tcW w:w="1701" w:type="dxa"/>
            <w:tcBorders>
              <w:top w:val="nil"/>
              <w:left w:val="nil"/>
              <w:bottom w:val="single" w:sz="4" w:space="0" w:color="auto"/>
              <w:right w:val="single" w:sz="4" w:space="0" w:color="auto"/>
            </w:tcBorders>
            <w:shd w:val="clear" w:color="000000" w:fill="8E61A5"/>
            <w:noWrap/>
            <w:vAlign w:val="center"/>
            <w:hideMark/>
          </w:tcPr>
          <w:p w14:paraId="209C47C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56.8%</w:t>
            </w:r>
          </w:p>
        </w:tc>
        <w:tc>
          <w:tcPr>
            <w:tcW w:w="1701" w:type="dxa"/>
            <w:tcBorders>
              <w:top w:val="nil"/>
              <w:left w:val="nil"/>
              <w:bottom w:val="single" w:sz="4" w:space="0" w:color="auto"/>
              <w:right w:val="single" w:sz="4" w:space="0" w:color="auto"/>
            </w:tcBorders>
            <w:shd w:val="clear" w:color="000000" w:fill="006098"/>
            <w:noWrap/>
            <w:vAlign w:val="center"/>
            <w:hideMark/>
          </w:tcPr>
          <w:p w14:paraId="267ABBE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38.2%</w:t>
            </w:r>
          </w:p>
        </w:tc>
        <w:tc>
          <w:tcPr>
            <w:tcW w:w="1701" w:type="dxa"/>
            <w:tcBorders>
              <w:top w:val="nil"/>
              <w:left w:val="nil"/>
              <w:bottom w:val="single" w:sz="4" w:space="0" w:color="auto"/>
              <w:right w:val="single" w:sz="4" w:space="0" w:color="auto"/>
            </w:tcBorders>
            <w:shd w:val="clear" w:color="000000" w:fill="CE941F"/>
            <w:noWrap/>
            <w:vAlign w:val="center"/>
            <w:hideMark/>
          </w:tcPr>
          <w:p w14:paraId="4D87EE4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4.8%</w:t>
            </w:r>
          </w:p>
        </w:tc>
        <w:tc>
          <w:tcPr>
            <w:tcW w:w="1701" w:type="dxa"/>
            <w:tcBorders>
              <w:top w:val="nil"/>
              <w:left w:val="nil"/>
              <w:bottom w:val="single" w:sz="4" w:space="0" w:color="auto"/>
              <w:right w:val="single" w:sz="4" w:space="0" w:color="auto"/>
            </w:tcBorders>
            <w:shd w:val="clear" w:color="000000" w:fill="F7BFD8"/>
            <w:noWrap/>
            <w:vAlign w:val="center"/>
            <w:hideMark/>
          </w:tcPr>
          <w:p w14:paraId="72CDE83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0.0%</w:t>
            </w:r>
          </w:p>
        </w:tc>
        <w:tc>
          <w:tcPr>
            <w:tcW w:w="1701" w:type="dxa"/>
            <w:tcBorders>
              <w:top w:val="nil"/>
              <w:left w:val="nil"/>
              <w:bottom w:val="single" w:sz="4" w:space="0" w:color="auto"/>
              <w:right w:val="single" w:sz="4" w:space="0" w:color="auto"/>
            </w:tcBorders>
            <w:shd w:val="clear" w:color="000000" w:fill="DBD7D8"/>
            <w:noWrap/>
            <w:vAlign w:val="center"/>
            <w:hideMark/>
          </w:tcPr>
          <w:p w14:paraId="6051B967"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0.3%</w:t>
            </w:r>
          </w:p>
        </w:tc>
      </w:tr>
      <w:tr w:rsidR="00472CF0" w:rsidRPr="009C5B66" w14:paraId="7A95B093"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260EE356"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CAMP</w:t>
            </w:r>
          </w:p>
        </w:tc>
        <w:tc>
          <w:tcPr>
            <w:tcW w:w="1701" w:type="dxa"/>
            <w:tcBorders>
              <w:top w:val="nil"/>
              <w:left w:val="nil"/>
              <w:bottom w:val="single" w:sz="4" w:space="0" w:color="auto"/>
              <w:right w:val="single" w:sz="4" w:space="0" w:color="auto"/>
            </w:tcBorders>
            <w:shd w:val="clear" w:color="000000" w:fill="8E61A5"/>
            <w:noWrap/>
            <w:vAlign w:val="center"/>
            <w:hideMark/>
          </w:tcPr>
          <w:p w14:paraId="24342C2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17.8%</w:t>
            </w:r>
          </w:p>
        </w:tc>
        <w:tc>
          <w:tcPr>
            <w:tcW w:w="1701" w:type="dxa"/>
            <w:tcBorders>
              <w:top w:val="nil"/>
              <w:left w:val="nil"/>
              <w:bottom w:val="single" w:sz="4" w:space="0" w:color="auto"/>
              <w:right w:val="single" w:sz="4" w:space="0" w:color="auto"/>
            </w:tcBorders>
            <w:shd w:val="clear" w:color="000000" w:fill="006098"/>
            <w:noWrap/>
            <w:vAlign w:val="center"/>
            <w:hideMark/>
          </w:tcPr>
          <w:p w14:paraId="008E290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7.4%</w:t>
            </w:r>
          </w:p>
        </w:tc>
        <w:tc>
          <w:tcPr>
            <w:tcW w:w="1701" w:type="dxa"/>
            <w:tcBorders>
              <w:top w:val="nil"/>
              <w:left w:val="nil"/>
              <w:bottom w:val="single" w:sz="4" w:space="0" w:color="auto"/>
              <w:right w:val="single" w:sz="4" w:space="0" w:color="auto"/>
            </w:tcBorders>
            <w:shd w:val="clear" w:color="000000" w:fill="CE941F"/>
            <w:noWrap/>
            <w:vAlign w:val="center"/>
            <w:hideMark/>
          </w:tcPr>
          <w:p w14:paraId="68C819F3"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27.8%</w:t>
            </w:r>
          </w:p>
        </w:tc>
        <w:tc>
          <w:tcPr>
            <w:tcW w:w="1701" w:type="dxa"/>
            <w:tcBorders>
              <w:top w:val="nil"/>
              <w:left w:val="nil"/>
              <w:bottom w:val="single" w:sz="4" w:space="0" w:color="auto"/>
              <w:right w:val="single" w:sz="4" w:space="0" w:color="auto"/>
            </w:tcBorders>
            <w:shd w:val="clear" w:color="000000" w:fill="F7BFD8"/>
            <w:noWrap/>
            <w:vAlign w:val="center"/>
            <w:hideMark/>
          </w:tcPr>
          <w:p w14:paraId="5F987284"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766E2531"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47.0%</w:t>
            </w:r>
          </w:p>
        </w:tc>
      </w:tr>
      <w:tr w:rsidR="00472CF0" w:rsidRPr="009C5B66" w14:paraId="7845C79D"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5BA3E745"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ZAC</w:t>
            </w:r>
          </w:p>
        </w:tc>
        <w:tc>
          <w:tcPr>
            <w:tcW w:w="1701" w:type="dxa"/>
            <w:tcBorders>
              <w:top w:val="nil"/>
              <w:left w:val="nil"/>
              <w:bottom w:val="single" w:sz="4" w:space="0" w:color="auto"/>
              <w:right w:val="single" w:sz="4" w:space="0" w:color="auto"/>
            </w:tcBorders>
            <w:shd w:val="clear" w:color="000000" w:fill="8E61A5"/>
            <w:noWrap/>
            <w:vAlign w:val="center"/>
            <w:hideMark/>
          </w:tcPr>
          <w:p w14:paraId="39EC2340"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47.1%</w:t>
            </w:r>
          </w:p>
        </w:tc>
        <w:tc>
          <w:tcPr>
            <w:tcW w:w="1701" w:type="dxa"/>
            <w:tcBorders>
              <w:top w:val="nil"/>
              <w:left w:val="nil"/>
              <w:bottom w:val="single" w:sz="4" w:space="0" w:color="auto"/>
              <w:right w:val="single" w:sz="4" w:space="0" w:color="auto"/>
            </w:tcBorders>
            <w:shd w:val="clear" w:color="000000" w:fill="006098"/>
            <w:noWrap/>
            <w:vAlign w:val="center"/>
            <w:hideMark/>
          </w:tcPr>
          <w:p w14:paraId="3311184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33.2%</w:t>
            </w:r>
          </w:p>
        </w:tc>
        <w:tc>
          <w:tcPr>
            <w:tcW w:w="1701" w:type="dxa"/>
            <w:tcBorders>
              <w:top w:val="nil"/>
              <w:left w:val="nil"/>
              <w:bottom w:val="single" w:sz="4" w:space="0" w:color="auto"/>
              <w:right w:val="single" w:sz="4" w:space="0" w:color="auto"/>
            </w:tcBorders>
            <w:shd w:val="clear" w:color="000000" w:fill="CE941F"/>
            <w:noWrap/>
            <w:vAlign w:val="center"/>
            <w:hideMark/>
          </w:tcPr>
          <w:p w14:paraId="31DD475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4.5%</w:t>
            </w:r>
          </w:p>
        </w:tc>
        <w:tc>
          <w:tcPr>
            <w:tcW w:w="1701" w:type="dxa"/>
            <w:tcBorders>
              <w:top w:val="nil"/>
              <w:left w:val="nil"/>
              <w:bottom w:val="single" w:sz="4" w:space="0" w:color="auto"/>
              <w:right w:val="single" w:sz="4" w:space="0" w:color="auto"/>
            </w:tcBorders>
            <w:shd w:val="clear" w:color="000000" w:fill="F7BFD8"/>
            <w:noWrap/>
            <w:vAlign w:val="center"/>
            <w:hideMark/>
          </w:tcPr>
          <w:p w14:paraId="1105BB01"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w:t>
            </w:r>
          </w:p>
        </w:tc>
        <w:tc>
          <w:tcPr>
            <w:tcW w:w="1701" w:type="dxa"/>
            <w:tcBorders>
              <w:top w:val="nil"/>
              <w:left w:val="nil"/>
              <w:bottom w:val="single" w:sz="4" w:space="0" w:color="auto"/>
              <w:right w:val="single" w:sz="4" w:space="0" w:color="auto"/>
            </w:tcBorders>
            <w:shd w:val="clear" w:color="000000" w:fill="DBD7D8"/>
            <w:noWrap/>
            <w:vAlign w:val="center"/>
            <w:hideMark/>
          </w:tcPr>
          <w:p w14:paraId="23E3E14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15.2%</w:t>
            </w:r>
          </w:p>
        </w:tc>
      </w:tr>
      <w:tr w:rsidR="00472CF0" w:rsidRPr="009C5B66" w14:paraId="5C3360A3"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2807D10A"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TLAX</w:t>
            </w:r>
          </w:p>
        </w:tc>
        <w:tc>
          <w:tcPr>
            <w:tcW w:w="1701" w:type="dxa"/>
            <w:tcBorders>
              <w:top w:val="nil"/>
              <w:left w:val="nil"/>
              <w:bottom w:val="single" w:sz="4" w:space="0" w:color="auto"/>
              <w:right w:val="single" w:sz="4" w:space="0" w:color="auto"/>
            </w:tcBorders>
            <w:shd w:val="clear" w:color="000000" w:fill="8E61A5"/>
            <w:noWrap/>
            <w:vAlign w:val="center"/>
            <w:hideMark/>
          </w:tcPr>
          <w:p w14:paraId="4EEB41FA"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88.3%</w:t>
            </w:r>
          </w:p>
        </w:tc>
        <w:tc>
          <w:tcPr>
            <w:tcW w:w="1701" w:type="dxa"/>
            <w:tcBorders>
              <w:top w:val="nil"/>
              <w:left w:val="nil"/>
              <w:bottom w:val="single" w:sz="4" w:space="0" w:color="auto"/>
              <w:right w:val="single" w:sz="4" w:space="0" w:color="auto"/>
            </w:tcBorders>
            <w:shd w:val="clear" w:color="000000" w:fill="006098"/>
            <w:noWrap/>
            <w:vAlign w:val="center"/>
            <w:hideMark/>
          </w:tcPr>
          <w:p w14:paraId="324EE964"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3.7%</w:t>
            </w:r>
          </w:p>
        </w:tc>
        <w:tc>
          <w:tcPr>
            <w:tcW w:w="1701" w:type="dxa"/>
            <w:tcBorders>
              <w:top w:val="nil"/>
              <w:left w:val="nil"/>
              <w:bottom w:val="single" w:sz="4" w:space="0" w:color="auto"/>
              <w:right w:val="single" w:sz="4" w:space="0" w:color="auto"/>
            </w:tcBorders>
            <w:shd w:val="clear" w:color="000000" w:fill="CE941F"/>
            <w:noWrap/>
            <w:vAlign w:val="center"/>
            <w:hideMark/>
          </w:tcPr>
          <w:p w14:paraId="185C657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8.0%</w:t>
            </w:r>
          </w:p>
        </w:tc>
        <w:tc>
          <w:tcPr>
            <w:tcW w:w="1701" w:type="dxa"/>
            <w:tcBorders>
              <w:top w:val="nil"/>
              <w:left w:val="nil"/>
              <w:bottom w:val="single" w:sz="4" w:space="0" w:color="auto"/>
              <w:right w:val="single" w:sz="4" w:space="0" w:color="auto"/>
            </w:tcBorders>
            <w:shd w:val="clear" w:color="000000" w:fill="F7BFD8"/>
            <w:noWrap/>
            <w:vAlign w:val="center"/>
            <w:hideMark/>
          </w:tcPr>
          <w:p w14:paraId="2BAC57CD"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0DB10C59"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1D251CE6"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3A0F30CC"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MOR</w:t>
            </w:r>
          </w:p>
        </w:tc>
        <w:tc>
          <w:tcPr>
            <w:tcW w:w="1701" w:type="dxa"/>
            <w:tcBorders>
              <w:top w:val="nil"/>
              <w:left w:val="nil"/>
              <w:bottom w:val="single" w:sz="4" w:space="0" w:color="auto"/>
              <w:right w:val="single" w:sz="4" w:space="0" w:color="auto"/>
            </w:tcBorders>
            <w:shd w:val="clear" w:color="000000" w:fill="8E61A5"/>
            <w:noWrap/>
            <w:vAlign w:val="center"/>
            <w:hideMark/>
          </w:tcPr>
          <w:p w14:paraId="73CFC4F1"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51.0%</w:t>
            </w:r>
          </w:p>
        </w:tc>
        <w:tc>
          <w:tcPr>
            <w:tcW w:w="1701" w:type="dxa"/>
            <w:tcBorders>
              <w:top w:val="nil"/>
              <w:left w:val="nil"/>
              <w:bottom w:val="single" w:sz="4" w:space="0" w:color="auto"/>
              <w:right w:val="single" w:sz="4" w:space="0" w:color="auto"/>
            </w:tcBorders>
            <w:shd w:val="clear" w:color="000000" w:fill="006098"/>
            <w:noWrap/>
            <w:vAlign w:val="center"/>
            <w:hideMark/>
          </w:tcPr>
          <w:p w14:paraId="04C352A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17.9%</w:t>
            </w:r>
          </w:p>
        </w:tc>
        <w:tc>
          <w:tcPr>
            <w:tcW w:w="1701" w:type="dxa"/>
            <w:tcBorders>
              <w:top w:val="nil"/>
              <w:left w:val="nil"/>
              <w:bottom w:val="single" w:sz="4" w:space="0" w:color="auto"/>
              <w:right w:val="single" w:sz="4" w:space="0" w:color="auto"/>
            </w:tcBorders>
            <w:shd w:val="clear" w:color="000000" w:fill="CE941F"/>
            <w:noWrap/>
            <w:vAlign w:val="center"/>
            <w:hideMark/>
          </w:tcPr>
          <w:p w14:paraId="5446A94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26.0%</w:t>
            </w:r>
          </w:p>
        </w:tc>
        <w:tc>
          <w:tcPr>
            <w:tcW w:w="1701" w:type="dxa"/>
            <w:tcBorders>
              <w:top w:val="nil"/>
              <w:left w:val="nil"/>
              <w:bottom w:val="single" w:sz="4" w:space="0" w:color="auto"/>
              <w:right w:val="single" w:sz="4" w:space="0" w:color="auto"/>
            </w:tcBorders>
            <w:shd w:val="clear" w:color="000000" w:fill="F7BFD8"/>
            <w:noWrap/>
            <w:vAlign w:val="center"/>
            <w:hideMark/>
          </w:tcPr>
          <w:p w14:paraId="35DA10F8"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5.1%</w:t>
            </w:r>
          </w:p>
        </w:tc>
        <w:tc>
          <w:tcPr>
            <w:tcW w:w="1701" w:type="dxa"/>
            <w:tcBorders>
              <w:top w:val="nil"/>
              <w:left w:val="nil"/>
              <w:bottom w:val="single" w:sz="4" w:space="0" w:color="auto"/>
              <w:right w:val="single" w:sz="4" w:space="0" w:color="auto"/>
            </w:tcBorders>
            <w:shd w:val="clear" w:color="000000" w:fill="DBD7D8"/>
            <w:noWrap/>
            <w:vAlign w:val="center"/>
            <w:hideMark/>
          </w:tcPr>
          <w:p w14:paraId="09C9C8B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3975EFEE"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33D25AEE"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DGO</w:t>
            </w:r>
          </w:p>
        </w:tc>
        <w:tc>
          <w:tcPr>
            <w:tcW w:w="1701" w:type="dxa"/>
            <w:tcBorders>
              <w:top w:val="nil"/>
              <w:left w:val="nil"/>
              <w:bottom w:val="single" w:sz="4" w:space="0" w:color="auto"/>
              <w:right w:val="single" w:sz="4" w:space="0" w:color="auto"/>
            </w:tcBorders>
            <w:shd w:val="clear" w:color="000000" w:fill="8E61A5"/>
            <w:noWrap/>
            <w:vAlign w:val="center"/>
            <w:hideMark/>
          </w:tcPr>
          <w:p w14:paraId="27F718D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70.8%</w:t>
            </w:r>
          </w:p>
        </w:tc>
        <w:tc>
          <w:tcPr>
            <w:tcW w:w="1701" w:type="dxa"/>
            <w:tcBorders>
              <w:top w:val="nil"/>
              <w:left w:val="nil"/>
              <w:bottom w:val="single" w:sz="4" w:space="0" w:color="auto"/>
              <w:right w:val="single" w:sz="4" w:space="0" w:color="auto"/>
            </w:tcBorders>
            <w:shd w:val="clear" w:color="000000" w:fill="006098"/>
            <w:noWrap/>
            <w:vAlign w:val="center"/>
            <w:hideMark/>
          </w:tcPr>
          <w:p w14:paraId="4D814C78"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11.3%</w:t>
            </w:r>
          </w:p>
        </w:tc>
        <w:tc>
          <w:tcPr>
            <w:tcW w:w="1701" w:type="dxa"/>
            <w:tcBorders>
              <w:top w:val="nil"/>
              <w:left w:val="nil"/>
              <w:bottom w:val="single" w:sz="4" w:space="0" w:color="auto"/>
              <w:right w:val="single" w:sz="4" w:space="0" w:color="auto"/>
            </w:tcBorders>
            <w:shd w:val="clear" w:color="000000" w:fill="CE941F"/>
            <w:noWrap/>
            <w:vAlign w:val="center"/>
            <w:hideMark/>
          </w:tcPr>
          <w:p w14:paraId="745F794C"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17.4%</w:t>
            </w:r>
          </w:p>
        </w:tc>
        <w:tc>
          <w:tcPr>
            <w:tcW w:w="1701" w:type="dxa"/>
            <w:tcBorders>
              <w:top w:val="nil"/>
              <w:left w:val="nil"/>
              <w:bottom w:val="single" w:sz="4" w:space="0" w:color="auto"/>
              <w:right w:val="single" w:sz="4" w:space="0" w:color="auto"/>
            </w:tcBorders>
            <w:shd w:val="clear" w:color="000000" w:fill="F7BFD8"/>
            <w:noWrap/>
            <w:vAlign w:val="center"/>
            <w:hideMark/>
          </w:tcPr>
          <w:p w14:paraId="0DBD536C"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0.5%</w:t>
            </w:r>
          </w:p>
        </w:tc>
        <w:tc>
          <w:tcPr>
            <w:tcW w:w="1701" w:type="dxa"/>
            <w:tcBorders>
              <w:top w:val="nil"/>
              <w:left w:val="nil"/>
              <w:bottom w:val="single" w:sz="4" w:space="0" w:color="auto"/>
              <w:right w:val="single" w:sz="4" w:space="0" w:color="auto"/>
            </w:tcBorders>
            <w:shd w:val="clear" w:color="000000" w:fill="DBD7D8"/>
            <w:noWrap/>
            <w:vAlign w:val="center"/>
            <w:hideMark/>
          </w:tcPr>
          <w:p w14:paraId="3335FE9F"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6C5669BC"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C8252F3"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SLP</w:t>
            </w:r>
          </w:p>
        </w:tc>
        <w:tc>
          <w:tcPr>
            <w:tcW w:w="1701" w:type="dxa"/>
            <w:tcBorders>
              <w:top w:val="nil"/>
              <w:left w:val="nil"/>
              <w:bottom w:val="single" w:sz="4" w:space="0" w:color="auto"/>
              <w:right w:val="single" w:sz="4" w:space="0" w:color="auto"/>
            </w:tcBorders>
            <w:shd w:val="clear" w:color="000000" w:fill="8E61A5"/>
            <w:noWrap/>
            <w:vAlign w:val="center"/>
            <w:hideMark/>
          </w:tcPr>
          <w:p w14:paraId="2EB53E26"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2.2%</w:t>
            </w:r>
          </w:p>
        </w:tc>
        <w:tc>
          <w:tcPr>
            <w:tcW w:w="1701" w:type="dxa"/>
            <w:tcBorders>
              <w:top w:val="nil"/>
              <w:left w:val="nil"/>
              <w:bottom w:val="single" w:sz="4" w:space="0" w:color="auto"/>
              <w:right w:val="single" w:sz="4" w:space="0" w:color="auto"/>
            </w:tcBorders>
            <w:shd w:val="clear" w:color="000000" w:fill="006098"/>
            <w:noWrap/>
            <w:vAlign w:val="center"/>
            <w:hideMark/>
          </w:tcPr>
          <w:p w14:paraId="7A1DF3A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36.8%</w:t>
            </w:r>
          </w:p>
        </w:tc>
        <w:tc>
          <w:tcPr>
            <w:tcW w:w="1701" w:type="dxa"/>
            <w:tcBorders>
              <w:top w:val="nil"/>
              <w:left w:val="nil"/>
              <w:bottom w:val="single" w:sz="4" w:space="0" w:color="auto"/>
              <w:right w:val="single" w:sz="4" w:space="0" w:color="auto"/>
            </w:tcBorders>
            <w:shd w:val="clear" w:color="000000" w:fill="CE941F"/>
            <w:noWrap/>
            <w:vAlign w:val="center"/>
            <w:hideMark/>
          </w:tcPr>
          <w:p w14:paraId="6A19EC57"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9.7%</w:t>
            </w:r>
          </w:p>
        </w:tc>
        <w:tc>
          <w:tcPr>
            <w:tcW w:w="1701" w:type="dxa"/>
            <w:tcBorders>
              <w:top w:val="nil"/>
              <w:left w:val="nil"/>
              <w:bottom w:val="single" w:sz="4" w:space="0" w:color="auto"/>
              <w:right w:val="single" w:sz="4" w:space="0" w:color="auto"/>
            </w:tcBorders>
            <w:shd w:val="clear" w:color="000000" w:fill="F7BFD8"/>
            <w:noWrap/>
            <w:vAlign w:val="center"/>
            <w:hideMark/>
          </w:tcPr>
          <w:p w14:paraId="7F8CC44E"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5653EA7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51.4%</w:t>
            </w:r>
          </w:p>
        </w:tc>
      </w:tr>
      <w:tr w:rsidR="00472CF0" w:rsidRPr="009C5B66" w14:paraId="5732B8E6"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4A234C54"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NAY</w:t>
            </w:r>
          </w:p>
        </w:tc>
        <w:tc>
          <w:tcPr>
            <w:tcW w:w="1701" w:type="dxa"/>
            <w:tcBorders>
              <w:top w:val="nil"/>
              <w:left w:val="nil"/>
              <w:bottom w:val="single" w:sz="4" w:space="0" w:color="auto"/>
              <w:right w:val="single" w:sz="4" w:space="0" w:color="auto"/>
            </w:tcBorders>
            <w:shd w:val="clear" w:color="000000" w:fill="8E61A5"/>
            <w:noWrap/>
            <w:vAlign w:val="center"/>
            <w:hideMark/>
          </w:tcPr>
          <w:p w14:paraId="4734163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NA</w:t>
            </w:r>
          </w:p>
        </w:tc>
        <w:tc>
          <w:tcPr>
            <w:tcW w:w="1701" w:type="dxa"/>
            <w:tcBorders>
              <w:top w:val="nil"/>
              <w:left w:val="nil"/>
              <w:bottom w:val="single" w:sz="4" w:space="0" w:color="auto"/>
              <w:right w:val="single" w:sz="4" w:space="0" w:color="auto"/>
            </w:tcBorders>
            <w:shd w:val="clear" w:color="000000" w:fill="006098"/>
            <w:noWrap/>
            <w:vAlign w:val="center"/>
            <w:hideMark/>
          </w:tcPr>
          <w:p w14:paraId="34463FA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64.9%</w:t>
            </w:r>
          </w:p>
        </w:tc>
        <w:tc>
          <w:tcPr>
            <w:tcW w:w="1701" w:type="dxa"/>
            <w:tcBorders>
              <w:top w:val="nil"/>
              <w:left w:val="nil"/>
              <w:bottom w:val="single" w:sz="4" w:space="0" w:color="auto"/>
              <w:right w:val="single" w:sz="4" w:space="0" w:color="auto"/>
            </w:tcBorders>
            <w:shd w:val="clear" w:color="000000" w:fill="CE941F"/>
            <w:noWrap/>
            <w:vAlign w:val="center"/>
            <w:hideMark/>
          </w:tcPr>
          <w:p w14:paraId="060508E5"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0.5%</w:t>
            </w:r>
          </w:p>
        </w:tc>
        <w:tc>
          <w:tcPr>
            <w:tcW w:w="1701" w:type="dxa"/>
            <w:tcBorders>
              <w:top w:val="nil"/>
              <w:left w:val="nil"/>
              <w:bottom w:val="single" w:sz="4" w:space="0" w:color="auto"/>
              <w:right w:val="single" w:sz="4" w:space="0" w:color="auto"/>
            </w:tcBorders>
            <w:shd w:val="clear" w:color="000000" w:fill="F7BFD8"/>
            <w:noWrap/>
            <w:vAlign w:val="center"/>
            <w:hideMark/>
          </w:tcPr>
          <w:p w14:paraId="0A32EC25"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5E9A0EB2"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34.6%</w:t>
            </w:r>
          </w:p>
        </w:tc>
      </w:tr>
      <w:tr w:rsidR="00472CF0" w:rsidRPr="009C5B66" w14:paraId="2ACFA10F"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4FEC4185"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COL</w:t>
            </w:r>
          </w:p>
        </w:tc>
        <w:tc>
          <w:tcPr>
            <w:tcW w:w="1701" w:type="dxa"/>
            <w:tcBorders>
              <w:top w:val="nil"/>
              <w:left w:val="nil"/>
              <w:bottom w:val="single" w:sz="4" w:space="0" w:color="auto"/>
              <w:right w:val="single" w:sz="4" w:space="0" w:color="auto"/>
            </w:tcBorders>
            <w:shd w:val="clear" w:color="000000" w:fill="8E61A5"/>
            <w:noWrap/>
            <w:vAlign w:val="center"/>
            <w:hideMark/>
          </w:tcPr>
          <w:p w14:paraId="359A6FB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46.3%</w:t>
            </w:r>
          </w:p>
        </w:tc>
        <w:tc>
          <w:tcPr>
            <w:tcW w:w="1701" w:type="dxa"/>
            <w:tcBorders>
              <w:top w:val="nil"/>
              <w:left w:val="nil"/>
              <w:bottom w:val="single" w:sz="4" w:space="0" w:color="auto"/>
              <w:right w:val="single" w:sz="4" w:space="0" w:color="auto"/>
            </w:tcBorders>
            <w:shd w:val="clear" w:color="000000" w:fill="006098"/>
            <w:noWrap/>
            <w:vAlign w:val="center"/>
            <w:hideMark/>
          </w:tcPr>
          <w:p w14:paraId="00BCCEF9"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30.7%</w:t>
            </w:r>
          </w:p>
        </w:tc>
        <w:tc>
          <w:tcPr>
            <w:tcW w:w="1701" w:type="dxa"/>
            <w:tcBorders>
              <w:top w:val="nil"/>
              <w:left w:val="nil"/>
              <w:bottom w:val="single" w:sz="4" w:space="0" w:color="auto"/>
              <w:right w:val="single" w:sz="4" w:space="0" w:color="auto"/>
            </w:tcBorders>
            <w:shd w:val="clear" w:color="000000" w:fill="CE941F"/>
            <w:noWrap/>
            <w:vAlign w:val="center"/>
            <w:hideMark/>
          </w:tcPr>
          <w:p w14:paraId="665CD3DD"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22.9%</w:t>
            </w:r>
          </w:p>
        </w:tc>
        <w:tc>
          <w:tcPr>
            <w:tcW w:w="1701" w:type="dxa"/>
            <w:tcBorders>
              <w:top w:val="nil"/>
              <w:left w:val="nil"/>
              <w:bottom w:val="single" w:sz="4" w:space="0" w:color="auto"/>
              <w:right w:val="single" w:sz="4" w:space="0" w:color="auto"/>
            </w:tcBorders>
            <w:shd w:val="clear" w:color="000000" w:fill="F7BFD8"/>
            <w:noWrap/>
            <w:vAlign w:val="center"/>
            <w:hideMark/>
          </w:tcPr>
          <w:p w14:paraId="1238A1FA"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21AAA6D9"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r>
      <w:tr w:rsidR="00472CF0" w:rsidRPr="009C5B66" w14:paraId="7006672B" w14:textId="77777777" w:rsidTr="00472CF0">
        <w:trPr>
          <w:trHeight w:val="285"/>
        </w:trPr>
        <w:tc>
          <w:tcPr>
            <w:tcW w:w="1320" w:type="dxa"/>
            <w:tcBorders>
              <w:top w:val="nil"/>
              <w:left w:val="single" w:sz="4" w:space="0" w:color="auto"/>
              <w:bottom w:val="single" w:sz="4" w:space="0" w:color="auto"/>
              <w:right w:val="single" w:sz="4" w:space="0" w:color="auto"/>
            </w:tcBorders>
            <w:shd w:val="clear" w:color="000000" w:fill="706F6F"/>
            <w:noWrap/>
            <w:vAlign w:val="center"/>
            <w:hideMark/>
          </w:tcPr>
          <w:p w14:paraId="7A628833" w14:textId="77777777" w:rsidR="009C5B66" w:rsidRPr="009C5B66" w:rsidRDefault="009C5B66" w:rsidP="009C5B66">
            <w:pPr>
              <w:spacing w:after="0" w:line="240" w:lineRule="auto"/>
              <w:rPr>
                <w:rFonts w:ascii="Arial" w:eastAsia="Times New Roman" w:hAnsi="Arial" w:cs="Arial"/>
                <w:color w:val="FFFFFF"/>
                <w:sz w:val="16"/>
                <w:szCs w:val="16"/>
                <w:lang w:eastAsia="es-MX"/>
              </w:rPr>
            </w:pPr>
            <w:r w:rsidRPr="009C5B66">
              <w:rPr>
                <w:rFonts w:ascii="Arial" w:eastAsia="Times New Roman" w:hAnsi="Arial" w:cs="Arial"/>
                <w:color w:val="FFFFFF"/>
                <w:sz w:val="16"/>
                <w:szCs w:val="16"/>
                <w:lang w:eastAsia="es-MX"/>
              </w:rPr>
              <w:t>CHIS</w:t>
            </w:r>
          </w:p>
        </w:tc>
        <w:tc>
          <w:tcPr>
            <w:tcW w:w="1701" w:type="dxa"/>
            <w:tcBorders>
              <w:top w:val="nil"/>
              <w:left w:val="nil"/>
              <w:bottom w:val="single" w:sz="4" w:space="0" w:color="auto"/>
              <w:right w:val="single" w:sz="4" w:space="0" w:color="auto"/>
            </w:tcBorders>
            <w:shd w:val="clear" w:color="000000" w:fill="8E61A5"/>
            <w:noWrap/>
            <w:vAlign w:val="center"/>
            <w:hideMark/>
          </w:tcPr>
          <w:p w14:paraId="310FFEDF"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13.8%</w:t>
            </w:r>
          </w:p>
        </w:tc>
        <w:tc>
          <w:tcPr>
            <w:tcW w:w="1701" w:type="dxa"/>
            <w:tcBorders>
              <w:top w:val="nil"/>
              <w:left w:val="nil"/>
              <w:bottom w:val="single" w:sz="4" w:space="0" w:color="auto"/>
              <w:right w:val="single" w:sz="4" w:space="0" w:color="auto"/>
            </w:tcBorders>
            <w:shd w:val="clear" w:color="000000" w:fill="006098"/>
            <w:noWrap/>
            <w:vAlign w:val="center"/>
            <w:hideMark/>
          </w:tcPr>
          <w:p w14:paraId="4DB16BAE"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61.1%</w:t>
            </w:r>
          </w:p>
        </w:tc>
        <w:tc>
          <w:tcPr>
            <w:tcW w:w="1701" w:type="dxa"/>
            <w:tcBorders>
              <w:top w:val="nil"/>
              <w:left w:val="nil"/>
              <w:bottom w:val="single" w:sz="4" w:space="0" w:color="auto"/>
              <w:right w:val="single" w:sz="4" w:space="0" w:color="auto"/>
            </w:tcBorders>
            <w:shd w:val="clear" w:color="000000" w:fill="CE941F"/>
            <w:noWrap/>
            <w:vAlign w:val="center"/>
            <w:hideMark/>
          </w:tcPr>
          <w:p w14:paraId="2A7CD4AB" w14:textId="77777777" w:rsidR="009C5B66" w:rsidRPr="009C5B66" w:rsidRDefault="009C5B66" w:rsidP="009C5B66">
            <w:pPr>
              <w:spacing w:after="0" w:line="240" w:lineRule="auto"/>
              <w:jc w:val="right"/>
              <w:rPr>
                <w:rFonts w:ascii="Arial" w:eastAsia="Times New Roman" w:hAnsi="Arial" w:cs="Arial"/>
                <w:color w:val="FFFFFF"/>
                <w:sz w:val="18"/>
                <w:szCs w:val="18"/>
                <w:lang w:eastAsia="es-MX"/>
              </w:rPr>
            </w:pPr>
            <w:r w:rsidRPr="009C5B66">
              <w:rPr>
                <w:rFonts w:ascii="Arial" w:eastAsia="Times New Roman" w:hAnsi="Arial" w:cs="Arial"/>
                <w:color w:val="FFFFFF"/>
                <w:sz w:val="18"/>
                <w:szCs w:val="18"/>
                <w:lang w:eastAsia="es-MX"/>
              </w:rPr>
              <w:t>13.9%</w:t>
            </w:r>
          </w:p>
        </w:tc>
        <w:tc>
          <w:tcPr>
            <w:tcW w:w="1701" w:type="dxa"/>
            <w:tcBorders>
              <w:top w:val="nil"/>
              <w:left w:val="nil"/>
              <w:bottom w:val="single" w:sz="4" w:space="0" w:color="auto"/>
              <w:right w:val="single" w:sz="4" w:space="0" w:color="auto"/>
            </w:tcBorders>
            <w:shd w:val="clear" w:color="000000" w:fill="F7BFD8"/>
            <w:noWrap/>
            <w:vAlign w:val="center"/>
            <w:hideMark/>
          </w:tcPr>
          <w:p w14:paraId="11F77186"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NA</w:t>
            </w:r>
          </w:p>
        </w:tc>
        <w:tc>
          <w:tcPr>
            <w:tcW w:w="1701" w:type="dxa"/>
            <w:tcBorders>
              <w:top w:val="nil"/>
              <w:left w:val="nil"/>
              <w:bottom w:val="single" w:sz="4" w:space="0" w:color="auto"/>
              <w:right w:val="single" w:sz="4" w:space="0" w:color="auto"/>
            </w:tcBorders>
            <w:shd w:val="clear" w:color="000000" w:fill="DBD7D8"/>
            <w:noWrap/>
            <w:vAlign w:val="center"/>
            <w:hideMark/>
          </w:tcPr>
          <w:p w14:paraId="5CCAED81" w14:textId="77777777" w:rsidR="009C5B66" w:rsidRPr="009C5B66" w:rsidRDefault="009C5B66" w:rsidP="009C5B66">
            <w:pPr>
              <w:spacing w:after="0" w:line="240" w:lineRule="auto"/>
              <w:jc w:val="right"/>
              <w:rPr>
                <w:rFonts w:ascii="Arial" w:eastAsia="Times New Roman" w:hAnsi="Arial" w:cs="Arial"/>
                <w:sz w:val="18"/>
                <w:szCs w:val="18"/>
                <w:lang w:eastAsia="es-MX"/>
              </w:rPr>
            </w:pPr>
            <w:r w:rsidRPr="009C5B66">
              <w:rPr>
                <w:rFonts w:ascii="Arial" w:eastAsia="Times New Roman" w:hAnsi="Arial" w:cs="Arial"/>
                <w:sz w:val="18"/>
                <w:szCs w:val="18"/>
                <w:lang w:eastAsia="es-MX"/>
              </w:rPr>
              <w:t>11.3%</w:t>
            </w:r>
          </w:p>
        </w:tc>
      </w:tr>
    </w:tbl>
    <w:p w14:paraId="5836A82F" w14:textId="77777777" w:rsidR="009C5B66" w:rsidRPr="00DC0760" w:rsidRDefault="009C5B66" w:rsidP="009C5B66">
      <w:pPr>
        <w:spacing w:after="0"/>
        <w:ind w:left="-567"/>
        <w:jc w:val="center"/>
        <w:rPr>
          <w:rFonts w:ascii="Arial" w:hAnsi="Arial" w:cs="Arial"/>
          <w:b/>
          <w:bCs/>
          <w:i/>
          <w:iCs/>
          <w:color w:val="706F6F"/>
          <w:sz w:val="18"/>
          <w:szCs w:val="24"/>
        </w:rPr>
      </w:pPr>
    </w:p>
    <w:p w14:paraId="003D25F1" w14:textId="5931697E" w:rsidR="009C5B66" w:rsidRPr="00DC0760" w:rsidRDefault="009C5B66" w:rsidP="009C5B66">
      <w:pPr>
        <w:spacing w:after="0"/>
        <w:ind w:left="-567"/>
        <w:jc w:val="center"/>
        <w:rPr>
          <w:rFonts w:ascii="Arial" w:hAnsi="Arial" w:cs="Arial"/>
          <w:iCs/>
          <w:noProof/>
          <w:sz w:val="16"/>
          <w:szCs w:val="16"/>
          <w:lang w:eastAsia="es-MX"/>
        </w:rPr>
      </w:pPr>
      <w:r w:rsidRPr="00DC0760">
        <w:rPr>
          <w:rFonts w:ascii="Arial" w:hAnsi="Arial" w:cs="Arial"/>
          <w:iCs/>
          <w:noProof/>
          <w:sz w:val="16"/>
          <w:szCs w:val="16"/>
          <w:lang w:eastAsia="es-MX"/>
        </w:rPr>
        <w:t>Nota: no se incluye la categoría no especificado tipo de materia que para el estado de Sinaloa correspondió a 0.001% para el  procedimiento de invitación a cuando menos tres personas o invitación restringida. Tampoco se incluye la entidad de Oaxaca ya que no contó con datos o elementos para responder sobre el tema, o bien, reportó que algunos procedimientos no le aplicaban. La suma de los porcentajes puede ser distinta al 100%, debido al redondeo de los decimales.</w:t>
      </w:r>
    </w:p>
    <w:p w14:paraId="44E54F24" w14:textId="77777777" w:rsidR="009C5B66" w:rsidRPr="00DC0760" w:rsidRDefault="009C5B66" w:rsidP="009C5B66">
      <w:pPr>
        <w:spacing w:after="0"/>
        <w:ind w:left="-567"/>
        <w:jc w:val="center"/>
        <w:rPr>
          <w:rFonts w:ascii="Arial" w:hAnsi="Arial" w:cs="Arial"/>
          <w:iCs/>
          <w:noProof/>
          <w:sz w:val="16"/>
          <w:szCs w:val="16"/>
          <w:lang w:eastAsia="es-MX"/>
        </w:rPr>
      </w:pPr>
      <w:r w:rsidRPr="00DC0760">
        <w:rPr>
          <w:rFonts w:ascii="Arial" w:hAnsi="Arial" w:cs="Arial"/>
          <w:iCs/>
          <w:noProof/>
          <w:sz w:val="16"/>
          <w:szCs w:val="16"/>
          <w:lang w:eastAsia="es-MX"/>
        </w:rPr>
        <w:t>NA: no aplica</w:t>
      </w:r>
    </w:p>
    <w:p w14:paraId="2C19E196" w14:textId="44C4B5D5" w:rsidR="009C5B66" w:rsidRPr="00DC0760" w:rsidRDefault="009C5B66" w:rsidP="009C5B66">
      <w:pPr>
        <w:spacing w:after="0"/>
        <w:ind w:left="-567"/>
        <w:jc w:val="center"/>
        <w:rPr>
          <w:rFonts w:ascii="Arial" w:hAnsi="Arial" w:cs="Arial"/>
          <w:b/>
          <w:bCs/>
          <w:iCs/>
          <w:noProof/>
          <w:sz w:val="24"/>
          <w:szCs w:val="24"/>
          <w:lang w:eastAsia="es-MX"/>
        </w:rPr>
      </w:pPr>
      <w:r w:rsidRPr="00DC0760">
        <w:rPr>
          <w:rFonts w:ascii="Arial" w:hAnsi="Arial" w:cs="Arial"/>
          <w:iCs/>
          <w:noProof/>
          <w:sz w:val="16"/>
          <w:szCs w:val="16"/>
          <w:lang w:eastAsia="es-MX"/>
        </w:rPr>
        <w:t>(-): no c</w:t>
      </w:r>
      <w:r w:rsidR="004A19B9">
        <w:rPr>
          <w:rFonts w:ascii="Arial" w:hAnsi="Arial" w:cs="Arial"/>
          <w:iCs/>
          <w:noProof/>
          <w:sz w:val="16"/>
          <w:szCs w:val="16"/>
          <w:lang w:eastAsia="es-MX"/>
        </w:rPr>
        <w:t>ontó</w:t>
      </w:r>
      <w:r w:rsidRPr="00DC0760">
        <w:rPr>
          <w:rFonts w:ascii="Arial" w:hAnsi="Arial" w:cs="Arial"/>
          <w:iCs/>
          <w:noProof/>
          <w:sz w:val="16"/>
          <w:szCs w:val="16"/>
          <w:lang w:eastAsia="es-MX"/>
        </w:rPr>
        <w:t xml:space="preserve"> con datos o elementos para responder.</w:t>
      </w:r>
    </w:p>
    <w:p w14:paraId="062AE83D" w14:textId="771895CA" w:rsidR="009C5B66" w:rsidRDefault="009C5B66" w:rsidP="006008C7">
      <w:pPr>
        <w:spacing w:after="0"/>
        <w:ind w:left="-567"/>
        <w:rPr>
          <w:rFonts w:ascii="Arial" w:hAnsi="Arial" w:cs="Arial"/>
          <w:b/>
          <w:bCs/>
          <w:iCs/>
          <w:noProof/>
          <w:sz w:val="24"/>
          <w:szCs w:val="24"/>
          <w:lang w:eastAsia="es-MX"/>
        </w:rPr>
      </w:pPr>
    </w:p>
    <w:p w14:paraId="5BC075D6" w14:textId="77777777" w:rsidR="009C5B66" w:rsidRDefault="009C5B66" w:rsidP="00444619">
      <w:pPr>
        <w:spacing w:after="0"/>
        <w:rPr>
          <w:rFonts w:ascii="Arial" w:hAnsi="Arial" w:cs="Arial"/>
          <w:b/>
          <w:bCs/>
          <w:iCs/>
          <w:noProof/>
          <w:sz w:val="24"/>
          <w:szCs w:val="24"/>
          <w:lang w:eastAsia="es-MX"/>
        </w:rPr>
      </w:pPr>
    </w:p>
    <w:p w14:paraId="61EE6FB7" w14:textId="0F950723" w:rsidR="00203853" w:rsidRDefault="00203853" w:rsidP="00203853">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lastRenderedPageBreak/>
        <w:t>Catastro</w:t>
      </w:r>
    </w:p>
    <w:p w14:paraId="633F9384" w14:textId="190B2BF0" w:rsidR="008B1D05" w:rsidRDefault="008B1D05" w:rsidP="00203853">
      <w:pPr>
        <w:spacing w:after="0"/>
        <w:ind w:left="-567"/>
        <w:rPr>
          <w:rFonts w:ascii="Arial" w:hAnsi="Arial" w:cs="Arial"/>
          <w:b/>
          <w:bCs/>
          <w:iCs/>
          <w:noProof/>
          <w:sz w:val="24"/>
          <w:szCs w:val="24"/>
          <w:lang w:eastAsia="es-MX"/>
        </w:rPr>
      </w:pPr>
    </w:p>
    <w:p w14:paraId="5CA148C3" w14:textId="68B00C18" w:rsidR="008B1D05" w:rsidRDefault="008B1D05" w:rsidP="008B1D05">
      <w:pPr>
        <w:spacing w:after="0"/>
        <w:ind w:left="-567"/>
        <w:jc w:val="both"/>
        <w:rPr>
          <w:rFonts w:ascii="Arial" w:hAnsi="Arial" w:cs="Arial"/>
          <w:iCs/>
          <w:noProof/>
          <w:sz w:val="24"/>
          <w:szCs w:val="24"/>
          <w:lang w:eastAsia="es-MX"/>
        </w:rPr>
      </w:pPr>
      <w:r w:rsidRPr="008B1D05">
        <w:rPr>
          <w:rFonts w:ascii="Arial" w:hAnsi="Arial" w:cs="Arial"/>
          <w:iCs/>
          <w:noProof/>
          <w:sz w:val="24"/>
          <w:szCs w:val="24"/>
          <w:lang w:eastAsia="es-MX"/>
        </w:rPr>
        <w:t>Al cierre de 2020, las dependiencias catastrales</w:t>
      </w:r>
      <w:r w:rsidR="00444619">
        <w:rPr>
          <w:rStyle w:val="Refdenotaalpie"/>
          <w:rFonts w:ascii="Arial" w:hAnsi="Arial" w:cs="Arial"/>
          <w:iCs/>
          <w:noProof/>
          <w:sz w:val="24"/>
          <w:szCs w:val="24"/>
          <w:lang w:eastAsia="es-MX"/>
        </w:rPr>
        <w:footnoteReference w:id="14"/>
      </w:r>
      <w:r w:rsidRPr="008B1D05">
        <w:rPr>
          <w:rFonts w:ascii="Arial" w:hAnsi="Arial" w:cs="Arial"/>
          <w:iCs/>
          <w:noProof/>
          <w:sz w:val="24"/>
          <w:szCs w:val="24"/>
          <w:lang w:eastAsia="es-MX"/>
        </w:rPr>
        <w:t xml:space="preserve"> contaban con  2 257 personas adscritas, de ellas</w:t>
      </w:r>
      <w:r w:rsidR="008605E2">
        <w:rPr>
          <w:rFonts w:ascii="Arial" w:hAnsi="Arial" w:cs="Arial"/>
          <w:iCs/>
          <w:noProof/>
          <w:sz w:val="24"/>
          <w:szCs w:val="24"/>
          <w:lang w:eastAsia="es-MX"/>
        </w:rPr>
        <w:t>,</w:t>
      </w:r>
      <w:r w:rsidRPr="008B1D05">
        <w:rPr>
          <w:rFonts w:ascii="Arial" w:hAnsi="Arial" w:cs="Arial"/>
          <w:iCs/>
          <w:noProof/>
          <w:sz w:val="24"/>
          <w:szCs w:val="24"/>
          <w:lang w:eastAsia="es-MX"/>
        </w:rPr>
        <w:t xml:space="preserve"> 56.7% eran hombres y 43.3% fueron mujeres. </w:t>
      </w:r>
      <w:r>
        <w:rPr>
          <w:rFonts w:ascii="Arial" w:hAnsi="Arial" w:cs="Arial"/>
          <w:iCs/>
          <w:noProof/>
          <w:sz w:val="24"/>
          <w:szCs w:val="24"/>
          <w:lang w:eastAsia="es-MX"/>
        </w:rPr>
        <w:t xml:space="preserve">Además, se reportó que 27 entidades federativas contaban con un sistema </w:t>
      </w:r>
      <w:r w:rsidRPr="008B1D05">
        <w:rPr>
          <w:rFonts w:ascii="Arial" w:hAnsi="Arial" w:cs="Arial"/>
          <w:iCs/>
          <w:noProof/>
          <w:sz w:val="24"/>
          <w:szCs w:val="24"/>
          <w:lang w:eastAsia="es-MX"/>
        </w:rPr>
        <w:t>de gestión catastral para la administración del padrón catastral estatal</w:t>
      </w:r>
      <w:r>
        <w:rPr>
          <w:rFonts w:ascii="Arial" w:hAnsi="Arial" w:cs="Arial"/>
          <w:iCs/>
          <w:noProof/>
          <w:sz w:val="24"/>
          <w:szCs w:val="24"/>
          <w:lang w:eastAsia="es-MX"/>
        </w:rPr>
        <w:t xml:space="preserve">. </w:t>
      </w:r>
      <w:r w:rsidR="00816858">
        <w:rPr>
          <w:rFonts w:ascii="Arial" w:hAnsi="Arial" w:cs="Arial"/>
          <w:iCs/>
          <w:noProof/>
          <w:sz w:val="24"/>
          <w:szCs w:val="24"/>
          <w:lang w:eastAsia="es-MX"/>
        </w:rPr>
        <w:t>A continuaci</w:t>
      </w:r>
      <w:r w:rsidR="008605E2">
        <w:rPr>
          <w:rFonts w:ascii="Arial" w:hAnsi="Arial" w:cs="Arial"/>
          <w:iCs/>
          <w:noProof/>
          <w:sz w:val="24"/>
          <w:szCs w:val="24"/>
          <w:lang w:eastAsia="es-MX"/>
        </w:rPr>
        <w:t>ó</w:t>
      </w:r>
      <w:r w:rsidR="00816858">
        <w:rPr>
          <w:rFonts w:ascii="Arial" w:hAnsi="Arial" w:cs="Arial"/>
          <w:iCs/>
          <w:noProof/>
          <w:sz w:val="24"/>
          <w:szCs w:val="24"/>
          <w:lang w:eastAsia="es-MX"/>
        </w:rPr>
        <w:t>n</w:t>
      </w:r>
      <w:r w:rsidR="008605E2">
        <w:rPr>
          <w:rFonts w:ascii="Arial" w:hAnsi="Arial" w:cs="Arial"/>
          <w:iCs/>
          <w:noProof/>
          <w:sz w:val="24"/>
          <w:szCs w:val="24"/>
          <w:lang w:eastAsia="es-MX"/>
        </w:rPr>
        <w:t>,</w:t>
      </w:r>
      <w:r w:rsidR="00816858">
        <w:rPr>
          <w:rFonts w:ascii="Arial" w:hAnsi="Arial" w:cs="Arial"/>
          <w:iCs/>
          <w:noProof/>
          <w:sz w:val="24"/>
          <w:szCs w:val="24"/>
          <w:lang w:eastAsia="es-MX"/>
        </w:rPr>
        <w:t xml:space="preserve"> se presentan las características que presentaron dichos sistemas.</w:t>
      </w:r>
    </w:p>
    <w:p w14:paraId="7EB22B69" w14:textId="77777777" w:rsidR="00CD6E62" w:rsidRDefault="00CD6E62" w:rsidP="008B1D05">
      <w:pPr>
        <w:spacing w:after="0"/>
        <w:ind w:left="-567"/>
        <w:jc w:val="both"/>
        <w:rPr>
          <w:rFonts w:ascii="Arial" w:hAnsi="Arial" w:cs="Arial"/>
          <w:b/>
          <w:bCs/>
          <w:i/>
          <w:iCs/>
          <w:color w:val="706F6F"/>
          <w:sz w:val="18"/>
          <w:szCs w:val="24"/>
        </w:rPr>
      </w:pPr>
    </w:p>
    <w:p w14:paraId="3F1FCC79" w14:textId="46AE0172" w:rsidR="00CD6E62" w:rsidRDefault="00CD6E62" w:rsidP="00BE61E3">
      <w:pPr>
        <w:spacing w:after="0"/>
        <w:ind w:left="-567"/>
        <w:jc w:val="center"/>
        <w:rPr>
          <w:rFonts w:ascii="Arial" w:hAnsi="Arial" w:cs="Arial"/>
          <w:b/>
          <w:bCs/>
          <w:i/>
          <w:iCs/>
          <w:color w:val="706F6F"/>
          <w:sz w:val="18"/>
          <w:szCs w:val="24"/>
        </w:rPr>
      </w:pPr>
      <w:r w:rsidRPr="00E06815">
        <w:rPr>
          <w:rFonts w:ascii="Arial" w:hAnsi="Arial" w:cs="Arial"/>
          <w:b/>
          <w:bCs/>
          <w:i/>
          <w:iCs/>
          <w:color w:val="706F6F"/>
          <w:sz w:val="18"/>
          <w:szCs w:val="24"/>
        </w:rPr>
        <w:t>Gráfica 2</w:t>
      </w:r>
      <w:r>
        <w:rPr>
          <w:rFonts w:ascii="Arial" w:hAnsi="Arial" w:cs="Arial"/>
          <w:b/>
          <w:bCs/>
          <w:i/>
          <w:iCs/>
          <w:color w:val="706F6F"/>
          <w:sz w:val="18"/>
          <w:szCs w:val="24"/>
        </w:rPr>
        <w:t>7</w:t>
      </w:r>
      <w:r w:rsidRPr="00E06815">
        <w:rPr>
          <w:rFonts w:ascii="Arial" w:hAnsi="Arial" w:cs="Arial"/>
          <w:b/>
          <w:bCs/>
          <w:i/>
          <w:iCs/>
          <w:color w:val="706F6F"/>
          <w:sz w:val="18"/>
          <w:szCs w:val="24"/>
        </w:rPr>
        <w:t xml:space="preserve">. </w:t>
      </w:r>
      <w:r w:rsidR="00BE61E3">
        <w:rPr>
          <w:rFonts w:ascii="Arial" w:hAnsi="Arial" w:cs="Arial"/>
          <w:b/>
          <w:bCs/>
          <w:i/>
          <w:iCs/>
          <w:color w:val="706F6F"/>
          <w:sz w:val="18"/>
          <w:szCs w:val="24"/>
        </w:rPr>
        <w:t>A</w:t>
      </w:r>
      <w:r>
        <w:rPr>
          <w:rFonts w:ascii="Arial" w:hAnsi="Arial" w:cs="Arial"/>
          <w:b/>
          <w:bCs/>
          <w:i/>
          <w:iCs/>
          <w:color w:val="706F6F"/>
          <w:sz w:val="18"/>
          <w:szCs w:val="24"/>
        </w:rPr>
        <w:t>dministraciones públicas estatales,</w:t>
      </w:r>
      <w:r w:rsidR="00BE61E3">
        <w:rPr>
          <w:rFonts w:ascii="Arial" w:hAnsi="Arial" w:cs="Arial"/>
          <w:b/>
          <w:bCs/>
          <w:i/>
          <w:iCs/>
          <w:color w:val="706F6F"/>
          <w:sz w:val="18"/>
          <w:szCs w:val="24"/>
        </w:rPr>
        <w:t xml:space="preserve"> según características de los sistemas de gestión catastral</w:t>
      </w:r>
      <w:r>
        <w:rPr>
          <w:rFonts w:ascii="Arial" w:hAnsi="Arial" w:cs="Arial"/>
          <w:b/>
          <w:bCs/>
          <w:i/>
          <w:iCs/>
          <w:color w:val="706F6F"/>
          <w:sz w:val="18"/>
          <w:szCs w:val="24"/>
        </w:rPr>
        <w:t>, 2020</w:t>
      </w:r>
    </w:p>
    <w:p w14:paraId="5B3C3E37" w14:textId="41F421B0" w:rsidR="00816858" w:rsidRPr="008B1D05" w:rsidRDefault="00816858" w:rsidP="00CD6E62">
      <w:pPr>
        <w:spacing w:after="0"/>
        <w:ind w:left="-567"/>
        <w:jc w:val="center"/>
        <w:rPr>
          <w:rFonts w:ascii="Arial" w:hAnsi="Arial" w:cs="Arial"/>
          <w:iCs/>
          <w:noProof/>
          <w:sz w:val="24"/>
          <w:szCs w:val="24"/>
          <w:lang w:eastAsia="es-MX"/>
        </w:rPr>
      </w:pPr>
      <w:r>
        <w:rPr>
          <w:noProof/>
        </w:rPr>
        <w:drawing>
          <wp:inline distT="0" distB="0" distL="0" distR="0" wp14:anchorId="5289BF86" wp14:editId="5F6C6041">
            <wp:extent cx="6475095" cy="6092456"/>
            <wp:effectExtent l="0" t="0" r="1905" b="3810"/>
            <wp:docPr id="28" name="Gráfico 28">
              <a:extLst xmlns:a="http://schemas.openxmlformats.org/drawingml/2006/main">
                <a:ext uri="{FF2B5EF4-FFF2-40B4-BE49-F238E27FC236}">
                  <a16:creationId xmlns:a16="http://schemas.microsoft.com/office/drawing/2014/main" id="{FBD55F96-5925-48F3-BBA1-F1FE4F11D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859691" w14:textId="5F1B3C66" w:rsidR="00203853" w:rsidRPr="001F544C" w:rsidRDefault="001F544C" w:rsidP="001F544C">
      <w:pPr>
        <w:spacing w:after="0"/>
        <w:ind w:left="-567"/>
        <w:jc w:val="center"/>
        <w:rPr>
          <w:rFonts w:ascii="Arial" w:hAnsi="Arial" w:cs="Arial"/>
          <w:iCs/>
          <w:noProof/>
          <w:sz w:val="16"/>
          <w:szCs w:val="16"/>
          <w:lang w:eastAsia="es-MX"/>
        </w:rPr>
      </w:pPr>
      <w:r w:rsidRPr="001F544C">
        <w:rPr>
          <w:rFonts w:ascii="Arial" w:hAnsi="Arial" w:cs="Arial"/>
          <w:iCs/>
          <w:noProof/>
          <w:sz w:val="16"/>
          <w:szCs w:val="16"/>
          <w:lang w:eastAsia="es-MX"/>
        </w:rPr>
        <w:t>Nota</w:t>
      </w:r>
      <w:r>
        <w:rPr>
          <w:rFonts w:ascii="Arial" w:hAnsi="Arial" w:cs="Arial"/>
          <w:iCs/>
          <w:noProof/>
          <w:sz w:val="16"/>
          <w:szCs w:val="16"/>
          <w:lang w:eastAsia="es-MX"/>
        </w:rPr>
        <w:t xml:space="preserve">: los estados de </w:t>
      </w:r>
      <w:r w:rsidR="005D0853">
        <w:rPr>
          <w:rFonts w:ascii="Arial" w:hAnsi="Arial" w:cs="Arial"/>
          <w:iCs/>
          <w:noProof/>
          <w:sz w:val="16"/>
          <w:szCs w:val="16"/>
          <w:lang w:eastAsia="es-MX"/>
        </w:rPr>
        <w:t xml:space="preserve">Baja California, Campeche, </w:t>
      </w:r>
      <w:r w:rsidR="00646A32">
        <w:rPr>
          <w:rFonts w:ascii="Arial" w:hAnsi="Arial" w:cs="Arial"/>
          <w:iCs/>
          <w:noProof/>
          <w:sz w:val="16"/>
          <w:szCs w:val="16"/>
          <w:lang w:eastAsia="es-MX"/>
        </w:rPr>
        <w:t>Guanajuato y Jalisco reportaron no contar con sistema</w:t>
      </w:r>
      <w:r w:rsidR="00CD7D94">
        <w:rPr>
          <w:rFonts w:ascii="Arial" w:hAnsi="Arial" w:cs="Arial"/>
          <w:iCs/>
          <w:noProof/>
          <w:sz w:val="16"/>
          <w:szCs w:val="16"/>
          <w:lang w:eastAsia="es-MX"/>
        </w:rPr>
        <w:t xml:space="preserve"> de gestión catastral.</w:t>
      </w:r>
    </w:p>
    <w:p w14:paraId="6A6B4B20" w14:textId="28AC8630" w:rsidR="00203853" w:rsidRDefault="00DC01BE" w:rsidP="00203853">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lastRenderedPageBreak/>
        <w:t>Planeación y g</w:t>
      </w:r>
      <w:r w:rsidR="00203853">
        <w:rPr>
          <w:rFonts w:ascii="Arial" w:hAnsi="Arial" w:cs="Arial"/>
          <w:b/>
          <w:bCs/>
          <w:iCs/>
          <w:noProof/>
          <w:sz w:val="24"/>
          <w:szCs w:val="24"/>
          <w:lang w:eastAsia="es-MX"/>
        </w:rPr>
        <w:t>estión territorial</w:t>
      </w:r>
    </w:p>
    <w:p w14:paraId="73E8245A" w14:textId="4AF2840A" w:rsidR="00203853" w:rsidRDefault="00203853" w:rsidP="00203853">
      <w:pPr>
        <w:spacing w:after="0"/>
        <w:ind w:left="-567"/>
        <w:rPr>
          <w:rFonts w:ascii="Arial" w:hAnsi="Arial" w:cs="Arial"/>
          <w:b/>
          <w:bCs/>
          <w:iCs/>
          <w:noProof/>
          <w:sz w:val="24"/>
          <w:szCs w:val="24"/>
          <w:lang w:eastAsia="es-MX"/>
        </w:rPr>
      </w:pPr>
    </w:p>
    <w:p w14:paraId="54C05C28" w14:textId="6F2EA762" w:rsidR="00203853" w:rsidRDefault="00203853" w:rsidP="00E21AA7">
      <w:pPr>
        <w:spacing w:after="0"/>
        <w:ind w:left="-567"/>
        <w:jc w:val="both"/>
        <w:rPr>
          <w:rFonts w:ascii="Arial" w:hAnsi="Arial" w:cs="Arial"/>
          <w:iCs/>
          <w:noProof/>
          <w:sz w:val="24"/>
          <w:szCs w:val="24"/>
          <w:lang w:eastAsia="es-MX"/>
        </w:rPr>
      </w:pPr>
      <w:r w:rsidRPr="00E21AA7">
        <w:rPr>
          <w:rFonts w:ascii="Arial" w:hAnsi="Arial" w:cs="Arial"/>
          <w:iCs/>
          <w:noProof/>
          <w:sz w:val="24"/>
          <w:szCs w:val="24"/>
          <w:lang w:eastAsia="es-MX"/>
        </w:rPr>
        <w:t>Durante 2020,</w:t>
      </w:r>
      <w:r w:rsidR="00E21AA7" w:rsidRPr="00E21AA7">
        <w:rPr>
          <w:rFonts w:ascii="Arial" w:hAnsi="Arial" w:cs="Arial"/>
          <w:iCs/>
          <w:noProof/>
          <w:sz w:val="24"/>
          <w:szCs w:val="24"/>
          <w:lang w:eastAsia="es-MX"/>
        </w:rPr>
        <w:t xml:space="preserve"> </w:t>
      </w:r>
      <w:r w:rsidR="00685CFD">
        <w:rPr>
          <w:rFonts w:ascii="Arial" w:hAnsi="Arial" w:cs="Arial"/>
          <w:iCs/>
          <w:noProof/>
          <w:sz w:val="24"/>
          <w:szCs w:val="24"/>
          <w:lang w:eastAsia="es-MX"/>
        </w:rPr>
        <w:t xml:space="preserve">28 </w:t>
      </w:r>
      <w:r w:rsidRPr="00E21AA7">
        <w:rPr>
          <w:rFonts w:ascii="Arial" w:hAnsi="Arial" w:cs="Arial"/>
          <w:iCs/>
          <w:noProof/>
          <w:sz w:val="24"/>
          <w:szCs w:val="24"/>
          <w:lang w:eastAsia="es-MX"/>
        </w:rPr>
        <w:t xml:space="preserve">administraciones públicas </w:t>
      </w:r>
      <w:r w:rsidR="00E21AA7" w:rsidRPr="00E21AA7">
        <w:rPr>
          <w:rFonts w:ascii="Arial" w:hAnsi="Arial" w:cs="Arial"/>
          <w:iCs/>
          <w:noProof/>
          <w:sz w:val="24"/>
          <w:szCs w:val="24"/>
          <w:lang w:eastAsia="es-MX"/>
        </w:rPr>
        <w:t>estatales implementaron acciones para la atención de asentamientos humanos irregulares. Las principales acciones fueron brindar asesorías y regularización de la tenencia de la tierra.</w:t>
      </w:r>
    </w:p>
    <w:p w14:paraId="4ECEA969" w14:textId="6946094B" w:rsidR="00E21AA7" w:rsidRDefault="00E21AA7" w:rsidP="00E21AA7">
      <w:pPr>
        <w:spacing w:after="0"/>
        <w:ind w:left="-567"/>
        <w:jc w:val="both"/>
        <w:rPr>
          <w:rFonts w:ascii="Arial" w:hAnsi="Arial" w:cs="Arial"/>
          <w:iCs/>
          <w:noProof/>
          <w:sz w:val="24"/>
          <w:szCs w:val="24"/>
          <w:lang w:eastAsia="es-MX"/>
        </w:rPr>
      </w:pPr>
    </w:p>
    <w:p w14:paraId="3D900096" w14:textId="3EB82E51" w:rsidR="00685CFD" w:rsidRDefault="00685CFD" w:rsidP="00685CFD">
      <w:pPr>
        <w:spacing w:after="0"/>
        <w:ind w:left="-567"/>
        <w:jc w:val="center"/>
        <w:rPr>
          <w:rFonts w:ascii="Arial" w:hAnsi="Arial" w:cs="Arial"/>
          <w:b/>
          <w:bCs/>
          <w:i/>
          <w:iCs/>
          <w:color w:val="706F6F"/>
          <w:sz w:val="18"/>
          <w:szCs w:val="24"/>
        </w:rPr>
      </w:pPr>
      <w:r w:rsidRPr="00E06815">
        <w:rPr>
          <w:rFonts w:ascii="Arial" w:hAnsi="Arial" w:cs="Arial"/>
          <w:b/>
          <w:bCs/>
          <w:i/>
          <w:iCs/>
          <w:color w:val="706F6F"/>
          <w:sz w:val="18"/>
          <w:szCs w:val="24"/>
        </w:rPr>
        <w:t>Gráfica 2</w:t>
      </w:r>
      <w:r w:rsidR="00661470">
        <w:rPr>
          <w:rFonts w:ascii="Arial" w:hAnsi="Arial" w:cs="Arial"/>
          <w:b/>
          <w:bCs/>
          <w:i/>
          <w:iCs/>
          <w:color w:val="706F6F"/>
          <w:sz w:val="18"/>
          <w:szCs w:val="24"/>
        </w:rPr>
        <w:t>8</w:t>
      </w:r>
      <w:r w:rsidRPr="00E06815">
        <w:rPr>
          <w:rFonts w:ascii="Arial" w:hAnsi="Arial" w:cs="Arial"/>
          <w:b/>
          <w:bCs/>
          <w:i/>
          <w:iCs/>
          <w:color w:val="706F6F"/>
          <w:sz w:val="18"/>
          <w:szCs w:val="24"/>
        </w:rPr>
        <w:t xml:space="preserve">. </w:t>
      </w:r>
      <w:r w:rsidR="00661470">
        <w:rPr>
          <w:rFonts w:ascii="Arial" w:hAnsi="Arial" w:cs="Arial"/>
          <w:b/>
          <w:bCs/>
          <w:i/>
          <w:iCs/>
          <w:color w:val="706F6F"/>
          <w:sz w:val="18"/>
          <w:szCs w:val="24"/>
        </w:rPr>
        <w:t>A</w:t>
      </w:r>
      <w:r w:rsidR="00BE61E3">
        <w:rPr>
          <w:rFonts w:ascii="Arial" w:hAnsi="Arial" w:cs="Arial"/>
          <w:b/>
          <w:bCs/>
          <w:i/>
          <w:iCs/>
          <w:color w:val="706F6F"/>
          <w:sz w:val="18"/>
          <w:szCs w:val="24"/>
        </w:rPr>
        <w:t>dministraciones públicas estatales, según a</w:t>
      </w:r>
      <w:r w:rsidR="00661470">
        <w:rPr>
          <w:rFonts w:ascii="Arial" w:hAnsi="Arial" w:cs="Arial"/>
          <w:b/>
          <w:bCs/>
          <w:i/>
          <w:iCs/>
          <w:color w:val="706F6F"/>
          <w:sz w:val="18"/>
          <w:szCs w:val="24"/>
        </w:rPr>
        <w:t xml:space="preserve">cciones para la atención de asentamientos humanos irregulares, </w:t>
      </w:r>
      <w:r w:rsidRPr="00E06815">
        <w:rPr>
          <w:rFonts w:ascii="Arial" w:hAnsi="Arial" w:cs="Arial"/>
          <w:b/>
          <w:bCs/>
          <w:i/>
          <w:iCs/>
          <w:color w:val="706F6F"/>
          <w:sz w:val="18"/>
          <w:szCs w:val="24"/>
        </w:rPr>
        <w:t>2020</w:t>
      </w:r>
    </w:p>
    <w:p w14:paraId="3EDF6E85" w14:textId="1C9FA9DA" w:rsidR="00E21AA7" w:rsidRDefault="00E21AA7" w:rsidP="00E21AA7">
      <w:pPr>
        <w:spacing w:after="0"/>
        <w:ind w:left="-567"/>
        <w:jc w:val="both"/>
        <w:rPr>
          <w:rFonts w:ascii="Arial" w:hAnsi="Arial" w:cs="Arial"/>
          <w:iCs/>
          <w:noProof/>
          <w:sz w:val="24"/>
          <w:szCs w:val="24"/>
          <w:lang w:eastAsia="es-MX"/>
        </w:rPr>
      </w:pPr>
    </w:p>
    <w:p w14:paraId="3443D940" w14:textId="4CDD1AB2" w:rsidR="00E21AA7" w:rsidRPr="00E21AA7" w:rsidRDefault="00685CFD" w:rsidP="00685CFD">
      <w:pPr>
        <w:spacing w:after="0"/>
        <w:ind w:left="-567"/>
        <w:jc w:val="center"/>
        <w:rPr>
          <w:rFonts w:ascii="Arial" w:hAnsi="Arial" w:cs="Arial"/>
          <w:iCs/>
          <w:noProof/>
          <w:sz w:val="24"/>
          <w:szCs w:val="24"/>
          <w:lang w:eastAsia="es-MX"/>
        </w:rPr>
      </w:pPr>
      <w:r>
        <w:rPr>
          <w:noProof/>
        </w:rPr>
        <w:drawing>
          <wp:inline distT="0" distB="0" distL="0" distR="0" wp14:anchorId="5955F967" wp14:editId="3E4D5D8D">
            <wp:extent cx="5735782" cy="2124075"/>
            <wp:effectExtent l="0" t="0" r="0" b="0"/>
            <wp:docPr id="26" name="Gráfico 26">
              <a:extLst xmlns:a="http://schemas.openxmlformats.org/drawingml/2006/main">
                <a:ext uri="{FF2B5EF4-FFF2-40B4-BE49-F238E27FC236}">
                  <a16:creationId xmlns:a16="http://schemas.microsoft.com/office/drawing/2014/main" id="{43B495D8-F13B-4A9A-BCA4-B9ECC63CF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84F688" w14:textId="025643BF" w:rsidR="00203853" w:rsidRPr="00B3624B" w:rsidRDefault="00203853" w:rsidP="00B3624B">
      <w:pPr>
        <w:spacing w:after="0"/>
        <w:ind w:left="-567"/>
        <w:jc w:val="center"/>
        <w:rPr>
          <w:rFonts w:ascii="Arial" w:hAnsi="Arial" w:cs="Arial"/>
          <w:iCs/>
          <w:noProof/>
          <w:sz w:val="16"/>
          <w:szCs w:val="16"/>
          <w:lang w:eastAsia="es-MX"/>
        </w:rPr>
      </w:pPr>
    </w:p>
    <w:p w14:paraId="4FD3ADB4" w14:textId="77777777" w:rsidR="00661470" w:rsidRDefault="00661470" w:rsidP="006008C7">
      <w:pPr>
        <w:spacing w:after="0"/>
        <w:ind w:left="-567"/>
        <w:rPr>
          <w:rFonts w:ascii="Arial" w:hAnsi="Arial" w:cs="Arial"/>
          <w:b/>
          <w:bCs/>
          <w:iCs/>
          <w:noProof/>
          <w:sz w:val="24"/>
          <w:szCs w:val="24"/>
          <w:lang w:eastAsia="es-MX"/>
        </w:rPr>
      </w:pPr>
    </w:p>
    <w:p w14:paraId="33D51CE1" w14:textId="79AE1726" w:rsidR="006008C7" w:rsidRDefault="006008C7" w:rsidP="006008C7">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Medio ambiente</w:t>
      </w:r>
    </w:p>
    <w:p w14:paraId="11C1C0CD" w14:textId="77777777" w:rsidR="006008C7" w:rsidRDefault="006008C7" w:rsidP="006008C7">
      <w:pPr>
        <w:spacing w:after="0"/>
        <w:ind w:left="-567"/>
        <w:rPr>
          <w:rFonts w:ascii="Arial" w:hAnsi="Arial" w:cs="Arial"/>
          <w:b/>
          <w:bCs/>
          <w:iCs/>
          <w:noProof/>
          <w:sz w:val="24"/>
          <w:szCs w:val="24"/>
          <w:lang w:eastAsia="es-MX"/>
        </w:rPr>
      </w:pPr>
    </w:p>
    <w:p w14:paraId="510E42E0" w14:textId="77777777" w:rsidR="006008C7" w:rsidRPr="003140B3" w:rsidRDefault="006008C7" w:rsidP="006008C7">
      <w:pPr>
        <w:spacing w:after="0"/>
        <w:ind w:left="-567"/>
        <w:jc w:val="both"/>
        <w:rPr>
          <w:rFonts w:ascii="Arial" w:hAnsi="Arial" w:cs="Arial"/>
          <w:iCs/>
          <w:noProof/>
          <w:sz w:val="24"/>
          <w:szCs w:val="24"/>
          <w:lang w:eastAsia="es-MX"/>
        </w:rPr>
      </w:pPr>
      <w:r w:rsidRPr="003140B3">
        <w:rPr>
          <w:rFonts w:ascii="Arial" w:hAnsi="Arial" w:cs="Arial"/>
          <w:iCs/>
          <w:noProof/>
          <w:sz w:val="24"/>
          <w:szCs w:val="24"/>
          <w:lang w:eastAsia="es-MX"/>
        </w:rPr>
        <w:t xml:space="preserve">Finalmente, </w:t>
      </w:r>
      <w:r>
        <w:rPr>
          <w:rFonts w:ascii="Arial" w:hAnsi="Arial" w:cs="Arial"/>
          <w:iCs/>
          <w:noProof/>
          <w:sz w:val="24"/>
          <w:szCs w:val="24"/>
          <w:lang w:eastAsia="es-MX"/>
        </w:rPr>
        <w:t>durante 2020, las administraciones públicas estatales aplicaron diversos programas relacionados con medio ambiente, la mayoría (110) correspondió a biodiversidad y ecosistemas.</w:t>
      </w:r>
    </w:p>
    <w:p w14:paraId="2B287361" w14:textId="77777777" w:rsidR="006008C7" w:rsidRDefault="006008C7" w:rsidP="006008C7">
      <w:pPr>
        <w:spacing w:after="0"/>
        <w:ind w:left="-567"/>
        <w:rPr>
          <w:rFonts w:ascii="Arial" w:hAnsi="Arial" w:cs="Arial"/>
          <w:b/>
          <w:bCs/>
          <w:iCs/>
          <w:noProof/>
          <w:sz w:val="24"/>
          <w:szCs w:val="24"/>
          <w:lang w:eastAsia="es-MX"/>
        </w:rPr>
      </w:pPr>
    </w:p>
    <w:p w14:paraId="49DF0836" w14:textId="7A49D5B1" w:rsidR="006008C7" w:rsidRDefault="006008C7" w:rsidP="006008C7">
      <w:pPr>
        <w:spacing w:after="0"/>
        <w:ind w:left="-567"/>
        <w:jc w:val="center"/>
        <w:rPr>
          <w:rFonts w:ascii="Arial" w:hAnsi="Arial" w:cs="Arial"/>
          <w:b/>
          <w:bCs/>
          <w:i/>
          <w:iCs/>
          <w:color w:val="706F6F"/>
          <w:sz w:val="18"/>
          <w:szCs w:val="24"/>
        </w:rPr>
      </w:pPr>
      <w:r w:rsidRPr="00E06815">
        <w:rPr>
          <w:rFonts w:ascii="Arial" w:hAnsi="Arial" w:cs="Arial"/>
          <w:b/>
          <w:bCs/>
          <w:i/>
          <w:iCs/>
          <w:color w:val="706F6F"/>
          <w:sz w:val="18"/>
          <w:szCs w:val="24"/>
        </w:rPr>
        <w:t xml:space="preserve">Gráfica </w:t>
      </w:r>
      <w:r w:rsidR="00661470">
        <w:rPr>
          <w:rFonts w:ascii="Arial" w:hAnsi="Arial" w:cs="Arial"/>
          <w:b/>
          <w:bCs/>
          <w:i/>
          <w:iCs/>
          <w:color w:val="706F6F"/>
          <w:sz w:val="18"/>
          <w:szCs w:val="24"/>
        </w:rPr>
        <w:t>29</w:t>
      </w:r>
      <w:r w:rsidRPr="00E06815">
        <w:rPr>
          <w:rFonts w:ascii="Arial" w:hAnsi="Arial" w:cs="Arial"/>
          <w:b/>
          <w:bCs/>
          <w:i/>
          <w:iCs/>
          <w:color w:val="706F6F"/>
          <w:sz w:val="18"/>
          <w:szCs w:val="24"/>
        </w:rPr>
        <w:t xml:space="preserve">. </w:t>
      </w:r>
      <w:r>
        <w:rPr>
          <w:rFonts w:ascii="Arial" w:hAnsi="Arial" w:cs="Arial"/>
          <w:b/>
          <w:bCs/>
          <w:i/>
          <w:iCs/>
          <w:color w:val="706F6F"/>
          <w:sz w:val="18"/>
          <w:szCs w:val="24"/>
        </w:rPr>
        <w:t>Programas aplicados por las administraciones públicas estatales, por materia, 2020</w:t>
      </w:r>
    </w:p>
    <w:p w14:paraId="2CB66400" w14:textId="77777777" w:rsidR="006008C7" w:rsidRDefault="006008C7" w:rsidP="006008C7">
      <w:pPr>
        <w:spacing w:after="0"/>
        <w:ind w:left="-567"/>
        <w:jc w:val="center"/>
        <w:rPr>
          <w:rFonts w:ascii="Arial" w:hAnsi="Arial" w:cs="Arial"/>
          <w:b/>
          <w:bCs/>
          <w:iCs/>
          <w:noProof/>
          <w:sz w:val="24"/>
          <w:szCs w:val="24"/>
          <w:lang w:eastAsia="es-MX"/>
        </w:rPr>
      </w:pPr>
      <w:r>
        <w:rPr>
          <w:noProof/>
        </w:rPr>
        <w:drawing>
          <wp:inline distT="0" distB="0" distL="0" distR="0" wp14:anchorId="31F7723E" wp14:editId="13825001">
            <wp:extent cx="5868670" cy="2466753"/>
            <wp:effectExtent l="0" t="0" r="0" b="0"/>
            <wp:docPr id="12" name="Gráfico 12">
              <a:extLst xmlns:a="http://schemas.openxmlformats.org/drawingml/2006/main">
                <a:ext uri="{FF2B5EF4-FFF2-40B4-BE49-F238E27FC236}">
                  <a16:creationId xmlns:a16="http://schemas.microsoft.com/office/drawing/2014/main" id="{A373B8E9-667D-4231-9F30-30E584644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CDDF7C" w14:textId="6C271257" w:rsidR="006008C7" w:rsidRDefault="006008C7" w:rsidP="006008C7">
      <w:pPr>
        <w:spacing w:after="0"/>
        <w:ind w:left="-567"/>
        <w:jc w:val="center"/>
        <w:rPr>
          <w:rFonts w:ascii="Arial" w:hAnsi="Arial" w:cs="Arial"/>
          <w:b/>
          <w:bCs/>
          <w:iCs/>
          <w:noProof/>
          <w:sz w:val="24"/>
          <w:szCs w:val="24"/>
          <w:lang w:eastAsia="es-MX"/>
        </w:rPr>
      </w:pPr>
      <w:r>
        <w:rPr>
          <w:rFonts w:ascii="Arial" w:hAnsi="Arial" w:cs="Arial"/>
          <w:b/>
          <w:bCs/>
          <w:iCs/>
          <w:noProof/>
          <w:sz w:val="24"/>
          <w:szCs w:val="24"/>
          <w:lang w:eastAsia="es-MX"/>
        </w:rPr>
        <w:t>***</w:t>
      </w:r>
    </w:p>
    <w:p w14:paraId="2C4F7004" w14:textId="77777777" w:rsidR="006008C7" w:rsidRDefault="006008C7" w:rsidP="00D80ECA">
      <w:pPr>
        <w:spacing w:after="0"/>
        <w:ind w:left="-567"/>
        <w:rPr>
          <w:rFonts w:ascii="Arial" w:hAnsi="Arial" w:cs="Arial"/>
          <w:b/>
          <w:bCs/>
          <w:iCs/>
          <w:noProof/>
          <w:sz w:val="24"/>
          <w:szCs w:val="24"/>
          <w:lang w:eastAsia="es-MX"/>
        </w:rPr>
      </w:pPr>
    </w:p>
    <w:p w14:paraId="69E016AC" w14:textId="77777777" w:rsidR="006008C7" w:rsidRDefault="006008C7" w:rsidP="00D80ECA">
      <w:pPr>
        <w:spacing w:after="0"/>
        <w:ind w:left="-567"/>
        <w:rPr>
          <w:rFonts w:ascii="Arial" w:hAnsi="Arial" w:cs="Arial"/>
          <w:b/>
          <w:bCs/>
          <w:iCs/>
          <w:noProof/>
          <w:sz w:val="24"/>
          <w:szCs w:val="24"/>
          <w:lang w:eastAsia="es-MX"/>
        </w:rPr>
      </w:pPr>
    </w:p>
    <w:p w14:paraId="43412172" w14:textId="54D2B10E" w:rsidR="008A3846" w:rsidRPr="00D40C2A" w:rsidRDefault="00D9195B" w:rsidP="00D80ECA">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w:t>
      </w:r>
      <w:r w:rsidR="008A3846">
        <w:rPr>
          <w:rFonts w:ascii="Arial" w:hAnsi="Arial" w:cs="Arial"/>
          <w:b/>
          <w:bCs/>
          <w:iCs/>
          <w:noProof/>
          <w:sz w:val="24"/>
          <w:szCs w:val="24"/>
          <w:lang w:eastAsia="es-MX"/>
        </w:rPr>
        <w:t xml:space="preserve">roductos y documentos del </w:t>
      </w:r>
      <w:r w:rsidR="00AC40B6">
        <w:rPr>
          <w:rFonts w:ascii="Arial" w:hAnsi="Arial" w:cs="Arial"/>
          <w:b/>
          <w:bCs/>
          <w:iCs/>
          <w:noProof/>
          <w:sz w:val="24"/>
          <w:szCs w:val="24"/>
          <w:lang w:eastAsia="es-MX"/>
        </w:rPr>
        <w:t>CNGE</w:t>
      </w:r>
      <w:r w:rsidR="008A3846">
        <w:rPr>
          <w:rFonts w:ascii="Arial" w:hAnsi="Arial" w:cs="Arial"/>
          <w:b/>
          <w:bCs/>
          <w:iCs/>
          <w:noProof/>
          <w:sz w:val="24"/>
          <w:szCs w:val="24"/>
          <w:lang w:eastAsia="es-MX"/>
        </w:rPr>
        <w:t xml:space="preserve"> 202</w:t>
      </w:r>
      <w:r w:rsidR="00B13E88">
        <w:rPr>
          <w:rFonts w:ascii="Arial" w:hAnsi="Arial" w:cs="Arial"/>
          <w:b/>
          <w:bCs/>
          <w:iCs/>
          <w:noProof/>
          <w:sz w:val="24"/>
          <w:szCs w:val="24"/>
          <w:lang w:eastAsia="es-MX"/>
        </w:rPr>
        <w:t>1</w:t>
      </w:r>
    </w:p>
    <w:p w14:paraId="34ACEF8D" w14:textId="77777777" w:rsidR="008A3846" w:rsidRDefault="008A3846" w:rsidP="008A3846">
      <w:pPr>
        <w:autoSpaceDE w:val="0"/>
        <w:autoSpaceDN w:val="0"/>
        <w:adjustRightInd w:val="0"/>
        <w:spacing w:after="0" w:line="240" w:lineRule="auto"/>
        <w:rPr>
          <w:rFonts w:ascii="Arial" w:hAnsi="Arial" w:cs="Arial"/>
          <w:color w:val="000000"/>
        </w:rPr>
      </w:pPr>
    </w:p>
    <w:p w14:paraId="696EC598" w14:textId="1F245DE2" w:rsidR="008A3846" w:rsidRPr="00FD2D78" w:rsidRDefault="008A3846" w:rsidP="008A3846">
      <w:pPr>
        <w:autoSpaceDE w:val="0"/>
        <w:autoSpaceDN w:val="0"/>
        <w:adjustRightInd w:val="0"/>
        <w:spacing w:after="0" w:line="240" w:lineRule="auto"/>
        <w:ind w:left="-567"/>
        <w:jc w:val="both"/>
        <w:rPr>
          <w:rFonts w:ascii="Arial" w:hAnsi="Arial" w:cs="Arial"/>
          <w:color w:val="000000"/>
          <w:sz w:val="24"/>
          <w:szCs w:val="24"/>
        </w:rPr>
      </w:pPr>
      <w:r w:rsidRPr="00FD2D78">
        <w:rPr>
          <w:rFonts w:ascii="Arial" w:hAnsi="Arial" w:cs="Arial"/>
          <w:color w:val="000000"/>
          <w:sz w:val="24"/>
          <w:szCs w:val="24"/>
        </w:rPr>
        <w:t xml:space="preserve">Los productos y documentos derivados del </w:t>
      </w:r>
      <w:r w:rsidR="00AC40B6">
        <w:rPr>
          <w:rFonts w:ascii="Arial" w:hAnsi="Arial" w:cs="Arial"/>
          <w:color w:val="000000"/>
          <w:sz w:val="24"/>
          <w:szCs w:val="24"/>
        </w:rPr>
        <w:t>CNGE 2021</w:t>
      </w:r>
      <w:r w:rsidRPr="00FD2D78">
        <w:rPr>
          <w:rFonts w:ascii="Arial" w:hAnsi="Arial" w:cs="Arial"/>
          <w:color w:val="000000"/>
          <w:sz w:val="24"/>
          <w:szCs w:val="24"/>
        </w:rPr>
        <w:t xml:space="preserve"> que el INEGI pone a disposición de los usuarios son los siguientes: </w:t>
      </w:r>
    </w:p>
    <w:p w14:paraId="599F3C19" w14:textId="77777777" w:rsidR="008A3846" w:rsidRPr="00FD2D78" w:rsidRDefault="008A3846" w:rsidP="008A3846">
      <w:p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 xml:space="preserve"> </w:t>
      </w:r>
    </w:p>
    <w:p w14:paraId="4CD169CA" w14:textId="77777777" w:rsidR="008A3846" w:rsidRPr="00FD2D78" w:rsidRDefault="008A3846" w:rsidP="008A3846">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Presentación de resultados</w:t>
      </w:r>
    </w:p>
    <w:p w14:paraId="18D45B01" w14:textId="77777777" w:rsidR="008A3846" w:rsidRPr="00FD2D78" w:rsidRDefault="008A3846" w:rsidP="008A3846">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Cuestionarios</w:t>
      </w:r>
    </w:p>
    <w:p w14:paraId="25B3E911" w14:textId="77777777" w:rsidR="008A3846" w:rsidRPr="00FD2D78" w:rsidRDefault="008A3846" w:rsidP="008A3846">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Glosario</w:t>
      </w:r>
    </w:p>
    <w:p w14:paraId="0200F165" w14:textId="5E4C8867" w:rsidR="008A3846" w:rsidRPr="00FD2D78" w:rsidRDefault="003A7BA4" w:rsidP="008A3846">
      <w:pPr>
        <w:pStyle w:val="Prrafodelista"/>
        <w:numPr>
          <w:ilvl w:val="0"/>
          <w:numId w:val="13"/>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Documento de diseño</w:t>
      </w:r>
    </w:p>
    <w:p w14:paraId="7939565A" w14:textId="77777777" w:rsidR="008A3846" w:rsidRPr="00FD2D78" w:rsidRDefault="008A3846" w:rsidP="008A3846">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Tabulados predefinidos</w:t>
      </w:r>
    </w:p>
    <w:p w14:paraId="27B2B069" w14:textId="77777777" w:rsidR="008A3846" w:rsidRPr="00FD2D78" w:rsidRDefault="008A3846" w:rsidP="008A3846">
      <w:pPr>
        <w:autoSpaceDE w:val="0"/>
        <w:autoSpaceDN w:val="0"/>
        <w:adjustRightInd w:val="0"/>
        <w:spacing w:after="0" w:line="240" w:lineRule="auto"/>
        <w:rPr>
          <w:rFonts w:ascii="Arial" w:hAnsi="Arial" w:cs="Arial"/>
          <w:color w:val="000000"/>
          <w:sz w:val="24"/>
          <w:szCs w:val="24"/>
        </w:rPr>
      </w:pPr>
    </w:p>
    <w:p w14:paraId="0D268457" w14:textId="77777777" w:rsidR="008A3846" w:rsidRPr="00FD2D78" w:rsidRDefault="008A3846" w:rsidP="008A3846">
      <w:pPr>
        <w:autoSpaceDE w:val="0"/>
        <w:autoSpaceDN w:val="0"/>
        <w:adjustRightInd w:val="0"/>
        <w:spacing w:after="0" w:line="240" w:lineRule="auto"/>
        <w:ind w:left="-567"/>
        <w:rPr>
          <w:rFonts w:ascii="Arial" w:hAnsi="Arial" w:cs="Arial"/>
          <w:color w:val="000000"/>
          <w:sz w:val="24"/>
          <w:szCs w:val="24"/>
        </w:rPr>
      </w:pPr>
      <w:r w:rsidRPr="00FD2D78">
        <w:rPr>
          <w:rFonts w:ascii="Arial" w:hAnsi="Arial" w:cs="Arial"/>
          <w:color w:val="000000"/>
          <w:sz w:val="24"/>
          <w:szCs w:val="24"/>
        </w:rPr>
        <w:t>Estos productos pueden ser consultados en el sitio de Internet del Instituto.</w:t>
      </w:r>
    </w:p>
    <w:p w14:paraId="19AFA911" w14:textId="77777777" w:rsidR="008A3846" w:rsidRPr="00FD2D78" w:rsidRDefault="008A3846" w:rsidP="008A3846">
      <w:pPr>
        <w:autoSpaceDE w:val="0"/>
        <w:autoSpaceDN w:val="0"/>
        <w:adjustRightInd w:val="0"/>
        <w:spacing w:after="0" w:line="240" w:lineRule="auto"/>
        <w:rPr>
          <w:rFonts w:ascii="Arial" w:hAnsi="Arial" w:cs="Arial"/>
          <w:color w:val="000000"/>
          <w:sz w:val="24"/>
          <w:szCs w:val="24"/>
        </w:rPr>
      </w:pPr>
    </w:p>
    <w:p w14:paraId="39F5EB31" w14:textId="5C74F52B" w:rsidR="00AC40B6" w:rsidRPr="00EF4D6F" w:rsidRDefault="00962FC9" w:rsidP="00AC40B6">
      <w:pPr>
        <w:spacing w:after="0" w:line="240" w:lineRule="auto"/>
        <w:ind w:left="-567"/>
        <w:jc w:val="both"/>
      </w:pPr>
      <w:hyperlink r:id="rId60" w:history="1">
        <w:r w:rsidR="00AC40B6" w:rsidRPr="0025019B">
          <w:rPr>
            <w:rStyle w:val="Hipervnculo"/>
            <w:rFonts w:ascii="Arial" w:hAnsi="Arial" w:cs="Arial"/>
            <w:sz w:val="24"/>
            <w:szCs w:val="24"/>
          </w:rPr>
          <w:t>https://www.inegi.org.mx/programas/cnge/2021/</w:t>
        </w:r>
      </w:hyperlink>
      <w:r w:rsidR="00EF4D6F" w:rsidRPr="00D80ECA">
        <w:rPr>
          <w:rFonts w:ascii="Arial" w:hAnsi="Arial" w:cs="Arial"/>
          <w:sz w:val="24"/>
          <w:szCs w:val="24"/>
        </w:rPr>
        <w:t xml:space="preserve"> </w:t>
      </w:r>
    </w:p>
    <w:p w14:paraId="3AA531C4" w14:textId="508557C6" w:rsidR="00B02C2F" w:rsidRPr="00EF4D6F" w:rsidRDefault="00B02C2F" w:rsidP="008970EE">
      <w:pPr>
        <w:spacing w:after="0" w:line="240" w:lineRule="auto"/>
        <w:ind w:left="-567"/>
        <w:jc w:val="both"/>
      </w:pPr>
    </w:p>
    <w:sectPr w:rsidR="00B02C2F" w:rsidRPr="00EF4D6F" w:rsidSect="00CB1F6E">
      <w:headerReference w:type="default" r:id="rId61"/>
      <w:type w:val="continuous"/>
      <w:pgSz w:w="12240" w:h="15840"/>
      <w:pgMar w:top="1823" w:right="118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84A83" w14:textId="77777777" w:rsidR="00962FC9" w:rsidRDefault="00962FC9" w:rsidP="00EC2F19">
      <w:pPr>
        <w:spacing w:after="0" w:line="240" w:lineRule="auto"/>
      </w:pPr>
      <w:r>
        <w:separator/>
      </w:r>
    </w:p>
  </w:endnote>
  <w:endnote w:type="continuationSeparator" w:id="0">
    <w:p w14:paraId="3A02D74C" w14:textId="77777777" w:rsidR="00962FC9" w:rsidRDefault="00962FC9" w:rsidP="00EC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Neue Medium">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06A5" w14:textId="37B5A1DD" w:rsidR="00C22F44" w:rsidRPr="0041372E" w:rsidRDefault="00C22F44" w:rsidP="0041372E">
    <w:pPr>
      <w:pStyle w:val="Piedepgina"/>
      <w:jc w:val="center"/>
      <w:rPr>
        <w:rFonts w:ascii="Arial" w:hAnsi="Arial" w:cs="Arial"/>
        <w:b/>
        <w:color w:val="002060"/>
        <w:sz w:val="20"/>
        <w:szCs w:val="20"/>
      </w:rPr>
    </w:pPr>
    <w:r w:rsidRPr="0041372E">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BE794" w14:textId="77777777" w:rsidR="00962FC9" w:rsidRDefault="00962FC9" w:rsidP="00EC2F19">
      <w:pPr>
        <w:spacing w:after="0" w:line="240" w:lineRule="auto"/>
      </w:pPr>
      <w:r>
        <w:separator/>
      </w:r>
    </w:p>
  </w:footnote>
  <w:footnote w:type="continuationSeparator" w:id="0">
    <w:p w14:paraId="493426C7" w14:textId="77777777" w:rsidR="00962FC9" w:rsidRDefault="00962FC9" w:rsidP="00EC2F19">
      <w:pPr>
        <w:spacing w:after="0" w:line="240" w:lineRule="auto"/>
      </w:pPr>
      <w:r>
        <w:continuationSeparator/>
      </w:r>
    </w:p>
  </w:footnote>
  <w:footnote w:id="1">
    <w:p w14:paraId="7A6E171F" w14:textId="63CC28FB" w:rsidR="00C22F44" w:rsidRPr="007A76A1" w:rsidRDefault="00C22F44" w:rsidP="00046CFB">
      <w:pPr>
        <w:pStyle w:val="Textonotapie"/>
        <w:ind w:left="-567"/>
        <w:jc w:val="both"/>
        <w:rPr>
          <w:rFonts w:ascii="Arial" w:hAnsi="Arial" w:cs="Arial"/>
          <w:sz w:val="16"/>
          <w:szCs w:val="16"/>
        </w:rPr>
      </w:pPr>
      <w:r w:rsidRPr="007A76A1">
        <w:rPr>
          <w:rStyle w:val="Refdenotaalpie"/>
          <w:rFonts w:ascii="Arial" w:hAnsi="Arial" w:cs="Arial"/>
          <w:sz w:val="16"/>
          <w:szCs w:val="16"/>
        </w:rPr>
        <w:footnoteRef/>
      </w:r>
      <w:r w:rsidRPr="007A76A1">
        <w:rPr>
          <w:rFonts w:ascii="Arial" w:hAnsi="Arial" w:cs="Arial"/>
          <w:sz w:val="16"/>
          <w:szCs w:val="16"/>
        </w:rPr>
        <w:t xml:space="preserve"> </w:t>
      </w:r>
      <w:r w:rsidRPr="00046CFB">
        <w:rPr>
          <w:rFonts w:ascii="Arial" w:hAnsi="Arial" w:cs="Arial"/>
          <w:sz w:val="16"/>
          <w:szCs w:val="16"/>
        </w:rPr>
        <w:t xml:space="preserve">La información </w:t>
      </w:r>
      <w:r>
        <w:rPr>
          <w:rFonts w:ascii="Arial" w:hAnsi="Arial" w:cs="Arial"/>
          <w:sz w:val="16"/>
          <w:szCs w:val="16"/>
        </w:rPr>
        <w:t>del programa estadístico es de carácter preliminar</w:t>
      </w:r>
      <w:r w:rsidRPr="00046CFB">
        <w:rPr>
          <w:rFonts w:ascii="Arial" w:hAnsi="Arial" w:cs="Arial"/>
          <w:sz w:val="16"/>
          <w:szCs w:val="16"/>
        </w:rPr>
        <w:t>.</w:t>
      </w:r>
    </w:p>
  </w:footnote>
  <w:footnote w:id="2">
    <w:p w14:paraId="70B4D900" w14:textId="54C72C77" w:rsidR="00C22F44" w:rsidRPr="00AC12A0" w:rsidRDefault="00C22F44" w:rsidP="00AC12A0">
      <w:pPr>
        <w:pStyle w:val="Textonotapie"/>
        <w:ind w:left="-567"/>
        <w:rPr>
          <w:rFonts w:ascii="Arial" w:hAnsi="Arial" w:cs="Arial"/>
          <w:sz w:val="16"/>
          <w:szCs w:val="16"/>
        </w:rPr>
      </w:pPr>
      <w:r w:rsidRPr="00AC12A0">
        <w:rPr>
          <w:rStyle w:val="Refdenotaalpie"/>
          <w:rFonts w:ascii="Arial" w:hAnsi="Arial" w:cs="Arial"/>
          <w:sz w:val="16"/>
          <w:szCs w:val="16"/>
        </w:rPr>
        <w:footnoteRef/>
      </w:r>
      <w:r w:rsidRPr="00AC12A0">
        <w:rPr>
          <w:rFonts w:ascii="Arial" w:hAnsi="Arial" w:cs="Arial"/>
          <w:sz w:val="16"/>
          <w:szCs w:val="16"/>
        </w:rPr>
        <w:t xml:space="preserve"> </w:t>
      </w:r>
      <w:r>
        <w:rPr>
          <w:rFonts w:ascii="Arial" w:hAnsi="Arial" w:cs="Arial"/>
          <w:sz w:val="16"/>
          <w:szCs w:val="16"/>
        </w:rPr>
        <w:t>I</w:t>
      </w:r>
      <w:r w:rsidRPr="00AC12A0">
        <w:rPr>
          <w:rFonts w:ascii="Arial" w:hAnsi="Arial" w:cs="Arial"/>
          <w:sz w:val="16"/>
          <w:szCs w:val="16"/>
        </w:rPr>
        <w:t>ncluye todos los conceptos de</w:t>
      </w:r>
      <w:r>
        <w:rPr>
          <w:rFonts w:ascii="Arial" w:hAnsi="Arial" w:cs="Arial"/>
          <w:sz w:val="16"/>
          <w:szCs w:val="16"/>
        </w:rPr>
        <w:t>l clasificador por objeto del</w:t>
      </w:r>
      <w:r w:rsidRPr="00AC12A0">
        <w:rPr>
          <w:rFonts w:ascii="Arial" w:hAnsi="Arial" w:cs="Arial"/>
          <w:sz w:val="16"/>
          <w:szCs w:val="16"/>
        </w:rPr>
        <w:t xml:space="preserve"> gasto.</w:t>
      </w:r>
    </w:p>
  </w:footnote>
  <w:footnote w:id="3">
    <w:p w14:paraId="5799EE39" w14:textId="79FEEE22" w:rsidR="00821C00" w:rsidRPr="00821C00" w:rsidRDefault="00821C00" w:rsidP="00821C00">
      <w:pPr>
        <w:pStyle w:val="Textonotapie"/>
        <w:ind w:left="-567"/>
      </w:pPr>
      <w:r w:rsidRPr="00821C00">
        <w:rPr>
          <w:rStyle w:val="Refdenotaalpie"/>
          <w:rFonts w:ascii="Arial" w:hAnsi="Arial" w:cs="Arial"/>
          <w:sz w:val="16"/>
          <w:szCs w:val="16"/>
        </w:rPr>
        <w:footnoteRef/>
      </w:r>
      <w:r w:rsidRPr="00821C00">
        <w:rPr>
          <w:rStyle w:val="Refdenotaalpie"/>
          <w:rFonts w:ascii="Arial" w:hAnsi="Arial" w:cs="Arial"/>
          <w:sz w:val="16"/>
          <w:szCs w:val="16"/>
        </w:rPr>
        <w:t xml:space="preserve"> </w:t>
      </w:r>
      <w:r w:rsidRPr="00821C00">
        <w:rPr>
          <w:rStyle w:val="Refdenotaalpie"/>
          <w:rFonts w:ascii="Arial" w:hAnsi="Arial" w:cs="Arial"/>
          <w:sz w:val="16"/>
          <w:szCs w:val="16"/>
          <w:vertAlign w:val="baseline"/>
        </w:rPr>
        <w:t>De un listado de trámites y servicios seleccionados establecidos en el instrumento de captación.</w:t>
      </w:r>
    </w:p>
  </w:footnote>
  <w:footnote w:id="4">
    <w:p w14:paraId="7D43CC3C" w14:textId="3706D97C" w:rsidR="00C22F44" w:rsidRPr="00B13C4E" w:rsidRDefault="00C22F44" w:rsidP="00162E72">
      <w:pPr>
        <w:pStyle w:val="Textonotapie"/>
        <w:ind w:left="-426" w:hanging="141"/>
        <w:rPr>
          <w:rFonts w:ascii="Arial" w:hAnsi="Arial" w:cs="Arial"/>
          <w:sz w:val="16"/>
          <w:szCs w:val="16"/>
        </w:rPr>
      </w:pPr>
      <w:r w:rsidRPr="00B13C4E">
        <w:rPr>
          <w:rStyle w:val="Refdenotaalpie"/>
          <w:rFonts w:ascii="Arial" w:hAnsi="Arial" w:cs="Arial"/>
          <w:sz w:val="16"/>
          <w:szCs w:val="16"/>
        </w:rPr>
        <w:footnoteRef/>
      </w:r>
      <w:r w:rsidRPr="00B13C4E">
        <w:rPr>
          <w:rFonts w:ascii="Arial" w:hAnsi="Arial" w:cs="Arial"/>
          <w:sz w:val="16"/>
          <w:szCs w:val="16"/>
        </w:rPr>
        <w:t xml:space="preserve"> La información de</w:t>
      </w:r>
      <w:r>
        <w:rPr>
          <w:rFonts w:ascii="Arial" w:hAnsi="Arial" w:cs="Arial"/>
          <w:sz w:val="16"/>
          <w:szCs w:val="16"/>
        </w:rPr>
        <w:t xml:space="preserve">l </w:t>
      </w:r>
      <w:r w:rsidRPr="00B13C4E">
        <w:rPr>
          <w:rFonts w:ascii="Arial" w:hAnsi="Arial" w:cs="Arial"/>
          <w:sz w:val="16"/>
          <w:szCs w:val="16"/>
        </w:rPr>
        <w:t>programa estadístico es de carácter preliminar.</w:t>
      </w:r>
    </w:p>
  </w:footnote>
  <w:footnote w:id="5">
    <w:p w14:paraId="64F30F80" w14:textId="4F59C8C1" w:rsidR="00C22F44" w:rsidRPr="00174D6A" w:rsidRDefault="00C22F44" w:rsidP="00162E72">
      <w:pPr>
        <w:pStyle w:val="Textonotapie"/>
        <w:ind w:left="-426" w:hanging="141"/>
        <w:rPr>
          <w:rFonts w:ascii="Arial" w:hAnsi="Arial" w:cs="Arial"/>
          <w:sz w:val="16"/>
          <w:szCs w:val="16"/>
        </w:rPr>
      </w:pPr>
      <w:r>
        <w:rPr>
          <w:rStyle w:val="Refdenotaalpie"/>
        </w:rPr>
        <w:footnoteRef/>
      </w:r>
      <w:r>
        <w:t xml:space="preserve"> </w:t>
      </w:r>
      <w:r>
        <w:rPr>
          <w:rFonts w:ascii="Arial" w:hAnsi="Arial" w:cs="Arial"/>
          <w:sz w:val="16"/>
          <w:szCs w:val="16"/>
        </w:rPr>
        <w:t xml:space="preserve">A partir de la edición 2021, el Censo Nacional de Gobierno, Seguridad Pública y Sistema Penitenciario Estatales (CNGSPSPE) se separó en tres programas estadísticos, a saber: Censo Nacional de Gobiernos Estatales (CNGE); Censo Nacional de Seguridad Pública Estatal (CNSPE), y Censo Nacional de Sistemas Penitenciarios Estatales (CNSIPEE).  </w:t>
      </w:r>
    </w:p>
  </w:footnote>
  <w:footnote w:id="6">
    <w:p w14:paraId="11A0CC0B" w14:textId="07D0497C" w:rsidR="00C22F44" w:rsidRPr="002B0A3D" w:rsidRDefault="00C22F44" w:rsidP="00556631">
      <w:pPr>
        <w:pStyle w:val="Textonotapie"/>
        <w:ind w:left="-567"/>
        <w:jc w:val="both"/>
        <w:rPr>
          <w:rFonts w:ascii="Arial" w:hAnsi="Arial" w:cs="Arial"/>
        </w:rPr>
      </w:pPr>
      <w:r w:rsidRPr="002B0A3D">
        <w:rPr>
          <w:rStyle w:val="Refdenotaalpie"/>
          <w:rFonts w:ascii="Arial" w:hAnsi="Arial" w:cs="Arial"/>
          <w:sz w:val="16"/>
          <w:szCs w:val="16"/>
        </w:rPr>
        <w:footnoteRef/>
      </w:r>
      <w:r w:rsidRPr="002B0A3D">
        <w:rPr>
          <w:rFonts w:ascii="Arial" w:hAnsi="Arial" w:cs="Arial"/>
          <w:sz w:val="16"/>
          <w:szCs w:val="16"/>
        </w:rPr>
        <w:t xml:space="preserve"> Por instituciones se refiere a aquellas organizaciones públicas que forman parte de la Administración Pública de la entidad federativa y, en consecuencia, se encuentran previstas en la respectiva ley orgánica, mismas que fueron creadas para el ejercicio de las atribuciones y despacho de los asuntos que corresponden al Poder Ejecutivo Estatal.</w:t>
      </w:r>
    </w:p>
  </w:footnote>
  <w:footnote w:id="7">
    <w:p w14:paraId="5D920D28" w14:textId="44F76483" w:rsidR="00C22F44" w:rsidRPr="0076449D" w:rsidRDefault="00C22F44">
      <w:pPr>
        <w:pStyle w:val="Textonotapie"/>
        <w:rPr>
          <w:rFonts w:ascii="Arial" w:hAnsi="Arial" w:cs="Arial"/>
          <w:sz w:val="16"/>
          <w:szCs w:val="16"/>
        </w:rPr>
      </w:pPr>
      <w:r w:rsidRPr="0076449D">
        <w:rPr>
          <w:rStyle w:val="Refdenotaalpie"/>
          <w:rFonts w:ascii="Arial" w:hAnsi="Arial" w:cs="Arial"/>
          <w:sz w:val="16"/>
          <w:szCs w:val="16"/>
        </w:rPr>
        <w:footnoteRef/>
      </w:r>
      <w:r w:rsidRPr="0076449D">
        <w:rPr>
          <w:rFonts w:ascii="Arial" w:hAnsi="Arial" w:cs="Arial"/>
          <w:sz w:val="16"/>
          <w:szCs w:val="16"/>
        </w:rPr>
        <w:t xml:space="preserve"> El total no incluye las vacantes (25).</w:t>
      </w:r>
    </w:p>
  </w:footnote>
  <w:footnote w:id="8">
    <w:p w14:paraId="00A5AECC" w14:textId="62F7F41F" w:rsidR="00C22F44" w:rsidRDefault="00C22F44" w:rsidP="002E5701">
      <w:pPr>
        <w:pStyle w:val="Textonotapie"/>
        <w:ind w:left="-567"/>
      </w:pPr>
      <w:r>
        <w:rPr>
          <w:rStyle w:val="Refdenotaalpie"/>
        </w:rPr>
        <w:footnoteRef/>
      </w:r>
      <w:r>
        <w:t xml:space="preserve"> </w:t>
      </w:r>
      <w:r>
        <w:rPr>
          <w:rFonts w:ascii="Arial" w:hAnsi="Arial" w:cs="Arial"/>
          <w:sz w:val="16"/>
          <w:szCs w:val="16"/>
        </w:rPr>
        <w:t>I</w:t>
      </w:r>
      <w:r w:rsidRPr="00AC12A0">
        <w:rPr>
          <w:rFonts w:ascii="Arial" w:hAnsi="Arial" w:cs="Arial"/>
          <w:sz w:val="16"/>
          <w:szCs w:val="16"/>
        </w:rPr>
        <w:t>ncluye todos los conceptos de</w:t>
      </w:r>
      <w:r>
        <w:rPr>
          <w:rFonts w:ascii="Arial" w:hAnsi="Arial" w:cs="Arial"/>
          <w:sz w:val="16"/>
          <w:szCs w:val="16"/>
        </w:rPr>
        <w:t>l clasificador por objeto del</w:t>
      </w:r>
      <w:r w:rsidRPr="00AC12A0">
        <w:rPr>
          <w:rFonts w:ascii="Arial" w:hAnsi="Arial" w:cs="Arial"/>
          <w:sz w:val="16"/>
          <w:szCs w:val="16"/>
        </w:rPr>
        <w:t xml:space="preserve"> gasto.</w:t>
      </w:r>
    </w:p>
  </w:footnote>
  <w:footnote w:id="9">
    <w:p w14:paraId="173579C7" w14:textId="3CBFD4E7" w:rsidR="00821C00" w:rsidRDefault="00821C00" w:rsidP="00821C00">
      <w:pPr>
        <w:pStyle w:val="Textonotapie"/>
        <w:ind w:left="-567"/>
      </w:pPr>
      <w:r w:rsidRPr="00821C00">
        <w:rPr>
          <w:rStyle w:val="Refdenotaalpie"/>
          <w:rFonts w:ascii="Arial" w:hAnsi="Arial" w:cs="Arial"/>
          <w:sz w:val="16"/>
          <w:szCs w:val="16"/>
        </w:rPr>
        <w:footnoteRef/>
      </w:r>
      <w:r w:rsidRPr="00821C00">
        <w:rPr>
          <w:rFonts w:ascii="Arial" w:hAnsi="Arial" w:cs="Arial"/>
          <w:sz w:val="16"/>
          <w:szCs w:val="16"/>
        </w:rPr>
        <w:t xml:space="preserve"> </w:t>
      </w:r>
      <w:r w:rsidRPr="00821C00">
        <w:rPr>
          <w:rStyle w:val="Refdenotaalpie"/>
          <w:rFonts w:ascii="Arial" w:hAnsi="Arial" w:cs="Arial"/>
          <w:sz w:val="16"/>
          <w:szCs w:val="16"/>
          <w:vertAlign w:val="baseline"/>
        </w:rPr>
        <w:t>De un listado de trámites y servicios seleccionados establecidos en el instrumento de captación.</w:t>
      </w:r>
    </w:p>
  </w:footnote>
  <w:footnote w:id="10">
    <w:p w14:paraId="2A32842E" w14:textId="71967E69" w:rsidR="00C22F44" w:rsidRPr="00970E77" w:rsidRDefault="00C22F44" w:rsidP="0031273C">
      <w:pPr>
        <w:pStyle w:val="Textonotapie"/>
        <w:ind w:left="-567"/>
        <w:rPr>
          <w:rFonts w:ascii="Arial" w:hAnsi="Arial" w:cs="Arial"/>
          <w:sz w:val="16"/>
          <w:szCs w:val="16"/>
        </w:rPr>
      </w:pPr>
      <w:r w:rsidRPr="00970E77">
        <w:rPr>
          <w:rStyle w:val="Refdenotaalpie"/>
          <w:rFonts w:ascii="Arial" w:hAnsi="Arial" w:cs="Arial"/>
          <w:sz w:val="16"/>
          <w:szCs w:val="16"/>
        </w:rPr>
        <w:footnoteRef/>
      </w:r>
      <w:r w:rsidRPr="00970E77">
        <w:rPr>
          <w:rFonts w:ascii="Arial" w:hAnsi="Arial" w:cs="Arial"/>
          <w:sz w:val="16"/>
          <w:szCs w:val="16"/>
        </w:rPr>
        <w:t xml:space="preserve"> Para el periodo referido se reportaron 298,343,426 solicitudes. </w:t>
      </w:r>
    </w:p>
  </w:footnote>
  <w:footnote w:id="11">
    <w:p w14:paraId="3C71A2E6" w14:textId="77777777" w:rsidR="00C22F44" w:rsidRPr="002263B1" w:rsidRDefault="00C22F44" w:rsidP="00E32FA8">
      <w:pPr>
        <w:pStyle w:val="Textonotapie"/>
        <w:ind w:left="-567"/>
        <w:rPr>
          <w:rFonts w:ascii="Arial" w:hAnsi="Arial" w:cs="Arial"/>
          <w:sz w:val="16"/>
          <w:szCs w:val="16"/>
        </w:rPr>
      </w:pPr>
      <w:r w:rsidRPr="002263B1">
        <w:rPr>
          <w:rStyle w:val="Refdenotaalpie"/>
          <w:rFonts w:ascii="Arial" w:hAnsi="Arial" w:cs="Arial"/>
          <w:sz w:val="16"/>
          <w:szCs w:val="16"/>
        </w:rPr>
        <w:footnoteRef/>
      </w:r>
      <w:r w:rsidRPr="002263B1">
        <w:rPr>
          <w:rFonts w:ascii="Arial" w:hAnsi="Arial" w:cs="Arial"/>
          <w:sz w:val="16"/>
          <w:szCs w:val="16"/>
        </w:rPr>
        <w:t xml:space="preserve">Para el periodo mencionado, se reportaron 3,253 solicitudes respondidas para las que no se especificó la materia. </w:t>
      </w:r>
    </w:p>
  </w:footnote>
  <w:footnote w:id="12">
    <w:p w14:paraId="46889F30" w14:textId="5C65F0B7" w:rsidR="00C22F44" w:rsidRPr="0020164C" w:rsidRDefault="00C22F44">
      <w:pPr>
        <w:pStyle w:val="Textonotapie"/>
        <w:rPr>
          <w:rFonts w:ascii="Arial" w:hAnsi="Arial" w:cs="Arial"/>
          <w:sz w:val="16"/>
          <w:szCs w:val="16"/>
        </w:rPr>
      </w:pPr>
      <w:r w:rsidRPr="0020164C">
        <w:rPr>
          <w:rStyle w:val="Refdenotaalpie"/>
          <w:rFonts w:ascii="Arial" w:hAnsi="Arial" w:cs="Arial"/>
          <w:sz w:val="16"/>
          <w:szCs w:val="16"/>
        </w:rPr>
        <w:footnoteRef/>
      </w:r>
      <w:r w:rsidRPr="0020164C">
        <w:rPr>
          <w:rFonts w:ascii="Arial" w:hAnsi="Arial" w:cs="Arial"/>
          <w:sz w:val="16"/>
          <w:szCs w:val="16"/>
        </w:rPr>
        <w:t xml:space="preserve"> Se refiere a las auditorías de todo tipo</w:t>
      </w:r>
      <w:r>
        <w:rPr>
          <w:rFonts w:ascii="Arial" w:hAnsi="Arial" w:cs="Arial"/>
          <w:sz w:val="16"/>
          <w:szCs w:val="16"/>
        </w:rPr>
        <w:t>.</w:t>
      </w:r>
    </w:p>
  </w:footnote>
  <w:footnote w:id="13">
    <w:p w14:paraId="3FBAF7EB" w14:textId="70073B26" w:rsidR="00C22F44" w:rsidRPr="00071EFB" w:rsidRDefault="00C22F44">
      <w:pPr>
        <w:pStyle w:val="Textonotapie"/>
        <w:rPr>
          <w:rFonts w:ascii="Arial" w:hAnsi="Arial" w:cs="Arial"/>
          <w:sz w:val="16"/>
          <w:szCs w:val="16"/>
        </w:rPr>
      </w:pPr>
      <w:r w:rsidRPr="00071EFB">
        <w:rPr>
          <w:rStyle w:val="Refdenotaalpie"/>
          <w:rFonts w:ascii="Arial" w:hAnsi="Arial" w:cs="Arial"/>
          <w:sz w:val="16"/>
          <w:szCs w:val="16"/>
        </w:rPr>
        <w:footnoteRef/>
      </w:r>
      <w:r w:rsidRPr="00071EFB">
        <w:rPr>
          <w:rFonts w:ascii="Arial" w:hAnsi="Arial" w:cs="Arial"/>
          <w:sz w:val="16"/>
          <w:szCs w:val="16"/>
        </w:rPr>
        <w:t xml:space="preserve"> En el periodo referido, se reportaron 4,786 procedimientos concluidos.</w:t>
      </w:r>
    </w:p>
  </w:footnote>
  <w:footnote w:id="14">
    <w:p w14:paraId="44CCD620" w14:textId="571BB0CE" w:rsidR="00444619" w:rsidRPr="008567C2" w:rsidRDefault="00444619">
      <w:pPr>
        <w:pStyle w:val="Textonotapie"/>
        <w:rPr>
          <w:rFonts w:ascii="Arial" w:hAnsi="Arial" w:cs="Arial"/>
          <w:sz w:val="16"/>
          <w:szCs w:val="16"/>
        </w:rPr>
      </w:pPr>
      <w:r w:rsidRPr="008567C2">
        <w:rPr>
          <w:rStyle w:val="Refdenotaalpie"/>
          <w:rFonts w:ascii="Arial" w:hAnsi="Arial" w:cs="Arial"/>
          <w:sz w:val="16"/>
          <w:szCs w:val="16"/>
        </w:rPr>
        <w:footnoteRef/>
      </w:r>
      <w:r w:rsidRPr="008567C2">
        <w:rPr>
          <w:rFonts w:ascii="Arial" w:hAnsi="Arial" w:cs="Arial"/>
          <w:sz w:val="16"/>
          <w:szCs w:val="16"/>
        </w:rPr>
        <w:t xml:space="preserve"> </w:t>
      </w:r>
      <w:r w:rsidR="0064425D" w:rsidRPr="008567C2">
        <w:rPr>
          <w:rFonts w:ascii="Arial" w:hAnsi="Arial" w:cs="Arial"/>
          <w:sz w:val="16"/>
          <w:szCs w:val="16"/>
        </w:rPr>
        <w:t xml:space="preserve">El estado de Baja California Sur reportó </w:t>
      </w:r>
      <w:r w:rsidR="008567C2" w:rsidRPr="008567C2">
        <w:rPr>
          <w:rFonts w:ascii="Arial" w:hAnsi="Arial" w:cs="Arial"/>
          <w:sz w:val="16"/>
          <w:szCs w:val="16"/>
        </w:rPr>
        <w:t>no contar con dependencia de catastro estatal.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648B" w14:textId="7458D3E7" w:rsidR="00C22F44" w:rsidRPr="00C22F44" w:rsidRDefault="00C22F44" w:rsidP="00C22F44">
    <w:pPr>
      <w:spacing w:after="0" w:line="265" w:lineRule="exact"/>
      <w:ind w:right="74"/>
      <w:jc w:val="right"/>
      <w:rPr>
        <w:rFonts w:ascii="Arial" w:eastAsia="Arial" w:hAnsi="Arial" w:cs="Arial"/>
        <w:color w:val="002060"/>
        <w:sz w:val="24"/>
        <w:szCs w:val="24"/>
      </w:rPr>
    </w:pPr>
    <w:r w:rsidRPr="00C22F44">
      <w:rPr>
        <w:rFonts w:ascii="Arial" w:hAnsi="Arial" w:cs="Arial"/>
        <w:noProof/>
        <w:color w:val="002060"/>
        <w:sz w:val="24"/>
        <w:szCs w:val="24"/>
        <w:lang w:val="en-US"/>
      </w:rPr>
      <w:drawing>
        <wp:anchor distT="0" distB="0" distL="114300" distR="114300" simplePos="0" relativeHeight="251664384" behindDoc="0" locked="0" layoutInCell="1" allowOverlap="1" wp14:anchorId="5064353F" wp14:editId="48850C13">
          <wp:simplePos x="0" y="0"/>
          <wp:positionH relativeFrom="margin">
            <wp:posOffset>-219075</wp:posOffset>
          </wp:positionH>
          <wp:positionV relativeFrom="margin">
            <wp:posOffset>-876935</wp:posOffset>
          </wp:positionV>
          <wp:extent cx="814705" cy="847725"/>
          <wp:effectExtent l="0" t="0" r="444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F44">
      <w:rPr>
        <w:rFonts w:ascii="Arial" w:hAnsi="Arial" w:cs="Arial"/>
        <w:b/>
        <w:color w:val="002060"/>
        <w:sz w:val="24"/>
        <w:szCs w:val="24"/>
      </w:rPr>
      <w:t>COMUNICADO</w:t>
    </w:r>
    <w:r w:rsidRPr="00C22F44">
      <w:rPr>
        <w:rFonts w:ascii="Arial" w:hAnsi="Arial" w:cs="Arial"/>
        <w:b/>
        <w:color w:val="002060"/>
        <w:spacing w:val="-11"/>
        <w:sz w:val="24"/>
        <w:szCs w:val="24"/>
      </w:rPr>
      <w:t xml:space="preserve"> </w:t>
    </w:r>
    <w:r w:rsidRPr="00C22F44">
      <w:rPr>
        <w:rFonts w:ascii="Arial" w:hAnsi="Arial" w:cs="Arial"/>
        <w:b/>
        <w:color w:val="002060"/>
        <w:sz w:val="24"/>
        <w:szCs w:val="24"/>
      </w:rPr>
      <w:t>DE</w:t>
    </w:r>
    <w:r w:rsidRPr="00C22F44">
      <w:rPr>
        <w:rFonts w:ascii="Arial" w:hAnsi="Arial" w:cs="Arial"/>
        <w:b/>
        <w:color w:val="002060"/>
        <w:spacing w:val="-11"/>
        <w:sz w:val="24"/>
        <w:szCs w:val="24"/>
      </w:rPr>
      <w:t xml:space="preserve"> P</w:t>
    </w:r>
    <w:r w:rsidRPr="00C22F44">
      <w:rPr>
        <w:rFonts w:ascii="Arial" w:hAnsi="Arial" w:cs="Arial"/>
        <w:b/>
        <w:color w:val="002060"/>
        <w:spacing w:val="-1"/>
        <w:sz w:val="24"/>
        <w:szCs w:val="24"/>
      </w:rPr>
      <w:t>RENSA</w:t>
    </w:r>
    <w:r w:rsidRPr="00C22F44">
      <w:rPr>
        <w:rFonts w:ascii="Arial" w:hAnsi="Arial" w:cs="Arial"/>
        <w:b/>
        <w:color w:val="002060"/>
        <w:spacing w:val="-11"/>
        <w:sz w:val="24"/>
        <w:szCs w:val="24"/>
      </w:rPr>
      <w:t xml:space="preserve"> </w:t>
    </w:r>
    <w:r w:rsidRPr="00C22F44">
      <w:rPr>
        <w:rFonts w:ascii="Arial" w:hAnsi="Arial" w:cs="Arial"/>
        <w:b/>
        <w:color w:val="002060"/>
        <w:sz w:val="24"/>
        <w:szCs w:val="24"/>
      </w:rPr>
      <w:t>NÚM. 50</w:t>
    </w:r>
    <w:r>
      <w:rPr>
        <w:rFonts w:ascii="Arial" w:hAnsi="Arial" w:cs="Arial"/>
        <w:b/>
        <w:color w:val="002060"/>
        <w:sz w:val="24"/>
        <w:szCs w:val="24"/>
      </w:rPr>
      <w:t>9</w:t>
    </w:r>
    <w:r w:rsidRPr="00C22F44">
      <w:rPr>
        <w:rFonts w:ascii="Arial" w:hAnsi="Arial" w:cs="Arial"/>
        <w:b/>
        <w:color w:val="002060"/>
        <w:sz w:val="24"/>
        <w:szCs w:val="24"/>
      </w:rPr>
      <w:t>/21</w:t>
    </w:r>
    <w:r w:rsidRPr="00C22F44">
      <w:rPr>
        <w:rFonts w:ascii="Arial" w:hAnsi="Arial" w:cs="Arial"/>
        <w:b/>
        <w:color w:val="002060"/>
        <w:spacing w:val="-11"/>
        <w:sz w:val="24"/>
        <w:szCs w:val="24"/>
      </w:rPr>
      <w:t xml:space="preserve"> </w:t>
    </w:r>
  </w:p>
  <w:p w14:paraId="522ADAB3" w14:textId="0992EA95" w:rsidR="00C22F44" w:rsidRPr="00C22F44" w:rsidRDefault="00C22F44" w:rsidP="00C22F44">
    <w:pPr>
      <w:spacing w:after="0"/>
      <w:ind w:right="74"/>
      <w:jc w:val="right"/>
      <w:rPr>
        <w:rFonts w:ascii="Arial" w:eastAsia="Arial" w:hAnsi="Arial" w:cs="Arial"/>
        <w:color w:val="002060"/>
        <w:sz w:val="24"/>
        <w:szCs w:val="24"/>
      </w:rPr>
    </w:pPr>
    <w:r>
      <w:rPr>
        <w:rFonts w:ascii="Arial" w:hAnsi="Arial" w:cs="Arial"/>
        <w:b/>
        <w:color w:val="002060"/>
        <w:sz w:val="24"/>
        <w:szCs w:val="24"/>
      </w:rPr>
      <w:t>1</w:t>
    </w:r>
    <w:r w:rsidRPr="00C22F44">
      <w:rPr>
        <w:rFonts w:ascii="Arial" w:hAnsi="Arial" w:cs="Arial"/>
        <w:b/>
        <w:color w:val="002060"/>
        <w:spacing w:val="-6"/>
        <w:sz w:val="24"/>
        <w:szCs w:val="24"/>
      </w:rPr>
      <w:t xml:space="preserve"> </w:t>
    </w:r>
    <w:r w:rsidRPr="00C22F44">
      <w:rPr>
        <w:rFonts w:ascii="Arial" w:hAnsi="Arial" w:cs="Arial"/>
        <w:b/>
        <w:color w:val="002060"/>
        <w:sz w:val="24"/>
        <w:szCs w:val="24"/>
      </w:rPr>
      <w:t>DE</w:t>
    </w:r>
    <w:r w:rsidRPr="00C22F44">
      <w:rPr>
        <w:rFonts w:ascii="Arial" w:hAnsi="Arial" w:cs="Arial"/>
        <w:b/>
        <w:color w:val="002060"/>
        <w:spacing w:val="-5"/>
        <w:sz w:val="24"/>
        <w:szCs w:val="24"/>
      </w:rPr>
      <w:t xml:space="preserve"> </w:t>
    </w:r>
    <w:r>
      <w:rPr>
        <w:rFonts w:ascii="Arial" w:hAnsi="Arial" w:cs="Arial"/>
        <w:b/>
        <w:color w:val="002060"/>
        <w:spacing w:val="-5"/>
        <w:sz w:val="24"/>
        <w:szCs w:val="24"/>
      </w:rPr>
      <w:t>SEPTIEMBRE</w:t>
    </w:r>
    <w:r w:rsidRPr="00C22F44">
      <w:rPr>
        <w:rFonts w:ascii="Arial" w:hAnsi="Arial" w:cs="Arial"/>
        <w:b/>
        <w:color w:val="002060"/>
        <w:spacing w:val="-6"/>
        <w:sz w:val="24"/>
        <w:szCs w:val="24"/>
      </w:rPr>
      <w:t xml:space="preserve"> </w:t>
    </w:r>
    <w:r w:rsidRPr="00C22F44">
      <w:rPr>
        <w:rFonts w:ascii="Arial" w:hAnsi="Arial" w:cs="Arial"/>
        <w:b/>
        <w:color w:val="002060"/>
        <w:sz w:val="24"/>
        <w:szCs w:val="24"/>
      </w:rPr>
      <w:t>DE</w:t>
    </w:r>
    <w:r w:rsidRPr="00C22F44">
      <w:rPr>
        <w:rFonts w:ascii="Arial" w:hAnsi="Arial" w:cs="Arial"/>
        <w:b/>
        <w:color w:val="002060"/>
        <w:spacing w:val="-5"/>
        <w:sz w:val="24"/>
        <w:szCs w:val="24"/>
      </w:rPr>
      <w:t xml:space="preserve"> </w:t>
    </w:r>
    <w:r w:rsidRPr="00C22F44">
      <w:rPr>
        <w:rFonts w:ascii="Arial" w:hAnsi="Arial" w:cs="Arial"/>
        <w:b/>
        <w:color w:val="002060"/>
        <w:sz w:val="24"/>
        <w:szCs w:val="24"/>
      </w:rPr>
      <w:t>2021</w:t>
    </w:r>
  </w:p>
  <w:p w14:paraId="31A98BC8" w14:textId="1E4FE19C" w:rsidR="00C22F44" w:rsidRPr="00C22F44" w:rsidRDefault="00C22F44" w:rsidP="00C22F44">
    <w:pPr>
      <w:spacing w:after="0"/>
      <w:ind w:right="74"/>
      <w:jc w:val="right"/>
      <w:rPr>
        <w:rFonts w:ascii="Arial" w:eastAsia="Arial" w:hAnsi="Arial" w:cs="Arial"/>
        <w:color w:val="002060"/>
        <w:sz w:val="24"/>
        <w:szCs w:val="24"/>
      </w:rPr>
    </w:pPr>
    <w:r w:rsidRPr="00C22F44">
      <w:rPr>
        <w:rFonts w:ascii="Arial" w:hAnsi="Arial" w:cs="Arial"/>
        <w:b/>
        <w:color w:val="002060"/>
        <w:sz w:val="24"/>
        <w:szCs w:val="24"/>
      </w:rPr>
      <w:t>PÁGINA</w:t>
    </w:r>
    <w:r w:rsidRPr="00C22F44">
      <w:rPr>
        <w:rFonts w:ascii="Arial" w:hAnsi="Arial" w:cs="Arial"/>
        <w:b/>
        <w:color w:val="002060"/>
        <w:spacing w:val="-13"/>
        <w:sz w:val="24"/>
        <w:szCs w:val="24"/>
      </w:rPr>
      <w:t xml:space="preserve"> </w:t>
    </w:r>
    <w:r w:rsidRPr="00C22F44">
      <w:rPr>
        <w:rFonts w:ascii="Arial" w:hAnsi="Arial" w:cs="Arial"/>
        <w:color w:val="002060"/>
        <w:sz w:val="24"/>
        <w:szCs w:val="24"/>
      </w:rPr>
      <w:fldChar w:fldCharType="begin"/>
    </w:r>
    <w:r w:rsidRPr="00C22F44">
      <w:rPr>
        <w:rFonts w:ascii="Arial" w:hAnsi="Arial" w:cs="Arial"/>
        <w:b/>
        <w:color w:val="002060"/>
        <w:sz w:val="24"/>
        <w:szCs w:val="24"/>
      </w:rPr>
      <w:instrText xml:space="preserve"> PAGE </w:instrText>
    </w:r>
    <w:r w:rsidRPr="00C22F44">
      <w:rPr>
        <w:rFonts w:ascii="Arial" w:hAnsi="Arial" w:cs="Arial"/>
        <w:color w:val="002060"/>
        <w:sz w:val="24"/>
        <w:szCs w:val="24"/>
      </w:rPr>
      <w:fldChar w:fldCharType="separate"/>
    </w:r>
    <w:r w:rsidRPr="00C22F44">
      <w:rPr>
        <w:rFonts w:ascii="Arial" w:hAnsi="Arial" w:cs="Arial"/>
        <w:color w:val="002060"/>
        <w:sz w:val="24"/>
        <w:szCs w:val="24"/>
      </w:rPr>
      <w:t>1</w:t>
    </w:r>
    <w:r w:rsidRPr="00C22F44">
      <w:rPr>
        <w:rFonts w:ascii="Arial" w:hAnsi="Arial" w:cs="Arial"/>
        <w:color w:val="002060"/>
        <w:sz w:val="24"/>
        <w:szCs w:val="24"/>
      </w:rPr>
      <w:fldChar w:fldCharType="end"/>
    </w:r>
    <w:r w:rsidRPr="00C22F44">
      <w:rPr>
        <w:rFonts w:ascii="Arial" w:hAnsi="Arial" w:cs="Arial"/>
        <w:b/>
        <w:color w:val="002060"/>
        <w:sz w:val="24"/>
        <w:szCs w:val="24"/>
      </w:rPr>
      <w:t>/2</w:t>
    </w:r>
  </w:p>
  <w:p w14:paraId="0A18ED48" w14:textId="773DC383" w:rsidR="00C22F44" w:rsidRDefault="00C22F44" w:rsidP="00EC2F19">
    <w:pPr>
      <w:pStyle w:val="Encabezado"/>
      <w:tabs>
        <w:tab w:val="center" w:pos="4164"/>
        <w:tab w:val="center" w:pos="4537"/>
        <w:tab w:val="left" w:pos="7410"/>
      </w:tabs>
      <w:ind w:left="-510"/>
      <w:rPr>
        <w:b/>
        <w:color w:val="000000"/>
        <w:spacing w:val="5"/>
      </w:rPr>
    </w:pPr>
  </w:p>
  <w:p w14:paraId="5DCDA787" w14:textId="77777777" w:rsidR="00C22F44" w:rsidRDefault="00C22F44" w:rsidP="0041372E">
    <w:pPr>
      <w:pStyle w:val="Encabezado"/>
      <w:tabs>
        <w:tab w:val="center" w:pos="4164"/>
        <w:tab w:val="center" w:pos="4537"/>
        <w:tab w:val="left" w:pos="7410"/>
      </w:tabs>
      <w:rPr>
        <w:b/>
        <w:color w:val="000000"/>
        <w:spacing w:val="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BFCD8" w14:textId="42F8A437" w:rsidR="00C22F44" w:rsidRDefault="00C22F44" w:rsidP="00AE4A44">
    <w:pPr>
      <w:pStyle w:val="Encabezado"/>
      <w:tabs>
        <w:tab w:val="clear" w:pos="4419"/>
        <w:tab w:val="clear" w:pos="8838"/>
      </w:tabs>
      <w:rPr>
        <w:b/>
        <w:color w:val="000000"/>
        <w:spacing w:val="5"/>
      </w:rPr>
    </w:pPr>
    <w:r>
      <w:rPr>
        <w:noProof/>
        <w:lang w:val="en-US"/>
      </w:rPr>
      <w:drawing>
        <wp:anchor distT="0" distB="0" distL="114300" distR="114300" simplePos="0" relativeHeight="251666432" behindDoc="0" locked="0" layoutInCell="1" allowOverlap="1" wp14:anchorId="36EF9494" wp14:editId="09A59C74">
          <wp:simplePos x="0" y="0"/>
          <wp:positionH relativeFrom="page">
            <wp:align>center</wp:align>
          </wp:positionH>
          <wp:positionV relativeFrom="topMargin">
            <wp:align>bottom</wp:align>
          </wp:positionV>
          <wp:extent cx="814705" cy="847725"/>
          <wp:effectExtent l="0" t="0" r="4445" b="952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3E5D"/>
    <w:multiLevelType w:val="hybridMultilevel"/>
    <w:tmpl w:val="26EA66C0"/>
    <w:lvl w:ilvl="0" w:tplc="2EA499D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2228235E"/>
    <w:multiLevelType w:val="hybridMultilevel"/>
    <w:tmpl w:val="2A42B02A"/>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895A99"/>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A64197"/>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AD2DF2"/>
    <w:multiLevelType w:val="hybridMultilevel"/>
    <w:tmpl w:val="CE00731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16"/>
  </w:num>
  <w:num w:numId="2">
    <w:abstractNumId w:val="6"/>
  </w:num>
  <w:num w:numId="3">
    <w:abstractNumId w:val="7"/>
  </w:num>
  <w:num w:numId="4">
    <w:abstractNumId w:val="9"/>
  </w:num>
  <w:num w:numId="5">
    <w:abstractNumId w:val="5"/>
  </w:num>
  <w:num w:numId="6">
    <w:abstractNumId w:val="14"/>
  </w:num>
  <w:num w:numId="7">
    <w:abstractNumId w:val="12"/>
  </w:num>
  <w:num w:numId="8">
    <w:abstractNumId w:val="10"/>
  </w:num>
  <w:num w:numId="9">
    <w:abstractNumId w:val="1"/>
  </w:num>
  <w:num w:numId="10">
    <w:abstractNumId w:val="4"/>
  </w:num>
  <w:num w:numId="11">
    <w:abstractNumId w:val="15"/>
  </w:num>
  <w:num w:numId="12">
    <w:abstractNumId w:val="13"/>
  </w:num>
  <w:num w:numId="13">
    <w:abstractNumId w:val="8"/>
  </w:num>
  <w:num w:numId="14">
    <w:abstractNumId w:val="2"/>
  </w:num>
  <w:num w:numId="15">
    <w:abstractNumId w:val="17"/>
  </w:num>
  <w:num w:numId="16">
    <w:abstractNumId w:val="3"/>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19"/>
    <w:rsid w:val="00001B03"/>
    <w:rsid w:val="000027DD"/>
    <w:rsid w:val="0000298C"/>
    <w:rsid w:val="0000372B"/>
    <w:rsid w:val="00003AEF"/>
    <w:rsid w:val="00003C93"/>
    <w:rsid w:val="00003CBB"/>
    <w:rsid w:val="00004195"/>
    <w:rsid w:val="000049DA"/>
    <w:rsid w:val="000050C4"/>
    <w:rsid w:val="00006D00"/>
    <w:rsid w:val="00006F6A"/>
    <w:rsid w:val="000070BB"/>
    <w:rsid w:val="000070C9"/>
    <w:rsid w:val="0001035E"/>
    <w:rsid w:val="00010846"/>
    <w:rsid w:val="00011423"/>
    <w:rsid w:val="000118D1"/>
    <w:rsid w:val="00011C01"/>
    <w:rsid w:val="00012443"/>
    <w:rsid w:val="00014206"/>
    <w:rsid w:val="00015596"/>
    <w:rsid w:val="000159F4"/>
    <w:rsid w:val="00016916"/>
    <w:rsid w:val="00016EDE"/>
    <w:rsid w:val="0001702D"/>
    <w:rsid w:val="00017B66"/>
    <w:rsid w:val="00017D17"/>
    <w:rsid w:val="00020441"/>
    <w:rsid w:val="00020956"/>
    <w:rsid w:val="00020DB5"/>
    <w:rsid w:val="00020F52"/>
    <w:rsid w:val="00021026"/>
    <w:rsid w:val="00021BBB"/>
    <w:rsid w:val="00022681"/>
    <w:rsid w:val="00022E39"/>
    <w:rsid w:val="00023505"/>
    <w:rsid w:val="0002359E"/>
    <w:rsid w:val="000249EE"/>
    <w:rsid w:val="00024D1E"/>
    <w:rsid w:val="0002590C"/>
    <w:rsid w:val="0002601D"/>
    <w:rsid w:val="00026B86"/>
    <w:rsid w:val="00027E6F"/>
    <w:rsid w:val="00030103"/>
    <w:rsid w:val="0003222A"/>
    <w:rsid w:val="00032500"/>
    <w:rsid w:val="0003292C"/>
    <w:rsid w:val="00033488"/>
    <w:rsid w:val="00035670"/>
    <w:rsid w:val="00035EE8"/>
    <w:rsid w:val="00036715"/>
    <w:rsid w:val="0003751E"/>
    <w:rsid w:val="00041B3E"/>
    <w:rsid w:val="000424C9"/>
    <w:rsid w:val="00042C8A"/>
    <w:rsid w:val="000440F7"/>
    <w:rsid w:val="00044463"/>
    <w:rsid w:val="00044690"/>
    <w:rsid w:val="00045030"/>
    <w:rsid w:val="00045067"/>
    <w:rsid w:val="0004518F"/>
    <w:rsid w:val="00046AC4"/>
    <w:rsid w:val="00046CFB"/>
    <w:rsid w:val="00047503"/>
    <w:rsid w:val="00047730"/>
    <w:rsid w:val="00050F92"/>
    <w:rsid w:val="000519C1"/>
    <w:rsid w:val="0005228F"/>
    <w:rsid w:val="00052C66"/>
    <w:rsid w:val="000531CE"/>
    <w:rsid w:val="00054031"/>
    <w:rsid w:val="00054607"/>
    <w:rsid w:val="00055421"/>
    <w:rsid w:val="000564EF"/>
    <w:rsid w:val="00056E64"/>
    <w:rsid w:val="000608EF"/>
    <w:rsid w:val="00060A7C"/>
    <w:rsid w:val="00062CB2"/>
    <w:rsid w:val="00064DFC"/>
    <w:rsid w:val="00064FEC"/>
    <w:rsid w:val="00065454"/>
    <w:rsid w:val="00065723"/>
    <w:rsid w:val="00066C64"/>
    <w:rsid w:val="00066EEB"/>
    <w:rsid w:val="000701F8"/>
    <w:rsid w:val="0007059B"/>
    <w:rsid w:val="00070B65"/>
    <w:rsid w:val="00070E31"/>
    <w:rsid w:val="0007109E"/>
    <w:rsid w:val="000713B9"/>
    <w:rsid w:val="000719CE"/>
    <w:rsid w:val="00071B53"/>
    <w:rsid w:val="00071D28"/>
    <w:rsid w:val="00071EFB"/>
    <w:rsid w:val="00072E02"/>
    <w:rsid w:val="00073D18"/>
    <w:rsid w:val="000763B9"/>
    <w:rsid w:val="00076B00"/>
    <w:rsid w:val="00080602"/>
    <w:rsid w:val="00080C28"/>
    <w:rsid w:val="00083AAC"/>
    <w:rsid w:val="00085184"/>
    <w:rsid w:val="000868BE"/>
    <w:rsid w:val="00086A40"/>
    <w:rsid w:val="00087BF8"/>
    <w:rsid w:val="00090EE4"/>
    <w:rsid w:val="00092669"/>
    <w:rsid w:val="000927C5"/>
    <w:rsid w:val="00092FE3"/>
    <w:rsid w:val="0009422B"/>
    <w:rsid w:val="00094416"/>
    <w:rsid w:val="0009579F"/>
    <w:rsid w:val="00095A46"/>
    <w:rsid w:val="00096F83"/>
    <w:rsid w:val="000A13D8"/>
    <w:rsid w:val="000A1BB6"/>
    <w:rsid w:val="000A3257"/>
    <w:rsid w:val="000A3B43"/>
    <w:rsid w:val="000A445B"/>
    <w:rsid w:val="000A5968"/>
    <w:rsid w:val="000A6849"/>
    <w:rsid w:val="000A7701"/>
    <w:rsid w:val="000A7C7C"/>
    <w:rsid w:val="000B0175"/>
    <w:rsid w:val="000B1146"/>
    <w:rsid w:val="000B2524"/>
    <w:rsid w:val="000B30A5"/>
    <w:rsid w:val="000B3AB5"/>
    <w:rsid w:val="000B400F"/>
    <w:rsid w:val="000B4540"/>
    <w:rsid w:val="000B4E43"/>
    <w:rsid w:val="000B52C6"/>
    <w:rsid w:val="000B6335"/>
    <w:rsid w:val="000B6497"/>
    <w:rsid w:val="000B7486"/>
    <w:rsid w:val="000B79C2"/>
    <w:rsid w:val="000B7BF1"/>
    <w:rsid w:val="000B7ECA"/>
    <w:rsid w:val="000C1614"/>
    <w:rsid w:val="000C1673"/>
    <w:rsid w:val="000C23DA"/>
    <w:rsid w:val="000C2803"/>
    <w:rsid w:val="000C2A4A"/>
    <w:rsid w:val="000C310A"/>
    <w:rsid w:val="000C3369"/>
    <w:rsid w:val="000C3A9D"/>
    <w:rsid w:val="000C5133"/>
    <w:rsid w:val="000C6F33"/>
    <w:rsid w:val="000C71DC"/>
    <w:rsid w:val="000C7E0B"/>
    <w:rsid w:val="000D06D1"/>
    <w:rsid w:val="000D1A86"/>
    <w:rsid w:val="000D25AA"/>
    <w:rsid w:val="000D27E6"/>
    <w:rsid w:val="000D2C85"/>
    <w:rsid w:val="000D446A"/>
    <w:rsid w:val="000D4B06"/>
    <w:rsid w:val="000D4B66"/>
    <w:rsid w:val="000D55A2"/>
    <w:rsid w:val="000D57F4"/>
    <w:rsid w:val="000E0427"/>
    <w:rsid w:val="000E1CAC"/>
    <w:rsid w:val="000E239F"/>
    <w:rsid w:val="000E2BF1"/>
    <w:rsid w:val="000E308E"/>
    <w:rsid w:val="000E3EF1"/>
    <w:rsid w:val="000E5E6F"/>
    <w:rsid w:val="000E6550"/>
    <w:rsid w:val="000E69BF"/>
    <w:rsid w:val="000E6F79"/>
    <w:rsid w:val="000E70F7"/>
    <w:rsid w:val="000E74C8"/>
    <w:rsid w:val="000F0349"/>
    <w:rsid w:val="000F0696"/>
    <w:rsid w:val="000F0DC6"/>
    <w:rsid w:val="000F180B"/>
    <w:rsid w:val="000F2244"/>
    <w:rsid w:val="000F236B"/>
    <w:rsid w:val="000F29FC"/>
    <w:rsid w:val="000F2D68"/>
    <w:rsid w:val="000F2DBD"/>
    <w:rsid w:val="000F2DDF"/>
    <w:rsid w:val="000F33C2"/>
    <w:rsid w:val="000F4488"/>
    <w:rsid w:val="000F4859"/>
    <w:rsid w:val="000F4AE8"/>
    <w:rsid w:val="000F501F"/>
    <w:rsid w:val="000F67E2"/>
    <w:rsid w:val="000F7363"/>
    <w:rsid w:val="00103953"/>
    <w:rsid w:val="00105041"/>
    <w:rsid w:val="00105C4F"/>
    <w:rsid w:val="0010617D"/>
    <w:rsid w:val="00107703"/>
    <w:rsid w:val="00107DBD"/>
    <w:rsid w:val="0011020D"/>
    <w:rsid w:val="00110708"/>
    <w:rsid w:val="001107DD"/>
    <w:rsid w:val="00112D7D"/>
    <w:rsid w:val="00112F73"/>
    <w:rsid w:val="00114030"/>
    <w:rsid w:val="00114E87"/>
    <w:rsid w:val="00116055"/>
    <w:rsid w:val="00116BFF"/>
    <w:rsid w:val="001178E5"/>
    <w:rsid w:val="00121033"/>
    <w:rsid w:val="00121528"/>
    <w:rsid w:val="00121E17"/>
    <w:rsid w:val="00122218"/>
    <w:rsid w:val="00122375"/>
    <w:rsid w:val="0012241C"/>
    <w:rsid w:val="00123BAE"/>
    <w:rsid w:val="00124DB4"/>
    <w:rsid w:val="0013056B"/>
    <w:rsid w:val="00130E80"/>
    <w:rsid w:val="00131B04"/>
    <w:rsid w:val="00131D10"/>
    <w:rsid w:val="00131EE1"/>
    <w:rsid w:val="0013239A"/>
    <w:rsid w:val="001336D4"/>
    <w:rsid w:val="001337AA"/>
    <w:rsid w:val="00134090"/>
    <w:rsid w:val="00134896"/>
    <w:rsid w:val="00136069"/>
    <w:rsid w:val="001405B9"/>
    <w:rsid w:val="00141905"/>
    <w:rsid w:val="00144121"/>
    <w:rsid w:val="0014575B"/>
    <w:rsid w:val="0014594E"/>
    <w:rsid w:val="00146D00"/>
    <w:rsid w:val="00151B69"/>
    <w:rsid w:val="00151E12"/>
    <w:rsid w:val="00153A02"/>
    <w:rsid w:val="001548D7"/>
    <w:rsid w:val="001550C2"/>
    <w:rsid w:val="00156D23"/>
    <w:rsid w:val="0016040D"/>
    <w:rsid w:val="001607AE"/>
    <w:rsid w:val="00160AB5"/>
    <w:rsid w:val="001614E8"/>
    <w:rsid w:val="001619DE"/>
    <w:rsid w:val="001627EA"/>
    <w:rsid w:val="00162C06"/>
    <w:rsid w:val="00162C40"/>
    <w:rsid w:val="00162E72"/>
    <w:rsid w:val="00165B07"/>
    <w:rsid w:val="00165EC3"/>
    <w:rsid w:val="001667C9"/>
    <w:rsid w:val="00167567"/>
    <w:rsid w:val="001676B6"/>
    <w:rsid w:val="00167AA6"/>
    <w:rsid w:val="00170036"/>
    <w:rsid w:val="001712D3"/>
    <w:rsid w:val="0017152B"/>
    <w:rsid w:val="00171DED"/>
    <w:rsid w:val="00173B49"/>
    <w:rsid w:val="00173D8F"/>
    <w:rsid w:val="00174D17"/>
    <w:rsid w:val="00174D6A"/>
    <w:rsid w:val="00174FA4"/>
    <w:rsid w:val="001761F2"/>
    <w:rsid w:val="00182354"/>
    <w:rsid w:val="001829D4"/>
    <w:rsid w:val="001843E2"/>
    <w:rsid w:val="00184494"/>
    <w:rsid w:val="00185787"/>
    <w:rsid w:val="001858E3"/>
    <w:rsid w:val="0018656A"/>
    <w:rsid w:val="00186C3B"/>
    <w:rsid w:val="00186C60"/>
    <w:rsid w:val="00187430"/>
    <w:rsid w:val="00190BA1"/>
    <w:rsid w:val="00191270"/>
    <w:rsid w:val="00191B04"/>
    <w:rsid w:val="0019203C"/>
    <w:rsid w:val="001929A9"/>
    <w:rsid w:val="00192DEB"/>
    <w:rsid w:val="001930D2"/>
    <w:rsid w:val="00193D8C"/>
    <w:rsid w:val="00194928"/>
    <w:rsid w:val="00194BD0"/>
    <w:rsid w:val="0019581C"/>
    <w:rsid w:val="00195DAE"/>
    <w:rsid w:val="00195ED0"/>
    <w:rsid w:val="00195FE8"/>
    <w:rsid w:val="00196621"/>
    <w:rsid w:val="00196E5A"/>
    <w:rsid w:val="00197808"/>
    <w:rsid w:val="00197D34"/>
    <w:rsid w:val="001A0430"/>
    <w:rsid w:val="001A24F1"/>
    <w:rsid w:val="001A284A"/>
    <w:rsid w:val="001A312F"/>
    <w:rsid w:val="001A392A"/>
    <w:rsid w:val="001A3AE5"/>
    <w:rsid w:val="001A3B5E"/>
    <w:rsid w:val="001A3E5B"/>
    <w:rsid w:val="001A540E"/>
    <w:rsid w:val="001A612D"/>
    <w:rsid w:val="001A7A9B"/>
    <w:rsid w:val="001B0877"/>
    <w:rsid w:val="001B1548"/>
    <w:rsid w:val="001B1F99"/>
    <w:rsid w:val="001B24AE"/>
    <w:rsid w:val="001B38F3"/>
    <w:rsid w:val="001B3DEF"/>
    <w:rsid w:val="001B4C3F"/>
    <w:rsid w:val="001B5E22"/>
    <w:rsid w:val="001B6715"/>
    <w:rsid w:val="001B779A"/>
    <w:rsid w:val="001B79EF"/>
    <w:rsid w:val="001B7F50"/>
    <w:rsid w:val="001C0E4E"/>
    <w:rsid w:val="001C18D4"/>
    <w:rsid w:val="001C1B3B"/>
    <w:rsid w:val="001C28D0"/>
    <w:rsid w:val="001C3879"/>
    <w:rsid w:val="001C6A35"/>
    <w:rsid w:val="001C73D7"/>
    <w:rsid w:val="001D053F"/>
    <w:rsid w:val="001D061D"/>
    <w:rsid w:val="001D0B70"/>
    <w:rsid w:val="001D0DC8"/>
    <w:rsid w:val="001D10E5"/>
    <w:rsid w:val="001D14D4"/>
    <w:rsid w:val="001D2057"/>
    <w:rsid w:val="001D20DC"/>
    <w:rsid w:val="001D385C"/>
    <w:rsid w:val="001D497A"/>
    <w:rsid w:val="001D4C70"/>
    <w:rsid w:val="001D513A"/>
    <w:rsid w:val="001D56B6"/>
    <w:rsid w:val="001D5AC0"/>
    <w:rsid w:val="001D5E68"/>
    <w:rsid w:val="001D6408"/>
    <w:rsid w:val="001D6EBA"/>
    <w:rsid w:val="001D741C"/>
    <w:rsid w:val="001D7631"/>
    <w:rsid w:val="001D7D51"/>
    <w:rsid w:val="001E0CC3"/>
    <w:rsid w:val="001E11B1"/>
    <w:rsid w:val="001E1355"/>
    <w:rsid w:val="001E1C02"/>
    <w:rsid w:val="001E1C84"/>
    <w:rsid w:val="001E2552"/>
    <w:rsid w:val="001E2B49"/>
    <w:rsid w:val="001E31A9"/>
    <w:rsid w:val="001E579F"/>
    <w:rsid w:val="001E701B"/>
    <w:rsid w:val="001E7168"/>
    <w:rsid w:val="001E7653"/>
    <w:rsid w:val="001E7FD0"/>
    <w:rsid w:val="001F076A"/>
    <w:rsid w:val="001F0955"/>
    <w:rsid w:val="001F185B"/>
    <w:rsid w:val="001F1D07"/>
    <w:rsid w:val="001F1F0F"/>
    <w:rsid w:val="001F4D01"/>
    <w:rsid w:val="001F544C"/>
    <w:rsid w:val="001F5BAC"/>
    <w:rsid w:val="001F631E"/>
    <w:rsid w:val="001F7E95"/>
    <w:rsid w:val="00200D7B"/>
    <w:rsid w:val="0020164C"/>
    <w:rsid w:val="00201D05"/>
    <w:rsid w:val="00202BB5"/>
    <w:rsid w:val="00203853"/>
    <w:rsid w:val="0020486E"/>
    <w:rsid w:val="00204FA8"/>
    <w:rsid w:val="00205EE6"/>
    <w:rsid w:val="00207309"/>
    <w:rsid w:val="00207A0E"/>
    <w:rsid w:val="00211FD9"/>
    <w:rsid w:val="00212B1E"/>
    <w:rsid w:val="0021321C"/>
    <w:rsid w:val="0021455A"/>
    <w:rsid w:val="00215623"/>
    <w:rsid w:val="00215834"/>
    <w:rsid w:val="00216E09"/>
    <w:rsid w:val="00221B05"/>
    <w:rsid w:val="0022216C"/>
    <w:rsid w:val="00222241"/>
    <w:rsid w:val="0022228C"/>
    <w:rsid w:val="00222F3C"/>
    <w:rsid w:val="0022460C"/>
    <w:rsid w:val="00224AE8"/>
    <w:rsid w:val="00225E0D"/>
    <w:rsid w:val="00225E34"/>
    <w:rsid w:val="002263B1"/>
    <w:rsid w:val="00226D8A"/>
    <w:rsid w:val="00226E57"/>
    <w:rsid w:val="0022702D"/>
    <w:rsid w:val="00227748"/>
    <w:rsid w:val="00230AA7"/>
    <w:rsid w:val="00233615"/>
    <w:rsid w:val="00234219"/>
    <w:rsid w:val="0023549A"/>
    <w:rsid w:val="002356C7"/>
    <w:rsid w:val="00236A43"/>
    <w:rsid w:val="00236CC0"/>
    <w:rsid w:val="00237948"/>
    <w:rsid w:val="00240C50"/>
    <w:rsid w:val="0024110D"/>
    <w:rsid w:val="002414C6"/>
    <w:rsid w:val="00241597"/>
    <w:rsid w:val="002416AA"/>
    <w:rsid w:val="00242D77"/>
    <w:rsid w:val="00243171"/>
    <w:rsid w:val="00243855"/>
    <w:rsid w:val="00243A00"/>
    <w:rsid w:val="00244027"/>
    <w:rsid w:val="002464E2"/>
    <w:rsid w:val="002465DC"/>
    <w:rsid w:val="002473D6"/>
    <w:rsid w:val="00247E13"/>
    <w:rsid w:val="002506B7"/>
    <w:rsid w:val="002509C3"/>
    <w:rsid w:val="00251437"/>
    <w:rsid w:val="002515DE"/>
    <w:rsid w:val="002524DD"/>
    <w:rsid w:val="00253FE7"/>
    <w:rsid w:val="00254381"/>
    <w:rsid w:val="002543E2"/>
    <w:rsid w:val="00256908"/>
    <w:rsid w:val="00257285"/>
    <w:rsid w:val="00257973"/>
    <w:rsid w:val="00257E98"/>
    <w:rsid w:val="00260005"/>
    <w:rsid w:val="002603A2"/>
    <w:rsid w:val="00260490"/>
    <w:rsid w:val="00260D14"/>
    <w:rsid w:val="002613E1"/>
    <w:rsid w:val="00262678"/>
    <w:rsid w:val="002632A5"/>
    <w:rsid w:val="00263712"/>
    <w:rsid w:val="00263756"/>
    <w:rsid w:val="00264EAB"/>
    <w:rsid w:val="002657B7"/>
    <w:rsid w:val="00266E1C"/>
    <w:rsid w:val="00266E54"/>
    <w:rsid w:val="00267027"/>
    <w:rsid w:val="00267490"/>
    <w:rsid w:val="002711D4"/>
    <w:rsid w:val="0027224F"/>
    <w:rsid w:val="0027238B"/>
    <w:rsid w:val="0027336C"/>
    <w:rsid w:val="002734DE"/>
    <w:rsid w:val="002743CA"/>
    <w:rsid w:val="00274D91"/>
    <w:rsid w:val="00274FA8"/>
    <w:rsid w:val="002752E5"/>
    <w:rsid w:val="00280B6C"/>
    <w:rsid w:val="00281099"/>
    <w:rsid w:val="002829DC"/>
    <w:rsid w:val="0028314C"/>
    <w:rsid w:val="002838AF"/>
    <w:rsid w:val="00283D6B"/>
    <w:rsid w:val="00283DBB"/>
    <w:rsid w:val="00283F02"/>
    <w:rsid w:val="00285AED"/>
    <w:rsid w:val="00286958"/>
    <w:rsid w:val="00287B4A"/>
    <w:rsid w:val="00290825"/>
    <w:rsid w:val="00291A78"/>
    <w:rsid w:val="00291E8E"/>
    <w:rsid w:val="002923AD"/>
    <w:rsid w:val="002931B0"/>
    <w:rsid w:val="00293957"/>
    <w:rsid w:val="002941B7"/>
    <w:rsid w:val="00295059"/>
    <w:rsid w:val="002950E5"/>
    <w:rsid w:val="002961D7"/>
    <w:rsid w:val="00296500"/>
    <w:rsid w:val="002A00C5"/>
    <w:rsid w:val="002A049C"/>
    <w:rsid w:val="002A157F"/>
    <w:rsid w:val="002A15C6"/>
    <w:rsid w:val="002A1CD1"/>
    <w:rsid w:val="002A1F50"/>
    <w:rsid w:val="002A46D7"/>
    <w:rsid w:val="002A4DF9"/>
    <w:rsid w:val="002A4FF8"/>
    <w:rsid w:val="002A5C93"/>
    <w:rsid w:val="002A750D"/>
    <w:rsid w:val="002A7FD6"/>
    <w:rsid w:val="002B07AF"/>
    <w:rsid w:val="002B0A3D"/>
    <w:rsid w:val="002B0A58"/>
    <w:rsid w:val="002B0E2F"/>
    <w:rsid w:val="002B1EB8"/>
    <w:rsid w:val="002B2080"/>
    <w:rsid w:val="002B5695"/>
    <w:rsid w:val="002B6541"/>
    <w:rsid w:val="002B67B5"/>
    <w:rsid w:val="002B6CE5"/>
    <w:rsid w:val="002B6D23"/>
    <w:rsid w:val="002B6D54"/>
    <w:rsid w:val="002B7F8D"/>
    <w:rsid w:val="002C0F7B"/>
    <w:rsid w:val="002C135C"/>
    <w:rsid w:val="002C1473"/>
    <w:rsid w:val="002C1CC3"/>
    <w:rsid w:val="002C1FD8"/>
    <w:rsid w:val="002C28DA"/>
    <w:rsid w:val="002C31B0"/>
    <w:rsid w:val="002C37DE"/>
    <w:rsid w:val="002C457E"/>
    <w:rsid w:val="002C460B"/>
    <w:rsid w:val="002C4667"/>
    <w:rsid w:val="002C48F5"/>
    <w:rsid w:val="002C4F07"/>
    <w:rsid w:val="002C4F2B"/>
    <w:rsid w:val="002C6E4C"/>
    <w:rsid w:val="002C76F1"/>
    <w:rsid w:val="002C7CC8"/>
    <w:rsid w:val="002D1EC6"/>
    <w:rsid w:val="002D2231"/>
    <w:rsid w:val="002D2897"/>
    <w:rsid w:val="002D3D61"/>
    <w:rsid w:val="002D4331"/>
    <w:rsid w:val="002D6D9E"/>
    <w:rsid w:val="002D6FBB"/>
    <w:rsid w:val="002D7164"/>
    <w:rsid w:val="002E09AD"/>
    <w:rsid w:val="002E0DF1"/>
    <w:rsid w:val="002E1F06"/>
    <w:rsid w:val="002E339E"/>
    <w:rsid w:val="002E4AD1"/>
    <w:rsid w:val="002E5701"/>
    <w:rsid w:val="002E5DC0"/>
    <w:rsid w:val="002E6C78"/>
    <w:rsid w:val="002E731C"/>
    <w:rsid w:val="002E7F1D"/>
    <w:rsid w:val="002F1502"/>
    <w:rsid w:val="002F195C"/>
    <w:rsid w:val="002F1BAD"/>
    <w:rsid w:val="002F29D9"/>
    <w:rsid w:val="002F2F9B"/>
    <w:rsid w:val="002F40FA"/>
    <w:rsid w:val="002F4572"/>
    <w:rsid w:val="002F4739"/>
    <w:rsid w:val="002F4C41"/>
    <w:rsid w:val="002F522A"/>
    <w:rsid w:val="002F55F0"/>
    <w:rsid w:val="002F5F01"/>
    <w:rsid w:val="002F6A69"/>
    <w:rsid w:val="002F6CCA"/>
    <w:rsid w:val="003008A5"/>
    <w:rsid w:val="00300FD2"/>
    <w:rsid w:val="00301DF0"/>
    <w:rsid w:val="003021EB"/>
    <w:rsid w:val="00302B3C"/>
    <w:rsid w:val="0030324F"/>
    <w:rsid w:val="003039F7"/>
    <w:rsid w:val="003052FE"/>
    <w:rsid w:val="003058AC"/>
    <w:rsid w:val="00306EFA"/>
    <w:rsid w:val="003121D9"/>
    <w:rsid w:val="0031273C"/>
    <w:rsid w:val="003130B9"/>
    <w:rsid w:val="0031373C"/>
    <w:rsid w:val="0031381E"/>
    <w:rsid w:val="00313A71"/>
    <w:rsid w:val="00313ABA"/>
    <w:rsid w:val="00314D09"/>
    <w:rsid w:val="00314F7B"/>
    <w:rsid w:val="0031509C"/>
    <w:rsid w:val="00315B3F"/>
    <w:rsid w:val="00316971"/>
    <w:rsid w:val="00316F6D"/>
    <w:rsid w:val="003179C4"/>
    <w:rsid w:val="00317D73"/>
    <w:rsid w:val="00320F8C"/>
    <w:rsid w:val="003222CD"/>
    <w:rsid w:val="003223EF"/>
    <w:rsid w:val="00322B38"/>
    <w:rsid w:val="00323074"/>
    <w:rsid w:val="003256A5"/>
    <w:rsid w:val="00325F50"/>
    <w:rsid w:val="00325FEE"/>
    <w:rsid w:val="00326577"/>
    <w:rsid w:val="003266CF"/>
    <w:rsid w:val="00326A66"/>
    <w:rsid w:val="00327334"/>
    <w:rsid w:val="00327388"/>
    <w:rsid w:val="00327AF7"/>
    <w:rsid w:val="00327DBE"/>
    <w:rsid w:val="00330166"/>
    <w:rsid w:val="00331006"/>
    <w:rsid w:val="0033101B"/>
    <w:rsid w:val="00334FAC"/>
    <w:rsid w:val="00335C57"/>
    <w:rsid w:val="00336BD4"/>
    <w:rsid w:val="003373A5"/>
    <w:rsid w:val="00337DC8"/>
    <w:rsid w:val="00341FF7"/>
    <w:rsid w:val="0034333A"/>
    <w:rsid w:val="00344585"/>
    <w:rsid w:val="0034521D"/>
    <w:rsid w:val="0034728C"/>
    <w:rsid w:val="003476C0"/>
    <w:rsid w:val="003517BE"/>
    <w:rsid w:val="00351E0D"/>
    <w:rsid w:val="00354A95"/>
    <w:rsid w:val="003552AF"/>
    <w:rsid w:val="0035589C"/>
    <w:rsid w:val="003559A0"/>
    <w:rsid w:val="00356160"/>
    <w:rsid w:val="00356B54"/>
    <w:rsid w:val="00357A9C"/>
    <w:rsid w:val="00357DD7"/>
    <w:rsid w:val="00360178"/>
    <w:rsid w:val="003618BE"/>
    <w:rsid w:val="003618DD"/>
    <w:rsid w:val="003622BF"/>
    <w:rsid w:val="00362567"/>
    <w:rsid w:val="00363BFC"/>
    <w:rsid w:val="0036483E"/>
    <w:rsid w:val="0036526E"/>
    <w:rsid w:val="00365964"/>
    <w:rsid w:val="00365999"/>
    <w:rsid w:val="00365A15"/>
    <w:rsid w:val="00370B78"/>
    <w:rsid w:val="00371520"/>
    <w:rsid w:val="00371804"/>
    <w:rsid w:val="00371DCE"/>
    <w:rsid w:val="00372DD0"/>
    <w:rsid w:val="00373B06"/>
    <w:rsid w:val="00373B32"/>
    <w:rsid w:val="00374A51"/>
    <w:rsid w:val="00375731"/>
    <w:rsid w:val="00376CAD"/>
    <w:rsid w:val="003807B1"/>
    <w:rsid w:val="003819A1"/>
    <w:rsid w:val="00381B3A"/>
    <w:rsid w:val="00381C79"/>
    <w:rsid w:val="00382526"/>
    <w:rsid w:val="00384BCD"/>
    <w:rsid w:val="00384C0A"/>
    <w:rsid w:val="00384D4B"/>
    <w:rsid w:val="00384ED1"/>
    <w:rsid w:val="00385966"/>
    <w:rsid w:val="003860D1"/>
    <w:rsid w:val="00386C5B"/>
    <w:rsid w:val="00386F1F"/>
    <w:rsid w:val="00390EF3"/>
    <w:rsid w:val="00391FB4"/>
    <w:rsid w:val="0039289E"/>
    <w:rsid w:val="00392E01"/>
    <w:rsid w:val="00393632"/>
    <w:rsid w:val="00393798"/>
    <w:rsid w:val="003937FB"/>
    <w:rsid w:val="00393B6E"/>
    <w:rsid w:val="0039510E"/>
    <w:rsid w:val="00395DCF"/>
    <w:rsid w:val="0039654E"/>
    <w:rsid w:val="0039704A"/>
    <w:rsid w:val="003A10FE"/>
    <w:rsid w:val="003A16E5"/>
    <w:rsid w:val="003A1D81"/>
    <w:rsid w:val="003A44E3"/>
    <w:rsid w:val="003A4744"/>
    <w:rsid w:val="003A553A"/>
    <w:rsid w:val="003A57A6"/>
    <w:rsid w:val="003A5A67"/>
    <w:rsid w:val="003A7BA4"/>
    <w:rsid w:val="003B1634"/>
    <w:rsid w:val="003B2A8C"/>
    <w:rsid w:val="003B2EA5"/>
    <w:rsid w:val="003B3367"/>
    <w:rsid w:val="003B352E"/>
    <w:rsid w:val="003B37CA"/>
    <w:rsid w:val="003B42B4"/>
    <w:rsid w:val="003B4ADD"/>
    <w:rsid w:val="003B4B0F"/>
    <w:rsid w:val="003B4FFD"/>
    <w:rsid w:val="003B5328"/>
    <w:rsid w:val="003B5DC0"/>
    <w:rsid w:val="003B7310"/>
    <w:rsid w:val="003B7494"/>
    <w:rsid w:val="003C020C"/>
    <w:rsid w:val="003C103D"/>
    <w:rsid w:val="003C29EB"/>
    <w:rsid w:val="003C39A6"/>
    <w:rsid w:val="003C3C26"/>
    <w:rsid w:val="003C50AC"/>
    <w:rsid w:val="003C6F38"/>
    <w:rsid w:val="003C78D9"/>
    <w:rsid w:val="003C7B11"/>
    <w:rsid w:val="003D0CDF"/>
    <w:rsid w:val="003D0F1C"/>
    <w:rsid w:val="003D19F2"/>
    <w:rsid w:val="003D1F58"/>
    <w:rsid w:val="003D25AF"/>
    <w:rsid w:val="003D3377"/>
    <w:rsid w:val="003D547A"/>
    <w:rsid w:val="003D6672"/>
    <w:rsid w:val="003E16C2"/>
    <w:rsid w:val="003E2A83"/>
    <w:rsid w:val="003E3C38"/>
    <w:rsid w:val="003E3EFC"/>
    <w:rsid w:val="003E48FC"/>
    <w:rsid w:val="003E4B31"/>
    <w:rsid w:val="003E4C85"/>
    <w:rsid w:val="003E4DFD"/>
    <w:rsid w:val="003E50BD"/>
    <w:rsid w:val="003E623E"/>
    <w:rsid w:val="003E7310"/>
    <w:rsid w:val="003F015F"/>
    <w:rsid w:val="003F208F"/>
    <w:rsid w:val="003F2621"/>
    <w:rsid w:val="003F2B14"/>
    <w:rsid w:val="003F2E1A"/>
    <w:rsid w:val="003F2E35"/>
    <w:rsid w:val="003F30D0"/>
    <w:rsid w:val="003F3482"/>
    <w:rsid w:val="003F3B64"/>
    <w:rsid w:val="003F529A"/>
    <w:rsid w:val="003F7074"/>
    <w:rsid w:val="003F73B3"/>
    <w:rsid w:val="00400939"/>
    <w:rsid w:val="00401343"/>
    <w:rsid w:val="00401500"/>
    <w:rsid w:val="00401610"/>
    <w:rsid w:val="0040183C"/>
    <w:rsid w:val="004021AA"/>
    <w:rsid w:val="00404626"/>
    <w:rsid w:val="00404701"/>
    <w:rsid w:val="00407A3C"/>
    <w:rsid w:val="004105B9"/>
    <w:rsid w:val="004107EE"/>
    <w:rsid w:val="00413030"/>
    <w:rsid w:val="0041340E"/>
    <w:rsid w:val="0041372E"/>
    <w:rsid w:val="00413DD5"/>
    <w:rsid w:val="00413ED3"/>
    <w:rsid w:val="00414D33"/>
    <w:rsid w:val="0041503D"/>
    <w:rsid w:val="0041529D"/>
    <w:rsid w:val="00416125"/>
    <w:rsid w:val="00416B44"/>
    <w:rsid w:val="00417E51"/>
    <w:rsid w:val="00421BE3"/>
    <w:rsid w:val="004224AA"/>
    <w:rsid w:val="00422CCA"/>
    <w:rsid w:val="00422FC5"/>
    <w:rsid w:val="00423D61"/>
    <w:rsid w:val="004242CC"/>
    <w:rsid w:val="00424847"/>
    <w:rsid w:val="00424BD7"/>
    <w:rsid w:val="00424D04"/>
    <w:rsid w:val="004266D0"/>
    <w:rsid w:val="00426CD3"/>
    <w:rsid w:val="00426EED"/>
    <w:rsid w:val="00427401"/>
    <w:rsid w:val="0042745D"/>
    <w:rsid w:val="0043071C"/>
    <w:rsid w:val="0043141F"/>
    <w:rsid w:val="00431B6F"/>
    <w:rsid w:val="00431E2A"/>
    <w:rsid w:val="00431F8B"/>
    <w:rsid w:val="004322D7"/>
    <w:rsid w:val="00433BAF"/>
    <w:rsid w:val="00433F3B"/>
    <w:rsid w:val="00440289"/>
    <w:rsid w:val="004405D1"/>
    <w:rsid w:val="0044064F"/>
    <w:rsid w:val="00440C6F"/>
    <w:rsid w:val="00441D36"/>
    <w:rsid w:val="00441EC8"/>
    <w:rsid w:val="00442842"/>
    <w:rsid w:val="00442B29"/>
    <w:rsid w:val="0044309F"/>
    <w:rsid w:val="00443703"/>
    <w:rsid w:val="00444186"/>
    <w:rsid w:val="00444619"/>
    <w:rsid w:val="00445B3D"/>
    <w:rsid w:val="004463E6"/>
    <w:rsid w:val="00446712"/>
    <w:rsid w:val="004476B3"/>
    <w:rsid w:val="00451181"/>
    <w:rsid w:val="00452A39"/>
    <w:rsid w:val="00454A26"/>
    <w:rsid w:val="00454BD7"/>
    <w:rsid w:val="00454F2F"/>
    <w:rsid w:val="00455F2C"/>
    <w:rsid w:val="0045640B"/>
    <w:rsid w:val="004607BD"/>
    <w:rsid w:val="00460C70"/>
    <w:rsid w:val="00460DBA"/>
    <w:rsid w:val="004621F0"/>
    <w:rsid w:val="00463121"/>
    <w:rsid w:val="00464391"/>
    <w:rsid w:val="00464630"/>
    <w:rsid w:val="00465533"/>
    <w:rsid w:val="00466EC2"/>
    <w:rsid w:val="00467724"/>
    <w:rsid w:val="00470179"/>
    <w:rsid w:val="00470864"/>
    <w:rsid w:val="00471823"/>
    <w:rsid w:val="00472CF0"/>
    <w:rsid w:val="00472DDE"/>
    <w:rsid w:val="00473064"/>
    <w:rsid w:val="00474333"/>
    <w:rsid w:val="004754B8"/>
    <w:rsid w:val="00475EB5"/>
    <w:rsid w:val="00476EC4"/>
    <w:rsid w:val="00477C83"/>
    <w:rsid w:val="0048007A"/>
    <w:rsid w:val="00480ED8"/>
    <w:rsid w:val="00482D47"/>
    <w:rsid w:val="00483BBC"/>
    <w:rsid w:val="004857C1"/>
    <w:rsid w:val="00485ED3"/>
    <w:rsid w:val="00485F1E"/>
    <w:rsid w:val="00485F1F"/>
    <w:rsid w:val="004866B0"/>
    <w:rsid w:val="004869A4"/>
    <w:rsid w:val="00486C45"/>
    <w:rsid w:val="00491D93"/>
    <w:rsid w:val="00492C74"/>
    <w:rsid w:val="00495278"/>
    <w:rsid w:val="00495EA0"/>
    <w:rsid w:val="004961C5"/>
    <w:rsid w:val="00497BA6"/>
    <w:rsid w:val="00497C33"/>
    <w:rsid w:val="00497F00"/>
    <w:rsid w:val="004A170A"/>
    <w:rsid w:val="004A19B9"/>
    <w:rsid w:val="004A1B37"/>
    <w:rsid w:val="004A1DF7"/>
    <w:rsid w:val="004A53AE"/>
    <w:rsid w:val="004A5825"/>
    <w:rsid w:val="004A5EF4"/>
    <w:rsid w:val="004A651C"/>
    <w:rsid w:val="004A68B2"/>
    <w:rsid w:val="004A6C2F"/>
    <w:rsid w:val="004A6EDE"/>
    <w:rsid w:val="004A7409"/>
    <w:rsid w:val="004A7891"/>
    <w:rsid w:val="004B04E6"/>
    <w:rsid w:val="004B165D"/>
    <w:rsid w:val="004B1C28"/>
    <w:rsid w:val="004B1ECB"/>
    <w:rsid w:val="004B254F"/>
    <w:rsid w:val="004B2D83"/>
    <w:rsid w:val="004B414C"/>
    <w:rsid w:val="004B4336"/>
    <w:rsid w:val="004B62C6"/>
    <w:rsid w:val="004B6C8D"/>
    <w:rsid w:val="004B6F10"/>
    <w:rsid w:val="004B7B53"/>
    <w:rsid w:val="004C093A"/>
    <w:rsid w:val="004C2B22"/>
    <w:rsid w:val="004C2D27"/>
    <w:rsid w:val="004C3128"/>
    <w:rsid w:val="004C318C"/>
    <w:rsid w:val="004C4203"/>
    <w:rsid w:val="004C4D05"/>
    <w:rsid w:val="004C517F"/>
    <w:rsid w:val="004C5568"/>
    <w:rsid w:val="004C5D34"/>
    <w:rsid w:val="004C6752"/>
    <w:rsid w:val="004C6E49"/>
    <w:rsid w:val="004C6FBF"/>
    <w:rsid w:val="004C7CB2"/>
    <w:rsid w:val="004C7DEA"/>
    <w:rsid w:val="004C7E36"/>
    <w:rsid w:val="004D00EA"/>
    <w:rsid w:val="004D01B2"/>
    <w:rsid w:val="004D16E3"/>
    <w:rsid w:val="004D2B82"/>
    <w:rsid w:val="004D4B8B"/>
    <w:rsid w:val="004D5E6F"/>
    <w:rsid w:val="004D6264"/>
    <w:rsid w:val="004D7E2B"/>
    <w:rsid w:val="004D7F37"/>
    <w:rsid w:val="004E1185"/>
    <w:rsid w:val="004E1B4E"/>
    <w:rsid w:val="004E2589"/>
    <w:rsid w:val="004E2CAD"/>
    <w:rsid w:val="004E3B2C"/>
    <w:rsid w:val="004E45CE"/>
    <w:rsid w:val="004E5DB1"/>
    <w:rsid w:val="004E65B5"/>
    <w:rsid w:val="004E6FA5"/>
    <w:rsid w:val="004E7708"/>
    <w:rsid w:val="004F0020"/>
    <w:rsid w:val="004F1A01"/>
    <w:rsid w:val="004F2A41"/>
    <w:rsid w:val="004F478A"/>
    <w:rsid w:val="004F5125"/>
    <w:rsid w:val="004F5FF4"/>
    <w:rsid w:val="004F6D07"/>
    <w:rsid w:val="004F75A7"/>
    <w:rsid w:val="004F7C08"/>
    <w:rsid w:val="00501318"/>
    <w:rsid w:val="005015E2"/>
    <w:rsid w:val="00502021"/>
    <w:rsid w:val="00502E0F"/>
    <w:rsid w:val="00503769"/>
    <w:rsid w:val="005038F1"/>
    <w:rsid w:val="00504FDD"/>
    <w:rsid w:val="005050C6"/>
    <w:rsid w:val="00505399"/>
    <w:rsid w:val="00505DFE"/>
    <w:rsid w:val="0050681B"/>
    <w:rsid w:val="00506A94"/>
    <w:rsid w:val="00506E90"/>
    <w:rsid w:val="00512155"/>
    <w:rsid w:val="00513194"/>
    <w:rsid w:val="00513880"/>
    <w:rsid w:val="005138BB"/>
    <w:rsid w:val="00513EC6"/>
    <w:rsid w:val="00514274"/>
    <w:rsid w:val="005142C5"/>
    <w:rsid w:val="00514AEC"/>
    <w:rsid w:val="00515503"/>
    <w:rsid w:val="0051683D"/>
    <w:rsid w:val="0051797D"/>
    <w:rsid w:val="00517A80"/>
    <w:rsid w:val="005204AC"/>
    <w:rsid w:val="00521E03"/>
    <w:rsid w:val="005229E2"/>
    <w:rsid w:val="00523160"/>
    <w:rsid w:val="00523383"/>
    <w:rsid w:val="00523BDF"/>
    <w:rsid w:val="005255DB"/>
    <w:rsid w:val="00525747"/>
    <w:rsid w:val="00525CDE"/>
    <w:rsid w:val="00526AA6"/>
    <w:rsid w:val="00526CE0"/>
    <w:rsid w:val="005275E7"/>
    <w:rsid w:val="00530704"/>
    <w:rsid w:val="00530B35"/>
    <w:rsid w:val="00532B3F"/>
    <w:rsid w:val="0053302F"/>
    <w:rsid w:val="005330E3"/>
    <w:rsid w:val="00534516"/>
    <w:rsid w:val="00534968"/>
    <w:rsid w:val="00534A19"/>
    <w:rsid w:val="00534C44"/>
    <w:rsid w:val="00535837"/>
    <w:rsid w:val="00535FDF"/>
    <w:rsid w:val="0053667D"/>
    <w:rsid w:val="00541505"/>
    <w:rsid w:val="005417AF"/>
    <w:rsid w:val="00542D60"/>
    <w:rsid w:val="00542F64"/>
    <w:rsid w:val="00543F81"/>
    <w:rsid w:val="0054422B"/>
    <w:rsid w:val="00544787"/>
    <w:rsid w:val="00544E8C"/>
    <w:rsid w:val="005451E8"/>
    <w:rsid w:val="005464D0"/>
    <w:rsid w:val="0054711B"/>
    <w:rsid w:val="00550558"/>
    <w:rsid w:val="00550C08"/>
    <w:rsid w:val="00550C94"/>
    <w:rsid w:val="0055107D"/>
    <w:rsid w:val="005511E4"/>
    <w:rsid w:val="00552038"/>
    <w:rsid w:val="005521DF"/>
    <w:rsid w:val="00554E78"/>
    <w:rsid w:val="005550F4"/>
    <w:rsid w:val="00556631"/>
    <w:rsid w:val="00557932"/>
    <w:rsid w:val="00557B83"/>
    <w:rsid w:val="005604BD"/>
    <w:rsid w:val="00562B52"/>
    <w:rsid w:val="005636F3"/>
    <w:rsid w:val="00563B9B"/>
    <w:rsid w:val="00563CD2"/>
    <w:rsid w:val="00564948"/>
    <w:rsid w:val="00565FBD"/>
    <w:rsid w:val="00567F7A"/>
    <w:rsid w:val="00567F9F"/>
    <w:rsid w:val="005707D0"/>
    <w:rsid w:val="0057095B"/>
    <w:rsid w:val="005709DF"/>
    <w:rsid w:val="005717C1"/>
    <w:rsid w:val="00571F1E"/>
    <w:rsid w:val="00572F44"/>
    <w:rsid w:val="00573963"/>
    <w:rsid w:val="00573A96"/>
    <w:rsid w:val="00574284"/>
    <w:rsid w:val="00574E3B"/>
    <w:rsid w:val="00575468"/>
    <w:rsid w:val="00575B29"/>
    <w:rsid w:val="00575F1B"/>
    <w:rsid w:val="00576F32"/>
    <w:rsid w:val="005774E6"/>
    <w:rsid w:val="00577E2D"/>
    <w:rsid w:val="0058063B"/>
    <w:rsid w:val="005806A0"/>
    <w:rsid w:val="0058074B"/>
    <w:rsid w:val="00580D07"/>
    <w:rsid w:val="00580E52"/>
    <w:rsid w:val="0058145A"/>
    <w:rsid w:val="00581ACB"/>
    <w:rsid w:val="00582246"/>
    <w:rsid w:val="0058397B"/>
    <w:rsid w:val="00584789"/>
    <w:rsid w:val="00585263"/>
    <w:rsid w:val="00585A07"/>
    <w:rsid w:val="00585F3E"/>
    <w:rsid w:val="00586EE9"/>
    <w:rsid w:val="00590A12"/>
    <w:rsid w:val="005916A9"/>
    <w:rsid w:val="005916B7"/>
    <w:rsid w:val="00591D33"/>
    <w:rsid w:val="00592263"/>
    <w:rsid w:val="00592550"/>
    <w:rsid w:val="00592A96"/>
    <w:rsid w:val="00593A58"/>
    <w:rsid w:val="00595107"/>
    <w:rsid w:val="00595344"/>
    <w:rsid w:val="00595681"/>
    <w:rsid w:val="0059575D"/>
    <w:rsid w:val="005965B6"/>
    <w:rsid w:val="00596853"/>
    <w:rsid w:val="005A028D"/>
    <w:rsid w:val="005A05B8"/>
    <w:rsid w:val="005A0B14"/>
    <w:rsid w:val="005A1996"/>
    <w:rsid w:val="005A1D39"/>
    <w:rsid w:val="005A20F0"/>
    <w:rsid w:val="005A2CA5"/>
    <w:rsid w:val="005A2FD5"/>
    <w:rsid w:val="005A2FEB"/>
    <w:rsid w:val="005A375F"/>
    <w:rsid w:val="005A690E"/>
    <w:rsid w:val="005A6AE4"/>
    <w:rsid w:val="005A6CCF"/>
    <w:rsid w:val="005B03CE"/>
    <w:rsid w:val="005B0A9E"/>
    <w:rsid w:val="005B169B"/>
    <w:rsid w:val="005B1F84"/>
    <w:rsid w:val="005B2940"/>
    <w:rsid w:val="005B3506"/>
    <w:rsid w:val="005B38F2"/>
    <w:rsid w:val="005B3B1D"/>
    <w:rsid w:val="005B48F5"/>
    <w:rsid w:val="005B4F70"/>
    <w:rsid w:val="005B5AC0"/>
    <w:rsid w:val="005B5B4A"/>
    <w:rsid w:val="005B627F"/>
    <w:rsid w:val="005B669A"/>
    <w:rsid w:val="005C00E7"/>
    <w:rsid w:val="005C20A6"/>
    <w:rsid w:val="005C20F4"/>
    <w:rsid w:val="005C2142"/>
    <w:rsid w:val="005C3CDB"/>
    <w:rsid w:val="005C3D89"/>
    <w:rsid w:val="005C3E14"/>
    <w:rsid w:val="005C4865"/>
    <w:rsid w:val="005C50B7"/>
    <w:rsid w:val="005C574D"/>
    <w:rsid w:val="005C6BD5"/>
    <w:rsid w:val="005C7478"/>
    <w:rsid w:val="005D083B"/>
    <w:rsid w:val="005D0853"/>
    <w:rsid w:val="005D1AF5"/>
    <w:rsid w:val="005D1B0D"/>
    <w:rsid w:val="005D1B25"/>
    <w:rsid w:val="005D1E5A"/>
    <w:rsid w:val="005D25EF"/>
    <w:rsid w:val="005D2637"/>
    <w:rsid w:val="005D3DB2"/>
    <w:rsid w:val="005D4505"/>
    <w:rsid w:val="005D4FB2"/>
    <w:rsid w:val="005D54AA"/>
    <w:rsid w:val="005D60E0"/>
    <w:rsid w:val="005E13B6"/>
    <w:rsid w:val="005E17C6"/>
    <w:rsid w:val="005E1901"/>
    <w:rsid w:val="005E252A"/>
    <w:rsid w:val="005E2A17"/>
    <w:rsid w:val="005E32A4"/>
    <w:rsid w:val="005E35E0"/>
    <w:rsid w:val="005E3A87"/>
    <w:rsid w:val="005E5372"/>
    <w:rsid w:val="005E5890"/>
    <w:rsid w:val="005E60F6"/>
    <w:rsid w:val="005E6DFD"/>
    <w:rsid w:val="005E72C8"/>
    <w:rsid w:val="005E72D9"/>
    <w:rsid w:val="005E7BD2"/>
    <w:rsid w:val="005F01A2"/>
    <w:rsid w:val="005F0F79"/>
    <w:rsid w:val="005F3E31"/>
    <w:rsid w:val="005F409A"/>
    <w:rsid w:val="005F430F"/>
    <w:rsid w:val="005F5048"/>
    <w:rsid w:val="005F608E"/>
    <w:rsid w:val="005F707B"/>
    <w:rsid w:val="005F73EF"/>
    <w:rsid w:val="005F7A3F"/>
    <w:rsid w:val="006008C7"/>
    <w:rsid w:val="0060173A"/>
    <w:rsid w:val="00601C94"/>
    <w:rsid w:val="00602142"/>
    <w:rsid w:val="006021D8"/>
    <w:rsid w:val="00602565"/>
    <w:rsid w:val="00603454"/>
    <w:rsid w:val="00603940"/>
    <w:rsid w:val="00604710"/>
    <w:rsid w:val="00604774"/>
    <w:rsid w:val="00604EF5"/>
    <w:rsid w:val="006061D4"/>
    <w:rsid w:val="006065FB"/>
    <w:rsid w:val="00607529"/>
    <w:rsid w:val="006103AC"/>
    <w:rsid w:val="0061056F"/>
    <w:rsid w:val="0061155B"/>
    <w:rsid w:val="006115D4"/>
    <w:rsid w:val="00611A34"/>
    <w:rsid w:val="00613F00"/>
    <w:rsid w:val="00614DF6"/>
    <w:rsid w:val="00614F0B"/>
    <w:rsid w:val="0061612E"/>
    <w:rsid w:val="006162CA"/>
    <w:rsid w:val="00616565"/>
    <w:rsid w:val="00617FF9"/>
    <w:rsid w:val="00620222"/>
    <w:rsid w:val="0062025C"/>
    <w:rsid w:val="00620F48"/>
    <w:rsid w:val="006211BE"/>
    <w:rsid w:val="006222A2"/>
    <w:rsid w:val="0062348A"/>
    <w:rsid w:val="00623F76"/>
    <w:rsid w:val="0062430B"/>
    <w:rsid w:val="006250F8"/>
    <w:rsid w:val="0062622D"/>
    <w:rsid w:val="0062632C"/>
    <w:rsid w:val="00627D29"/>
    <w:rsid w:val="00627DDB"/>
    <w:rsid w:val="0063035A"/>
    <w:rsid w:val="00630CD4"/>
    <w:rsid w:val="0063182E"/>
    <w:rsid w:val="006319EF"/>
    <w:rsid w:val="00631FA3"/>
    <w:rsid w:val="0063203E"/>
    <w:rsid w:val="00632875"/>
    <w:rsid w:val="00634799"/>
    <w:rsid w:val="00635016"/>
    <w:rsid w:val="0063547E"/>
    <w:rsid w:val="00635D68"/>
    <w:rsid w:val="006364D1"/>
    <w:rsid w:val="006366B1"/>
    <w:rsid w:val="00637B31"/>
    <w:rsid w:val="006405B3"/>
    <w:rsid w:val="006405ED"/>
    <w:rsid w:val="006409FA"/>
    <w:rsid w:val="00640A1F"/>
    <w:rsid w:val="00640F02"/>
    <w:rsid w:val="006411B0"/>
    <w:rsid w:val="00641486"/>
    <w:rsid w:val="006415D6"/>
    <w:rsid w:val="00641983"/>
    <w:rsid w:val="00641EB9"/>
    <w:rsid w:val="00642FCC"/>
    <w:rsid w:val="00644005"/>
    <w:rsid w:val="0064425D"/>
    <w:rsid w:val="006457A7"/>
    <w:rsid w:val="006459A2"/>
    <w:rsid w:val="00646461"/>
    <w:rsid w:val="00646A32"/>
    <w:rsid w:val="00647053"/>
    <w:rsid w:val="0064712D"/>
    <w:rsid w:val="00647BE9"/>
    <w:rsid w:val="006502A5"/>
    <w:rsid w:val="00650FB6"/>
    <w:rsid w:val="00651008"/>
    <w:rsid w:val="0065222B"/>
    <w:rsid w:val="0065273D"/>
    <w:rsid w:val="00652BFA"/>
    <w:rsid w:val="00652F9D"/>
    <w:rsid w:val="0065563A"/>
    <w:rsid w:val="00656258"/>
    <w:rsid w:val="006610EA"/>
    <w:rsid w:val="00661470"/>
    <w:rsid w:val="00661B45"/>
    <w:rsid w:val="00662502"/>
    <w:rsid w:val="006627FE"/>
    <w:rsid w:val="00662C3F"/>
    <w:rsid w:val="0066338B"/>
    <w:rsid w:val="0066424D"/>
    <w:rsid w:val="0066469A"/>
    <w:rsid w:val="00665792"/>
    <w:rsid w:val="00666E87"/>
    <w:rsid w:val="00667512"/>
    <w:rsid w:val="00667B72"/>
    <w:rsid w:val="00670029"/>
    <w:rsid w:val="00670A65"/>
    <w:rsid w:val="006710D6"/>
    <w:rsid w:val="0067305F"/>
    <w:rsid w:val="006736CD"/>
    <w:rsid w:val="00673B98"/>
    <w:rsid w:val="006740BA"/>
    <w:rsid w:val="006761F6"/>
    <w:rsid w:val="0067708E"/>
    <w:rsid w:val="00677939"/>
    <w:rsid w:val="00680808"/>
    <w:rsid w:val="006829E9"/>
    <w:rsid w:val="00682FA2"/>
    <w:rsid w:val="00684295"/>
    <w:rsid w:val="00684D3B"/>
    <w:rsid w:val="0068548A"/>
    <w:rsid w:val="00685CFD"/>
    <w:rsid w:val="00687334"/>
    <w:rsid w:val="006906AC"/>
    <w:rsid w:val="0069084C"/>
    <w:rsid w:val="00690913"/>
    <w:rsid w:val="00690E48"/>
    <w:rsid w:val="00691FBD"/>
    <w:rsid w:val="00692E93"/>
    <w:rsid w:val="00693CAA"/>
    <w:rsid w:val="006946D6"/>
    <w:rsid w:val="006950EC"/>
    <w:rsid w:val="00696064"/>
    <w:rsid w:val="006977BE"/>
    <w:rsid w:val="0069781D"/>
    <w:rsid w:val="006A11B7"/>
    <w:rsid w:val="006A12CD"/>
    <w:rsid w:val="006A1B28"/>
    <w:rsid w:val="006A1E04"/>
    <w:rsid w:val="006A27A6"/>
    <w:rsid w:val="006A3261"/>
    <w:rsid w:val="006A3E2F"/>
    <w:rsid w:val="006A6480"/>
    <w:rsid w:val="006A7B6D"/>
    <w:rsid w:val="006B0345"/>
    <w:rsid w:val="006B0553"/>
    <w:rsid w:val="006B087A"/>
    <w:rsid w:val="006B249C"/>
    <w:rsid w:val="006B2FA8"/>
    <w:rsid w:val="006B39DF"/>
    <w:rsid w:val="006B55AB"/>
    <w:rsid w:val="006B5F18"/>
    <w:rsid w:val="006B6C26"/>
    <w:rsid w:val="006B6F9F"/>
    <w:rsid w:val="006C0306"/>
    <w:rsid w:val="006C0CD3"/>
    <w:rsid w:val="006C1201"/>
    <w:rsid w:val="006C1411"/>
    <w:rsid w:val="006C1609"/>
    <w:rsid w:val="006C35A5"/>
    <w:rsid w:val="006C372B"/>
    <w:rsid w:val="006C37B4"/>
    <w:rsid w:val="006C5371"/>
    <w:rsid w:val="006C58FB"/>
    <w:rsid w:val="006C59E9"/>
    <w:rsid w:val="006C7AC8"/>
    <w:rsid w:val="006D13F5"/>
    <w:rsid w:val="006D1652"/>
    <w:rsid w:val="006D1D9F"/>
    <w:rsid w:val="006D208D"/>
    <w:rsid w:val="006D39F9"/>
    <w:rsid w:val="006D3D32"/>
    <w:rsid w:val="006D5064"/>
    <w:rsid w:val="006D56E5"/>
    <w:rsid w:val="006D5B2B"/>
    <w:rsid w:val="006D5B44"/>
    <w:rsid w:val="006D6634"/>
    <w:rsid w:val="006D7A76"/>
    <w:rsid w:val="006D7DAC"/>
    <w:rsid w:val="006E1799"/>
    <w:rsid w:val="006E272E"/>
    <w:rsid w:val="006E30C1"/>
    <w:rsid w:val="006E3681"/>
    <w:rsid w:val="006E3BCD"/>
    <w:rsid w:val="006E4A31"/>
    <w:rsid w:val="006E4C28"/>
    <w:rsid w:val="006E53D4"/>
    <w:rsid w:val="006E59DB"/>
    <w:rsid w:val="006F141C"/>
    <w:rsid w:val="006F25E6"/>
    <w:rsid w:val="006F3370"/>
    <w:rsid w:val="006F3EFE"/>
    <w:rsid w:val="006F4072"/>
    <w:rsid w:val="006F4487"/>
    <w:rsid w:val="006F545E"/>
    <w:rsid w:val="006F54D3"/>
    <w:rsid w:val="006F7DFE"/>
    <w:rsid w:val="00701903"/>
    <w:rsid w:val="00701DEE"/>
    <w:rsid w:val="00702448"/>
    <w:rsid w:val="00702E85"/>
    <w:rsid w:val="00703C86"/>
    <w:rsid w:val="00703DDC"/>
    <w:rsid w:val="0070416A"/>
    <w:rsid w:val="00704CD3"/>
    <w:rsid w:val="007062AF"/>
    <w:rsid w:val="00706425"/>
    <w:rsid w:val="007067A6"/>
    <w:rsid w:val="00706BB9"/>
    <w:rsid w:val="0070775C"/>
    <w:rsid w:val="00707B4E"/>
    <w:rsid w:val="00707F74"/>
    <w:rsid w:val="007101A2"/>
    <w:rsid w:val="00711BE8"/>
    <w:rsid w:val="00713775"/>
    <w:rsid w:val="0071588D"/>
    <w:rsid w:val="00716471"/>
    <w:rsid w:val="007165BD"/>
    <w:rsid w:val="00716A6B"/>
    <w:rsid w:val="007171D1"/>
    <w:rsid w:val="007203D6"/>
    <w:rsid w:val="0072057D"/>
    <w:rsid w:val="00720C88"/>
    <w:rsid w:val="00721762"/>
    <w:rsid w:val="007217C9"/>
    <w:rsid w:val="00721D4B"/>
    <w:rsid w:val="007223B8"/>
    <w:rsid w:val="007226DB"/>
    <w:rsid w:val="0072393E"/>
    <w:rsid w:val="00723DC0"/>
    <w:rsid w:val="00724E3E"/>
    <w:rsid w:val="007253E0"/>
    <w:rsid w:val="0072582D"/>
    <w:rsid w:val="00726776"/>
    <w:rsid w:val="00726907"/>
    <w:rsid w:val="00726A0F"/>
    <w:rsid w:val="00726D0C"/>
    <w:rsid w:val="00726F98"/>
    <w:rsid w:val="00730344"/>
    <w:rsid w:val="007309E9"/>
    <w:rsid w:val="007317EB"/>
    <w:rsid w:val="00732170"/>
    <w:rsid w:val="00732922"/>
    <w:rsid w:val="00732C24"/>
    <w:rsid w:val="00733915"/>
    <w:rsid w:val="007341F9"/>
    <w:rsid w:val="0073459C"/>
    <w:rsid w:val="00734D62"/>
    <w:rsid w:val="00735734"/>
    <w:rsid w:val="007364A4"/>
    <w:rsid w:val="00736E6F"/>
    <w:rsid w:val="007409C8"/>
    <w:rsid w:val="00740A69"/>
    <w:rsid w:val="00741597"/>
    <w:rsid w:val="00741E86"/>
    <w:rsid w:val="00741ECE"/>
    <w:rsid w:val="00742403"/>
    <w:rsid w:val="00742E76"/>
    <w:rsid w:val="00744560"/>
    <w:rsid w:val="007449B0"/>
    <w:rsid w:val="00745250"/>
    <w:rsid w:val="00745292"/>
    <w:rsid w:val="00746DEB"/>
    <w:rsid w:val="007524EA"/>
    <w:rsid w:val="00752AA3"/>
    <w:rsid w:val="00753225"/>
    <w:rsid w:val="0075336D"/>
    <w:rsid w:val="00754217"/>
    <w:rsid w:val="007570B7"/>
    <w:rsid w:val="00757B48"/>
    <w:rsid w:val="00757CB9"/>
    <w:rsid w:val="0076145A"/>
    <w:rsid w:val="007624CB"/>
    <w:rsid w:val="007625BA"/>
    <w:rsid w:val="007634EE"/>
    <w:rsid w:val="00763DAE"/>
    <w:rsid w:val="0076449D"/>
    <w:rsid w:val="007653F4"/>
    <w:rsid w:val="00765909"/>
    <w:rsid w:val="007667E8"/>
    <w:rsid w:val="007703A9"/>
    <w:rsid w:val="00770E76"/>
    <w:rsid w:val="00771140"/>
    <w:rsid w:val="00771814"/>
    <w:rsid w:val="00771D10"/>
    <w:rsid w:val="00771EA0"/>
    <w:rsid w:val="00771FA2"/>
    <w:rsid w:val="0077201A"/>
    <w:rsid w:val="00772065"/>
    <w:rsid w:val="00772938"/>
    <w:rsid w:val="00773565"/>
    <w:rsid w:val="00773A66"/>
    <w:rsid w:val="0077488D"/>
    <w:rsid w:val="00775D50"/>
    <w:rsid w:val="00776E9B"/>
    <w:rsid w:val="00780A98"/>
    <w:rsid w:val="007814F7"/>
    <w:rsid w:val="00781A84"/>
    <w:rsid w:val="007834A2"/>
    <w:rsid w:val="00783E44"/>
    <w:rsid w:val="00784168"/>
    <w:rsid w:val="007847D6"/>
    <w:rsid w:val="00784C92"/>
    <w:rsid w:val="0078528F"/>
    <w:rsid w:val="007863DA"/>
    <w:rsid w:val="00786808"/>
    <w:rsid w:val="0079209E"/>
    <w:rsid w:val="007923F3"/>
    <w:rsid w:val="007929CC"/>
    <w:rsid w:val="0079304F"/>
    <w:rsid w:val="007940B7"/>
    <w:rsid w:val="0079434E"/>
    <w:rsid w:val="00794DD2"/>
    <w:rsid w:val="007959D7"/>
    <w:rsid w:val="00795C80"/>
    <w:rsid w:val="007973A1"/>
    <w:rsid w:val="0079744D"/>
    <w:rsid w:val="007979CA"/>
    <w:rsid w:val="007A057A"/>
    <w:rsid w:val="007A06B1"/>
    <w:rsid w:val="007A08FD"/>
    <w:rsid w:val="007A2DD4"/>
    <w:rsid w:val="007A2F84"/>
    <w:rsid w:val="007A2F90"/>
    <w:rsid w:val="007A3139"/>
    <w:rsid w:val="007A3C86"/>
    <w:rsid w:val="007A502A"/>
    <w:rsid w:val="007A52F4"/>
    <w:rsid w:val="007A76A1"/>
    <w:rsid w:val="007A7DFB"/>
    <w:rsid w:val="007A7FF6"/>
    <w:rsid w:val="007B0118"/>
    <w:rsid w:val="007B1E17"/>
    <w:rsid w:val="007B4620"/>
    <w:rsid w:val="007B6092"/>
    <w:rsid w:val="007B6A7E"/>
    <w:rsid w:val="007B75D3"/>
    <w:rsid w:val="007B7E1E"/>
    <w:rsid w:val="007C0175"/>
    <w:rsid w:val="007C0350"/>
    <w:rsid w:val="007C0D90"/>
    <w:rsid w:val="007C16AB"/>
    <w:rsid w:val="007C319A"/>
    <w:rsid w:val="007C4314"/>
    <w:rsid w:val="007C456C"/>
    <w:rsid w:val="007C534E"/>
    <w:rsid w:val="007C547E"/>
    <w:rsid w:val="007C6D89"/>
    <w:rsid w:val="007C6DE5"/>
    <w:rsid w:val="007C7066"/>
    <w:rsid w:val="007D0953"/>
    <w:rsid w:val="007D19CA"/>
    <w:rsid w:val="007D1F05"/>
    <w:rsid w:val="007D49A0"/>
    <w:rsid w:val="007D4DE3"/>
    <w:rsid w:val="007D58C0"/>
    <w:rsid w:val="007D5E40"/>
    <w:rsid w:val="007D6DA8"/>
    <w:rsid w:val="007D70CD"/>
    <w:rsid w:val="007D75FB"/>
    <w:rsid w:val="007D7FCA"/>
    <w:rsid w:val="007E0500"/>
    <w:rsid w:val="007E0ED4"/>
    <w:rsid w:val="007E10C7"/>
    <w:rsid w:val="007E2C74"/>
    <w:rsid w:val="007E435D"/>
    <w:rsid w:val="007E4661"/>
    <w:rsid w:val="007E5577"/>
    <w:rsid w:val="007E6287"/>
    <w:rsid w:val="007E7DC3"/>
    <w:rsid w:val="007F0D32"/>
    <w:rsid w:val="007F13AE"/>
    <w:rsid w:val="007F1741"/>
    <w:rsid w:val="007F1B50"/>
    <w:rsid w:val="007F2636"/>
    <w:rsid w:val="007F2DBA"/>
    <w:rsid w:val="007F4BE6"/>
    <w:rsid w:val="007F6302"/>
    <w:rsid w:val="007F6619"/>
    <w:rsid w:val="007F6894"/>
    <w:rsid w:val="007F6BF1"/>
    <w:rsid w:val="007F75D4"/>
    <w:rsid w:val="007F7FCA"/>
    <w:rsid w:val="008007A9"/>
    <w:rsid w:val="0080116C"/>
    <w:rsid w:val="008014EC"/>
    <w:rsid w:val="00801525"/>
    <w:rsid w:val="00801C04"/>
    <w:rsid w:val="008024D3"/>
    <w:rsid w:val="008038F2"/>
    <w:rsid w:val="00803CE2"/>
    <w:rsid w:val="00806029"/>
    <w:rsid w:val="00806A51"/>
    <w:rsid w:val="00807074"/>
    <w:rsid w:val="008077E1"/>
    <w:rsid w:val="00807AF9"/>
    <w:rsid w:val="0081005E"/>
    <w:rsid w:val="008100E8"/>
    <w:rsid w:val="00811AB3"/>
    <w:rsid w:val="00812246"/>
    <w:rsid w:val="00812451"/>
    <w:rsid w:val="008132D0"/>
    <w:rsid w:val="0081378B"/>
    <w:rsid w:val="00813B90"/>
    <w:rsid w:val="00813FC1"/>
    <w:rsid w:val="00814B5E"/>
    <w:rsid w:val="00816377"/>
    <w:rsid w:val="00816858"/>
    <w:rsid w:val="00816D0B"/>
    <w:rsid w:val="00821973"/>
    <w:rsid w:val="008219DF"/>
    <w:rsid w:val="00821AF2"/>
    <w:rsid w:val="00821C00"/>
    <w:rsid w:val="00821EFC"/>
    <w:rsid w:val="008233A8"/>
    <w:rsid w:val="00823AF0"/>
    <w:rsid w:val="00824BFD"/>
    <w:rsid w:val="00824D76"/>
    <w:rsid w:val="008257E2"/>
    <w:rsid w:val="0082640A"/>
    <w:rsid w:val="00826CF7"/>
    <w:rsid w:val="00826D50"/>
    <w:rsid w:val="008274C6"/>
    <w:rsid w:val="00827EBE"/>
    <w:rsid w:val="0083043B"/>
    <w:rsid w:val="0083089F"/>
    <w:rsid w:val="008322E3"/>
    <w:rsid w:val="008330DF"/>
    <w:rsid w:val="008349FE"/>
    <w:rsid w:val="00834FBE"/>
    <w:rsid w:val="00835482"/>
    <w:rsid w:val="008369C3"/>
    <w:rsid w:val="0083715B"/>
    <w:rsid w:val="00837BC7"/>
    <w:rsid w:val="00840BC3"/>
    <w:rsid w:val="00840C77"/>
    <w:rsid w:val="00841800"/>
    <w:rsid w:val="00842933"/>
    <w:rsid w:val="00842E1B"/>
    <w:rsid w:val="00843A93"/>
    <w:rsid w:val="00844D4B"/>
    <w:rsid w:val="00844F86"/>
    <w:rsid w:val="00845282"/>
    <w:rsid w:val="00845B1A"/>
    <w:rsid w:val="00845B34"/>
    <w:rsid w:val="00846B39"/>
    <w:rsid w:val="008471F1"/>
    <w:rsid w:val="00847F9A"/>
    <w:rsid w:val="00850E55"/>
    <w:rsid w:val="008523B6"/>
    <w:rsid w:val="008535A2"/>
    <w:rsid w:val="0085388D"/>
    <w:rsid w:val="00854193"/>
    <w:rsid w:val="00855047"/>
    <w:rsid w:val="0085509C"/>
    <w:rsid w:val="008555C8"/>
    <w:rsid w:val="008567C2"/>
    <w:rsid w:val="00857790"/>
    <w:rsid w:val="00857858"/>
    <w:rsid w:val="00857BD6"/>
    <w:rsid w:val="008605E2"/>
    <w:rsid w:val="00860EBB"/>
    <w:rsid w:val="0086261A"/>
    <w:rsid w:val="008630FC"/>
    <w:rsid w:val="008635C1"/>
    <w:rsid w:val="00864DA4"/>
    <w:rsid w:val="00864F0E"/>
    <w:rsid w:val="0086686B"/>
    <w:rsid w:val="00867C32"/>
    <w:rsid w:val="0087035A"/>
    <w:rsid w:val="00870C05"/>
    <w:rsid w:val="00873C71"/>
    <w:rsid w:val="00873CCC"/>
    <w:rsid w:val="008742FB"/>
    <w:rsid w:val="00874D50"/>
    <w:rsid w:val="008778E5"/>
    <w:rsid w:val="00880D9C"/>
    <w:rsid w:val="00881B6C"/>
    <w:rsid w:val="00881D50"/>
    <w:rsid w:val="008820D7"/>
    <w:rsid w:val="00882473"/>
    <w:rsid w:val="00883736"/>
    <w:rsid w:val="00883EFE"/>
    <w:rsid w:val="00883FAB"/>
    <w:rsid w:val="00885D3F"/>
    <w:rsid w:val="00885F7C"/>
    <w:rsid w:val="00886979"/>
    <w:rsid w:val="0088722D"/>
    <w:rsid w:val="00887889"/>
    <w:rsid w:val="008878FB"/>
    <w:rsid w:val="0089057F"/>
    <w:rsid w:val="00891502"/>
    <w:rsid w:val="00892086"/>
    <w:rsid w:val="00892167"/>
    <w:rsid w:val="008929CE"/>
    <w:rsid w:val="00892D10"/>
    <w:rsid w:val="00894011"/>
    <w:rsid w:val="00894418"/>
    <w:rsid w:val="008944CF"/>
    <w:rsid w:val="00895064"/>
    <w:rsid w:val="008958C0"/>
    <w:rsid w:val="008967D8"/>
    <w:rsid w:val="008970EE"/>
    <w:rsid w:val="008A0EC2"/>
    <w:rsid w:val="008A3846"/>
    <w:rsid w:val="008A3C00"/>
    <w:rsid w:val="008A5449"/>
    <w:rsid w:val="008A5706"/>
    <w:rsid w:val="008A5AC0"/>
    <w:rsid w:val="008A5F58"/>
    <w:rsid w:val="008B08B1"/>
    <w:rsid w:val="008B0BA9"/>
    <w:rsid w:val="008B1465"/>
    <w:rsid w:val="008B149B"/>
    <w:rsid w:val="008B1755"/>
    <w:rsid w:val="008B1D05"/>
    <w:rsid w:val="008B1D16"/>
    <w:rsid w:val="008B1F8B"/>
    <w:rsid w:val="008B2089"/>
    <w:rsid w:val="008B21E9"/>
    <w:rsid w:val="008B2F29"/>
    <w:rsid w:val="008B3106"/>
    <w:rsid w:val="008B36B0"/>
    <w:rsid w:val="008B3827"/>
    <w:rsid w:val="008B3CC2"/>
    <w:rsid w:val="008B468B"/>
    <w:rsid w:val="008B4B45"/>
    <w:rsid w:val="008B60E3"/>
    <w:rsid w:val="008B64DB"/>
    <w:rsid w:val="008B7FA4"/>
    <w:rsid w:val="008C1965"/>
    <w:rsid w:val="008C320B"/>
    <w:rsid w:val="008C3650"/>
    <w:rsid w:val="008C3A22"/>
    <w:rsid w:val="008C3E30"/>
    <w:rsid w:val="008C463A"/>
    <w:rsid w:val="008C4C54"/>
    <w:rsid w:val="008C515D"/>
    <w:rsid w:val="008C5454"/>
    <w:rsid w:val="008C5541"/>
    <w:rsid w:val="008C5884"/>
    <w:rsid w:val="008C58D7"/>
    <w:rsid w:val="008C606F"/>
    <w:rsid w:val="008C61AC"/>
    <w:rsid w:val="008C6CFB"/>
    <w:rsid w:val="008C6FF0"/>
    <w:rsid w:val="008C7FC7"/>
    <w:rsid w:val="008D11D0"/>
    <w:rsid w:val="008D24AC"/>
    <w:rsid w:val="008D28BC"/>
    <w:rsid w:val="008D4494"/>
    <w:rsid w:val="008D4BAE"/>
    <w:rsid w:val="008D4FD2"/>
    <w:rsid w:val="008D5795"/>
    <w:rsid w:val="008D6154"/>
    <w:rsid w:val="008D6EEB"/>
    <w:rsid w:val="008D749B"/>
    <w:rsid w:val="008E01EB"/>
    <w:rsid w:val="008E06B0"/>
    <w:rsid w:val="008E1365"/>
    <w:rsid w:val="008E33FE"/>
    <w:rsid w:val="008E42DF"/>
    <w:rsid w:val="008E4F4B"/>
    <w:rsid w:val="008E5023"/>
    <w:rsid w:val="008E5737"/>
    <w:rsid w:val="008E66CF"/>
    <w:rsid w:val="008E7128"/>
    <w:rsid w:val="008E780B"/>
    <w:rsid w:val="008E7B1F"/>
    <w:rsid w:val="008F174C"/>
    <w:rsid w:val="008F223C"/>
    <w:rsid w:val="008F3059"/>
    <w:rsid w:val="008F52CC"/>
    <w:rsid w:val="008F7100"/>
    <w:rsid w:val="008F7BF9"/>
    <w:rsid w:val="009014D5"/>
    <w:rsid w:val="009028AD"/>
    <w:rsid w:val="00902D50"/>
    <w:rsid w:val="00903450"/>
    <w:rsid w:val="009046C5"/>
    <w:rsid w:val="0090521C"/>
    <w:rsid w:val="0090555B"/>
    <w:rsid w:val="00906C8B"/>
    <w:rsid w:val="00906FE9"/>
    <w:rsid w:val="00907A69"/>
    <w:rsid w:val="00910106"/>
    <w:rsid w:val="00910EC3"/>
    <w:rsid w:val="00912128"/>
    <w:rsid w:val="00912946"/>
    <w:rsid w:val="00913626"/>
    <w:rsid w:val="009138D8"/>
    <w:rsid w:val="0091432A"/>
    <w:rsid w:val="00914A0C"/>
    <w:rsid w:val="0091513A"/>
    <w:rsid w:val="0091580C"/>
    <w:rsid w:val="00915F8B"/>
    <w:rsid w:val="00916874"/>
    <w:rsid w:val="00917B85"/>
    <w:rsid w:val="009216A6"/>
    <w:rsid w:val="00922917"/>
    <w:rsid w:val="00923EC5"/>
    <w:rsid w:val="009247B3"/>
    <w:rsid w:val="00925EAC"/>
    <w:rsid w:val="00927864"/>
    <w:rsid w:val="009278FB"/>
    <w:rsid w:val="00930E90"/>
    <w:rsid w:val="00931670"/>
    <w:rsid w:val="00931E9D"/>
    <w:rsid w:val="009321D8"/>
    <w:rsid w:val="00932669"/>
    <w:rsid w:val="0093432C"/>
    <w:rsid w:val="00934431"/>
    <w:rsid w:val="00934942"/>
    <w:rsid w:val="00936B90"/>
    <w:rsid w:val="00936FF8"/>
    <w:rsid w:val="009371EF"/>
    <w:rsid w:val="009375A3"/>
    <w:rsid w:val="0094027B"/>
    <w:rsid w:val="00940C30"/>
    <w:rsid w:val="00941F1A"/>
    <w:rsid w:val="009421AF"/>
    <w:rsid w:val="00942372"/>
    <w:rsid w:val="009429C6"/>
    <w:rsid w:val="00943894"/>
    <w:rsid w:val="0094404D"/>
    <w:rsid w:val="0094492D"/>
    <w:rsid w:val="009454A4"/>
    <w:rsid w:val="00945A6A"/>
    <w:rsid w:val="009468C2"/>
    <w:rsid w:val="0094749D"/>
    <w:rsid w:val="00947E3B"/>
    <w:rsid w:val="00947F28"/>
    <w:rsid w:val="009515FE"/>
    <w:rsid w:val="00951BBA"/>
    <w:rsid w:val="0095239B"/>
    <w:rsid w:val="00953DCF"/>
    <w:rsid w:val="009544A9"/>
    <w:rsid w:val="00954AB2"/>
    <w:rsid w:val="00954BB0"/>
    <w:rsid w:val="009571C0"/>
    <w:rsid w:val="00957301"/>
    <w:rsid w:val="00960EEB"/>
    <w:rsid w:val="00961865"/>
    <w:rsid w:val="00961962"/>
    <w:rsid w:val="00962F7E"/>
    <w:rsid w:val="00962FC9"/>
    <w:rsid w:val="009635D3"/>
    <w:rsid w:val="009641B5"/>
    <w:rsid w:val="00964471"/>
    <w:rsid w:val="00964883"/>
    <w:rsid w:val="00964D4B"/>
    <w:rsid w:val="009652CA"/>
    <w:rsid w:val="00965EFB"/>
    <w:rsid w:val="0096797A"/>
    <w:rsid w:val="00967EEA"/>
    <w:rsid w:val="00970E77"/>
    <w:rsid w:val="009717C8"/>
    <w:rsid w:val="009725DF"/>
    <w:rsid w:val="00972CA9"/>
    <w:rsid w:val="0097347B"/>
    <w:rsid w:val="00973A4B"/>
    <w:rsid w:val="0097404B"/>
    <w:rsid w:val="00974A9F"/>
    <w:rsid w:val="00974C7A"/>
    <w:rsid w:val="0097578A"/>
    <w:rsid w:val="00975841"/>
    <w:rsid w:val="0097588A"/>
    <w:rsid w:val="009764E4"/>
    <w:rsid w:val="00977530"/>
    <w:rsid w:val="00980B3D"/>
    <w:rsid w:val="0098248E"/>
    <w:rsid w:val="00983BC4"/>
    <w:rsid w:val="00984681"/>
    <w:rsid w:val="00984E7D"/>
    <w:rsid w:val="009856DB"/>
    <w:rsid w:val="009866C7"/>
    <w:rsid w:val="00987AF6"/>
    <w:rsid w:val="00987D84"/>
    <w:rsid w:val="00990B29"/>
    <w:rsid w:val="00990C9E"/>
    <w:rsid w:val="009913D2"/>
    <w:rsid w:val="009918F4"/>
    <w:rsid w:val="00991C5D"/>
    <w:rsid w:val="00991E77"/>
    <w:rsid w:val="009920DF"/>
    <w:rsid w:val="00992A86"/>
    <w:rsid w:val="00992E74"/>
    <w:rsid w:val="009931B5"/>
    <w:rsid w:val="00993C47"/>
    <w:rsid w:val="00995022"/>
    <w:rsid w:val="009951E2"/>
    <w:rsid w:val="0099607D"/>
    <w:rsid w:val="0099648E"/>
    <w:rsid w:val="00996802"/>
    <w:rsid w:val="0099782E"/>
    <w:rsid w:val="00997A58"/>
    <w:rsid w:val="009A004E"/>
    <w:rsid w:val="009A03EA"/>
    <w:rsid w:val="009A0D97"/>
    <w:rsid w:val="009A237F"/>
    <w:rsid w:val="009A2681"/>
    <w:rsid w:val="009A449C"/>
    <w:rsid w:val="009A455E"/>
    <w:rsid w:val="009A734A"/>
    <w:rsid w:val="009A7FBD"/>
    <w:rsid w:val="009B0B73"/>
    <w:rsid w:val="009B1084"/>
    <w:rsid w:val="009B2AC1"/>
    <w:rsid w:val="009B444E"/>
    <w:rsid w:val="009B462B"/>
    <w:rsid w:val="009B4DA2"/>
    <w:rsid w:val="009B5EE8"/>
    <w:rsid w:val="009B7A12"/>
    <w:rsid w:val="009C06D2"/>
    <w:rsid w:val="009C1291"/>
    <w:rsid w:val="009C263B"/>
    <w:rsid w:val="009C271C"/>
    <w:rsid w:val="009C4780"/>
    <w:rsid w:val="009C5162"/>
    <w:rsid w:val="009C5B66"/>
    <w:rsid w:val="009C712A"/>
    <w:rsid w:val="009C7665"/>
    <w:rsid w:val="009D015C"/>
    <w:rsid w:val="009D02F0"/>
    <w:rsid w:val="009D0B88"/>
    <w:rsid w:val="009D0C89"/>
    <w:rsid w:val="009D0DB8"/>
    <w:rsid w:val="009D2FAF"/>
    <w:rsid w:val="009D350F"/>
    <w:rsid w:val="009D38FD"/>
    <w:rsid w:val="009D4B34"/>
    <w:rsid w:val="009D699C"/>
    <w:rsid w:val="009D6F4C"/>
    <w:rsid w:val="009D7387"/>
    <w:rsid w:val="009D74D2"/>
    <w:rsid w:val="009D7595"/>
    <w:rsid w:val="009D77F8"/>
    <w:rsid w:val="009D7CF2"/>
    <w:rsid w:val="009D7F66"/>
    <w:rsid w:val="009E1DE0"/>
    <w:rsid w:val="009E327E"/>
    <w:rsid w:val="009E3C57"/>
    <w:rsid w:val="009E480E"/>
    <w:rsid w:val="009F048D"/>
    <w:rsid w:val="009F31D1"/>
    <w:rsid w:val="009F3A53"/>
    <w:rsid w:val="009F67F0"/>
    <w:rsid w:val="009F6C3C"/>
    <w:rsid w:val="009F6FC8"/>
    <w:rsid w:val="009F749D"/>
    <w:rsid w:val="009F75BE"/>
    <w:rsid w:val="009F7718"/>
    <w:rsid w:val="00A001BF"/>
    <w:rsid w:val="00A00478"/>
    <w:rsid w:val="00A008EE"/>
    <w:rsid w:val="00A00D80"/>
    <w:rsid w:val="00A01C0D"/>
    <w:rsid w:val="00A02234"/>
    <w:rsid w:val="00A02617"/>
    <w:rsid w:val="00A02E3D"/>
    <w:rsid w:val="00A04612"/>
    <w:rsid w:val="00A04889"/>
    <w:rsid w:val="00A0537C"/>
    <w:rsid w:val="00A056AA"/>
    <w:rsid w:val="00A05EF3"/>
    <w:rsid w:val="00A1040D"/>
    <w:rsid w:val="00A1135E"/>
    <w:rsid w:val="00A11433"/>
    <w:rsid w:val="00A11752"/>
    <w:rsid w:val="00A123ED"/>
    <w:rsid w:val="00A15FEB"/>
    <w:rsid w:val="00A1646C"/>
    <w:rsid w:val="00A165AF"/>
    <w:rsid w:val="00A165F0"/>
    <w:rsid w:val="00A1774D"/>
    <w:rsid w:val="00A20202"/>
    <w:rsid w:val="00A2091F"/>
    <w:rsid w:val="00A2184D"/>
    <w:rsid w:val="00A223FE"/>
    <w:rsid w:val="00A23F22"/>
    <w:rsid w:val="00A241E1"/>
    <w:rsid w:val="00A25361"/>
    <w:rsid w:val="00A25390"/>
    <w:rsid w:val="00A25A2B"/>
    <w:rsid w:val="00A25E2B"/>
    <w:rsid w:val="00A27505"/>
    <w:rsid w:val="00A3346D"/>
    <w:rsid w:val="00A34FF9"/>
    <w:rsid w:val="00A360E3"/>
    <w:rsid w:val="00A3650E"/>
    <w:rsid w:val="00A36CED"/>
    <w:rsid w:val="00A372FC"/>
    <w:rsid w:val="00A3790D"/>
    <w:rsid w:val="00A40045"/>
    <w:rsid w:val="00A43ECA"/>
    <w:rsid w:val="00A43F98"/>
    <w:rsid w:val="00A441B2"/>
    <w:rsid w:val="00A442E9"/>
    <w:rsid w:val="00A4556C"/>
    <w:rsid w:val="00A46BBC"/>
    <w:rsid w:val="00A50470"/>
    <w:rsid w:val="00A504D5"/>
    <w:rsid w:val="00A5077C"/>
    <w:rsid w:val="00A51503"/>
    <w:rsid w:val="00A51C4E"/>
    <w:rsid w:val="00A51E5B"/>
    <w:rsid w:val="00A51EEC"/>
    <w:rsid w:val="00A53CCB"/>
    <w:rsid w:val="00A53FB7"/>
    <w:rsid w:val="00A56559"/>
    <w:rsid w:val="00A56BF1"/>
    <w:rsid w:val="00A61E38"/>
    <w:rsid w:val="00A6247A"/>
    <w:rsid w:val="00A642BA"/>
    <w:rsid w:val="00A64971"/>
    <w:rsid w:val="00A649DC"/>
    <w:rsid w:val="00A64C3E"/>
    <w:rsid w:val="00A700A8"/>
    <w:rsid w:val="00A71A00"/>
    <w:rsid w:val="00A720C1"/>
    <w:rsid w:val="00A723A7"/>
    <w:rsid w:val="00A72E24"/>
    <w:rsid w:val="00A72F1B"/>
    <w:rsid w:val="00A73518"/>
    <w:rsid w:val="00A7485B"/>
    <w:rsid w:val="00A7516A"/>
    <w:rsid w:val="00A76682"/>
    <w:rsid w:val="00A77184"/>
    <w:rsid w:val="00A77328"/>
    <w:rsid w:val="00A80290"/>
    <w:rsid w:val="00A80731"/>
    <w:rsid w:val="00A80FBE"/>
    <w:rsid w:val="00A8334A"/>
    <w:rsid w:val="00A83F82"/>
    <w:rsid w:val="00A8442A"/>
    <w:rsid w:val="00A84E00"/>
    <w:rsid w:val="00A85195"/>
    <w:rsid w:val="00A8630D"/>
    <w:rsid w:val="00A866D1"/>
    <w:rsid w:val="00A87076"/>
    <w:rsid w:val="00A903BF"/>
    <w:rsid w:val="00A9066A"/>
    <w:rsid w:val="00A91343"/>
    <w:rsid w:val="00A914A5"/>
    <w:rsid w:val="00A93D3C"/>
    <w:rsid w:val="00A95488"/>
    <w:rsid w:val="00A95EAB"/>
    <w:rsid w:val="00A96B1F"/>
    <w:rsid w:val="00A96CD1"/>
    <w:rsid w:val="00A973EC"/>
    <w:rsid w:val="00A97B79"/>
    <w:rsid w:val="00AA1C1A"/>
    <w:rsid w:val="00AA233D"/>
    <w:rsid w:val="00AA238E"/>
    <w:rsid w:val="00AA26DD"/>
    <w:rsid w:val="00AA3250"/>
    <w:rsid w:val="00AA3433"/>
    <w:rsid w:val="00AA3B04"/>
    <w:rsid w:val="00AA3BE1"/>
    <w:rsid w:val="00AA3CD4"/>
    <w:rsid w:val="00AA6829"/>
    <w:rsid w:val="00AA68D9"/>
    <w:rsid w:val="00AA6AD9"/>
    <w:rsid w:val="00AA6D7B"/>
    <w:rsid w:val="00AA729C"/>
    <w:rsid w:val="00AA7C18"/>
    <w:rsid w:val="00AB0FE5"/>
    <w:rsid w:val="00AB2F1C"/>
    <w:rsid w:val="00AB46F4"/>
    <w:rsid w:val="00AB59D9"/>
    <w:rsid w:val="00AB7E29"/>
    <w:rsid w:val="00AC075E"/>
    <w:rsid w:val="00AC091F"/>
    <w:rsid w:val="00AC0D13"/>
    <w:rsid w:val="00AC12A0"/>
    <w:rsid w:val="00AC1A63"/>
    <w:rsid w:val="00AC334F"/>
    <w:rsid w:val="00AC40B6"/>
    <w:rsid w:val="00AC51D6"/>
    <w:rsid w:val="00AC55C0"/>
    <w:rsid w:val="00AC5A9F"/>
    <w:rsid w:val="00AC6511"/>
    <w:rsid w:val="00AD015A"/>
    <w:rsid w:val="00AD069C"/>
    <w:rsid w:val="00AD09AD"/>
    <w:rsid w:val="00AD0A74"/>
    <w:rsid w:val="00AD0A76"/>
    <w:rsid w:val="00AD0D5E"/>
    <w:rsid w:val="00AD1025"/>
    <w:rsid w:val="00AD153E"/>
    <w:rsid w:val="00AD1563"/>
    <w:rsid w:val="00AD2773"/>
    <w:rsid w:val="00AD315D"/>
    <w:rsid w:val="00AD417E"/>
    <w:rsid w:val="00AD6401"/>
    <w:rsid w:val="00AD6787"/>
    <w:rsid w:val="00AD678C"/>
    <w:rsid w:val="00AD6EE8"/>
    <w:rsid w:val="00AD79BB"/>
    <w:rsid w:val="00AE1976"/>
    <w:rsid w:val="00AE1A75"/>
    <w:rsid w:val="00AE1D23"/>
    <w:rsid w:val="00AE204D"/>
    <w:rsid w:val="00AE298B"/>
    <w:rsid w:val="00AE2F98"/>
    <w:rsid w:val="00AE3AB4"/>
    <w:rsid w:val="00AE3ACE"/>
    <w:rsid w:val="00AE4799"/>
    <w:rsid w:val="00AE4A44"/>
    <w:rsid w:val="00AE5900"/>
    <w:rsid w:val="00AE60C0"/>
    <w:rsid w:val="00AE7483"/>
    <w:rsid w:val="00AE7BBA"/>
    <w:rsid w:val="00AF0534"/>
    <w:rsid w:val="00AF07B4"/>
    <w:rsid w:val="00AF09FE"/>
    <w:rsid w:val="00AF0E6A"/>
    <w:rsid w:val="00AF0FB5"/>
    <w:rsid w:val="00AF1727"/>
    <w:rsid w:val="00AF178B"/>
    <w:rsid w:val="00AF205B"/>
    <w:rsid w:val="00AF2E58"/>
    <w:rsid w:val="00AF32D1"/>
    <w:rsid w:val="00AF42A1"/>
    <w:rsid w:val="00AF493C"/>
    <w:rsid w:val="00AF49FE"/>
    <w:rsid w:val="00AF53C5"/>
    <w:rsid w:val="00AF54E2"/>
    <w:rsid w:val="00AF6BBA"/>
    <w:rsid w:val="00AF701D"/>
    <w:rsid w:val="00AF710C"/>
    <w:rsid w:val="00AF7153"/>
    <w:rsid w:val="00B003EF"/>
    <w:rsid w:val="00B00547"/>
    <w:rsid w:val="00B00723"/>
    <w:rsid w:val="00B00A4C"/>
    <w:rsid w:val="00B00F10"/>
    <w:rsid w:val="00B00FD7"/>
    <w:rsid w:val="00B02614"/>
    <w:rsid w:val="00B02656"/>
    <w:rsid w:val="00B028D4"/>
    <w:rsid w:val="00B02C2F"/>
    <w:rsid w:val="00B046EC"/>
    <w:rsid w:val="00B04D93"/>
    <w:rsid w:val="00B053A4"/>
    <w:rsid w:val="00B06101"/>
    <w:rsid w:val="00B06B2A"/>
    <w:rsid w:val="00B072A6"/>
    <w:rsid w:val="00B1281D"/>
    <w:rsid w:val="00B1358E"/>
    <w:rsid w:val="00B13C4E"/>
    <w:rsid w:val="00B13E88"/>
    <w:rsid w:val="00B140FB"/>
    <w:rsid w:val="00B1498A"/>
    <w:rsid w:val="00B15B63"/>
    <w:rsid w:val="00B17AAF"/>
    <w:rsid w:val="00B21178"/>
    <w:rsid w:val="00B214FF"/>
    <w:rsid w:val="00B228B3"/>
    <w:rsid w:val="00B22A38"/>
    <w:rsid w:val="00B236A4"/>
    <w:rsid w:val="00B242C5"/>
    <w:rsid w:val="00B248DF"/>
    <w:rsid w:val="00B24BA8"/>
    <w:rsid w:val="00B25B19"/>
    <w:rsid w:val="00B26AF7"/>
    <w:rsid w:val="00B26FCD"/>
    <w:rsid w:val="00B32717"/>
    <w:rsid w:val="00B32936"/>
    <w:rsid w:val="00B33A30"/>
    <w:rsid w:val="00B33EB0"/>
    <w:rsid w:val="00B340E0"/>
    <w:rsid w:val="00B3423C"/>
    <w:rsid w:val="00B3479A"/>
    <w:rsid w:val="00B3555E"/>
    <w:rsid w:val="00B3624B"/>
    <w:rsid w:val="00B36455"/>
    <w:rsid w:val="00B3726F"/>
    <w:rsid w:val="00B37E0A"/>
    <w:rsid w:val="00B41F9E"/>
    <w:rsid w:val="00B41FFA"/>
    <w:rsid w:val="00B42ADA"/>
    <w:rsid w:val="00B448CB"/>
    <w:rsid w:val="00B45AF7"/>
    <w:rsid w:val="00B4613B"/>
    <w:rsid w:val="00B46CD3"/>
    <w:rsid w:val="00B50325"/>
    <w:rsid w:val="00B50CD8"/>
    <w:rsid w:val="00B51039"/>
    <w:rsid w:val="00B52AC1"/>
    <w:rsid w:val="00B53167"/>
    <w:rsid w:val="00B53F21"/>
    <w:rsid w:val="00B569EC"/>
    <w:rsid w:val="00B56B3D"/>
    <w:rsid w:val="00B57260"/>
    <w:rsid w:val="00B574A0"/>
    <w:rsid w:val="00B57A41"/>
    <w:rsid w:val="00B57E2E"/>
    <w:rsid w:val="00B57F64"/>
    <w:rsid w:val="00B618A1"/>
    <w:rsid w:val="00B6200F"/>
    <w:rsid w:val="00B6215B"/>
    <w:rsid w:val="00B637E3"/>
    <w:rsid w:val="00B64CC5"/>
    <w:rsid w:val="00B651F3"/>
    <w:rsid w:val="00B6580A"/>
    <w:rsid w:val="00B66ABF"/>
    <w:rsid w:val="00B674DD"/>
    <w:rsid w:val="00B7027D"/>
    <w:rsid w:val="00B729BA"/>
    <w:rsid w:val="00B729CA"/>
    <w:rsid w:val="00B73E78"/>
    <w:rsid w:val="00B7509F"/>
    <w:rsid w:val="00B77178"/>
    <w:rsid w:val="00B802F0"/>
    <w:rsid w:val="00B816A8"/>
    <w:rsid w:val="00B81AD9"/>
    <w:rsid w:val="00B8230D"/>
    <w:rsid w:val="00B8281B"/>
    <w:rsid w:val="00B82B97"/>
    <w:rsid w:val="00B82CB0"/>
    <w:rsid w:val="00B83FB9"/>
    <w:rsid w:val="00B85E0D"/>
    <w:rsid w:val="00B86C1B"/>
    <w:rsid w:val="00B87197"/>
    <w:rsid w:val="00B875B2"/>
    <w:rsid w:val="00B90F52"/>
    <w:rsid w:val="00B94131"/>
    <w:rsid w:val="00B94FE7"/>
    <w:rsid w:val="00B96374"/>
    <w:rsid w:val="00B97A5F"/>
    <w:rsid w:val="00B97B57"/>
    <w:rsid w:val="00BA127A"/>
    <w:rsid w:val="00BA2944"/>
    <w:rsid w:val="00BA29D4"/>
    <w:rsid w:val="00BA2D2B"/>
    <w:rsid w:val="00BA2D37"/>
    <w:rsid w:val="00BA30C5"/>
    <w:rsid w:val="00BA32CA"/>
    <w:rsid w:val="00BA4067"/>
    <w:rsid w:val="00BA4A9E"/>
    <w:rsid w:val="00BA4C0A"/>
    <w:rsid w:val="00BA5685"/>
    <w:rsid w:val="00BA67F3"/>
    <w:rsid w:val="00BA7BC2"/>
    <w:rsid w:val="00BB2340"/>
    <w:rsid w:val="00BB4A28"/>
    <w:rsid w:val="00BB54F9"/>
    <w:rsid w:val="00BC0231"/>
    <w:rsid w:val="00BC043D"/>
    <w:rsid w:val="00BC0D28"/>
    <w:rsid w:val="00BC1793"/>
    <w:rsid w:val="00BC2028"/>
    <w:rsid w:val="00BC2156"/>
    <w:rsid w:val="00BC25FE"/>
    <w:rsid w:val="00BC275F"/>
    <w:rsid w:val="00BC3317"/>
    <w:rsid w:val="00BC3A4D"/>
    <w:rsid w:val="00BC514C"/>
    <w:rsid w:val="00BC535E"/>
    <w:rsid w:val="00BC5FD3"/>
    <w:rsid w:val="00BC7A45"/>
    <w:rsid w:val="00BD03A8"/>
    <w:rsid w:val="00BD0EAB"/>
    <w:rsid w:val="00BD11CE"/>
    <w:rsid w:val="00BD162B"/>
    <w:rsid w:val="00BD1DAE"/>
    <w:rsid w:val="00BD2EB4"/>
    <w:rsid w:val="00BD2F8A"/>
    <w:rsid w:val="00BD4ED7"/>
    <w:rsid w:val="00BD5D26"/>
    <w:rsid w:val="00BD6EB5"/>
    <w:rsid w:val="00BE08DA"/>
    <w:rsid w:val="00BE12AF"/>
    <w:rsid w:val="00BE2921"/>
    <w:rsid w:val="00BE2D43"/>
    <w:rsid w:val="00BE3247"/>
    <w:rsid w:val="00BE3470"/>
    <w:rsid w:val="00BE38F1"/>
    <w:rsid w:val="00BE39C0"/>
    <w:rsid w:val="00BE442E"/>
    <w:rsid w:val="00BE61E3"/>
    <w:rsid w:val="00BE69D5"/>
    <w:rsid w:val="00BE6A82"/>
    <w:rsid w:val="00BE73A1"/>
    <w:rsid w:val="00BF055E"/>
    <w:rsid w:val="00BF1FAA"/>
    <w:rsid w:val="00BF31A5"/>
    <w:rsid w:val="00BF35B8"/>
    <w:rsid w:val="00BF3D1C"/>
    <w:rsid w:val="00BF4157"/>
    <w:rsid w:val="00BF4648"/>
    <w:rsid w:val="00BF50BD"/>
    <w:rsid w:val="00BF614C"/>
    <w:rsid w:val="00BF6A0B"/>
    <w:rsid w:val="00BF6B43"/>
    <w:rsid w:val="00BF6E0D"/>
    <w:rsid w:val="00C00822"/>
    <w:rsid w:val="00C00977"/>
    <w:rsid w:val="00C00C05"/>
    <w:rsid w:val="00C0173A"/>
    <w:rsid w:val="00C01E4F"/>
    <w:rsid w:val="00C03137"/>
    <w:rsid w:val="00C035F4"/>
    <w:rsid w:val="00C044A8"/>
    <w:rsid w:val="00C046DA"/>
    <w:rsid w:val="00C051D8"/>
    <w:rsid w:val="00C0544B"/>
    <w:rsid w:val="00C054DC"/>
    <w:rsid w:val="00C068BE"/>
    <w:rsid w:val="00C07A0E"/>
    <w:rsid w:val="00C113F4"/>
    <w:rsid w:val="00C11A1D"/>
    <w:rsid w:val="00C12AEA"/>
    <w:rsid w:val="00C14679"/>
    <w:rsid w:val="00C14ADC"/>
    <w:rsid w:val="00C14B4B"/>
    <w:rsid w:val="00C15E92"/>
    <w:rsid w:val="00C164A1"/>
    <w:rsid w:val="00C169F8"/>
    <w:rsid w:val="00C178A7"/>
    <w:rsid w:val="00C21117"/>
    <w:rsid w:val="00C218BA"/>
    <w:rsid w:val="00C22F44"/>
    <w:rsid w:val="00C230ED"/>
    <w:rsid w:val="00C233E0"/>
    <w:rsid w:val="00C234D0"/>
    <w:rsid w:val="00C235D4"/>
    <w:rsid w:val="00C23A6E"/>
    <w:rsid w:val="00C24292"/>
    <w:rsid w:val="00C24743"/>
    <w:rsid w:val="00C25742"/>
    <w:rsid w:val="00C262EF"/>
    <w:rsid w:val="00C27653"/>
    <w:rsid w:val="00C27720"/>
    <w:rsid w:val="00C31ACC"/>
    <w:rsid w:val="00C31D75"/>
    <w:rsid w:val="00C324D0"/>
    <w:rsid w:val="00C32F87"/>
    <w:rsid w:val="00C33528"/>
    <w:rsid w:val="00C33869"/>
    <w:rsid w:val="00C33BB4"/>
    <w:rsid w:val="00C345B6"/>
    <w:rsid w:val="00C353CE"/>
    <w:rsid w:val="00C35AAF"/>
    <w:rsid w:val="00C368BC"/>
    <w:rsid w:val="00C37895"/>
    <w:rsid w:val="00C37E97"/>
    <w:rsid w:val="00C4042C"/>
    <w:rsid w:val="00C4077D"/>
    <w:rsid w:val="00C4137B"/>
    <w:rsid w:val="00C4140A"/>
    <w:rsid w:val="00C41AED"/>
    <w:rsid w:val="00C422AF"/>
    <w:rsid w:val="00C42AB1"/>
    <w:rsid w:val="00C43519"/>
    <w:rsid w:val="00C43A07"/>
    <w:rsid w:val="00C455AB"/>
    <w:rsid w:val="00C457A4"/>
    <w:rsid w:val="00C45E45"/>
    <w:rsid w:val="00C46648"/>
    <w:rsid w:val="00C4675E"/>
    <w:rsid w:val="00C46762"/>
    <w:rsid w:val="00C47660"/>
    <w:rsid w:val="00C4766A"/>
    <w:rsid w:val="00C47C21"/>
    <w:rsid w:val="00C47F7D"/>
    <w:rsid w:val="00C505DA"/>
    <w:rsid w:val="00C50936"/>
    <w:rsid w:val="00C536C0"/>
    <w:rsid w:val="00C54E4E"/>
    <w:rsid w:val="00C552F8"/>
    <w:rsid w:val="00C5592F"/>
    <w:rsid w:val="00C5617A"/>
    <w:rsid w:val="00C56610"/>
    <w:rsid w:val="00C568BF"/>
    <w:rsid w:val="00C56AC1"/>
    <w:rsid w:val="00C56E34"/>
    <w:rsid w:val="00C577B8"/>
    <w:rsid w:val="00C60B51"/>
    <w:rsid w:val="00C611E4"/>
    <w:rsid w:val="00C61AB0"/>
    <w:rsid w:val="00C61BC3"/>
    <w:rsid w:val="00C61BDB"/>
    <w:rsid w:val="00C61BF2"/>
    <w:rsid w:val="00C61F14"/>
    <w:rsid w:val="00C62982"/>
    <w:rsid w:val="00C62A7A"/>
    <w:rsid w:val="00C632AD"/>
    <w:rsid w:val="00C635A9"/>
    <w:rsid w:val="00C63C84"/>
    <w:rsid w:val="00C63F13"/>
    <w:rsid w:val="00C6422F"/>
    <w:rsid w:val="00C654EC"/>
    <w:rsid w:val="00C6620B"/>
    <w:rsid w:val="00C66753"/>
    <w:rsid w:val="00C66B40"/>
    <w:rsid w:val="00C677A2"/>
    <w:rsid w:val="00C67C5B"/>
    <w:rsid w:val="00C7033F"/>
    <w:rsid w:val="00C7034B"/>
    <w:rsid w:val="00C70962"/>
    <w:rsid w:val="00C71449"/>
    <w:rsid w:val="00C71CB1"/>
    <w:rsid w:val="00C72A0F"/>
    <w:rsid w:val="00C73B81"/>
    <w:rsid w:val="00C74434"/>
    <w:rsid w:val="00C74A52"/>
    <w:rsid w:val="00C750FD"/>
    <w:rsid w:val="00C7532D"/>
    <w:rsid w:val="00C76D05"/>
    <w:rsid w:val="00C776DD"/>
    <w:rsid w:val="00C80116"/>
    <w:rsid w:val="00C80426"/>
    <w:rsid w:val="00C813B1"/>
    <w:rsid w:val="00C8206E"/>
    <w:rsid w:val="00C82FB4"/>
    <w:rsid w:val="00C851CE"/>
    <w:rsid w:val="00C852A9"/>
    <w:rsid w:val="00C86626"/>
    <w:rsid w:val="00C86D97"/>
    <w:rsid w:val="00C875BB"/>
    <w:rsid w:val="00C906C9"/>
    <w:rsid w:val="00C90985"/>
    <w:rsid w:val="00C90C7C"/>
    <w:rsid w:val="00C928D6"/>
    <w:rsid w:val="00C93D82"/>
    <w:rsid w:val="00C94788"/>
    <w:rsid w:val="00C947C4"/>
    <w:rsid w:val="00C94F6D"/>
    <w:rsid w:val="00C95D55"/>
    <w:rsid w:val="00C96CD5"/>
    <w:rsid w:val="00C971A7"/>
    <w:rsid w:val="00C97250"/>
    <w:rsid w:val="00CA0420"/>
    <w:rsid w:val="00CA0B18"/>
    <w:rsid w:val="00CA0CE6"/>
    <w:rsid w:val="00CA0FBE"/>
    <w:rsid w:val="00CA1849"/>
    <w:rsid w:val="00CA376C"/>
    <w:rsid w:val="00CA398C"/>
    <w:rsid w:val="00CA48D9"/>
    <w:rsid w:val="00CA52FC"/>
    <w:rsid w:val="00CA6F0F"/>
    <w:rsid w:val="00CB1370"/>
    <w:rsid w:val="00CB1CA9"/>
    <w:rsid w:val="00CB1F6E"/>
    <w:rsid w:val="00CB253A"/>
    <w:rsid w:val="00CB33E2"/>
    <w:rsid w:val="00CB45FE"/>
    <w:rsid w:val="00CB4DE7"/>
    <w:rsid w:val="00CB6059"/>
    <w:rsid w:val="00CC0EE2"/>
    <w:rsid w:val="00CC29B9"/>
    <w:rsid w:val="00CC2D83"/>
    <w:rsid w:val="00CC2DF4"/>
    <w:rsid w:val="00CC3274"/>
    <w:rsid w:val="00CC3B98"/>
    <w:rsid w:val="00CC4D4F"/>
    <w:rsid w:val="00CC59DF"/>
    <w:rsid w:val="00CC6B09"/>
    <w:rsid w:val="00CC72E6"/>
    <w:rsid w:val="00CD041F"/>
    <w:rsid w:val="00CD08FC"/>
    <w:rsid w:val="00CD0C90"/>
    <w:rsid w:val="00CD1433"/>
    <w:rsid w:val="00CD15F2"/>
    <w:rsid w:val="00CD2708"/>
    <w:rsid w:val="00CD29A0"/>
    <w:rsid w:val="00CD2DEF"/>
    <w:rsid w:val="00CD3315"/>
    <w:rsid w:val="00CD3CA7"/>
    <w:rsid w:val="00CD3F04"/>
    <w:rsid w:val="00CD40D5"/>
    <w:rsid w:val="00CD4ED4"/>
    <w:rsid w:val="00CD5ABD"/>
    <w:rsid w:val="00CD65FB"/>
    <w:rsid w:val="00CD6BA5"/>
    <w:rsid w:val="00CD6E62"/>
    <w:rsid w:val="00CD7D94"/>
    <w:rsid w:val="00CE0057"/>
    <w:rsid w:val="00CE0166"/>
    <w:rsid w:val="00CE07A6"/>
    <w:rsid w:val="00CE1921"/>
    <w:rsid w:val="00CE2230"/>
    <w:rsid w:val="00CE49C5"/>
    <w:rsid w:val="00CE5334"/>
    <w:rsid w:val="00CE6755"/>
    <w:rsid w:val="00CE7908"/>
    <w:rsid w:val="00CE796B"/>
    <w:rsid w:val="00CF1772"/>
    <w:rsid w:val="00CF1B7A"/>
    <w:rsid w:val="00CF2511"/>
    <w:rsid w:val="00CF2C36"/>
    <w:rsid w:val="00CF330C"/>
    <w:rsid w:val="00CF598B"/>
    <w:rsid w:val="00CF5CCF"/>
    <w:rsid w:val="00CF7F73"/>
    <w:rsid w:val="00D00C6E"/>
    <w:rsid w:val="00D022A7"/>
    <w:rsid w:val="00D02A45"/>
    <w:rsid w:val="00D032BC"/>
    <w:rsid w:val="00D04C6B"/>
    <w:rsid w:val="00D04EA3"/>
    <w:rsid w:val="00D04EBA"/>
    <w:rsid w:val="00D0513D"/>
    <w:rsid w:val="00D06041"/>
    <w:rsid w:val="00D07D80"/>
    <w:rsid w:val="00D10BFC"/>
    <w:rsid w:val="00D118B8"/>
    <w:rsid w:val="00D11B27"/>
    <w:rsid w:val="00D12093"/>
    <w:rsid w:val="00D12B5A"/>
    <w:rsid w:val="00D13C2B"/>
    <w:rsid w:val="00D143C6"/>
    <w:rsid w:val="00D14527"/>
    <w:rsid w:val="00D16226"/>
    <w:rsid w:val="00D17604"/>
    <w:rsid w:val="00D1771B"/>
    <w:rsid w:val="00D17D5A"/>
    <w:rsid w:val="00D2117F"/>
    <w:rsid w:val="00D2127E"/>
    <w:rsid w:val="00D21B05"/>
    <w:rsid w:val="00D21BE1"/>
    <w:rsid w:val="00D22581"/>
    <w:rsid w:val="00D225F6"/>
    <w:rsid w:val="00D24467"/>
    <w:rsid w:val="00D2491D"/>
    <w:rsid w:val="00D25EE7"/>
    <w:rsid w:val="00D261C1"/>
    <w:rsid w:val="00D2629E"/>
    <w:rsid w:val="00D269F1"/>
    <w:rsid w:val="00D31708"/>
    <w:rsid w:val="00D318F8"/>
    <w:rsid w:val="00D336E9"/>
    <w:rsid w:val="00D33A9B"/>
    <w:rsid w:val="00D34745"/>
    <w:rsid w:val="00D34F97"/>
    <w:rsid w:val="00D353A7"/>
    <w:rsid w:val="00D3650E"/>
    <w:rsid w:val="00D36A3C"/>
    <w:rsid w:val="00D401F1"/>
    <w:rsid w:val="00D40B42"/>
    <w:rsid w:val="00D40C2A"/>
    <w:rsid w:val="00D43878"/>
    <w:rsid w:val="00D43C67"/>
    <w:rsid w:val="00D43E87"/>
    <w:rsid w:val="00D45BAA"/>
    <w:rsid w:val="00D4614D"/>
    <w:rsid w:val="00D47DC0"/>
    <w:rsid w:val="00D500BD"/>
    <w:rsid w:val="00D50709"/>
    <w:rsid w:val="00D50949"/>
    <w:rsid w:val="00D50F79"/>
    <w:rsid w:val="00D516B3"/>
    <w:rsid w:val="00D51DC1"/>
    <w:rsid w:val="00D53994"/>
    <w:rsid w:val="00D539BB"/>
    <w:rsid w:val="00D53E14"/>
    <w:rsid w:val="00D54196"/>
    <w:rsid w:val="00D5457B"/>
    <w:rsid w:val="00D554EB"/>
    <w:rsid w:val="00D55B6D"/>
    <w:rsid w:val="00D5650B"/>
    <w:rsid w:val="00D56A03"/>
    <w:rsid w:val="00D60829"/>
    <w:rsid w:val="00D61087"/>
    <w:rsid w:val="00D6128A"/>
    <w:rsid w:val="00D61D23"/>
    <w:rsid w:val="00D623C8"/>
    <w:rsid w:val="00D62805"/>
    <w:rsid w:val="00D628AE"/>
    <w:rsid w:val="00D6522E"/>
    <w:rsid w:val="00D66422"/>
    <w:rsid w:val="00D670AE"/>
    <w:rsid w:val="00D67EC2"/>
    <w:rsid w:val="00D71EA2"/>
    <w:rsid w:val="00D71EF4"/>
    <w:rsid w:val="00D721D1"/>
    <w:rsid w:val="00D72D78"/>
    <w:rsid w:val="00D73C1E"/>
    <w:rsid w:val="00D74251"/>
    <w:rsid w:val="00D7499D"/>
    <w:rsid w:val="00D74C02"/>
    <w:rsid w:val="00D7556D"/>
    <w:rsid w:val="00D75AF0"/>
    <w:rsid w:val="00D769E5"/>
    <w:rsid w:val="00D76E5B"/>
    <w:rsid w:val="00D76E65"/>
    <w:rsid w:val="00D7717E"/>
    <w:rsid w:val="00D77579"/>
    <w:rsid w:val="00D77E36"/>
    <w:rsid w:val="00D80ECA"/>
    <w:rsid w:val="00D82496"/>
    <w:rsid w:val="00D83D46"/>
    <w:rsid w:val="00D84AE0"/>
    <w:rsid w:val="00D856A4"/>
    <w:rsid w:val="00D879A3"/>
    <w:rsid w:val="00D87FC0"/>
    <w:rsid w:val="00D90182"/>
    <w:rsid w:val="00D90549"/>
    <w:rsid w:val="00D9195B"/>
    <w:rsid w:val="00D92DBA"/>
    <w:rsid w:val="00D93891"/>
    <w:rsid w:val="00D93ECE"/>
    <w:rsid w:val="00D943BD"/>
    <w:rsid w:val="00D970C4"/>
    <w:rsid w:val="00D970DE"/>
    <w:rsid w:val="00D975FF"/>
    <w:rsid w:val="00DA09A3"/>
    <w:rsid w:val="00DA0DDC"/>
    <w:rsid w:val="00DA25F9"/>
    <w:rsid w:val="00DA2BEE"/>
    <w:rsid w:val="00DA4B5D"/>
    <w:rsid w:val="00DA5FC9"/>
    <w:rsid w:val="00DA703E"/>
    <w:rsid w:val="00DA7B46"/>
    <w:rsid w:val="00DB16D1"/>
    <w:rsid w:val="00DB1D43"/>
    <w:rsid w:val="00DB2AD4"/>
    <w:rsid w:val="00DB3B24"/>
    <w:rsid w:val="00DB4FA3"/>
    <w:rsid w:val="00DB5888"/>
    <w:rsid w:val="00DB68C2"/>
    <w:rsid w:val="00DB748B"/>
    <w:rsid w:val="00DB7AF8"/>
    <w:rsid w:val="00DB7F35"/>
    <w:rsid w:val="00DC01BE"/>
    <w:rsid w:val="00DC0760"/>
    <w:rsid w:val="00DC0F44"/>
    <w:rsid w:val="00DC2415"/>
    <w:rsid w:val="00DC27C6"/>
    <w:rsid w:val="00DC3137"/>
    <w:rsid w:val="00DC5448"/>
    <w:rsid w:val="00DC56E2"/>
    <w:rsid w:val="00DC6100"/>
    <w:rsid w:val="00DC6438"/>
    <w:rsid w:val="00DC759F"/>
    <w:rsid w:val="00DC7BBB"/>
    <w:rsid w:val="00DD201C"/>
    <w:rsid w:val="00DD216E"/>
    <w:rsid w:val="00DD3431"/>
    <w:rsid w:val="00DD3679"/>
    <w:rsid w:val="00DD3D6A"/>
    <w:rsid w:val="00DD40C6"/>
    <w:rsid w:val="00DD4878"/>
    <w:rsid w:val="00DD4FF5"/>
    <w:rsid w:val="00DD554B"/>
    <w:rsid w:val="00DD5960"/>
    <w:rsid w:val="00DD7B55"/>
    <w:rsid w:val="00DE0299"/>
    <w:rsid w:val="00DE04E8"/>
    <w:rsid w:val="00DE0B1B"/>
    <w:rsid w:val="00DE1290"/>
    <w:rsid w:val="00DE1481"/>
    <w:rsid w:val="00DE1E63"/>
    <w:rsid w:val="00DE2BE1"/>
    <w:rsid w:val="00DE31EF"/>
    <w:rsid w:val="00DE37B9"/>
    <w:rsid w:val="00DE4F0E"/>
    <w:rsid w:val="00DE5CE1"/>
    <w:rsid w:val="00DE7762"/>
    <w:rsid w:val="00DE7DBE"/>
    <w:rsid w:val="00DF0B73"/>
    <w:rsid w:val="00DF111E"/>
    <w:rsid w:val="00DF19C7"/>
    <w:rsid w:val="00DF2F91"/>
    <w:rsid w:val="00DF36B0"/>
    <w:rsid w:val="00DF5103"/>
    <w:rsid w:val="00DF5624"/>
    <w:rsid w:val="00DF574F"/>
    <w:rsid w:val="00DF5EE2"/>
    <w:rsid w:val="00DF71C4"/>
    <w:rsid w:val="00E00E4B"/>
    <w:rsid w:val="00E01120"/>
    <w:rsid w:val="00E01C04"/>
    <w:rsid w:val="00E01CC0"/>
    <w:rsid w:val="00E02949"/>
    <w:rsid w:val="00E0471A"/>
    <w:rsid w:val="00E04BE7"/>
    <w:rsid w:val="00E04D37"/>
    <w:rsid w:val="00E058F3"/>
    <w:rsid w:val="00E05B46"/>
    <w:rsid w:val="00E0644F"/>
    <w:rsid w:val="00E06815"/>
    <w:rsid w:val="00E112A6"/>
    <w:rsid w:val="00E1280B"/>
    <w:rsid w:val="00E13175"/>
    <w:rsid w:val="00E1491B"/>
    <w:rsid w:val="00E158D2"/>
    <w:rsid w:val="00E15E9E"/>
    <w:rsid w:val="00E16519"/>
    <w:rsid w:val="00E179CA"/>
    <w:rsid w:val="00E20189"/>
    <w:rsid w:val="00E2114E"/>
    <w:rsid w:val="00E21192"/>
    <w:rsid w:val="00E21AA7"/>
    <w:rsid w:val="00E22062"/>
    <w:rsid w:val="00E223B0"/>
    <w:rsid w:val="00E23702"/>
    <w:rsid w:val="00E2391F"/>
    <w:rsid w:val="00E25BE4"/>
    <w:rsid w:val="00E2739F"/>
    <w:rsid w:val="00E30430"/>
    <w:rsid w:val="00E30A7B"/>
    <w:rsid w:val="00E31A16"/>
    <w:rsid w:val="00E31FE1"/>
    <w:rsid w:val="00E32C16"/>
    <w:rsid w:val="00E32FA8"/>
    <w:rsid w:val="00E33993"/>
    <w:rsid w:val="00E33AA1"/>
    <w:rsid w:val="00E33BA9"/>
    <w:rsid w:val="00E3436D"/>
    <w:rsid w:val="00E34630"/>
    <w:rsid w:val="00E34765"/>
    <w:rsid w:val="00E350A2"/>
    <w:rsid w:val="00E354A0"/>
    <w:rsid w:val="00E354A6"/>
    <w:rsid w:val="00E3643D"/>
    <w:rsid w:val="00E36C69"/>
    <w:rsid w:val="00E36FEA"/>
    <w:rsid w:val="00E37766"/>
    <w:rsid w:val="00E37FC9"/>
    <w:rsid w:val="00E401FB"/>
    <w:rsid w:val="00E41896"/>
    <w:rsid w:val="00E42636"/>
    <w:rsid w:val="00E42780"/>
    <w:rsid w:val="00E43360"/>
    <w:rsid w:val="00E4475C"/>
    <w:rsid w:val="00E44DCC"/>
    <w:rsid w:val="00E45F2C"/>
    <w:rsid w:val="00E45F31"/>
    <w:rsid w:val="00E46361"/>
    <w:rsid w:val="00E4692B"/>
    <w:rsid w:val="00E46E6F"/>
    <w:rsid w:val="00E47048"/>
    <w:rsid w:val="00E47265"/>
    <w:rsid w:val="00E51B70"/>
    <w:rsid w:val="00E52283"/>
    <w:rsid w:val="00E52488"/>
    <w:rsid w:val="00E53DC9"/>
    <w:rsid w:val="00E55168"/>
    <w:rsid w:val="00E5559C"/>
    <w:rsid w:val="00E55EF0"/>
    <w:rsid w:val="00E56552"/>
    <w:rsid w:val="00E5788E"/>
    <w:rsid w:val="00E57E17"/>
    <w:rsid w:val="00E6072F"/>
    <w:rsid w:val="00E607C0"/>
    <w:rsid w:val="00E60B6C"/>
    <w:rsid w:val="00E61204"/>
    <w:rsid w:val="00E61ADB"/>
    <w:rsid w:val="00E626B0"/>
    <w:rsid w:val="00E62723"/>
    <w:rsid w:val="00E6291F"/>
    <w:rsid w:val="00E64DDF"/>
    <w:rsid w:val="00E64F47"/>
    <w:rsid w:val="00E677E3"/>
    <w:rsid w:val="00E70526"/>
    <w:rsid w:val="00E71E24"/>
    <w:rsid w:val="00E723A2"/>
    <w:rsid w:val="00E72891"/>
    <w:rsid w:val="00E728D6"/>
    <w:rsid w:val="00E72953"/>
    <w:rsid w:val="00E72E2B"/>
    <w:rsid w:val="00E73E64"/>
    <w:rsid w:val="00E74AD6"/>
    <w:rsid w:val="00E74F8F"/>
    <w:rsid w:val="00E7609C"/>
    <w:rsid w:val="00E77072"/>
    <w:rsid w:val="00E770C7"/>
    <w:rsid w:val="00E77234"/>
    <w:rsid w:val="00E774B3"/>
    <w:rsid w:val="00E82E2F"/>
    <w:rsid w:val="00E83D31"/>
    <w:rsid w:val="00E845B7"/>
    <w:rsid w:val="00E84C00"/>
    <w:rsid w:val="00E85222"/>
    <w:rsid w:val="00E860C4"/>
    <w:rsid w:val="00E86E9D"/>
    <w:rsid w:val="00E86F7D"/>
    <w:rsid w:val="00E8723F"/>
    <w:rsid w:val="00E91390"/>
    <w:rsid w:val="00E913BB"/>
    <w:rsid w:val="00E91CAA"/>
    <w:rsid w:val="00E9236F"/>
    <w:rsid w:val="00E93D4C"/>
    <w:rsid w:val="00E94578"/>
    <w:rsid w:val="00E945A3"/>
    <w:rsid w:val="00E94993"/>
    <w:rsid w:val="00E94DBE"/>
    <w:rsid w:val="00E953E3"/>
    <w:rsid w:val="00E96B28"/>
    <w:rsid w:val="00E976C3"/>
    <w:rsid w:val="00E976F2"/>
    <w:rsid w:val="00EA001D"/>
    <w:rsid w:val="00EA0C36"/>
    <w:rsid w:val="00EA0E66"/>
    <w:rsid w:val="00EA2F3D"/>
    <w:rsid w:val="00EA3AE3"/>
    <w:rsid w:val="00EA6965"/>
    <w:rsid w:val="00EA773D"/>
    <w:rsid w:val="00EB1126"/>
    <w:rsid w:val="00EB1299"/>
    <w:rsid w:val="00EB1321"/>
    <w:rsid w:val="00EB1C7B"/>
    <w:rsid w:val="00EB2775"/>
    <w:rsid w:val="00EB2849"/>
    <w:rsid w:val="00EB3702"/>
    <w:rsid w:val="00EB5399"/>
    <w:rsid w:val="00EB679B"/>
    <w:rsid w:val="00EB6B78"/>
    <w:rsid w:val="00EB73CB"/>
    <w:rsid w:val="00EB763B"/>
    <w:rsid w:val="00EC123A"/>
    <w:rsid w:val="00EC1256"/>
    <w:rsid w:val="00EC165D"/>
    <w:rsid w:val="00EC2239"/>
    <w:rsid w:val="00EC2A23"/>
    <w:rsid w:val="00EC2F19"/>
    <w:rsid w:val="00EC39DD"/>
    <w:rsid w:val="00EC3B8E"/>
    <w:rsid w:val="00EC3F7B"/>
    <w:rsid w:val="00EC43E3"/>
    <w:rsid w:val="00EC52DD"/>
    <w:rsid w:val="00EC5E35"/>
    <w:rsid w:val="00EC7106"/>
    <w:rsid w:val="00EC76A9"/>
    <w:rsid w:val="00EC78FE"/>
    <w:rsid w:val="00ED0322"/>
    <w:rsid w:val="00ED0582"/>
    <w:rsid w:val="00ED08EC"/>
    <w:rsid w:val="00ED0A86"/>
    <w:rsid w:val="00ED33A7"/>
    <w:rsid w:val="00ED37AC"/>
    <w:rsid w:val="00ED3999"/>
    <w:rsid w:val="00ED4142"/>
    <w:rsid w:val="00ED554E"/>
    <w:rsid w:val="00ED56C5"/>
    <w:rsid w:val="00ED6302"/>
    <w:rsid w:val="00ED7AEF"/>
    <w:rsid w:val="00EE02D8"/>
    <w:rsid w:val="00EE0DD5"/>
    <w:rsid w:val="00EE35CB"/>
    <w:rsid w:val="00EE7395"/>
    <w:rsid w:val="00EF0DC3"/>
    <w:rsid w:val="00EF1814"/>
    <w:rsid w:val="00EF18DF"/>
    <w:rsid w:val="00EF1A25"/>
    <w:rsid w:val="00EF1BEB"/>
    <w:rsid w:val="00EF3EF3"/>
    <w:rsid w:val="00EF3F2A"/>
    <w:rsid w:val="00EF4B1D"/>
    <w:rsid w:val="00EF4D6F"/>
    <w:rsid w:val="00EF5893"/>
    <w:rsid w:val="00EF5B63"/>
    <w:rsid w:val="00EF7577"/>
    <w:rsid w:val="00F01AA9"/>
    <w:rsid w:val="00F01DC5"/>
    <w:rsid w:val="00F05680"/>
    <w:rsid w:val="00F05F99"/>
    <w:rsid w:val="00F10A88"/>
    <w:rsid w:val="00F11172"/>
    <w:rsid w:val="00F11487"/>
    <w:rsid w:val="00F136B6"/>
    <w:rsid w:val="00F15217"/>
    <w:rsid w:val="00F16FD3"/>
    <w:rsid w:val="00F21CCD"/>
    <w:rsid w:val="00F226E2"/>
    <w:rsid w:val="00F23C20"/>
    <w:rsid w:val="00F23E1D"/>
    <w:rsid w:val="00F24495"/>
    <w:rsid w:val="00F24DA0"/>
    <w:rsid w:val="00F2551E"/>
    <w:rsid w:val="00F263B7"/>
    <w:rsid w:val="00F26486"/>
    <w:rsid w:val="00F27841"/>
    <w:rsid w:val="00F27996"/>
    <w:rsid w:val="00F27AA2"/>
    <w:rsid w:val="00F27E93"/>
    <w:rsid w:val="00F30FB3"/>
    <w:rsid w:val="00F3266D"/>
    <w:rsid w:val="00F3318B"/>
    <w:rsid w:val="00F336E8"/>
    <w:rsid w:val="00F337ED"/>
    <w:rsid w:val="00F3381B"/>
    <w:rsid w:val="00F340DF"/>
    <w:rsid w:val="00F34857"/>
    <w:rsid w:val="00F34E1F"/>
    <w:rsid w:val="00F353DB"/>
    <w:rsid w:val="00F354EF"/>
    <w:rsid w:val="00F35CCB"/>
    <w:rsid w:val="00F36237"/>
    <w:rsid w:val="00F37106"/>
    <w:rsid w:val="00F37881"/>
    <w:rsid w:val="00F404E0"/>
    <w:rsid w:val="00F40ADC"/>
    <w:rsid w:val="00F40BD8"/>
    <w:rsid w:val="00F411B6"/>
    <w:rsid w:val="00F41EB0"/>
    <w:rsid w:val="00F434C8"/>
    <w:rsid w:val="00F4422A"/>
    <w:rsid w:val="00F44593"/>
    <w:rsid w:val="00F44E04"/>
    <w:rsid w:val="00F452E2"/>
    <w:rsid w:val="00F453C6"/>
    <w:rsid w:val="00F45757"/>
    <w:rsid w:val="00F45A15"/>
    <w:rsid w:val="00F45C9C"/>
    <w:rsid w:val="00F460CB"/>
    <w:rsid w:val="00F46E8B"/>
    <w:rsid w:val="00F47193"/>
    <w:rsid w:val="00F4755C"/>
    <w:rsid w:val="00F4792D"/>
    <w:rsid w:val="00F50480"/>
    <w:rsid w:val="00F51627"/>
    <w:rsid w:val="00F518CD"/>
    <w:rsid w:val="00F51CCD"/>
    <w:rsid w:val="00F51D3A"/>
    <w:rsid w:val="00F52695"/>
    <w:rsid w:val="00F536B0"/>
    <w:rsid w:val="00F53FDF"/>
    <w:rsid w:val="00F55918"/>
    <w:rsid w:val="00F55C63"/>
    <w:rsid w:val="00F567A6"/>
    <w:rsid w:val="00F60AFF"/>
    <w:rsid w:val="00F61D6A"/>
    <w:rsid w:val="00F61D95"/>
    <w:rsid w:val="00F61E10"/>
    <w:rsid w:val="00F63397"/>
    <w:rsid w:val="00F63DA6"/>
    <w:rsid w:val="00F64EC6"/>
    <w:rsid w:val="00F65114"/>
    <w:rsid w:val="00F656CE"/>
    <w:rsid w:val="00F66E35"/>
    <w:rsid w:val="00F67932"/>
    <w:rsid w:val="00F7150D"/>
    <w:rsid w:val="00F727A5"/>
    <w:rsid w:val="00F72AF4"/>
    <w:rsid w:val="00F72CD8"/>
    <w:rsid w:val="00F72DF3"/>
    <w:rsid w:val="00F73474"/>
    <w:rsid w:val="00F73694"/>
    <w:rsid w:val="00F74099"/>
    <w:rsid w:val="00F7500E"/>
    <w:rsid w:val="00F752C4"/>
    <w:rsid w:val="00F75325"/>
    <w:rsid w:val="00F75668"/>
    <w:rsid w:val="00F75B75"/>
    <w:rsid w:val="00F76141"/>
    <w:rsid w:val="00F7616A"/>
    <w:rsid w:val="00F77781"/>
    <w:rsid w:val="00F779BF"/>
    <w:rsid w:val="00F80005"/>
    <w:rsid w:val="00F81AEE"/>
    <w:rsid w:val="00F82010"/>
    <w:rsid w:val="00F82A6D"/>
    <w:rsid w:val="00F82E44"/>
    <w:rsid w:val="00F84BC6"/>
    <w:rsid w:val="00F84EA1"/>
    <w:rsid w:val="00F850EC"/>
    <w:rsid w:val="00F87598"/>
    <w:rsid w:val="00F8760B"/>
    <w:rsid w:val="00F87671"/>
    <w:rsid w:val="00F91850"/>
    <w:rsid w:val="00F92222"/>
    <w:rsid w:val="00F924D9"/>
    <w:rsid w:val="00F931FA"/>
    <w:rsid w:val="00F9424A"/>
    <w:rsid w:val="00F9624E"/>
    <w:rsid w:val="00FA1021"/>
    <w:rsid w:val="00FA3656"/>
    <w:rsid w:val="00FA4BDE"/>
    <w:rsid w:val="00FA59EC"/>
    <w:rsid w:val="00FA5DDB"/>
    <w:rsid w:val="00FA6205"/>
    <w:rsid w:val="00FA7C63"/>
    <w:rsid w:val="00FB05D9"/>
    <w:rsid w:val="00FB08D4"/>
    <w:rsid w:val="00FB119C"/>
    <w:rsid w:val="00FB28AE"/>
    <w:rsid w:val="00FB41BF"/>
    <w:rsid w:val="00FB51B5"/>
    <w:rsid w:val="00FB6312"/>
    <w:rsid w:val="00FB6506"/>
    <w:rsid w:val="00FC04A1"/>
    <w:rsid w:val="00FC0A4C"/>
    <w:rsid w:val="00FC108D"/>
    <w:rsid w:val="00FC1442"/>
    <w:rsid w:val="00FC2897"/>
    <w:rsid w:val="00FC3762"/>
    <w:rsid w:val="00FC42A2"/>
    <w:rsid w:val="00FC4969"/>
    <w:rsid w:val="00FC517E"/>
    <w:rsid w:val="00FC5398"/>
    <w:rsid w:val="00FC6760"/>
    <w:rsid w:val="00FC6C9A"/>
    <w:rsid w:val="00FC6E82"/>
    <w:rsid w:val="00FC7071"/>
    <w:rsid w:val="00FC7251"/>
    <w:rsid w:val="00FC7825"/>
    <w:rsid w:val="00FC7F48"/>
    <w:rsid w:val="00FD1199"/>
    <w:rsid w:val="00FD123A"/>
    <w:rsid w:val="00FD125A"/>
    <w:rsid w:val="00FD1D15"/>
    <w:rsid w:val="00FD2E2A"/>
    <w:rsid w:val="00FD63F6"/>
    <w:rsid w:val="00FE04D0"/>
    <w:rsid w:val="00FE0833"/>
    <w:rsid w:val="00FE2441"/>
    <w:rsid w:val="00FE2F42"/>
    <w:rsid w:val="00FE4768"/>
    <w:rsid w:val="00FE4D75"/>
    <w:rsid w:val="00FE50A1"/>
    <w:rsid w:val="00FE5384"/>
    <w:rsid w:val="00FE6B74"/>
    <w:rsid w:val="00FE7034"/>
    <w:rsid w:val="00FE711E"/>
    <w:rsid w:val="00FF30EC"/>
    <w:rsid w:val="00FF36B3"/>
    <w:rsid w:val="00FF4FA3"/>
    <w:rsid w:val="00FF560F"/>
    <w:rsid w:val="00FF6074"/>
    <w:rsid w:val="00FF634C"/>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563F7"/>
  <w15:chartTrackingRefBased/>
  <w15:docId w15:val="{7961DE4D-131A-4187-B8E1-C0F0130D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C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2F1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C2F19"/>
    <w:pPr>
      <w:ind w:left="720"/>
      <w:contextualSpacing/>
    </w:pPr>
  </w:style>
  <w:style w:type="paragraph" w:styleId="Textonotapie">
    <w:name w:val="footnote text"/>
    <w:basedOn w:val="Normal"/>
    <w:link w:val="TextonotapieCar"/>
    <w:uiPriority w:val="99"/>
    <w:unhideWhenUsed/>
    <w:rsid w:val="00EC2F19"/>
    <w:pPr>
      <w:spacing w:after="0" w:line="240" w:lineRule="auto"/>
    </w:pPr>
    <w:rPr>
      <w:sz w:val="20"/>
      <w:szCs w:val="20"/>
    </w:rPr>
  </w:style>
  <w:style w:type="character" w:customStyle="1" w:styleId="TextonotapieCar">
    <w:name w:val="Texto nota pie Car"/>
    <w:basedOn w:val="Fuentedeprrafopredeter"/>
    <w:link w:val="Textonotapie"/>
    <w:uiPriority w:val="99"/>
    <w:rsid w:val="00EC2F19"/>
    <w:rPr>
      <w:sz w:val="20"/>
      <w:szCs w:val="20"/>
    </w:rPr>
  </w:style>
  <w:style w:type="character" w:styleId="Refdenotaalpie">
    <w:name w:val="footnote reference"/>
    <w:basedOn w:val="Fuentedeprrafopredeter"/>
    <w:uiPriority w:val="99"/>
    <w:unhideWhenUsed/>
    <w:rsid w:val="00EC2F19"/>
    <w:rPr>
      <w:vertAlign w:val="superscript"/>
    </w:rPr>
  </w:style>
  <w:style w:type="paragraph" w:styleId="NormalWeb">
    <w:name w:val="Normal (Web)"/>
    <w:basedOn w:val="Normal"/>
    <w:uiPriority w:val="99"/>
    <w:unhideWhenUsed/>
    <w:rsid w:val="00EC2F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EC2F19"/>
    <w:rPr>
      <w:color w:val="0000FF"/>
      <w:u w:val="single"/>
    </w:rPr>
  </w:style>
  <w:style w:type="paragraph" w:styleId="Encabezado">
    <w:name w:val="header"/>
    <w:basedOn w:val="Normal"/>
    <w:link w:val="EncabezadoCar"/>
    <w:unhideWhenUsed/>
    <w:rsid w:val="00EC2F19"/>
    <w:pPr>
      <w:tabs>
        <w:tab w:val="center" w:pos="4419"/>
        <w:tab w:val="right" w:pos="8838"/>
      </w:tabs>
      <w:spacing w:after="0" w:line="240" w:lineRule="auto"/>
    </w:pPr>
  </w:style>
  <w:style w:type="character" w:customStyle="1" w:styleId="EncabezadoCar">
    <w:name w:val="Encabezado Car"/>
    <w:basedOn w:val="Fuentedeprrafopredeter"/>
    <w:link w:val="Encabezado"/>
    <w:rsid w:val="00EC2F19"/>
  </w:style>
  <w:style w:type="paragraph" w:styleId="Piedepgina">
    <w:name w:val="footer"/>
    <w:basedOn w:val="Normal"/>
    <w:link w:val="PiedepginaCar"/>
    <w:uiPriority w:val="99"/>
    <w:unhideWhenUsed/>
    <w:rsid w:val="00EC2F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F19"/>
  </w:style>
  <w:style w:type="character" w:styleId="Refdecomentario">
    <w:name w:val="annotation reference"/>
    <w:basedOn w:val="Fuentedeprrafopredeter"/>
    <w:uiPriority w:val="99"/>
    <w:semiHidden/>
    <w:unhideWhenUsed/>
    <w:rsid w:val="009454A4"/>
    <w:rPr>
      <w:sz w:val="16"/>
      <w:szCs w:val="16"/>
    </w:rPr>
  </w:style>
  <w:style w:type="paragraph" w:styleId="Textocomentario">
    <w:name w:val="annotation text"/>
    <w:basedOn w:val="Normal"/>
    <w:link w:val="TextocomentarioCar"/>
    <w:uiPriority w:val="99"/>
    <w:unhideWhenUsed/>
    <w:rsid w:val="009454A4"/>
    <w:pPr>
      <w:spacing w:line="240" w:lineRule="auto"/>
    </w:pPr>
    <w:rPr>
      <w:sz w:val="20"/>
      <w:szCs w:val="20"/>
    </w:rPr>
  </w:style>
  <w:style w:type="character" w:customStyle="1" w:styleId="TextocomentarioCar">
    <w:name w:val="Texto comentario Car"/>
    <w:basedOn w:val="Fuentedeprrafopredeter"/>
    <w:link w:val="Textocomentario"/>
    <w:uiPriority w:val="99"/>
    <w:rsid w:val="009454A4"/>
    <w:rPr>
      <w:sz w:val="20"/>
      <w:szCs w:val="20"/>
    </w:rPr>
  </w:style>
  <w:style w:type="paragraph" w:styleId="Asuntodelcomentario">
    <w:name w:val="annotation subject"/>
    <w:basedOn w:val="Textocomentario"/>
    <w:next w:val="Textocomentario"/>
    <w:link w:val="AsuntodelcomentarioCar"/>
    <w:uiPriority w:val="99"/>
    <w:semiHidden/>
    <w:unhideWhenUsed/>
    <w:rsid w:val="009454A4"/>
    <w:rPr>
      <w:b/>
      <w:bCs/>
    </w:rPr>
  </w:style>
  <w:style w:type="character" w:customStyle="1" w:styleId="AsuntodelcomentarioCar">
    <w:name w:val="Asunto del comentario Car"/>
    <w:basedOn w:val="TextocomentarioCar"/>
    <w:link w:val="Asuntodelcomentario"/>
    <w:uiPriority w:val="99"/>
    <w:semiHidden/>
    <w:rsid w:val="009454A4"/>
    <w:rPr>
      <w:b/>
      <w:bCs/>
      <w:sz w:val="20"/>
      <w:szCs w:val="20"/>
    </w:rPr>
  </w:style>
  <w:style w:type="paragraph" w:styleId="Textodeglobo">
    <w:name w:val="Balloon Text"/>
    <w:basedOn w:val="Normal"/>
    <w:link w:val="TextodegloboCar"/>
    <w:uiPriority w:val="99"/>
    <w:semiHidden/>
    <w:unhideWhenUsed/>
    <w:rsid w:val="00945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4A4"/>
    <w:rPr>
      <w:rFonts w:ascii="Segoe UI" w:hAnsi="Segoe UI" w:cs="Segoe UI"/>
      <w:sz w:val="18"/>
      <w:szCs w:val="18"/>
    </w:rPr>
  </w:style>
  <w:style w:type="paragraph" w:styleId="Revisin">
    <w:name w:val="Revision"/>
    <w:hidden/>
    <w:uiPriority w:val="99"/>
    <w:semiHidden/>
    <w:rsid w:val="009321D8"/>
    <w:pPr>
      <w:spacing w:after="0" w:line="240" w:lineRule="auto"/>
    </w:pPr>
  </w:style>
  <w:style w:type="character" w:customStyle="1" w:styleId="Mencinsinresolver1">
    <w:name w:val="Mención sin resolver1"/>
    <w:basedOn w:val="Fuentedeprrafopredeter"/>
    <w:uiPriority w:val="99"/>
    <w:rsid w:val="00266E1C"/>
    <w:rPr>
      <w:color w:val="605E5C"/>
      <w:shd w:val="clear" w:color="auto" w:fill="E1DFDD"/>
    </w:rPr>
  </w:style>
  <w:style w:type="character" w:customStyle="1" w:styleId="Mencinsinresolver2">
    <w:name w:val="Mención sin resolver2"/>
    <w:basedOn w:val="Fuentedeprrafopredeter"/>
    <w:uiPriority w:val="99"/>
    <w:semiHidden/>
    <w:unhideWhenUsed/>
    <w:rsid w:val="00A001BF"/>
    <w:rPr>
      <w:color w:val="605E5C"/>
      <w:shd w:val="clear" w:color="auto" w:fill="E1DFDD"/>
    </w:rPr>
  </w:style>
  <w:style w:type="character" w:customStyle="1" w:styleId="Mencinsinresolver3">
    <w:name w:val="Mención sin resolver3"/>
    <w:basedOn w:val="Fuentedeprrafopredeter"/>
    <w:uiPriority w:val="99"/>
    <w:semiHidden/>
    <w:unhideWhenUsed/>
    <w:rsid w:val="00771814"/>
    <w:rPr>
      <w:color w:val="605E5C"/>
      <w:shd w:val="clear" w:color="auto" w:fill="E1DFDD"/>
    </w:rPr>
  </w:style>
  <w:style w:type="character" w:styleId="Mencinsinresolver">
    <w:name w:val="Unresolved Mention"/>
    <w:basedOn w:val="Fuentedeprrafopredeter"/>
    <w:uiPriority w:val="99"/>
    <w:semiHidden/>
    <w:unhideWhenUsed/>
    <w:rsid w:val="00182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779">
      <w:bodyDiv w:val="1"/>
      <w:marLeft w:val="0"/>
      <w:marRight w:val="0"/>
      <w:marTop w:val="0"/>
      <w:marBottom w:val="0"/>
      <w:divBdr>
        <w:top w:val="none" w:sz="0" w:space="0" w:color="auto"/>
        <w:left w:val="none" w:sz="0" w:space="0" w:color="auto"/>
        <w:bottom w:val="none" w:sz="0" w:space="0" w:color="auto"/>
        <w:right w:val="none" w:sz="0" w:space="0" w:color="auto"/>
      </w:divBdr>
    </w:div>
    <w:div w:id="7878159">
      <w:bodyDiv w:val="1"/>
      <w:marLeft w:val="0"/>
      <w:marRight w:val="0"/>
      <w:marTop w:val="0"/>
      <w:marBottom w:val="0"/>
      <w:divBdr>
        <w:top w:val="none" w:sz="0" w:space="0" w:color="auto"/>
        <w:left w:val="none" w:sz="0" w:space="0" w:color="auto"/>
        <w:bottom w:val="none" w:sz="0" w:space="0" w:color="auto"/>
        <w:right w:val="none" w:sz="0" w:space="0" w:color="auto"/>
      </w:divBdr>
    </w:div>
    <w:div w:id="53357497">
      <w:bodyDiv w:val="1"/>
      <w:marLeft w:val="0"/>
      <w:marRight w:val="0"/>
      <w:marTop w:val="0"/>
      <w:marBottom w:val="0"/>
      <w:divBdr>
        <w:top w:val="none" w:sz="0" w:space="0" w:color="auto"/>
        <w:left w:val="none" w:sz="0" w:space="0" w:color="auto"/>
        <w:bottom w:val="none" w:sz="0" w:space="0" w:color="auto"/>
        <w:right w:val="none" w:sz="0" w:space="0" w:color="auto"/>
      </w:divBdr>
    </w:div>
    <w:div w:id="58939043">
      <w:bodyDiv w:val="1"/>
      <w:marLeft w:val="0"/>
      <w:marRight w:val="0"/>
      <w:marTop w:val="0"/>
      <w:marBottom w:val="0"/>
      <w:divBdr>
        <w:top w:val="none" w:sz="0" w:space="0" w:color="auto"/>
        <w:left w:val="none" w:sz="0" w:space="0" w:color="auto"/>
        <w:bottom w:val="none" w:sz="0" w:space="0" w:color="auto"/>
        <w:right w:val="none" w:sz="0" w:space="0" w:color="auto"/>
      </w:divBdr>
    </w:div>
    <w:div w:id="137040666">
      <w:bodyDiv w:val="1"/>
      <w:marLeft w:val="0"/>
      <w:marRight w:val="0"/>
      <w:marTop w:val="0"/>
      <w:marBottom w:val="0"/>
      <w:divBdr>
        <w:top w:val="none" w:sz="0" w:space="0" w:color="auto"/>
        <w:left w:val="none" w:sz="0" w:space="0" w:color="auto"/>
        <w:bottom w:val="none" w:sz="0" w:space="0" w:color="auto"/>
        <w:right w:val="none" w:sz="0" w:space="0" w:color="auto"/>
      </w:divBdr>
    </w:div>
    <w:div w:id="189610500">
      <w:bodyDiv w:val="1"/>
      <w:marLeft w:val="0"/>
      <w:marRight w:val="0"/>
      <w:marTop w:val="0"/>
      <w:marBottom w:val="0"/>
      <w:divBdr>
        <w:top w:val="none" w:sz="0" w:space="0" w:color="auto"/>
        <w:left w:val="none" w:sz="0" w:space="0" w:color="auto"/>
        <w:bottom w:val="none" w:sz="0" w:space="0" w:color="auto"/>
        <w:right w:val="none" w:sz="0" w:space="0" w:color="auto"/>
      </w:divBdr>
    </w:div>
    <w:div w:id="223368641">
      <w:bodyDiv w:val="1"/>
      <w:marLeft w:val="0"/>
      <w:marRight w:val="0"/>
      <w:marTop w:val="0"/>
      <w:marBottom w:val="0"/>
      <w:divBdr>
        <w:top w:val="none" w:sz="0" w:space="0" w:color="auto"/>
        <w:left w:val="none" w:sz="0" w:space="0" w:color="auto"/>
        <w:bottom w:val="none" w:sz="0" w:space="0" w:color="auto"/>
        <w:right w:val="none" w:sz="0" w:space="0" w:color="auto"/>
      </w:divBdr>
    </w:div>
    <w:div w:id="302662559">
      <w:bodyDiv w:val="1"/>
      <w:marLeft w:val="0"/>
      <w:marRight w:val="0"/>
      <w:marTop w:val="0"/>
      <w:marBottom w:val="0"/>
      <w:divBdr>
        <w:top w:val="none" w:sz="0" w:space="0" w:color="auto"/>
        <w:left w:val="none" w:sz="0" w:space="0" w:color="auto"/>
        <w:bottom w:val="none" w:sz="0" w:space="0" w:color="auto"/>
        <w:right w:val="none" w:sz="0" w:space="0" w:color="auto"/>
      </w:divBdr>
    </w:div>
    <w:div w:id="413206902">
      <w:bodyDiv w:val="1"/>
      <w:marLeft w:val="0"/>
      <w:marRight w:val="0"/>
      <w:marTop w:val="0"/>
      <w:marBottom w:val="0"/>
      <w:divBdr>
        <w:top w:val="none" w:sz="0" w:space="0" w:color="auto"/>
        <w:left w:val="none" w:sz="0" w:space="0" w:color="auto"/>
        <w:bottom w:val="none" w:sz="0" w:space="0" w:color="auto"/>
        <w:right w:val="none" w:sz="0" w:space="0" w:color="auto"/>
      </w:divBdr>
    </w:div>
    <w:div w:id="413943184">
      <w:bodyDiv w:val="1"/>
      <w:marLeft w:val="0"/>
      <w:marRight w:val="0"/>
      <w:marTop w:val="0"/>
      <w:marBottom w:val="0"/>
      <w:divBdr>
        <w:top w:val="none" w:sz="0" w:space="0" w:color="auto"/>
        <w:left w:val="none" w:sz="0" w:space="0" w:color="auto"/>
        <w:bottom w:val="none" w:sz="0" w:space="0" w:color="auto"/>
        <w:right w:val="none" w:sz="0" w:space="0" w:color="auto"/>
      </w:divBdr>
    </w:div>
    <w:div w:id="435248521">
      <w:bodyDiv w:val="1"/>
      <w:marLeft w:val="0"/>
      <w:marRight w:val="0"/>
      <w:marTop w:val="0"/>
      <w:marBottom w:val="0"/>
      <w:divBdr>
        <w:top w:val="none" w:sz="0" w:space="0" w:color="auto"/>
        <w:left w:val="none" w:sz="0" w:space="0" w:color="auto"/>
        <w:bottom w:val="none" w:sz="0" w:space="0" w:color="auto"/>
        <w:right w:val="none" w:sz="0" w:space="0" w:color="auto"/>
      </w:divBdr>
    </w:div>
    <w:div w:id="464812118">
      <w:bodyDiv w:val="1"/>
      <w:marLeft w:val="0"/>
      <w:marRight w:val="0"/>
      <w:marTop w:val="0"/>
      <w:marBottom w:val="0"/>
      <w:divBdr>
        <w:top w:val="none" w:sz="0" w:space="0" w:color="auto"/>
        <w:left w:val="none" w:sz="0" w:space="0" w:color="auto"/>
        <w:bottom w:val="none" w:sz="0" w:space="0" w:color="auto"/>
        <w:right w:val="none" w:sz="0" w:space="0" w:color="auto"/>
      </w:divBdr>
    </w:div>
    <w:div w:id="544218686">
      <w:bodyDiv w:val="1"/>
      <w:marLeft w:val="0"/>
      <w:marRight w:val="0"/>
      <w:marTop w:val="0"/>
      <w:marBottom w:val="0"/>
      <w:divBdr>
        <w:top w:val="none" w:sz="0" w:space="0" w:color="auto"/>
        <w:left w:val="none" w:sz="0" w:space="0" w:color="auto"/>
        <w:bottom w:val="none" w:sz="0" w:space="0" w:color="auto"/>
        <w:right w:val="none" w:sz="0" w:space="0" w:color="auto"/>
      </w:divBdr>
    </w:div>
    <w:div w:id="566382037">
      <w:bodyDiv w:val="1"/>
      <w:marLeft w:val="0"/>
      <w:marRight w:val="0"/>
      <w:marTop w:val="0"/>
      <w:marBottom w:val="0"/>
      <w:divBdr>
        <w:top w:val="none" w:sz="0" w:space="0" w:color="auto"/>
        <w:left w:val="none" w:sz="0" w:space="0" w:color="auto"/>
        <w:bottom w:val="none" w:sz="0" w:space="0" w:color="auto"/>
        <w:right w:val="none" w:sz="0" w:space="0" w:color="auto"/>
      </w:divBdr>
    </w:div>
    <w:div w:id="586037536">
      <w:bodyDiv w:val="1"/>
      <w:marLeft w:val="0"/>
      <w:marRight w:val="0"/>
      <w:marTop w:val="0"/>
      <w:marBottom w:val="0"/>
      <w:divBdr>
        <w:top w:val="none" w:sz="0" w:space="0" w:color="auto"/>
        <w:left w:val="none" w:sz="0" w:space="0" w:color="auto"/>
        <w:bottom w:val="none" w:sz="0" w:space="0" w:color="auto"/>
        <w:right w:val="none" w:sz="0" w:space="0" w:color="auto"/>
      </w:divBdr>
    </w:div>
    <w:div w:id="586429067">
      <w:bodyDiv w:val="1"/>
      <w:marLeft w:val="0"/>
      <w:marRight w:val="0"/>
      <w:marTop w:val="0"/>
      <w:marBottom w:val="0"/>
      <w:divBdr>
        <w:top w:val="none" w:sz="0" w:space="0" w:color="auto"/>
        <w:left w:val="none" w:sz="0" w:space="0" w:color="auto"/>
        <w:bottom w:val="none" w:sz="0" w:space="0" w:color="auto"/>
        <w:right w:val="none" w:sz="0" w:space="0" w:color="auto"/>
      </w:divBdr>
    </w:div>
    <w:div w:id="679234212">
      <w:bodyDiv w:val="1"/>
      <w:marLeft w:val="0"/>
      <w:marRight w:val="0"/>
      <w:marTop w:val="0"/>
      <w:marBottom w:val="0"/>
      <w:divBdr>
        <w:top w:val="none" w:sz="0" w:space="0" w:color="auto"/>
        <w:left w:val="none" w:sz="0" w:space="0" w:color="auto"/>
        <w:bottom w:val="none" w:sz="0" w:space="0" w:color="auto"/>
        <w:right w:val="none" w:sz="0" w:space="0" w:color="auto"/>
      </w:divBdr>
    </w:div>
    <w:div w:id="712540072">
      <w:bodyDiv w:val="1"/>
      <w:marLeft w:val="0"/>
      <w:marRight w:val="0"/>
      <w:marTop w:val="0"/>
      <w:marBottom w:val="0"/>
      <w:divBdr>
        <w:top w:val="none" w:sz="0" w:space="0" w:color="auto"/>
        <w:left w:val="none" w:sz="0" w:space="0" w:color="auto"/>
        <w:bottom w:val="none" w:sz="0" w:space="0" w:color="auto"/>
        <w:right w:val="none" w:sz="0" w:space="0" w:color="auto"/>
      </w:divBdr>
    </w:div>
    <w:div w:id="734159003">
      <w:bodyDiv w:val="1"/>
      <w:marLeft w:val="0"/>
      <w:marRight w:val="0"/>
      <w:marTop w:val="0"/>
      <w:marBottom w:val="0"/>
      <w:divBdr>
        <w:top w:val="none" w:sz="0" w:space="0" w:color="auto"/>
        <w:left w:val="none" w:sz="0" w:space="0" w:color="auto"/>
        <w:bottom w:val="none" w:sz="0" w:space="0" w:color="auto"/>
        <w:right w:val="none" w:sz="0" w:space="0" w:color="auto"/>
      </w:divBdr>
    </w:div>
    <w:div w:id="792551666">
      <w:bodyDiv w:val="1"/>
      <w:marLeft w:val="0"/>
      <w:marRight w:val="0"/>
      <w:marTop w:val="0"/>
      <w:marBottom w:val="0"/>
      <w:divBdr>
        <w:top w:val="none" w:sz="0" w:space="0" w:color="auto"/>
        <w:left w:val="none" w:sz="0" w:space="0" w:color="auto"/>
        <w:bottom w:val="none" w:sz="0" w:space="0" w:color="auto"/>
        <w:right w:val="none" w:sz="0" w:space="0" w:color="auto"/>
      </w:divBdr>
    </w:div>
    <w:div w:id="808742959">
      <w:bodyDiv w:val="1"/>
      <w:marLeft w:val="0"/>
      <w:marRight w:val="0"/>
      <w:marTop w:val="0"/>
      <w:marBottom w:val="0"/>
      <w:divBdr>
        <w:top w:val="none" w:sz="0" w:space="0" w:color="auto"/>
        <w:left w:val="none" w:sz="0" w:space="0" w:color="auto"/>
        <w:bottom w:val="none" w:sz="0" w:space="0" w:color="auto"/>
        <w:right w:val="none" w:sz="0" w:space="0" w:color="auto"/>
      </w:divBdr>
    </w:div>
    <w:div w:id="825244946">
      <w:bodyDiv w:val="1"/>
      <w:marLeft w:val="0"/>
      <w:marRight w:val="0"/>
      <w:marTop w:val="0"/>
      <w:marBottom w:val="0"/>
      <w:divBdr>
        <w:top w:val="none" w:sz="0" w:space="0" w:color="auto"/>
        <w:left w:val="none" w:sz="0" w:space="0" w:color="auto"/>
        <w:bottom w:val="none" w:sz="0" w:space="0" w:color="auto"/>
        <w:right w:val="none" w:sz="0" w:space="0" w:color="auto"/>
      </w:divBdr>
    </w:div>
    <w:div w:id="864101891">
      <w:bodyDiv w:val="1"/>
      <w:marLeft w:val="0"/>
      <w:marRight w:val="0"/>
      <w:marTop w:val="0"/>
      <w:marBottom w:val="0"/>
      <w:divBdr>
        <w:top w:val="none" w:sz="0" w:space="0" w:color="auto"/>
        <w:left w:val="none" w:sz="0" w:space="0" w:color="auto"/>
        <w:bottom w:val="none" w:sz="0" w:space="0" w:color="auto"/>
        <w:right w:val="none" w:sz="0" w:space="0" w:color="auto"/>
      </w:divBdr>
    </w:div>
    <w:div w:id="908998873">
      <w:bodyDiv w:val="1"/>
      <w:marLeft w:val="0"/>
      <w:marRight w:val="0"/>
      <w:marTop w:val="0"/>
      <w:marBottom w:val="0"/>
      <w:divBdr>
        <w:top w:val="none" w:sz="0" w:space="0" w:color="auto"/>
        <w:left w:val="none" w:sz="0" w:space="0" w:color="auto"/>
        <w:bottom w:val="none" w:sz="0" w:space="0" w:color="auto"/>
        <w:right w:val="none" w:sz="0" w:space="0" w:color="auto"/>
      </w:divBdr>
    </w:div>
    <w:div w:id="914901488">
      <w:bodyDiv w:val="1"/>
      <w:marLeft w:val="0"/>
      <w:marRight w:val="0"/>
      <w:marTop w:val="0"/>
      <w:marBottom w:val="0"/>
      <w:divBdr>
        <w:top w:val="none" w:sz="0" w:space="0" w:color="auto"/>
        <w:left w:val="none" w:sz="0" w:space="0" w:color="auto"/>
        <w:bottom w:val="none" w:sz="0" w:space="0" w:color="auto"/>
        <w:right w:val="none" w:sz="0" w:space="0" w:color="auto"/>
      </w:divBdr>
    </w:div>
    <w:div w:id="930888834">
      <w:bodyDiv w:val="1"/>
      <w:marLeft w:val="0"/>
      <w:marRight w:val="0"/>
      <w:marTop w:val="0"/>
      <w:marBottom w:val="0"/>
      <w:divBdr>
        <w:top w:val="none" w:sz="0" w:space="0" w:color="auto"/>
        <w:left w:val="none" w:sz="0" w:space="0" w:color="auto"/>
        <w:bottom w:val="none" w:sz="0" w:space="0" w:color="auto"/>
        <w:right w:val="none" w:sz="0" w:space="0" w:color="auto"/>
      </w:divBdr>
    </w:div>
    <w:div w:id="931625294">
      <w:bodyDiv w:val="1"/>
      <w:marLeft w:val="0"/>
      <w:marRight w:val="0"/>
      <w:marTop w:val="0"/>
      <w:marBottom w:val="0"/>
      <w:divBdr>
        <w:top w:val="none" w:sz="0" w:space="0" w:color="auto"/>
        <w:left w:val="none" w:sz="0" w:space="0" w:color="auto"/>
        <w:bottom w:val="none" w:sz="0" w:space="0" w:color="auto"/>
        <w:right w:val="none" w:sz="0" w:space="0" w:color="auto"/>
      </w:divBdr>
    </w:div>
    <w:div w:id="1017926505">
      <w:bodyDiv w:val="1"/>
      <w:marLeft w:val="0"/>
      <w:marRight w:val="0"/>
      <w:marTop w:val="0"/>
      <w:marBottom w:val="0"/>
      <w:divBdr>
        <w:top w:val="none" w:sz="0" w:space="0" w:color="auto"/>
        <w:left w:val="none" w:sz="0" w:space="0" w:color="auto"/>
        <w:bottom w:val="none" w:sz="0" w:space="0" w:color="auto"/>
        <w:right w:val="none" w:sz="0" w:space="0" w:color="auto"/>
      </w:divBdr>
    </w:div>
    <w:div w:id="1054041585">
      <w:bodyDiv w:val="1"/>
      <w:marLeft w:val="0"/>
      <w:marRight w:val="0"/>
      <w:marTop w:val="0"/>
      <w:marBottom w:val="0"/>
      <w:divBdr>
        <w:top w:val="none" w:sz="0" w:space="0" w:color="auto"/>
        <w:left w:val="none" w:sz="0" w:space="0" w:color="auto"/>
        <w:bottom w:val="none" w:sz="0" w:space="0" w:color="auto"/>
        <w:right w:val="none" w:sz="0" w:space="0" w:color="auto"/>
      </w:divBdr>
    </w:div>
    <w:div w:id="1057361077">
      <w:bodyDiv w:val="1"/>
      <w:marLeft w:val="0"/>
      <w:marRight w:val="0"/>
      <w:marTop w:val="0"/>
      <w:marBottom w:val="0"/>
      <w:divBdr>
        <w:top w:val="none" w:sz="0" w:space="0" w:color="auto"/>
        <w:left w:val="none" w:sz="0" w:space="0" w:color="auto"/>
        <w:bottom w:val="none" w:sz="0" w:space="0" w:color="auto"/>
        <w:right w:val="none" w:sz="0" w:space="0" w:color="auto"/>
      </w:divBdr>
    </w:div>
    <w:div w:id="1082292434">
      <w:bodyDiv w:val="1"/>
      <w:marLeft w:val="0"/>
      <w:marRight w:val="0"/>
      <w:marTop w:val="0"/>
      <w:marBottom w:val="0"/>
      <w:divBdr>
        <w:top w:val="none" w:sz="0" w:space="0" w:color="auto"/>
        <w:left w:val="none" w:sz="0" w:space="0" w:color="auto"/>
        <w:bottom w:val="none" w:sz="0" w:space="0" w:color="auto"/>
        <w:right w:val="none" w:sz="0" w:space="0" w:color="auto"/>
      </w:divBdr>
    </w:div>
    <w:div w:id="1120418934">
      <w:bodyDiv w:val="1"/>
      <w:marLeft w:val="0"/>
      <w:marRight w:val="0"/>
      <w:marTop w:val="0"/>
      <w:marBottom w:val="0"/>
      <w:divBdr>
        <w:top w:val="none" w:sz="0" w:space="0" w:color="auto"/>
        <w:left w:val="none" w:sz="0" w:space="0" w:color="auto"/>
        <w:bottom w:val="none" w:sz="0" w:space="0" w:color="auto"/>
        <w:right w:val="none" w:sz="0" w:space="0" w:color="auto"/>
      </w:divBdr>
    </w:div>
    <w:div w:id="1131248442">
      <w:bodyDiv w:val="1"/>
      <w:marLeft w:val="0"/>
      <w:marRight w:val="0"/>
      <w:marTop w:val="0"/>
      <w:marBottom w:val="0"/>
      <w:divBdr>
        <w:top w:val="none" w:sz="0" w:space="0" w:color="auto"/>
        <w:left w:val="none" w:sz="0" w:space="0" w:color="auto"/>
        <w:bottom w:val="none" w:sz="0" w:space="0" w:color="auto"/>
        <w:right w:val="none" w:sz="0" w:space="0" w:color="auto"/>
      </w:divBdr>
    </w:div>
    <w:div w:id="1247611937">
      <w:bodyDiv w:val="1"/>
      <w:marLeft w:val="0"/>
      <w:marRight w:val="0"/>
      <w:marTop w:val="0"/>
      <w:marBottom w:val="0"/>
      <w:divBdr>
        <w:top w:val="none" w:sz="0" w:space="0" w:color="auto"/>
        <w:left w:val="none" w:sz="0" w:space="0" w:color="auto"/>
        <w:bottom w:val="none" w:sz="0" w:space="0" w:color="auto"/>
        <w:right w:val="none" w:sz="0" w:space="0" w:color="auto"/>
      </w:divBdr>
    </w:div>
    <w:div w:id="1253665030">
      <w:bodyDiv w:val="1"/>
      <w:marLeft w:val="0"/>
      <w:marRight w:val="0"/>
      <w:marTop w:val="0"/>
      <w:marBottom w:val="0"/>
      <w:divBdr>
        <w:top w:val="none" w:sz="0" w:space="0" w:color="auto"/>
        <w:left w:val="none" w:sz="0" w:space="0" w:color="auto"/>
        <w:bottom w:val="none" w:sz="0" w:space="0" w:color="auto"/>
        <w:right w:val="none" w:sz="0" w:space="0" w:color="auto"/>
      </w:divBdr>
    </w:div>
    <w:div w:id="1311910865">
      <w:bodyDiv w:val="1"/>
      <w:marLeft w:val="0"/>
      <w:marRight w:val="0"/>
      <w:marTop w:val="0"/>
      <w:marBottom w:val="0"/>
      <w:divBdr>
        <w:top w:val="none" w:sz="0" w:space="0" w:color="auto"/>
        <w:left w:val="none" w:sz="0" w:space="0" w:color="auto"/>
        <w:bottom w:val="none" w:sz="0" w:space="0" w:color="auto"/>
        <w:right w:val="none" w:sz="0" w:space="0" w:color="auto"/>
      </w:divBdr>
    </w:div>
    <w:div w:id="1319261154">
      <w:bodyDiv w:val="1"/>
      <w:marLeft w:val="0"/>
      <w:marRight w:val="0"/>
      <w:marTop w:val="0"/>
      <w:marBottom w:val="0"/>
      <w:divBdr>
        <w:top w:val="none" w:sz="0" w:space="0" w:color="auto"/>
        <w:left w:val="none" w:sz="0" w:space="0" w:color="auto"/>
        <w:bottom w:val="none" w:sz="0" w:space="0" w:color="auto"/>
        <w:right w:val="none" w:sz="0" w:space="0" w:color="auto"/>
      </w:divBdr>
    </w:div>
    <w:div w:id="1319308992">
      <w:bodyDiv w:val="1"/>
      <w:marLeft w:val="0"/>
      <w:marRight w:val="0"/>
      <w:marTop w:val="0"/>
      <w:marBottom w:val="0"/>
      <w:divBdr>
        <w:top w:val="none" w:sz="0" w:space="0" w:color="auto"/>
        <w:left w:val="none" w:sz="0" w:space="0" w:color="auto"/>
        <w:bottom w:val="none" w:sz="0" w:space="0" w:color="auto"/>
        <w:right w:val="none" w:sz="0" w:space="0" w:color="auto"/>
      </w:divBdr>
    </w:div>
    <w:div w:id="1360665141">
      <w:bodyDiv w:val="1"/>
      <w:marLeft w:val="0"/>
      <w:marRight w:val="0"/>
      <w:marTop w:val="0"/>
      <w:marBottom w:val="0"/>
      <w:divBdr>
        <w:top w:val="none" w:sz="0" w:space="0" w:color="auto"/>
        <w:left w:val="none" w:sz="0" w:space="0" w:color="auto"/>
        <w:bottom w:val="none" w:sz="0" w:space="0" w:color="auto"/>
        <w:right w:val="none" w:sz="0" w:space="0" w:color="auto"/>
      </w:divBdr>
    </w:div>
    <w:div w:id="14406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522602">
          <w:marLeft w:val="0"/>
          <w:marRight w:val="0"/>
          <w:marTop w:val="0"/>
          <w:marBottom w:val="0"/>
          <w:divBdr>
            <w:top w:val="none" w:sz="0" w:space="0" w:color="auto"/>
            <w:left w:val="none" w:sz="0" w:space="0" w:color="auto"/>
            <w:bottom w:val="none" w:sz="0" w:space="0" w:color="auto"/>
            <w:right w:val="none" w:sz="0" w:space="0" w:color="auto"/>
          </w:divBdr>
        </w:div>
      </w:divsChild>
    </w:div>
    <w:div w:id="1453744047">
      <w:bodyDiv w:val="1"/>
      <w:marLeft w:val="0"/>
      <w:marRight w:val="0"/>
      <w:marTop w:val="0"/>
      <w:marBottom w:val="0"/>
      <w:divBdr>
        <w:top w:val="none" w:sz="0" w:space="0" w:color="auto"/>
        <w:left w:val="none" w:sz="0" w:space="0" w:color="auto"/>
        <w:bottom w:val="none" w:sz="0" w:space="0" w:color="auto"/>
        <w:right w:val="none" w:sz="0" w:space="0" w:color="auto"/>
      </w:divBdr>
    </w:div>
    <w:div w:id="1456831021">
      <w:bodyDiv w:val="1"/>
      <w:marLeft w:val="0"/>
      <w:marRight w:val="0"/>
      <w:marTop w:val="0"/>
      <w:marBottom w:val="0"/>
      <w:divBdr>
        <w:top w:val="none" w:sz="0" w:space="0" w:color="auto"/>
        <w:left w:val="none" w:sz="0" w:space="0" w:color="auto"/>
        <w:bottom w:val="none" w:sz="0" w:space="0" w:color="auto"/>
        <w:right w:val="none" w:sz="0" w:space="0" w:color="auto"/>
      </w:divBdr>
    </w:div>
    <w:div w:id="1512723863">
      <w:bodyDiv w:val="1"/>
      <w:marLeft w:val="0"/>
      <w:marRight w:val="0"/>
      <w:marTop w:val="0"/>
      <w:marBottom w:val="0"/>
      <w:divBdr>
        <w:top w:val="none" w:sz="0" w:space="0" w:color="auto"/>
        <w:left w:val="none" w:sz="0" w:space="0" w:color="auto"/>
        <w:bottom w:val="none" w:sz="0" w:space="0" w:color="auto"/>
        <w:right w:val="none" w:sz="0" w:space="0" w:color="auto"/>
      </w:divBdr>
    </w:div>
    <w:div w:id="1517696540">
      <w:bodyDiv w:val="1"/>
      <w:marLeft w:val="0"/>
      <w:marRight w:val="0"/>
      <w:marTop w:val="0"/>
      <w:marBottom w:val="0"/>
      <w:divBdr>
        <w:top w:val="none" w:sz="0" w:space="0" w:color="auto"/>
        <w:left w:val="none" w:sz="0" w:space="0" w:color="auto"/>
        <w:bottom w:val="none" w:sz="0" w:space="0" w:color="auto"/>
        <w:right w:val="none" w:sz="0" w:space="0" w:color="auto"/>
      </w:divBdr>
    </w:div>
    <w:div w:id="1528257909">
      <w:bodyDiv w:val="1"/>
      <w:marLeft w:val="0"/>
      <w:marRight w:val="0"/>
      <w:marTop w:val="0"/>
      <w:marBottom w:val="0"/>
      <w:divBdr>
        <w:top w:val="none" w:sz="0" w:space="0" w:color="auto"/>
        <w:left w:val="none" w:sz="0" w:space="0" w:color="auto"/>
        <w:bottom w:val="none" w:sz="0" w:space="0" w:color="auto"/>
        <w:right w:val="none" w:sz="0" w:space="0" w:color="auto"/>
      </w:divBdr>
    </w:div>
    <w:div w:id="1542160098">
      <w:bodyDiv w:val="1"/>
      <w:marLeft w:val="0"/>
      <w:marRight w:val="0"/>
      <w:marTop w:val="0"/>
      <w:marBottom w:val="0"/>
      <w:divBdr>
        <w:top w:val="none" w:sz="0" w:space="0" w:color="auto"/>
        <w:left w:val="none" w:sz="0" w:space="0" w:color="auto"/>
        <w:bottom w:val="none" w:sz="0" w:space="0" w:color="auto"/>
        <w:right w:val="none" w:sz="0" w:space="0" w:color="auto"/>
      </w:divBdr>
    </w:div>
    <w:div w:id="1547638717">
      <w:bodyDiv w:val="1"/>
      <w:marLeft w:val="0"/>
      <w:marRight w:val="0"/>
      <w:marTop w:val="0"/>
      <w:marBottom w:val="0"/>
      <w:divBdr>
        <w:top w:val="none" w:sz="0" w:space="0" w:color="auto"/>
        <w:left w:val="none" w:sz="0" w:space="0" w:color="auto"/>
        <w:bottom w:val="none" w:sz="0" w:space="0" w:color="auto"/>
        <w:right w:val="none" w:sz="0" w:space="0" w:color="auto"/>
      </w:divBdr>
    </w:div>
    <w:div w:id="1551378218">
      <w:bodyDiv w:val="1"/>
      <w:marLeft w:val="0"/>
      <w:marRight w:val="0"/>
      <w:marTop w:val="0"/>
      <w:marBottom w:val="0"/>
      <w:divBdr>
        <w:top w:val="none" w:sz="0" w:space="0" w:color="auto"/>
        <w:left w:val="none" w:sz="0" w:space="0" w:color="auto"/>
        <w:bottom w:val="none" w:sz="0" w:space="0" w:color="auto"/>
        <w:right w:val="none" w:sz="0" w:space="0" w:color="auto"/>
      </w:divBdr>
    </w:div>
    <w:div w:id="1616404669">
      <w:bodyDiv w:val="1"/>
      <w:marLeft w:val="0"/>
      <w:marRight w:val="0"/>
      <w:marTop w:val="0"/>
      <w:marBottom w:val="0"/>
      <w:divBdr>
        <w:top w:val="none" w:sz="0" w:space="0" w:color="auto"/>
        <w:left w:val="none" w:sz="0" w:space="0" w:color="auto"/>
        <w:bottom w:val="none" w:sz="0" w:space="0" w:color="auto"/>
        <w:right w:val="none" w:sz="0" w:space="0" w:color="auto"/>
      </w:divBdr>
    </w:div>
    <w:div w:id="1649556086">
      <w:bodyDiv w:val="1"/>
      <w:marLeft w:val="0"/>
      <w:marRight w:val="0"/>
      <w:marTop w:val="0"/>
      <w:marBottom w:val="0"/>
      <w:divBdr>
        <w:top w:val="none" w:sz="0" w:space="0" w:color="auto"/>
        <w:left w:val="none" w:sz="0" w:space="0" w:color="auto"/>
        <w:bottom w:val="none" w:sz="0" w:space="0" w:color="auto"/>
        <w:right w:val="none" w:sz="0" w:space="0" w:color="auto"/>
      </w:divBdr>
    </w:div>
    <w:div w:id="1769503943">
      <w:bodyDiv w:val="1"/>
      <w:marLeft w:val="0"/>
      <w:marRight w:val="0"/>
      <w:marTop w:val="0"/>
      <w:marBottom w:val="0"/>
      <w:divBdr>
        <w:top w:val="none" w:sz="0" w:space="0" w:color="auto"/>
        <w:left w:val="none" w:sz="0" w:space="0" w:color="auto"/>
        <w:bottom w:val="none" w:sz="0" w:space="0" w:color="auto"/>
        <w:right w:val="none" w:sz="0" w:space="0" w:color="auto"/>
      </w:divBdr>
    </w:div>
    <w:div w:id="1785494730">
      <w:bodyDiv w:val="1"/>
      <w:marLeft w:val="0"/>
      <w:marRight w:val="0"/>
      <w:marTop w:val="0"/>
      <w:marBottom w:val="0"/>
      <w:divBdr>
        <w:top w:val="none" w:sz="0" w:space="0" w:color="auto"/>
        <w:left w:val="none" w:sz="0" w:space="0" w:color="auto"/>
        <w:bottom w:val="none" w:sz="0" w:space="0" w:color="auto"/>
        <w:right w:val="none" w:sz="0" w:space="0" w:color="auto"/>
      </w:divBdr>
    </w:div>
    <w:div w:id="1824352827">
      <w:bodyDiv w:val="1"/>
      <w:marLeft w:val="0"/>
      <w:marRight w:val="0"/>
      <w:marTop w:val="0"/>
      <w:marBottom w:val="0"/>
      <w:divBdr>
        <w:top w:val="none" w:sz="0" w:space="0" w:color="auto"/>
        <w:left w:val="none" w:sz="0" w:space="0" w:color="auto"/>
        <w:bottom w:val="none" w:sz="0" w:space="0" w:color="auto"/>
        <w:right w:val="none" w:sz="0" w:space="0" w:color="auto"/>
      </w:divBdr>
    </w:div>
    <w:div w:id="1874492124">
      <w:bodyDiv w:val="1"/>
      <w:marLeft w:val="0"/>
      <w:marRight w:val="0"/>
      <w:marTop w:val="0"/>
      <w:marBottom w:val="0"/>
      <w:divBdr>
        <w:top w:val="none" w:sz="0" w:space="0" w:color="auto"/>
        <w:left w:val="none" w:sz="0" w:space="0" w:color="auto"/>
        <w:bottom w:val="none" w:sz="0" w:space="0" w:color="auto"/>
        <w:right w:val="none" w:sz="0" w:space="0" w:color="auto"/>
      </w:divBdr>
    </w:div>
    <w:div w:id="1883324424">
      <w:bodyDiv w:val="1"/>
      <w:marLeft w:val="0"/>
      <w:marRight w:val="0"/>
      <w:marTop w:val="0"/>
      <w:marBottom w:val="0"/>
      <w:divBdr>
        <w:top w:val="none" w:sz="0" w:space="0" w:color="auto"/>
        <w:left w:val="none" w:sz="0" w:space="0" w:color="auto"/>
        <w:bottom w:val="none" w:sz="0" w:space="0" w:color="auto"/>
        <w:right w:val="none" w:sz="0" w:space="0" w:color="auto"/>
      </w:divBdr>
    </w:div>
    <w:div w:id="1909416280">
      <w:bodyDiv w:val="1"/>
      <w:marLeft w:val="0"/>
      <w:marRight w:val="0"/>
      <w:marTop w:val="0"/>
      <w:marBottom w:val="0"/>
      <w:divBdr>
        <w:top w:val="none" w:sz="0" w:space="0" w:color="auto"/>
        <w:left w:val="none" w:sz="0" w:space="0" w:color="auto"/>
        <w:bottom w:val="none" w:sz="0" w:space="0" w:color="auto"/>
        <w:right w:val="none" w:sz="0" w:space="0" w:color="auto"/>
      </w:divBdr>
      <w:divsChild>
        <w:div w:id="654258746">
          <w:marLeft w:val="0"/>
          <w:marRight w:val="0"/>
          <w:marTop w:val="0"/>
          <w:marBottom w:val="0"/>
          <w:divBdr>
            <w:top w:val="none" w:sz="0" w:space="0" w:color="auto"/>
            <w:left w:val="none" w:sz="0" w:space="0" w:color="auto"/>
            <w:bottom w:val="none" w:sz="0" w:space="0" w:color="auto"/>
            <w:right w:val="none" w:sz="0" w:space="0" w:color="auto"/>
          </w:divBdr>
        </w:div>
      </w:divsChild>
    </w:div>
    <w:div w:id="1914701254">
      <w:bodyDiv w:val="1"/>
      <w:marLeft w:val="0"/>
      <w:marRight w:val="0"/>
      <w:marTop w:val="0"/>
      <w:marBottom w:val="0"/>
      <w:divBdr>
        <w:top w:val="none" w:sz="0" w:space="0" w:color="auto"/>
        <w:left w:val="none" w:sz="0" w:space="0" w:color="auto"/>
        <w:bottom w:val="none" w:sz="0" w:space="0" w:color="auto"/>
        <w:right w:val="none" w:sz="0" w:space="0" w:color="auto"/>
      </w:divBdr>
    </w:div>
    <w:div w:id="1923568177">
      <w:bodyDiv w:val="1"/>
      <w:marLeft w:val="0"/>
      <w:marRight w:val="0"/>
      <w:marTop w:val="0"/>
      <w:marBottom w:val="0"/>
      <w:divBdr>
        <w:top w:val="none" w:sz="0" w:space="0" w:color="auto"/>
        <w:left w:val="none" w:sz="0" w:space="0" w:color="auto"/>
        <w:bottom w:val="none" w:sz="0" w:space="0" w:color="auto"/>
        <w:right w:val="none" w:sz="0" w:space="0" w:color="auto"/>
      </w:divBdr>
    </w:div>
    <w:div w:id="2000772152">
      <w:bodyDiv w:val="1"/>
      <w:marLeft w:val="0"/>
      <w:marRight w:val="0"/>
      <w:marTop w:val="0"/>
      <w:marBottom w:val="0"/>
      <w:divBdr>
        <w:top w:val="none" w:sz="0" w:space="0" w:color="auto"/>
        <w:left w:val="none" w:sz="0" w:space="0" w:color="auto"/>
        <w:bottom w:val="none" w:sz="0" w:space="0" w:color="auto"/>
        <w:right w:val="none" w:sz="0" w:space="0" w:color="auto"/>
      </w:divBdr>
    </w:div>
    <w:div w:id="2012364448">
      <w:bodyDiv w:val="1"/>
      <w:marLeft w:val="0"/>
      <w:marRight w:val="0"/>
      <w:marTop w:val="0"/>
      <w:marBottom w:val="0"/>
      <w:divBdr>
        <w:top w:val="none" w:sz="0" w:space="0" w:color="auto"/>
        <w:left w:val="none" w:sz="0" w:space="0" w:color="auto"/>
        <w:bottom w:val="none" w:sz="0" w:space="0" w:color="auto"/>
        <w:right w:val="none" w:sz="0" w:space="0" w:color="auto"/>
      </w:divBdr>
    </w:div>
    <w:div w:id="2059284267">
      <w:bodyDiv w:val="1"/>
      <w:marLeft w:val="0"/>
      <w:marRight w:val="0"/>
      <w:marTop w:val="0"/>
      <w:marBottom w:val="0"/>
      <w:divBdr>
        <w:top w:val="none" w:sz="0" w:space="0" w:color="auto"/>
        <w:left w:val="none" w:sz="0" w:space="0" w:color="auto"/>
        <w:bottom w:val="none" w:sz="0" w:space="0" w:color="auto"/>
        <w:right w:val="none" w:sz="0" w:space="0" w:color="auto"/>
      </w:divBdr>
    </w:div>
    <w:div w:id="210202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user/INEGIInforma" TargetMode="External"/><Relationship Id="rId26" Type="http://schemas.openxmlformats.org/officeDocument/2006/relationships/chart" Target="charts/chart3.xml"/><Relationship Id="rId39" Type="http://schemas.openxmlformats.org/officeDocument/2006/relationships/chart" Target="charts/chart10.xml"/><Relationship Id="rId21" Type="http://schemas.openxmlformats.org/officeDocument/2006/relationships/image" Target="media/image6.png"/><Relationship Id="rId34" Type="http://schemas.openxmlformats.org/officeDocument/2006/relationships/image" Target="media/image8.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INEGI_INFORMA" TargetMode="External"/><Relationship Id="rId29" Type="http://schemas.openxmlformats.org/officeDocument/2006/relationships/chart" Target="charts/chart6.xml"/><Relationship Id="rId11" Type="http://schemas.openxmlformats.org/officeDocument/2006/relationships/footer" Target="footer1.xml"/><Relationship Id="rId24" Type="http://schemas.openxmlformats.org/officeDocument/2006/relationships/chart" Target="charts/chart1.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4" Type="http://schemas.openxmlformats.org/officeDocument/2006/relationships/hyperlink" Target="https://www.instagram.com/inegi_informa/" TargetMode="External"/><Relationship Id="rId22" Type="http://schemas.openxmlformats.org/officeDocument/2006/relationships/hyperlink" Target="https://www.inegi.org.mx/programas/cnge/2021/" TargetMode="External"/><Relationship Id="rId27" Type="http://schemas.openxmlformats.org/officeDocument/2006/relationships/chart" Target="charts/chart4.xml"/><Relationship Id="rId35" Type="http://schemas.openxmlformats.org/officeDocument/2006/relationships/image" Target="media/image9.png"/><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8" Type="http://schemas.openxmlformats.org/officeDocument/2006/relationships/hyperlink" Target="https://www.inegi.org.mx/programas/cnge/2021/" TargetMode="Externa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yperlink" Target="https://www.facebook.com/INEGIInforma/" TargetMode="External"/><Relationship Id="rId17" Type="http://schemas.openxmlformats.org/officeDocument/2006/relationships/image" Target="media/image4.jpeg"/><Relationship Id="rId25" Type="http://schemas.openxmlformats.org/officeDocument/2006/relationships/chart" Target="charts/chart2.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30.xml"/><Relationship Id="rId20" Type="http://schemas.openxmlformats.org/officeDocument/2006/relationships/hyperlink" Target="http://www.inegi.org.mx/" TargetMode="External"/><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header" Target="header1.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hyperlink" Target="https://www.inegi.org.mx/programas/cng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vonne.acundo\Desktop\CNGE%202021\BD%20CNGE%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onne.acundo\Desktop\CNGE%202021\BD%20CNGE%20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vonne.acundo\Desktop\Comunicados%202021\CNGE%202021\datos_titulares_cnge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vonne.acundo\Desktop\Comunicados%202021\CNGE%202021\datos_titulares_cnge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onne.acundo\Desktop\Comunicados%202021\CNGE%202021\BD%20CNGE%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'LISTADO INST'!$Y$3</c:f>
              <c:strCache>
                <c:ptCount val="1"/>
                <c:pt idx="0">
                  <c:v>Centralizada </c:v>
                </c:pt>
              </c:strCache>
            </c:strRef>
          </c:tx>
          <c:spPr>
            <a:solidFill>
              <a:srgbClr val="8C1B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'LISTADO INST'!$X$4:$X$14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'LISTADO INST'!$Y$4:$Y$14</c:f>
              <c:numCache>
                <c:formatCode>#,##0</c:formatCode>
                <c:ptCount val="11"/>
                <c:pt idx="0">
                  <c:v>707</c:v>
                </c:pt>
                <c:pt idx="1">
                  <c:v>738</c:v>
                </c:pt>
                <c:pt idx="2">
                  <c:v>764</c:v>
                </c:pt>
                <c:pt idx="3">
                  <c:v>705</c:v>
                </c:pt>
                <c:pt idx="4">
                  <c:v>686</c:v>
                </c:pt>
                <c:pt idx="5">
                  <c:v>718</c:v>
                </c:pt>
                <c:pt idx="6">
                  <c:v>716</c:v>
                </c:pt>
                <c:pt idx="7">
                  <c:v>733</c:v>
                </c:pt>
                <c:pt idx="8">
                  <c:v>738</c:v>
                </c:pt>
                <c:pt idx="9">
                  <c:v>746</c:v>
                </c:pt>
                <c:pt idx="10">
                  <c:v>758</c:v>
                </c:pt>
              </c:numCache>
            </c:numRef>
          </c:val>
          <c:extLst>
            <c:ext xmlns:c16="http://schemas.microsoft.com/office/drawing/2014/chart" uri="{C3380CC4-5D6E-409C-BE32-E72D297353CC}">
              <c16:uniqueId val="{00000000-9A3A-49D5-9BAC-2DB75E04E70D}"/>
            </c:ext>
          </c:extLst>
        </c:ser>
        <c:ser>
          <c:idx val="1"/>
          <c:order val="1"/>
          <c:tx>
            <c:strRef>
              <c:f>'LISTADO INST'!$Z$3</c:f>
              <c:strCache>
                <c:ptCount val="1"/>
                <c:pt idx="0">
                  <c:v>Paraestatal</c:v>
                </c:pt>
              </c:strCache>
            </c:strRef>
          </c:tx>
          <c:spPr>
            <a:solidFill>
              <a:srgbClr val="706F6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'LISTADO INST'!$X$4:$X$14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'LISTADO INST'!$Z$4:$Z$14</c:f>
              <c:numCache>
                <c:formatCode>#,##0</c:formatCode>
                <c:ptCount val="11"/>
                <c:pt idx="0">
                  <c:v>1430</c:v>
                </c:pt>
                <c:pt idx="1">
                  <c:v>1451</c:v>
                </c:pt>
                <c:pt idx="2">
                  <c:v>1555</c:v>
                </c:pt>
                <c:pt idx="3">
                  <c:v>1605</c:v>
                </c:pt>
                <c:pt idx="4">
                  <c:v>1471</c:v>
                </c:pt>
                <c:pt idx="5">
                  <c:v>1461</c:v>
                </c:pt>
                <c:pt idx="6">
                  <c:v>1494</c:v>
                </c:pt>
                <c:pt idx="7">
                  <c:v>1505</c:v>
                </c:pt>
                <c:pt idx="8">
                  <c:v>1463</c:v>
                </c:pt>
                <c:pt idx="9">
                  <c:v>1460</c:v>
                </c:pt>
                <c:pt idx="10">
                  <c:v>1481</c:v>
                </c:pt>
              </c:numCache>
            </c:numRef>
          </c:val>
          <c:extLst>
            <c:ext xmlns:c16="http://schemas.microsoft.com/office/drawing/2014/chart" uri="{C3380CC4-5D6E-409C-BE32-E72D297353CC}">
              <c16:uniqueId val="{00000001-9A3A-49D5-9BAC-2DB75E04E70D}"/>
            </c:ext>
          </c:extLst>
        </c:ser>
        <c:dLbls>
          <c:showLegendKey val="0"/>
          <c:showVal val="0"/>
          <c:showCatName val="0"/>
          <c:showSerName val="0"/>
          <c:showPercent val="0"/>
          <c:showBubbleSize val="0"/>
        </c:dLbls>
        <c:gapWidth val="70"/>
        <c:overlap val="-27"/>
        <c:axId val="905973967"/>
        <c:axId val="905974799"/>
      </c:barChart>
      <c:lineChart>
        <c:grouping val="standard"/>
        <c:varyColors val="0"/>
        <c:ser>
          <c:idx val="2"/>
          <c:order val="2"/>
          <c:tx>
            <c:strRef>
              <c:f>'LISTADO INST'!$AA$3</c:f>
              <c:strCache>
                <c:ptCount val="1"/>
                <c:pt idx="0">
                  <c:v>Total</c:v>
                </c:pt>
              </c:strCache>
            </c:strRef>
          </c:tx>
          <c:spPr>
            <a:ln w="28575" cap="rnd">
              <a:solidFill>
                <a:srgbClr val="08497F"/>
              </a:solidFill>
              <a:round/>
            </a:ln>
            <a:effectLst>
              <a:outerShdw blurRad="50800" dist="38100" dir="2700000" algn="tl" rotWithShape="0">
                <a:prstClr val="black">
                  <a:alpha val="40000"/>
                </a:prstClr>
              </a:outerShdw>
            </a:effectLst>
          </c:spPr>
          <c:marker>
            <c:symbol val="diamond"/>
            <c:size val="10"/>
            <c:spPr>
              <a:solidFill>
                <a:srgbClr val="08497F"/>
              </a:solidFill>
              <a:ln w="9525">
                <a:solidFill>
                  <a:srgbClr val="08497F"/>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'LISTADO INST'!$X$4:$X$14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'LISTADO INST'!$AA$4:$AA$14</c:f>
              <c:numCache>
                <c:formatCode>#,##0</c:formatCode>
                <c:ptCount val="11"/>
                <c:pt idx="0">
                  <c:v>2137</c:v>
                </c:pt>
                <c:pt idx="1">
                  <c:v>2189</c:v>
                </c:pt>
                <c:pt idx="2">
                  <c:v>2319</c:v>
                </c:pt>
                <c:pt idx="3">
                  <c:v>2310</c:v>
                </c:pt>
                <c:pt idx="4">
                  <c:v>2157</c:v>
                </c:pt>
                <c:pt idx="5">
                  <c:v>2179</c:v>
                </c:pt>
                <c:pt idx="6">
                  <c:v>2210</c:v>
                </c:pt>
                <c:pt idx="7">
                  <c:v>2238</c:v>
                </c:pt>
                <c:pt idx="8">
                  <c:v>2201</c:v>
                </c:pt>
                <c:pt idx="9">
                  <c:v>2206</c:v>
                </c:pt>
                <c:pt idx="10">
                  <c:v>2239</c:v>
                </c:pt>
              </c:numCache>
            </c:numRef>
          </c:val>
          <c:smooth val="0"/>
          <c:extLst>
            <c:ext xmlns:c16="http://schemas.microsoft.com/office/drawing/2014/chart" uri="{C3380CC4-5D6E-409C-BE32-E72D297353CC}">
              <c16:uniqueId val="{00000002-9A3A-49D5-9BAC-2DB75E04E70D}"/>
            </c:ext>
          </c:extLst>
        </c:ser>
        <c:dLbls>
          <c:showLegendKey val="0"/>
          <c:showVal val="0"/>
          <c:showCatName val="0"/>
          <c:showSerName val="0"/>
          <c:showPercent val="0"/>
          <c:showBubbleSize val="0"/>
        </c:dLbls>
        <c:marker val="1"/>
        <c:smooth val="0"/>
        <c:axId val="905973967"/>
        <c:axId val="905974799"/>
      </c:lineChart>
      <c:catAx>
        <c:axId val="90597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05974799"/>
        <c:crosses val="autoZero"/>
        <c:auto val="1"/>
        <c:lblAlgn val="ctr"/>
        <c:lblOffset val="100"/>
        <c:noMultiLvlLbl val="0"/>
      </c:catAx>
      <c:valAx>
        <c:axId val="905974799"/>
        <c:scaling>
          <c:orientation val="minMax"/>
        </c:scaling>
        <c:delete val="1"/>
        <c:axPos val="l"/>
        <c:numFmt formatCode="#,##0" sourceLinked="1"/>
        <c:majorTickMark val="none"/>
        <c:minorTickMark val="none"/>
        <c:tickLblPos val="nextTo"/>
        <c:crossAx val="905973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60908077120411E-2"/>
          <c:y val="3.7069852921362251E-2"/>
          <c:w val="0.8890363341092864"/>
          <c:h val="0.9497330595482546"/>
        </c:manualLayout>
      </c:layout>
      <c:barChart>
        <c:barDir val="bar"/>
        <c:grouping val="clustered"/>
        <c:varyColors val="0"/>
        <c:ser>
          <c:idx val="0"/>
          <c:order val="0"/>
          <c:spPr>
            <a:solidFill>
              <a:srgbClr val="6F9CC0"/>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006098"/>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1DB-4F35-9F7A-FA9CC19B3EA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PRESUPUESTO!$Y$5:$Y$35</c:f>
              <c:strCache>
                <c:ptCount val="31"/>
                <c:pt idx="0">
                  <c:v>MEX</c:v>
                </c:pt>
                <c:pt idx="1">
                  <c:v>CDMX</c:v>
                </c:pt>
                <c:pt idx="2">
                  <c:v>VER</c:v>
                </c:pt>
                <c:pt idx="3">
                  <c:v>PUE</c:v>
                </c:pt>
                <c:pt idx="4">
                  <c:v>CHIS</c:v>
                </c:pt>
                <c:pt idx="5">
                  <c:v>BC</c:v>
                </c:pt>
                <c:pt idx="6">
                  <c:v>SON</c:v>
                </c:pt>
                <c:pt idx="7">
                  <c:v>JAL</c:v>
                </c:pt>
                <c:pt idx="8">
                  <c:v>NL</c:v>
                </c:pt>
                <c:pt idx="9">
                  <c:v>MICH</c:v>
                </c:pt>
                <c:pt idx="10">
                  <c:v>GTO</c:v>
                </c:pt>
                <c:pt idx="11">
                  <c:v>CHIH</c:v>
                </c:pt>
                <c:pt idx="12">
                  <c:v>TAB</c:v>
                </c:pt>
                <c:pt idx="13">
                  <c:v>OAX</c:v>
                </c:pt>
                <c:pt idx="14">
                  <c:v>SIN</c:v>
                </c:pt>
                <c:pt idx="15">
                  <c:v>GRO</c:v>
                </c:pt>
                <c:pt idx="16">
                  <c:v>COAH</c:v>
                </c:pt>
                <c:pt idx="17">
                  <c:v>HGO</c:v>
                </c:pt>
                <c:pt idx="18">
                  <c:v>SLP</c:v>
                </c:pt>
                <c:pt idx="19">
                  <c:v>YUC</c:v>
                </c:pt>
                <c:pt idx="20">
                  <c:v>DGO</c:v>
                </c:pt>
                <c:pt idx="21">
                  <c:v>QRO</c:v>
                </c:pt>
                <c:pt idx="22">
                  <c:v>ZAC</c:v>
                </c:pt>
                <c:pt idx="23">
                  <c:v>MOR</c:v>
                </c:pt>
                <c:pt idx="24">
                  <c:v>AGS</c:v>
                </c:pt>
                <c:pt idx="25">
                  <c:v>NAY</c:v>
                </c:pt>
                <c:pt idx="26">
                  <c:v>TLAX</c:v>
                </c:pt>
                <c:pt idx="27">
                  <c:v>BCS</c:v>
                </c:pt>
                <c:pt idx="28">
                  <c:v>COL</c:v>
                </c:pt>
                <c:pt idx="29">
                  <c:v>CAMP</c:v>
                </c:pt>
                <c:pt idx="30">
                  <c:v>QROO</c:v>
                </c:pt>
              </c:strCache>
            </c:strRef>
          </c:cat>
          <c:val>
            <c:numRef>
              <c:f>PRESUPUESTO!$Z$5:$Z$35</c:f>
              <c:numCache>
                <c:formatCode>#,##0.0</c:formatCode>
                <c:ptCount val="31"/>
                <c:pt idx="0">
                  <c:v>295068.63463807997</c:v>
                </c:pt>
                <c:pt idx="1">
                  <c:v>172938.57606193004</c:v>
                </c:pt>
                <c:pt idx="2">
                  <c:v>115950.28184272</c:v>
                </c:pt>
                <c:pt idx="3">
                  <c:v>91645.127995589995</c:v>
                </c:pt>
                <c:pt idx="4">
                  <c:v>91191.909905129971</c:v>
                </c:pt>
                <c:pt idx="5">
                  <c:v>86227.065755450007</c:v>
                </c:pt>
                <c:pt idx="6">
                  <c:v>75057.878983699979</c:v>
                </c:pt>
                <c:pt idx="7">
                  <c:v>74309.881219600007</c:v>
                </c:pt>
                <c:pt idx="8">
                  <c:v>72392.439649530017</c:v>
                </c:pt>
                <c:pt idx="9">
                  <c:v>70717.446242999999</c:v>
                </c:pt>
                <c:pt idx="10">
                  <c:v>65498.441190759993</c:v>
                </c:pt>
                <c:pt idx="11">
                  <c:v>59383.946641040013</c:v>
                </c:pt>
                <c:pt idx="12">
                  <c:v>56192.809258300011</c:v>
                </c:pt>
                <c:pt idx="13">
                  <c:v>52650.66650077996</c:v>
                </c:pt>
                <c:pt idx="14">
                  <c:v>48934.132677820002</c:v>
                </c:pt>
                <c:pt idx="15">
                  <c:v>48642.572765839992</c:v>
                </c:pt>
                <c:pt idx="16">
                  <c:v>39501.571660230002</c:v>
                </c:pt>
                <c:pt idx="17">
                  <c:v>39376.345910860015</c:v>
                </c:pt>
                <c:pt idx="18">
                  <c:v>34572.979942989987</c:v>
                </c:pt>
                <c:pt idx="19">
                  <c:v>32529.932491019994</c:v>
                </c:pt>
                <c:pt idx="20">
                  <c:v>24551.120523170008</c:v>
                </c:pt>
                <c:pt idx="21">
                  <c:v>23140.123922930001</c:v>
                </c:pt>
                <c:pt idx="22">
                  <c:v>22929.246344900002</c:v>
                </c:pt>
                <c:pt idx="23">
                  <c:v>20956.343179709998</c:v>
                </c:pt>
                <c:pt idx="24">
                  <c:v>18265.643677120002</c:v>
                </c:pt>
                <c:pt idx="25">
                  <c:v>17727.969654770004</c:v>
                </c:pt>
                <c:pt idx="26">
                  <c:v>16946.629677779998</c:v>
                </c:pt>
                <c:pt idx="27">
                  <c:v>13508.16944</c:v>
                </c:pt>
                <c:pt idx="28">
                  <c:v>11967.436706480001</c:v>
                </c:pt>
                <c:pt idx="29">
                  <c:v>6036.9233857500012</c:v>
                </c:pt>
                <c:pt idx="30">
                  <c:v>451.79450574999998</c:v>
                </c:pt>
              </c:numCache>
            </c:numRef>
          </c:val>
          <c:extLst>
            <c:ext xmlns:c16="http://schemas.microsoft.com/office/drawing/2014/chart" uri="{C3380CC4-5D6E-409C-BE32-E72D297353CC}">
              <c16:uniqueId val="{00000002-A1DB-4F35-9F7A-FA9CC19B3EA9}"/>
            </c:ext>
          </c:extLst>
        </c:ser>
        <c:dLbls>
          <c:showLegendKey val="0"/>
          <c:showVal val="0"/>
          <c:showCatName val="0"/>
          <c:showSerName val="0"/>
          <c:showPercent val="0"/>
          <c:showBubbleSize val="0"/>
        </c:dLbls>
        <c:gapWidth val="70"/>
        <c:axId val="235117168"/>
        <c:axId val="235117584"/>
      </c:barChart>
      <c:catAx>
        <c:axId val="23511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35117584"/>
        <c:crosses val="autoZero"/>
        <c:auto val="1"/>
        <c:lblAlgn val="ctr"/>
        <c:lblOffset val="100"/>
        <c:noMultiLvlLbl val="0"/>
      </c:catAx>
      <c:valAx>
        <c:axId val="235117584"/>
        <c:scaling>
          <c:orientation val="minMax"/>
        </c:scaling>
        <c:delete val="1"/>
        <c:axPos val="t"/>
        <c:numFmt formatCode="#,##0.0" sourceLinked="1"/>
        <c:majorTickMark val="none"/>
        <c:minorTickMark val="none"/>
        <c:tickLblPos val="nextTo"/>
        <c:crossAx val="23511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93957307281867"/>
          <c:y val="2.1477141332196512E-2"/>
          <c:w val="0.45305185409516108"/>
          <c:h val="0.9663109868275811"/>
        </c:manualLayout>
      </c:layout>
      <c:barChart>
        <c:barDir val="bar"/>
        <c:grouping val="clustered"/>
        <c:varyColors val="0"/>
        <c:ser>
          <c:idx val="0"/>
          <c:order val="0"/>
          <c:tx>
            <c:strRef>
              <c:f>TRÁMITES!$AA$4</c:f>
              <c:strCache>
                <c:ptCount val="1"/>
                <c:pt idx="0">
                  <c:v>2020</c:v>
                </c:pt>
              </c:strCache>
            </c:strRef>
          </c:tx>
          <c:spPr>
            <a:solidFill>
              <a:srgbClr val="08497F"/>
            </a:solidFill>
            <a:ln>
              <a:noFill/>
            </a:ln>
            <a:effectLst>
              <a:outerShdw blurRad="50800" dist="38100" dir="2700000" algn="tl" rotWithShape="0">
                <a:prstClr val="black">
                  <a:alpha val="40000"/>
                </a:prstClr>
              </a:outerShdw>
            </a:effectLst>
          </c:spPr>
          <c:invertIfNegative val="0"/>
          <c:dLbls>
            <c:dLbl>
              <c:idx val="24"/>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7-4CBB-8D65-DC548593596F}"/>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TRÁMITES!$Z$5:$Z$29</c:f>
              <c:strCache>
                <c:ptCount val="25"/>
                <c:pt idx="0">
                  <c:v>Otros de educación (becas educativas, cambio de escuela, baja escolar, certificados, calificaciones, etc.)</c:v>
                </c:pt>
                <c:pt idx="1">
                  <c:v>Consulta médica</c:v>
                </c:pt>
                <c:pt idx="2">
                  <c:v>Pago de impuestos (sin incluir tenencia)</c:v>
                </c:pt>
                <c:pt idx="3">
                  <c:v>Solicitud de apoyo de programas sociales</c:v>
                </c:pt>
                <c:pt idx="4">
                  <c:v>Trámites relacionados al control vehicular (no incluir cambio de propietario del vehículo)</c:v>
                </c:pt>
                <c:pt idx="5">
                  <c:v>Otros trámites en el Registro Civil (distintos a solicitud de copias certificadas)</c:v>
                </c:pt>
                <c:pt idx="6">
                  <c:v>Inscripción a planteles educativos de educación básica</c:v>
                </c:pt>
                <c:pt idx="7">
                  <c:v>Solicitud de copias certificadas de actas civiles (nacimiento, matrimonio o defunción)</c:v>
                </c:pt>
                <c:pt idx="8">
                  <c:v>Pago de impuesto tenencia</c:v>
                </c:pt>
                <c:pt idx="9">
                  <c:v>Verificación vehicular</c:v>
                </c:pt>
                <c:pt idx="10">
                  <c:v>Licencias de conducir</c:v>
                </c:pt>
                <c:pt idx="11">
                  <c:v>Inscripción a planteles educativos de educación media superior</c:v>
                </c:pt>
                <c:pt idx="12">
                  <c:v>Inscripción a planteles educativos de educación superior</c:v>
                </c:pt>
                <c:pt idx="13">
                  <c:v>Cambio de propietario de vehículo</c:v>
                </c:pt>
                <c:pt idx="14">
                  <c:v>Asesoría jurídica y/o asesoría psicológica</c:v>
                </c:pt>
                <c:pt idx="15">
                  <c:v>Certificado de no antecedentes penales</c:v>
                </c:pt>
                <c:pt idx="16">
                  <c:v>Inscripción a planteles educativos distintos a los anteriores</c:v>
                </c:pt>
                <c:pt idx="17">
                  <c:v>Infracciones de tránsito</c:v>
                </c:pt>
                <c:pt idx="18">
                  <c:v>Licencia de funcionamiento para negocios</c:v>
                </c:pt>
                <c:pt idx="19">
                  <c:v>Infracciones de seguridad pública</c:v>
                </c:pt>
                <c:pt idx="20">
                  <c:v>Declaración patrimonial de servidores públicos</c:v>
                </c:pt>
                <c:pt idx="21">
                  <c:v>Infracciones administrativas</c:v>
                </c:pt>
                <c:pt idx="22">
                  <c:v>Construcción, obra y/o remodelación de viviendas particulares</c:v>
                </c:pt>
                <c:pt idx="23">
                  <c:v>Afiliación o reafiliación al Seguro Popular</c:v>
                </c:pt>
                <c:pt idx="24">
                  <c:v>Compras del Gobierno</c:v>
                </c:pt>
              </c:strCache>
            </c:strRef>
          </c:cat>
          <c:val>
            <c:numRef>
              <c:f>TRÁMITES!$AA$5:$AA$29</c:f>
              <c:numCache>
                <c:formatCode>#,##0</c:formatCode>
                <c:ptCount val="25"/>
                <c:pt idx="0">
                  <c:v>37282819</c:v>
                </c:pt>
                <c:pt idx="1">
                  <c:v>32133734</c:v>
                </c:pt>
                <c:pt idx="2">
                  <c:v>21071453</c:v>
                </c:pt>
                <c:pt idx="3">
                  <c:v>17116769</c:v>
                </c:pt>
                <c:pt idx="4">
                  <c:v>13886739</c:v>
                </c:pt>
                <c:pt idx="5">
                  <c:v>9296631</c:v>
                </c:pt>
                <c:pt idx="6">
                  <c:v>9040087</c:v>
                </c:pt>
                <c:pt idx="7">
                  <c:v>8586702</c:v>
                </c:pt>
                <c:pt idx="8">
                  <c:v>7968790</c:v>
                </c:pt>
                <c:pt idx="9">
                  <c:v>6276769</c:v>
                </c:pt>
                <c:pt idx="10">
                  <c:v>5030249</c:v>
                </c:pt>
                <c:pt idx="11">
                  <c:v>1620455</c:v>
                </c:pt>
                <c:pt idx="12">
                  <c:v>1468908</c:v>
                </c:pt>
                <c:pt idx="13">
                  <c:v>1360522</c:v>
                </c:pt>
                <c:pt idx="14">
                  <c:v>1208808</c:v>
                </c:pt>
                <c:pt idx="15">
                  <c:v>1113524</c:v>
                </c:pt>
                <c:pt idx="16">
                  <c:v>645622</c:v>
                </c:pt>
                <c:pt idx="17">
                  <c:v>396620</c:v>
                </c:pt>
                <c:pt idx="18">
                  <c:v>100549</c:v>
                </c:pt>
                <c:pt idx="19">
                  <c:v>91935</c:v>
                </c:pt>
                <c:pt idx="20">
                  <c:v>49279</c:v>
                </c:pt>
                <c:pt idx="21">
                  <c:v>42367</c:v>
                </c:pt>
                <c:pt idx="22">
                  <c:v>40431</c:v>
                </c:pt>
                <c:pt idx="23">
                  <c:v>9229</c:v>
                </c:pt>
                <c:pt idx="24">
                  <c:v>0</c:v>
                </c:pt>
              </c:numCache>
            </c:numRef>
          </c:val>
          <c:extLst>
            <c:ext xmlns:c16="http://schemas.microsoft.com/office/drawing/2014/chart" uri="{C3380CC4-5D6E-409C-BE32-E72D297353CC}">
              <c16:uniqueId val="{00000001-8287-4CBB-8D65-DC548593596F}"/>
            </c:ext>
          </c:extLst>
        </c:ser>
        <c:ser>
          <c:idx val="1"/>
          <c:order val="1"/>
          <c:tx>
            <c:strRef>
              <c:f>TRÁMITES!$AB$4</c:f>
              <c:strCache>
                <c:ptCount val="1"/>
                <c:pt idx="0">
                  <c:v>2019</c:v>
                </c:pt>
              </c:strCache>
            </c:strRef>
          </c:tx>
          <c:spPr>
            <a:solidFill>
              <a:srgbClr val="ECB538"/>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TRÁMITES!$Z$5:$Z$29</c:f>
              <c:strCache>
                <c:ptCount val="25"/>
                <c:pt idx="0">
                  <c:v>Otros de educación (becas educativas, cambio de escuela, baja escolar, certificados, calificaciones, etc.)</c:v>
                </c:pt>
                <c:pt idx="1">
                  <c:v>Consulta médica</c:v>
                </c:pt>
                <c:pt idx="2">
                  <c:v>Pago de impuestos (sin incluir tenencia)</c:v>
                </c:pt>
                <c:pt idx="3">
                  <c:v>Solicitud de apoyo de programas sociales</c:v>
                </c:pt>
                <c:pt idx="4">
                  <c:v>Trámites relacionados al control vehicular (no incluir cambio de propietario del vehículo)</c:v>
                </c:pt>
                <c:pt idx="5">
                  <c:v>Otros trámites en el Registro Civil (distintos a solicitud de copias certificadas)</c:v>
                </c:pt>
                <c:pt idx="6">
                  <c:v>Inscripción a planteles educativos de educación básica</c:v>
                </c:pt>
                <c:pt idx="7">
                  <c:v>Solicitud de copias certificadas de actas civiles (nacimiento, matrimonio o defunción)</c:v>
                </c:pt>
                <c:pt idx="8">
                  <c:v>Pago de impuesto tenencia</c:v>
                </c:pt>
                <c:pt idx="9">
                  <c:v>Verificación vehicular</c:v>
                </c:pt>
                <c:pt idx="10">
                  <c:v>Licencias de conducir</c:v>
                </c:pt>
                <c:pt idx="11">
                  <c:v>Inscripción a planteles educativos de educación media superior</c:v>
                </c:pt>
                <c:pt idx="12">
                  <c:v>Inscripción a planteles educativos de educación superior</c:v>
                </c:pt>
                <c:pt idx="13">
                  <c:v>Cambio de propietario de vehículo</c:v>
                </c:pt>
                <c:pt idx="14">
                  <c:v>Asesoría jurídica y/o asesoría psicológica</c:v>
                </c:pt>
                <c:pt idx="15">
                  <c:v>Certificado de no antecedentes penales</c:v>
                </c:pt>
                <c:pt idx="16">
                  <c:v>Inscripción a planteles educativos distintos a los anteriores</c:v>
                </c:pt>
                <c:pt idx="17">
                  <c:v>Infracciones de tránsito</c:v>
                </c:pt>
                <c:pt idx="18">
                  <c:v>Licencia de funcionamiento para negocios</c:v>
                </c:pt>
                <c:pt idx="19">
                  <c:v>Infracciones de seguridad pública</c:v>
                </c:pt>
                <c:pt idx="20">
                  <c:v>Declaración patrimonial de servidores públicos</c:v>
                </c:pt>
                <c:pt idx="21">
                  <c:v>Infracciones administrativas</c:v>
                </c:pt>
                <c:pt idx="22">
                  <c:v>Construcción, obra y/o remodelación de viviendas particulares</c:v>
                </c:pt>
                <c:pt idx="23">
                  <c:v>Afiliación o reafiliación al Seguro Popular</c:v>
                </c:pt>
                <c:pt idx="24">
                  <c:v>Compras del Gobierno</c:v>
                </c:pt>
              </c:strCache>
            </c:strRef>
          </c:cat>
          <c:val>
            <c:numRef>
              <c:f>TRÁMITES!$AB$5:$AB$29</c:f>
              <c:numCache>
                <c:formatCode>#,##0</c:formatCode>
                <c:ptCount val="25"/>
                <c:pt idx="0">
                  <c:v>54398811</c:v>
                </c:pt>
                <c:pt idx="1">
                  <c:v>68959330</c:v>
                </c:pt>
                <c:pt idx="2">
                  <c:v>33302001</c:v>
                </c:pt>
                <c:pt idx="3">
                  <c:v>21955510</c:v>
                </c:pt>
                <c:pt idx="4">
                  <c:v>14413218</c:v>
                </c:pt>
                <c:pt idx="5">
                  <c:v>8872472</c:v>
                </c:pt>
                <c:pt idx="6">
                  <c:v>12253750</c:v>
                </c:pt>
                <c:pt idx="7">
                  <c:v>14029575</c:v>
                </c:pt>
                <c:pt idx="8">
                  <c:v>14606219</c:v>
                </c:pt>
                <c:pt idx="9">
                  <c:v>15953222</c:v>
                </c:pt>
                <c:pt idx="10">
                  <c:v>7318595</c:v>
                </c:pt>
                <c:pt idx="11">
                  <c:v>2372180</c:v>
                </c:pt>
                <c:pt idx="12">
                  <c:v>1698365</c:v>
                </c:pt>
                <c:pt idx="13">
                  <c:v>2061039</c:v>
                </c:pt>
                <c:pt idx="14">
                  <c:v>2586779</c:v>
                </c:pt>
                <c:pt idx="15">
                  <c:v>2853774</c:v>
                </c:pt>
                <c:pt idx="16">
                  <c:v>1145784</c:v>
                </c:pt>
                <c:pt idx="17">
                  <c:v>3331498</c:v>
                </c:pt>
                <c:pt idx="18">
                  <c:v>166533</c:v>
                </c:pt>
                <c:pt idx="19">
                  <c:v>144255</c:v>
                </c:pt>
                <c:pt idx="20">
                  <c:v>455859</c:v>
                </c:pt>
                <c:pt idx="21">
                  <c:v>184550</c:v>
                </c:pt>
                <c:pt idx="22">
                  <c:v>215977</c:v>
                </c:pt>
                <c:pt idx="23">
                  <c:v>14972972</c:v>
                </c:pt>
                <c:pt idx="24">
                  <c:v>91158</c:v>
                </c:pt>
              </c:numCache>
            </c:numRef>
          </c:val>
          <c:extLst>
            <c:ext xmlns:c16="http://schemas.microsoft.com/office/drawing/2014/chart" uri="{C3380CC4-5D6E-409C-BE32-E72D297353CC}">
              <c16:uniqueId val="{00000002-8287-4CBB-8D65-DC548593596F}"/>
            </c:ext>
          </c:extLst>
        </c:ser>
        <c:dLbls>
          <c:showLegendKey val="0"/>
          <c:showVal val="0"/>
          <c:showCatName val="0"/>
          <c:showSerName val="0"/>
          <c:showPercent val="0"/>
          <c:showBubbleSize val="0"/>
        </c:dLbls>
        <c:gapWidth val="40"/>
        <c:axId val="444425504"/>
        <c:axId val="444426336"/>
      </c:barChart>
      <c:catAx>
        <c:axId val="444425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44426336"/>
        <c:crosses val="autoZero"/>
        <c:auto val="1"/>
        <c:lblAlgn val="ctr"/>
        <c:lblOffset val="100"/>
        <c:noMultiLvlLbl val="0"/>
      </c:catAx>
      <c:valAx>
        <c:axId val="444426336"/>
        <c:scaling>
          <c:orientation val="minMax"/>
        </c:scaling>
        <c:delete val="1"/>
        <c:axPos val="t"/>
        <c:numFmt formatCode="#,##0" sourceLinked="1"/>
        <c:majorTickMark val="none"/>
        <c:minorTickMark val="none"/>
        <c:tickLblPos val="nextTo"/>
        <c:crossAx val="444425504"/>
        <c:crosses val="autoZero"/>
        <c:crossBetween val="between"/>
      </c:valAx>
      <c:spPr>
        <a:noFill/>
        <a:ln>
          <a:noFill/>
        </a:ln>
        <a:effectLst/>
      </c:spPr>
    </c:plotArea>
    <c:legend>
      <c:legendPos val="b"/>
      <c:layout>
        <c:manualLayout>
          <c:xMode val="edge"/>
          <c:yMode val="edge"/>
          <c:x val="0.86554737610461419"/>
          <c:y val="1.4131233595800297E-3"/>
          <c:w val="0.13252035803216905"/>
          <c:h val="2.012528527401303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TRANSPARENCIA!$BQ$5</c:f>
              <c:strCache>
                <c:ptCount val="1"/>
                <c:pt idx="0">
                  <c:v>Recibidas</c:v>
                </c:pt>
              </c:strCache>
            </c:strRef>
          </c:tx>
          <c:spPr>
            <a:ln w="28575" cap="rnd">
              <a:solidFill>
                <a:srgbClr val="8C1B67"/>
              </a:solidFill>
              <a:round/>
            </a:ln>
            <a:effectLst>
              <a:outerShdw blurRad="50800" dist="38100" dir="2700000" algn="tl" rotWithShape="0">
                <a:prstClr val="black">
                  <a:alpha val="40000"/>
                </a:prstClr>
              </a:outerShdw>
            </a:effectLst>
          </c:spPr>
          <c:marker>
            <c:symbol val="diamond"/>
            <c:size val="10"/>
            <c:spPr>
              <a:solidFill>
                <a:srgbClr val="8C1B67"/>
              </a:solidFill>
              <a:ln w="9525">
                <a:solidFill>
                  <a:srgbClr val="8C1B67"/>
                </a:solidFill>
              </a:ln>
              <a:effectLst>
                <a:outerShdw blurRad="50800" dist="38100" dir="2700000" algn="tl" rotWithShape="0">
                  <a:prstClr val="black">
                    <a:alpha val="40000"/>
                  </a:prstClr>
                </a:outerShdw>
              </a:effectLst>
            </c:spPr>
          </c:marker>
          <c:dLbls>
            <c:dLbl>
              <c:idx val="5"/>
              <c:layout>
                <c:manualLayout>
                  <c:x val="-3.8615923009623798E-2"/>
                  <c:y val="-6.7928331875182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3E-4CAE-A675-A79044D3B0B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TRANSPARENCIA!$BP$6:$BP$11</c:f>
              <c:numCache>
                <c:formatCode>General</c:formatCode>
                <c:ptCount val="6"/>
                <c:pt idx="0">
                  <c:v>2015</c:v>
                </c:pt>
                <c:pt idx="1">
                  <c:v>2016</c:v>
                </c:pt>
                <c:pt idx="2">
                  <c:v>2017</c:v>
                </c:pt>
                <c:pt idx="3">
                  <c:v>2018</c:v>
                </c:pt>
                <c:pt idx="4">
                  <c:v>2019</c:v>
                </c:pt>
                <c:pt idx="5">
                  <c:v>2020</c:v>
                </c:pt>
              </c:numCache>
            </c:numRef>
          </c:cat>
          <c:val>
            <c:numRef>
              <c:f>TRANSPARENCIA!$BQ$6:$BQ$11</c:f>
              <c:numCache>
                <c:formatCode>#,##0</c:formatCode>
                <c:ptCount val="6"/>
                <c:pt idx="0">
                  <c:v>205011</c:v>
                </c:pt>
                <c:pt idx="1">
                  <c:v>227205</c:v>
                </c:pt>
                <c:pt idx="2">
                  <c:v>278525</c:v>
                </c:pt>
                <c:pt idx="3">
                  <c:v>299087</c:v>
                </c:pt>
                <c:pt idx="4">
                  <c:v>328536</c:v>
                </c:pt>
                <c:pt idx="5">
                  <c:v>250873</c:v>
                </c:pt>
              </c:numCache>
            </c:numRef>
          </c:val>
          <c:smooth val="0"/>
          <c:extLst>
            <c:ext xmlns:c16="http://schemas.microsoft.com/office/drawing/2014/chart" uri="{C3380CC4-5D6E-409C-BE32-E72D297353CC}">
              <c16:uniqueId val="{00000001-873E-4CAE-A675-A79044D3B0B9}"/>
            </c:ext>
          </c:extLst>
        </c:ser>
        <c:ser>
          <c:idx val="1"/>
          <c:order val="1"/>
          <c:tx>
            <c:strRef>
              <c:f>TRANSPARENCIA!$BR$5</c:f>
              <c:strCache>
                <c:ptCount val="1"/>
                <c:pt idx="0">
                  <c:v>Respondidas</c:v>
                </c:pt>
              </c:strCache>
            </c:strRef>
          </c:tx>
          <c:spPr>
            <a:ln w="28575" cap="rnd">
              <a:solidFill>
                <a:srgbClr val="CE941F"/>
              </a:solidFill>
              <a:round/>
            </a:ln>
            <a:effectLst>
              <a:outerShdw blurRad="50800" dist="38100" dir="2700000" algn="tl" rotWithShape="0">
                <a:prstClr val="black">
                  <a:alpha val="40000"/>
                </a:prstClr>
              </a:outerShdw>
            </a:effectLst>
          </c:spPr>
          <c:marker>
            <c:symbol val="diamond"/>
            <c:size val="10"/>
            <c:spPr>
              <a:solidFill>
                <a:srgbClr val="CE941F"/>
              </a:solidFill>
              <a:ln w="9525">
                <a:solidFill>
                  <a:srgbClr val="CE941F"/>
                </a:solidFill>
              </a:ln>
              <a:effectLst>
                <a:outerShdw blurRad="50800" dist="38100" dir="2700000" algn="tl" rotWithShape="0">
                  <a:prstClr val="black">
                    <a:alpha val="40000"/>
                  </a:prstClr>
                </a:outerShdw>
              </a:effectLst>
            </c:spPr>
          </c:marker>
          <c:dLbls>
            <c:dLbl>
              <c:idx val="4"/>
              <c:layout>
                <c:manualLayout>
                  <c:x val="-8.4069553805774272E-2"/>
                  <c:y val="6.7928331875182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3E-4CAE-A675-A79044D3B0B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TRANSPARENCIA!$BP$6:$BP$11</c:f>
              <c:numCache>
                <c:formatCode>General</c:formatCode>
                <c:ptCount val="6"/>
                <c:pt idx="0">
                  <c:v>2015</c:v>
                </c:pt>
                <c:pt idx="1">
                  <c:v>2016</c:v>
                </c:pt>
                <c:pt idx="2">
                  <c:v>2017</c:v>
                </c:pt>
                <c:pt idx="3">
                  <c:v>2018</c:v>
                </c:pt>
                <c:pt idx="4">
                  <c:v>2019</c:v>
                </c:pt>
                <c:pt idx="5">
                  <c:v>2020</c:v>
                </c:pt>
              </c:numCache>
            </c:numRef>
          </c:cat>
          <c:val>
            <c:numRef>
              <c:f>TRANSPARENCIA!$BR$6:$BR$11</c:f>
              <c:numCache>
                <c:formatCode>#,##0</c:formatCode>
                <c:ptCount val="6"/>
                <c:pt idx="0">
                  <c:v>186681</c:v>
                </c:pt>
                <c:pt idx="1">
                  <c:v>205886</c:v>
                </c:pt>
                <c:pt idx="2">
                  <c:v>261734</c:v>
                </c:pt>
                <c:pt idx="3">
                  <c:v>282340</c:v>
                </c:pt>
                <c:pt idx="4">
                  <c:v>316199</c:v>
                </c:pt>
                <c:pt idx="5">
                  <c:v>220671</c:v>
                </c:pt>
              </c:numCache>
            </c:numRef>
          </c:val>
          <c:smooth val="0"/>
          <c:extLst>
            <c:ext xmlns:c16="http://schemas.microsoft.com/office/drawing/2014/chart" uri="{C3380CC4-5D6E-409C-BE32-E72D297353CC}">
              <c16:uniqueId val="{00000003-873E-4CAE-A675-A79044D3B0B9}"/>
            </c:ext>
          </c:extLst>
        </c:ser>
        <c:ser>
          <c:idx val="2"/>
          <c:order val="2"/>
          <c:tx>
            <c:strRef>
              <c:f>TRANSPARENCIA!$BS$5</c:f>
              <c:strCache>
                <c:ptCount val="1"/>
                <c:pt idx="0">
                  <c:v>Pendientes</c:v>
                </c:pt>
              </c:strCache>
            </c:strRef>
          </c:tx>
          <c:spPr>
            <a:ln w="28575" cap="rnd">
              <a:solidFill>
                <a:srgbClr val="8E61A5"/>
              </a:solidFill>
              <a:round/>
            </a:ln>
            <a:effectLst>
              <a:outerShdw blurRad="50800" dist="38100" dir="2700000" algn="tl" rotWithShape="0">
                <a:prstClr val="black">
                  <a:alpha val="40000"/>
                </a:prstClr>
              </a:outerShdw>
            </a:effectLst>
          </c:spPr>
          <c:marker>
            <c:symbol val="diamond"/>
            <c:size val="10"/>
            <c:spPr>
              <a:solidFill>
                <a:srgbClr val="8E61A5"/>
              </a:solidFill>
              <a:ln w="9525">
                <a:solidFill>
                  <a:srgbClr val="8E61A5"/>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TRANSPARENCIA!$BP$6:$BP$11</c:f>
              <c:numCache>
                <c:formatCode>General</c:formatCode>
                <c:ptCount val="6"/>
                <c:pt idx="0">
                  <c:v>2015</c:v>
                </c:pt>
                <c:pt idx="1">
                  <c:v>2016</c:v>
                </c:pt>
                <c:pt idx="2">
                  <c:v>2017</c:v>
                </c:pt>
                <c:pt idx="3">
                  <c:v>2018</c:v>
                </c:pt>
                <c:pt idx="4">
                  <c:v>2019</c:v>
                </c:pt>
                <c:pt idx="5">
                  <c:v>2020</c:v>
                </c:pt>
              </c:numCache>
            </c:numRef>
          </c:cat>
          <c:val>
            <c:numRef>
              <c:f>TRANSPARENCIA!$BS$6:$BS$11</c:f>
              <c:numCache>
                <c:formatCode>#,##0</c:formatCode>
                <c:ptCount val="6"/>
                <c:pt idx="0">
                  <c:v>11036</c:v>
                </c:pt>
                <c:pt idx="1">
                  <c:v>19139</c:v>
                </c:pt>
                <c:pt idx="2">
                  <c:v>12775</c:v>
                </c:pt>
                <c:pt idx="3">
                  <c:v>14116</c:v>
                </c:pt>
                <c:pt idx="4">
                  <c:v>10217</c:v>
                </c:pt>
                <c:pt idx="5">
                  <c:v>20421</c:v>
                </c:pt>
              </c:numCache>
            </c:numRef>
          </c:val>
          <c:smooth val="0"/>
          <c:extLst>
            <c:ext xmlns:c16="http://schemas.microsoft.com/office/drawing/2014/chart" uri="{C3380CC4-5D6E-409C-BE32-E72D297353CC}">
              <c16:uniqueId val="{00000004-873E-4CAE-A675-A79044D3B0B9}"/>
            </c:ext>
          </c:extLst>
        </c:ser>
        <c:dLbls>
          <c:showLegendKey val="0"/>
          <c:showVal val="0"/>
          <c:showCatName val="0"/>
          <c:showSerName val="0"/>
          <c:showPercent val="0"/>
          <c:showBubbleSize val="0"/>
        </c:dLbls>
        <c:marker val="1"/>
        <c:smooth val="0"/>
        <c:axId val="289245840"/>
        <c:axId val="289242512"/>
      </c:lineChart>
      <c:catAx>
        <c:axId val="28924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9242512"/>
        <c:crosses val="autoZero"/>
        <c:auto val="1"/>
        <c:lblAlgn val="ctr"/>
        <c:lblOffset val="100"/>
        <c:noMultiLvlLbl val="0"/>
      </c:catAx>
      <c:valAx>
        <c:axId val="289242512"/>
        <c:scaling>
          <c:orientation val="minMax"/>
        </c:scaling>
        <c:delete val="1"/>
        <c:axPos val="l"/>
        <c:numFmt formatCode="#,##0" sourceLinked="1"/>
        <c:majorTickMark val="none"/>
        <c:minorTickMark val="none"/>
        <c:tickLblPos val="nextTo"/>
        <c:crossAx val="28924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TRANSPARENCIA!$BQ$19</c:f>
              <c:strCache>
                <c:ptCount val="1"/>
                <c:pt idx="0">
                  <c:v>Recibidas</c:v>
                </c:pt>
              </c:strCache>
            </c:strRef>
          </c:tx>
          <c:spPr>
            <a:ln w="28575" cap="rnd">
              <a:solidFill>
                <a:srgbClr val="08497F"/>
              </a:solidFill>
              <a:round/>
            </a:ln>
            <a:effectLst>
              <a:outerShdw blurRad="50800" dist="38100" dir="2700000" algn="tl" rotWithShape="0">
                <a:prstClr val="black">
                  <a:alpha val="40000"/>
                </a:prstClr>
              </a:outerShdw>
            </a:effectLst>
          </c:spPr>
          <c:marker>
            <c:symbol val="diamond"/>
            <c:size val="10"/>
            <c:spPr>
              <a:solidFill>
                <a:srgbClr val="08497F"/>
              </a:solidFill>
              <a:ln w="9525">
                <a:solidFill>
                  <a:srgbClr val="08497F"/>
                </a:solidFill>
              </a:ln>
              <a:effectLst>
                <a:outerShdw blurRad="50800" dist="38100" dir="2700000" algn="tl" rotWithShape="0">
                  <a:prstClr val="black">
                    <a:alpha val="40000"/>
                  </a:prstClr>
                </a:outerShdw>
              </a:effectLst>
            </c:spPr>
          </c:marker>
          <c:dLbls>
            <c:dLbl>
              <c:idx val="1"/>
              <c:layout>
                <c:manualLayout>
                  <c:x val="-2.6451443569553805E-2"/>
                  <c:y val="-5.55209244677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B2-4C84-B5BA-D1956113B722}"/>
                </c:ext>
              </c:extLst>
            </c:dLbl>
            <c:dLbl>
              <c:idx val="5"/>
              <c:layout>
                <c:manualLayout>
                  <c:x val="-1.256255468066512E-2"/>
                  <c:y val="-6.4780183727034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B2-4C84-B5BA-D1956113B72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TRANSPARENCIA!$BP$20:$BP$25</c:f>
              <c:numCache>
                <c:formatCode>General</c:formatCode>
                <c:ptCount val="6"/>
                <c:pt idx="0">
                  <c:v>2015</c:v>
                </c:pt>
                <c:pt idx="1">
                  <c:v>2016</c:v>
                </c:pt>
                <c:pt idx="2">
                  <c:v>2017</c:v>
                </c:pt>
                <c:pt idx="3">
                  <c:v>2018</c:v>
                </c:pt>
                <c:pt idx="4">
                  <c:v>2019</c:v>
                </c:pt>
                <c:pt idx="5">
                  <c:v>2020</c:v>
                </c:pt>
              </c:numCache>
            </c:numRef>
          </c:cat>
          <c:val>
            <c:numRef>
              <c:f>TRANSPARENCIA!$BQ$20:$BQ$25</c:f>
              <c:numCache>
                <c:formatCode>#,##0</c:formatCode>
                <c:ptCount val="6"/>
                <c:pt idx="0">
                  <c:v>31781</c:v>
                </c:pt>
                <c:pt idx="1">
                  <c:v>18763</c:v>
                </c:pt>
                <c:pt idx="2">
                  <c:v>14476</c:v>
                </c:pt>
                <c:pt idx="3">
                  <c:v>15453</c:v>
                </c:pt>
                <c:pt idx="4">
                  <c:v>25088</c:v>
                </c:pt>
                <c:pt idx="5">
                  <c:v>12614</c:v>
                </c:pt>
              </c:numCache>
            </c:numRef>
          </c:val>
          <c:smooth val="0"/>
          <c:extLst>
            <c:ext xmlns:c16="http://schemas.microsoft.com/office/drawing/2014/chart" uri="{C3380CC4-5D6E-409C-BE32-E72D297353CC}">
              <c16:uniqueId val="{00000002-CEB2-4C84-B5BA-D1956113B722}"/>
            </c:ext>
          </c:extLst>
        </c:ser>
        <c:ser>
          <c:idx val="1"/>
          <c:order val="1"/>
          <c:tx>
            <c:strRef>
              <c:f>TRANSPARENCIA!$BR$19</c:f>
              <c:strCache>
                <c:ptCount val="1"/>
                <c:pt idx="0">
                  <c:v>Respondidas</c:v>
                </c:pt>
              </c:strCache>
            </c:strRef>
          </c:tx>
          <c:spPr>
            <a:ln w="28575" cap="rnd">
              <a:solidFill>
                <a:srgbClr val="706F6F"/>
              </a:solidFill>
              <a:round/>
            </a:ln>
            <a:effectLst/>
          </c:spPr>
          <c:marker>
            <c:symbol val="diamond"/>
            <c:size val="10"/>
            <c:spPr>
              <a:solidFill>
                <a:srgbClr val="706F6F"/>
              </a:solidFill>
              <a:ln w="9525">
                <a:solidFill>
                  <a:srgbClr val="706F6F"/>
                </a:solidFill>
              </a:ln>
              <a:effectLst/>
            </c:spPr>
          </c:marker>
          <c:dLbls>
            <c:dLbl>
              <c:idx val="1"/>
              <c:layout>
                <c:manualLayout>
                  <c:x val="-7.6451443569553801E-2"/>
                  <c:y val="5.089129483814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B2-4C84-B5BA-D1956113B722}"/>
                </c:ext>
              </c:extLst>
            </c:dLbl>
            <c:dLbl>
              <c:idx val="2"/>
              <c:layout>
                <c:manualLayout>
                  <c:x val="-4.3118110236220475E-2"/>
                  <c:y val="5.55209244677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B2-4C84-B5BA-D1956113B722}"/>
                </c:ext>
              </c:extLst>
            </c:dLbl>
            <c:dLbl>
              <c:idx val="5"/>
              <c:layout>
                <c:manualLayout>
                  <c:x val="-3.2006999125109362E-2"/>
                  <c:y val="5.089129483814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B2-4C84-B5BA-D1956113B72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TRANSPARENCIA!$BP$20:$BP$25</c:f>
              <c:numCache>
                <c:formatCode>General</c:formatCode>
                <c:ptCount val="6"/>
                <c:pt idx="0">
                  <c:v>2015</c:v>
                </c:pt>
                <c:pt idx="1">
                  <c:v>2016</c:v>
                </c:pt>
                <c:pt idx="2">
                  <c:v>2017</c:v>
                </c:pt>
                <c:pt idx="3">
                  <c:v>2018</c:v>
                </c:pt>
                <c:pt idx="4">
                  <c:v>2019</c:v>
                </c:pt>
                <c:pt idx="5">
                  <c:v>2020</c:v>
                </c:pt>
              </c:numCache>
            </c:numRef>
          </c:cat>
          <c:val>
            <c:numRef>
              <c:f>TRANSPARENCIA!$BR$20:$BR$25</c:f>
              <c:numCache>
                <c:formatCode>#,##0</c:formatCode>
                <c:ptCount val="6"/>
                <c:pt idx="0">
                  <c:v>30889</c:v>
                </c:pt>
                <c:pt idx="1">
                  <c:v>18354</c:v>
                </c:pt>
                <c:pt idx="2">
                  <c:v>13044</c:v>
                </c:pt>
                <c:pt idx="3">
                  <c:v>13101</c:v>
                </c:pt>
                <c:pt idx="4">
                  <c:v>22460</c:v>
                </c:pt>
                <c:pt idx="5">
                  <c:v>11487</c:v>
                </c:pt>
              </c:numCache>
            </c:numRef>
          </c:val>
          <c:smooth val="0"/>
          <c:extLst>
            <c:ext xmlns:c16="http://schemas.microsoft.com/office/drawing/2014/chart" uri="{C3380CC4-5D6E-409C-BE32-E72D297353CC}">
              <c16:uniqueId val="{00000006-CEB2-4C84-B5BA-D1956113B722}"/>
            </c:ext>
          </c:extLst>
        </c:ser>
        <c:ser>
          <c:idx val="2"/>
          <c:order val="2"/>
          <c:tx>
            <c:strRef>
              <c:f>TRANSPARENCIA!$BS$19</c:f>
              <c:strCache>
                <c:ptCount val="1"/>
                <c:pt idx="0">
                  <c:v>Pendientes</c:v>
                </c:pt>
              </c:strCache>
            </c:strRef>
          </c:tx>
          <c:spPr>
            <a:ln w="28575" cap="rnd">
              <a:solidFill>
                <a:srgbClr val="EC68A0"/>
              </a:solidFill>
              <a:round/>
            </a:ln>
            <a:effectLst>
              <a:outerShdw blurRad="50800" dist="38100" dir="2700000" algn="tl" rotWithShape="0">
                <a:prstClr val="black">
                  <a:alpha val="40000"/>
                </a:prstClr>
              </a:outerShdw>
            </a:effectLst>
          </c:spPr>
          <c:marker>
            <c:symbol val="diamond"/>
            <c:size val="10"/>
            <c:spPr>
              <a:solidFill>
                <a:srgbClr val="EC68A0"/>
              </a:solidFill>
              <a:ln w="9525">
                <a:solidFill>
                  <a:srgbClr val="EC68A0"/>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TRANSPARENCIA!$BP$20:$BP$25</c:f>
              <c:numCache>
                <c:formatCode>General</c:formatCode>
                <c:ptCount val="6"/>
                <c:pt idx="0">
                  <c:v>2015</c:v>
                </c:pt>
                <c:pt idx="1">
                  <c:v>2016</c:v>
                </c:pt>
                <c:pt idx="2">
                  <c:v>2017</c:v>
                </c:pt>
                <c:pt idx="3">
                  <c:v>2018</c:v>
                </c:pt>
                <c:pt idx="4">
                  <c:v>2019</c:v>
                </c:pt>
                <c:pt idx="5">
                  <c:v>2020</c:v>
                </c:pt>
              </c:numCache>
            </c:numRef>
          </c:cat>
          <c:val>
            <c:numRef>
              <c:f>TRANSPARENCIA!$BS$20:$BS$25</c:f>
              <c:numCache>
                <c:formatCode>#,##0</c:formatCode>
                <c:ptCount val="6"/>
                <c:pt idx="0">
                  <c:v>443</c:v>
                </c:pt>
                <c:pt idx="1">
                  <c:v>828</c:v>
                </c:pt>
                <c:pt idx="2">
                  <c:v>1027</c:v>
                </c:pt>
                <c:pt idx="3">
                  <c:v>568</c:v>
                </c:pt>
                <c:pt idx="4">
                  <c:v>2342</c:v>
                </c:pt>
                <c:pt idx="5">
                  <c:v>906</c:v>
                </c:pt>
              </c:numCache>
            </c:numRef>
          </c:val>
          <c:smooth val="0"/>
          <c:extLst>
            <c:ext xmlns:c16="http://schemas.microsoft.com/office/drawing/2014/chart" uri="{C3380CC4-5D6E-409C-BE32-E72D297353CC}">
              <c16:uniqueId val="{00000007-CEB2-4C84-B5BA-D1956113B722}"/>
            </c:ext>
          </c:extLst>
        </c:ser>
        <c:dLbls>
          <c:showLegendKey val="0"/>
          <c:showVal val="0"/>
          <c:showCatName val="0"/>
          <c:showSerName val="0"/>
          <c:showPercent val="0"/>
          <c:showBubbleSize val="0"/>
        </c:dLbls>
        <c:marker val="1"/>
        <c:smooth val="0"/>
        <c:axId val="289253744"/>
        <c:axId val="289299088"/>
      </c:lineChart>
      <c:catAx>
        <c:axId val="28925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9299088"/>
        <c:crosses val="autoZero"/>
        <c:auto val="1"/>
        <c:lblAlgn val="ctr"/>
        <c:lblOffset val="100"/>
        <c:noMultiLvlLbl val="0"/>
      </c:catAx>
      <c:valAx>
        <c:axId val="289299088"/>
        <c:scaling>
          <c:orientation val="minMax"/>
        </c:scaling>
        <c:delete val="1"/>
        <c:axPos val="l"/>
        <c:numFmt formatCode="#,##0" sourceLinked="1"/>
        <c:majorTickMark val="none"/>
        <c:minorTickMark val="none"/>
        <c:tickLblPos val="nextTo"/>
        <c:crossAx val="28925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3417187822581461"/>
          <c:w val="0.93888888888888888"/>
          <c:h val="0.73613832381115052"/>
        </c:manualLayout>
      </c:layout>
      <c:lineChart>
        <c:grouping val="standard"/>
        <c:varyColors val="0"/>
        <c:ser>
          <c:idx val="0"/>
          <c:order val="0"/>
          <c:tx>
            <c:strRef>
              <c:f>'PERSONAL OIC'!$C$2</c:f>
              <c:strCache>
                <c:ptCount val="1"/>
                <c:pt idx="0">
                  <c:v>Personal</c:v>
                </c:pt>
              </c:strCache>
            </c:strRef>
          </c:tx>
          <c:spPr>
            <a:ln w="28575" cap="rnd">
              <a:solidFill>
                <a:srgbClr val="08267A"/>
              </a:solidFill>
              <a:round/>
            </a:ln>
            <a:effectLst>
              <a:outerShdw blurRad="50800" dist="38100" dir="2700000" algn="tl" rotWithShape="0">
                <a:prstClr val="black">
                  <a:alpha val="40000"/>
                </a:prstClr>
              </a:outerShdw>
            </a:effectLst>
          </c:spPr>
          <c:marker>
            <c:symbol val="diamond"/>
            <c:size val="10"/>
            <c:spPr>
              <a:solidFill>
                <a:srgbClr val="08267A"/>
              </a:solidFill>
              <a:ln w="9525">
                <a:solidFill>
                  <a:srgbClr val="08267A"/>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 OIC'!$B$3:$B$9</c:f>
              <c:numCache>
                <c:formatCode>General</c:formatCode>
                <c:ptCount val="7"/>
                <c:pt idx="0">
                  <c:v>2014</c:v>
                </c:pt>
                <c:pt idx="1">
                  <c:v>2015</c:v>
                </c:pt>
                <c:pt idx="2">
                  <c:v>2016</c:v>
                </c:pt>
                <c:pt idx="3">
                  <c:v>2017</c:v>
                </c:pt>
                <c:pt idx="4">
                  <c:v>2018</c:v>
                </c:pt>
                <c:pt idx="5">
                  <c:v>2019</c:v>
                </c:pt>
                <c:pt idx="6">
                  <c:v>2020</c:v>
                </c:pt>
              </c:numCache>
            </c:numRef>
          </c:cat>
          <c:val>
            <c:numRef>
              <c:f>'PERSONAL OIC'!$C$3:$C$9</c:f>
              <c:numCache>
                <c:formatCode>#,##0</c:formatCode>
                <c:ptCount val="7"/>
                <c:pt idx="0">
                  <c:v>5886</c:v>
                </c:pt>
                <c:pt idx="1">
                  <c:v>7200</c:v>
                </c:pt>
                <c:pt idx="2">
                  <c:v>7352</c:v>
                </c:pt>
                <c:pt idx="3">
                  <c:v>6584</c:v>
                </c:pt>
                <c:pt idx="4">
                  <c:v>6116</c:v>
                </c:pt>
                <c:pt idx="5">
                  <c:v>5438</c:v>
                </c:pt>
                <c:pt idx="6">
                  <c:v>7061</c:v>
                </c:pt>
              </c:numCache>
            </c:numRef>
          </c:val>
          <c:smooth val="0"/>
          <c:extLst>
            <c:ext xmlns:c16="http://schemas.microsoft.com/office/drawing/2014/chart" uri="{C3380CC4-5D6E-409C-BE32-E72D297353CC}">
              <c16:uniqueId val="{00000000-538E-4785-9012-863A813C89E7}"/>
            </c:ext>
          </c:extLst>
        </c:ser>
        <c:dLbls>
          <c:showLegendKey val="0"/>
          <c:showVal val="0"/>
          <c:showCatName val="0"/>
          <c:showSerName val="0"/>
          <c:showPercent val="0"/>
          <c:showBubbleSize val="0"/>
        </c:dLbls>
        <c:marker val="1"/>
        <c:smooth val="0"/>
        <c:axId val="444342688"/>
        <c:axId val="444343936"/>
      </c:lineChart>
      <c:catAx>
        <c:axId val="44434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44343936"/>
        <c:crosses val="autoZero"/>
        <c:auto val="1"/>
        <c:lblAlgn val="ctr"/>
        <c:lblOffset val="100"/>
        <c:noMultiLvlLbl val="0"/>
      </c:catAx>
      <c:valAx>
        <c:axId val="444343936"/>
        <c:scaling>
          <c:orientation val="minMax"/>
        </c:scaling>
        <c:delete val="1"/>
        <c:axPos val="l"/>
        <c:numFmt formatCode="#,##0" sourceLinked="1"/>
        <c:majorTickMark val="none"/>
        <c:minorTickMark val="none"/>
        <c:tickLblPos val="nextTo"/>
        <c:crossAx val="444342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E941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85D-462D-B5FF-33E6F01D5018}"/>
              </c:ext>
            </c:extLst>
          </c:dPt>
          <c:dPt>
            <c:idx val="1"/>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85D-462D-B5FF-33E6F01D5018}"/>
              </c:ext>
            </c:extLst>
          </c:dPt>
          <c:dPt>
            <c:idx val="2"/>
            <c:invertIfNegative val="0"/>
            <c:bubble3D val="0"/>
            <c:spPr>
              <a:solidFill>
                <a:srgbClr val="FFF8CD"/>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85D-462D-B5FF-33E6F01D501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 OIC'!$AJ$3:$AJ$5</c:f>
              <c:strCache>
                <c:ptCount val="3"/>
                <c:pt idx="0">
                  <c:v>Investigación</c:v>
                </c:pt>
                <c:pt idx="1">
                  <c:v>Substanciación</c:v>
                </c:pt>
                <c:pt idx="2">
                  <c:v>Resolución o sanción</c:v>
                </c:pt>
              </c:strCache>
            </c:strRef>
          </c:cat>
          <c:val>
            <c:numRef>
              <c:f>'PERSONAL OIC'!$AK$3:$AK$5</c:f>
              <c:numCache>
                <c:formatCode>#,##0</c:formatCode>
                <c:ptCount val="3"/>
                <c:pt idx="0">
                  <c:v>2939</c:v>
                </c:pt>
                <c:pt idx="1">
                  <c:v>559</c:v>
                </c:pt>
                <c:pt idx="2">
                  <c:v>294</c:v>
                </c:pt>
              </c:numCache>
            </c:numRef>
          </c:val>
          <c:extLst>
            <c:ext xmlns:c16="http://schemas.microsoft.com/office/drawing/2014/chart" uri="{C3380CC4-5D6E-409C-BE32-E72D297353CC}">
              <c16:uniqueId val="{00000006-985D-462D-B5FF-33E6F01D5018}"/>
            </c:ext>
          </c:extLst>
        </c:ser>
        <c:dLbls>
          <c:showLegendKey val="0"/>
          <c:showVal val="0"/>
          <c:showCatName val="0"/>
          <c:showSerName val="0"/>
          <c:showPercent val="0"/>
          <c:showBubbleSize val="0"/>
        </c:dLbls>
        <c:gapWidth val="70"/>
        <c:overlap val="-27"/>
        <c:axId val="232814784"/>
        <c:axId val="232816032"/>
      </c:barChart>
      <c:catAx>
        <c:axId val="2328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32816032"/>
        <c:crosses val="autoZero"/>
        <c:auto val="1"/>
        <c:lblAlgn val="ctr"/>
        <c:lblOffset val="100"/>
        <c:noMultiLvlLbl val="0"/>
      </c:catAx>
      <c:valAx>
        <c:axId val="232816032"/>
        <c:scaling>
          <c:orientation val="minMax"/>
        </c:scaling>
        <c:delete val="1"/>
        <c:axPos val="l"/>
        <c:numFmt formatCode="#,##0" sourceLinked="1"/>
        <c:majorTickMark val="none"/>
        <c:minorTickMark val="none"/>
        <c:tickLblPos val="nextTo"/>
        <c:crossAx val="23281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9.7714636734238025E-2"/>
          <c:w val="0.90555555555555556"/>
          <c:h val="0.80292106676568031"/>
        </c:manualLayout>
      </c:layout>
      <c:lineChart>
        <c:grouping val="standard"/>
        <c:varyColors val="0"/>
        <c:ser>
          <c:idx val="0"/>
          <c:order val="0"/>
          <c:tx>
            <c:strRef>
              <c:f>'HISTÓRICOS CONTROL INTERNO'!$C$2</c:f>
              <c:strCache>
                <c:ptCount val="1"/>
                <c:pt idx="0">
                  <c:v>Denuncias</c:v>
                </c:pt>
              </c:strCache>
            </c:strRef>
          </c:tx>
          <c:spPr>
            <a:ln w="28575" cap="rnd">
              <a:solidFill>
                <a:srgbClr val="8C1B67"/>
              </a:solidFill>
              <a:round/>
            </a:ln>
            <a:effectLst>
              <a:outerShdw blurRad="50800" dist="38100" algn="l" rotWithShape="0">
                <a:prstClr val="black">
                  <a:alpha val="40000"/>
                </a:prstClr>
              </a:outerShdw>
            </a:effectLst>
          </c:spPr>
          <c:marker>
            <c:symbol val="diamond"/>
            <c:size val="10"/>
            <c:spPr>
              <a:solidFill>
                <a:srgbClr val="8C1B67"/>
              </a:solidFill>
              <a:ln w="9525">
                <a:solidFill>
                  <a:srgbClr val="8C1B67"/>
                </a:solidFill>
              </a:ln>
              <a:effectLst>
                <a:outerShdw blurRad="50800" dist="38100" algn="l" rotWithShape="0">
                  <a:prstClr val="black">
                    <a:alpha val="40000"/>
                  </a:prstClr>
                </a:outerShdw>
              </a:effectLst>
            </c:spPr>
          </c:marker>
          <c:dLbls>
            <c:dLbl>
              <c:idx val="0"/>
              <c:layout>
                <c:manualLayout>
                  <c:x val="-0.11706342957130358"/>
                  <c:y val="-6.3041749522719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D3-402C-8F8F-579273B4468C}"/>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3-402C-8F8F-579273B4468C}"/>
                </c:ext>
              </c:extLst>
            </c:dLbl>
            <c:dLbl>
              <c:idx val="3"/>
              <c:layout>
                <c:manualLayout>
                  <c:x val="0"/>
                  <c:y val="-3.7825049713631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D3-402C-8F8F-579273B4468C}"/>
                </c:ext>
              </c:extLst>
            </c:dLbl>
            <c:dLbl>
              <c:idx val="6"/>
              <c:layout>
                <c:manualLayout>
                  <c:x val="-2.0370135052831988E-16"/>
                  <c:y val="-5.6737574570447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3-402C-8F8F-579273B4468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'HISTÓRICOS CONTROL INTERNO'!$B$3:$B$9</c:f>
              <c:numCache>
                <c:formatCode>General</c:formatCode>
                <c:ptCount val="7"/>
                <c:pt idx="0">
                  <c:v>2014</c:v>
                </c:pt>
                <c:pt idx="1">
                  <c:v>2015</c:v>
                </c:pt>
                <c:pt idx="2">
                  <c:v>2016</c:v>
                </c:pt>
                <c:pt idx="3">
                  <c:v>2017</c:v>
                </c:pt>
                <c:pt idx="4">
                  <c:v>2018</c:v>
                </c:pt>
                <c:pt idx="5">
                  <c:v>2019</c:v>
                </c:pt>
                <c:pt idx="6">
                  <c:v>2020</c:v>
                </c:pt>
              </c:numCache>
            </c:numRef>
          </c:cat>
          <c:val>
            <c:numRef>
              <c:f>'HISTÓRICOS CONTROL INTERNO'!$C$3:$C$9</c:f>
              <c:numCache>
                <c:formatCode>#,##0</c:formatCode>
                <c:ptCount val="7"/>
                <c:pt idx="0">
                  <c:v>42445</c:v>
                </c:pt>
                <c:pt idx="1">
                  <c:v>56280</c:v>
                </c:pt>
                <c:pt idx="2">
                  <c:v>72755</c:v>
                </c:pt>
                <c:pt idx="3">
                  <c:v>65560</c:v>
                </c:pt>
                <c:pt idx="4">
                  <c:v>45684</c:v>
                </c:pt>
                <c:pt idx="5">
                  <c:v>71630</c:v>
                </c:pt>
                <c:pt idx="6">
                  <c:v>50676</c:v>
                </c:pt>
              </c:numCache>
            </c:numRef>
          </c:val>
          <c:smooth val="0"/>
          <c:extLst>
            <c:ext xmlns:c16="http://schemas.microsoft.com/office/drawing/2014/chart" uri="{C3380CC4-5D6E-409C-BE32-E72D297353CC}">
              <c16:uniqueId val="{00000004-CDD3-402C-8F8F-579273B4468C}"/>
            </c:ext>
          </c:extLst>
        </c:ser>
        <c:dLbls>
          <c:showLegendKey val="0"/>
          <c:showVal val="0"/>
          <c:showCatName val="0"/>
          <c:showSerName val="0"/>
          <c:showPercent val="0"/>
          <c:showBubbleSize val="0"/>
        </c:dLbls>
        <c:marker val="1"/>
        <c:smooth val="0"/>
        <c:axId val="703711872"/>
        <c:axId val="703711040"/>
      </c:lineChart>
      <c:catAx>
        <c:axId val="70371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03711040"/>
        <c:crosses val="autoZero"/>
        <c:auto val="1"/>
        <c:lblAlgn val="ctr"/>
        <c:lblOffset val="100"/>
        <c:noMultiLvlLbl val="0"/>
      </c:catAx>
      <c:valAx>
        <c:axId val="703711040"/>
        <c:scaling>
          <c:orientation val="minMax"/>
        </c:scaling>
        <c:delete val="1"/>
        <c:axPos val="l"/>
        <c:numFmt formatCode="#,##0" sourceLinked="1"/>
        <c:majorTickMark val="none"/>
        <c:minorTickMark val="none"/>
        <c:tickLblPos val="nextTo"/>
        <c:crossAx val="70371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6.1238705141114229E-2"/>
          <c:w val="0.91388888888888886"/>
          <c:h val="0.82596152876706808"/>
        </c:manualLayout>
      </c:layout>
      <c:lineChart>
        <c:grouping val="standard"/>
        <c:varyColors val="0"/>
        <c:ser>
          <c:idx val="0"/>
          <c:order val="0"/>
          <c:tx>
            <c:strRef>
              <c:f>'HISTÓRICOS CONTROL INTERNO'!$J$2</c:f>
              <c:strCache>
                <c:ptCount val="1"/>
                <c:pt idx="0">
                  <c:v>Auditorías</c:v>
                </c:pt>
              </c:strCache>
            </c:strRef>
          </c:tx>
          <c:spPr>
            <a:ln w="28575" cap="rnd">
              <a:solidFill>
                <a:srgbClr val="08497F"/>
              </a:solidFill>
              <a:round/>
            </a:ln>
            <a:effectLst>
              <a:outerShdw blurRad="50800" dist="38100" dir="2700000" algn="tl" rotWithShape="0">
                <a:prstClr val="black">
                  <a:alpha val="40000"/>
                </a:prstClr>
              </a:outerShdw>
            </a:effectLst>
          </c:spPr>
          <c:marker>
            <c:symbol val="diamond"/>
            <c:size val="10"/>
            <c:spPr>
              <a:solidFill>
                <a:srgbClr val="08497F"/>
              </a:solidFill>
              <a:ln w="9525">
                <a:solidFill>
                  <a:srgbClr val="08497F"/>
                </a:solidFill>
              </a:ln>
              <a:effectLst>
                <a:outerShdw blurRad="50800" dist="38100" dir="2700000" algn="tl" rotWithShape="0">
                  <a:prstClr val="black">
                    <a:alpha val="40000"/>
                  </a:prstClr>
                </a:outerShdw>
              </a:effectLst>
            </c:spPr>
          </c:marker>
          <c:dLbls>
            <c:dLbl>
              <c:idx val="1"/>
              <c:layout>
                <c:manualLayout>
                  <c:x val="-3.2401714501068907E-2"/>
                  <c:y val="-5.0959293340352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0A-44BB-A85D-B0C4ADF34DFF}"/>
                </c:ext>
              </c:extLst>
            </c:dLbl>
            <c:dLbl>
              <c:idx val="2"/>
              <c:layout>
                <c:manualLayout>
                  <c:x val="-1.3228761281926049E-2"/>
                  <c:y val="4.0873160609958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0A-44BB-A85D-B0C4ADF34DFF}"/>
                </c:ext>
              </c:extLst>
            </c:dLbl>
            <c:dLbl>
              <c:idx val="4"/>
              <c:layout>
                <c:manualLayout>
                  <c:x val="-4.2973236361124066E-2"/>
                  <c:y val="-6.4982726476907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0A-44BB-A85D-B0C4ADF34DFF}"/>
                </c:ext>
              </c:extLst>
            </c:dLbl>
            <c:dLbl>
              <c:idx val="5"/>
              <c:layout>
                <c:manualLayout>
                  <c:x val="-2.9758834036055132E-2"/>
                  <c:y val="8.168419151539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0A-44BB-A85D-B0C4ADF34DFF}"/>
                </c:ext>
              </c:extLst>
            </c:dLbl>
            <c:dLbl>
              <c:idx val="6"/>
              <c:layout>
                <c:manualLayout>
                  <c:x val="-5.8830519151206684E-2"/>
                  <c:y val="-6.4982726476907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0A-44BB-A85D-B0C4ADF34DFF}"/>
                </c:ext>
              </c:extLst>
            </c:dLbl>
            <c:dLbl>
              <c:idx val="7"/>
              <c:layout>
                <c:manualLayout>
                  <c:x val="-1.3951443569553908E-2"/>
                  <c:y val="3.0577708497626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0A-44BB-A85D-B0C4ADF34DFF}"/>
                </c:ext>
              </c:extLst>
            </c:dLbl>
            <c:dLbl>
              <c:idx val="8"/>
              <c:layout>
                <c:manualLayout>
                  <c:x val="-1.9506999125109361E-2"/>
                  <c:y val="4.7362461681973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0A-44BB-A85D-B0C4ADF34DFF}"/>
                </c:ext>
              </c:extLst>
            </c:dLbl>
            <c:dLbl>
              <c:idx val="10"/>
              <c:layout>
                <c:manualLayout>
                  <c:x val="-1.4660979877516328E-3"/>
                  <c:y val="-1.9443398471969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0A-44BB-A85D-B0C4ADF34DF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'HISTÓRICOS CONTROL INTERNO'!$I$3:$I$13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'HISTÓRICOS CONTROL INTERNO'!$J$3:$J$13</c:f>
              <c:numCache>
                <c:formatCode>#,##0</c:formatCode>
                <c:ptCount val="11"/>
                <c:pt idx="0">
                  <c:v>11153</c:v>
                </c:pt>
                <c:pt idx="1">
                  <c:v>8157</c:v>
                </c:pt>
                <c:pt idx="2">
                  <c:v>7804</c:v>
                </c:pt>
                <c:pt idx="3">
                  <c:v>12037</c:v>
                </c:pt>
                <c:pt idx="4">
                  <c:v>9127</c:v>
                </c:pt>
                <c:pt idx="5">
                  <c:v>8453</c:v>
                </c:pt>
                <c:pt idx="6">
                  <c:v>9507</c:v>
                </c:pt>
                <c:pt idx="7">
                  <c:v>11072</c:v>
                </c:pt>
                <c:pt idx="8">
                  <c:v>14344</c:v>
                </c:pt>
                <c:pt idx="9">
                  <c:v>15873</c:v>
                </c:pt>
                <c:pt idx="10">
                  <c:v>10747</c:v>
                </c:pt>
              </c:numCache>
            </c:numRef>
          </c:val>
          <c:smooth val="0"/>
          <c:extLst>
            <c:ext xmlns:c16="http://schemas.microsoft.com/office/drawing/2014/chart" uri="{C3380CC4-5D6E-409C-BE32-E72D297353CC}">
              <c16:uniqueId val="{00000008-910A-44BB-A85D-B0C4ADF34DFF}"/>
            </c:ext>
          </c:extLst>
        </c:ser>
        <c:dLbls>
          <c:showLegendKey val="0"/>
          <c:showVal val="0"/>
          <c:showCatName val="0"/>
          <c:showSerName val="0"/>
          <c:showPercent val="0"/>
          <c:showBubbleSize val="0"/>
        </c:dLbls>
        <c:marker val="1"/>
        <c:smooth val="0"/>
        <c:axId val="567706688"/>
        <c:axId val="567721664"/>
      </c:lineChart>
      <c:catAx>
        <c:axId val="56770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67721664"/>
        <c:crosses val="autoZero"/>
        <c:auto val="1"/>
        <c:lblAlgn val="ctr"/>
        <c:lblOffset val="100"/>
        <c:noMultiLvlLbl val="0"/>
      </c:catAx>
      <c:valAx>
        <c:axId val="567721664"/>
        <c:scaling>
          <c:orientation val="minMax"/>
        </c:scaling>
        <c:delete val="1"/>
        <c:axPos val="l"/>
        <c:numFmt formatCode="#,##0" sourceLinked="1"/>
        <c:majorTickMark val="none"/>
        <c:minorTickMark val="none"/>
        <c:tickLblPos val="nextTo"/>
        <c:crossAx val="567706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'HISTÓRICOS CONTROL INTERNO'!$R$2</c:f>
              <c:strCache>
                <c:ptCount val="1"/>
                <c:pt idx="0">
                  <c:v>Unidades anomalías</c:v>
                </c:pt>
              </c:strCache>
            </c:strRef>
          </c:tx>
          <c:spPr>
            <a:ln w="28575" cap="rnd">
              <a:solidFill>
                <a:srgbClr val="CE941F"/>
              </a:solidFill>
              <a:round/>
            </a:ln>
            <a:effectLst>
              <a:outerShdw blurRad="50800" dist="38100" dir="2700000" algn="tl" rotWithShape="0">
                <a:prstClr val="black">
                  <a:alpha val="40000"/>
                </a:prstClr>
              </a:outerShdw>
            </a:effectLst>
          </c:spPr>
          <c:marker>
            <c:symbol val="diamond"/>
            <c:size val="10"/>
            <c:spPr>
              <a:solidFill>
                <a:srgbClr val="CE941F"/>
              </a:solidFill>
              <a:ln w="9525">
                <a:solidFill>
                  <a:srgbClr val="CE941F"/>
                </a:solidFill>
              </a:ln>
              <a:effectLst>
                <a:outerShdw blurRad="50800" dist="38100" dir="2700000" algn="tl" rotWithShape="0">
                  <a:prstClr val="black">
                    <a:alpha val="40000"/>
                  </a:prstClr>
                </a:outerShdw>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B7-4AE1-A66B-B8AE17D3F977}"/>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B7-4AE1-A66B-B8AE17D3F977}"/>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B7-4AE1-A66B-B8AE17D3F977}"/>
                </c:ext>
              </c:extLst>
            </c:dLbl>
            <c:dLbl>
              <c:idx val="3"/>
              <c:layout>
                <c:manualLayout>
                  <c:x val="-3.5497643438161371E-2"/>
                  <c:y val="-4.808048671992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B7-4AE1-A66B-B8AE17D3F977}"/>
                </c:ext>
              </c:extLst>
            </c:dLbl>
            <c:dLbl>
              <c:idx val="4"/>
              <c:layout>
                <c:manualLayout>
                  <c:x val="-2.605862895134195E-2"/>
                  <c:y val="-4.4352034671417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B7-4AE1-A66B-B8AE17D3F97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'HISTÓRICOS CONTROL INTERNO'!$Q$3:$Q$8</c:f>
              <c:numCache>
                <c:formatCode>General</c:formatCode>
                <c:ptCount val="6"/>
                <c:pt idx="0">
                  <c:v>2015</c:v>
                </c:pt>
                <c:pt idx="1">
                  <c:v>2016</c:v>
                </c:pt>
                <c:pt idx="2">
                  <c:v>2017</c:v>
                </c:pt>
                <c:pt idx="3">
                  <c:v>2018</c:v>
                </c:pt>
                <c:pt idx="4">
                  <c:v>2019</c:v>
                </c:pt>
                <c:pt idx="5">
                  <c:v>2020</c:v>
                </c:pt>
              </c:numCache>
            </c:numRef>
          </c:cat>
          <c:val>
            <c:numRef>
              <c:f>'HISTÓRICOS CONTROL INTERNO'!$R$3:$R$8</c:f>
              <c:numCache>
                <c:formatCode>#,##0</c:formatCode>
                <c:ptCount val="6"/>
                <c:pt idx="0">
                  <c:v>4310</c:v>
                </c:pt>
                <c:pt idx="1">
                  <c:v>4126</c:v>
                </c:pt>
                <c:pt idx="2">
                  <c:v>5261</c:v>
                </c:pt>
                <c:pt idx="3">
                  <c:v>4089</c:v>
                </c:pt>
                <c:pt idx="4">
                  <c:v>3642</c:v>
                </c:pt>
                <c:pt idx="5">
                  <c:v>3520</c:v>
                </c:pt>
              </c:numCache>
            </c:numRef>
          </c:val>
          <c:smooth val="0"/>
          <c:extLst>
            <c:ext xmlns:c16="http://schemas.microsoft.com/office/drawing/2014/chart" uri="{C3380CC4-5D6E-409C-BE32-E72D297353CC}">
              <c16:uniqueId val="{00000005-B0B7-4AE1-A66B-B8AE17D3F977}"/>
            </c:ext>
          </c:extLst>
        </c:ser>
        <c:dLbls>
          <c:showLegendKey val="0"/>
          <c:showVal val="0"/>
          <c:showCatName val="0"/>
          <c:showSerName val="0"/>
          <c:showPercent val="0"/>
          <c:showBubbleSize val="0"/>
        </c:dLbls>
        <c:marker val="1"/>
        <c:smooth val="0"/>
        <c:axId val="605055424"/>
        <c:axId val="604949344"/>
      </c:lineChart>
      <c:catAx>
        <c:axId val="6050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4949344"/>
        <c:crosses val="autoZero"/>
        <c:auto val="1"/>
        <c:lblAlgn val="ctr"/>
        <c:lblOffset val="100"/>
        <c:noMultiLvlLbl val="0"/>
      </c:catAx>
      <c:valAx>
        <c:axId val="604949344"/>
        <c:scaling>
          <c:orientation val="minMax"/>
        </c:scaling>
        <c:delete val="1"/>
        <c:axPos val="l"/>
        <c:numFmt formatCode="#,##0" sourceLinked="1"/>
        <c:majorTickMark val="none"/>
        <c:minorTickMark val="none"/>
        <c:tickLblPos val="nextTo"/>
        <c:crossAx val="60505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'HISTÓRICOS CONTROL INTERNO'!$Y$2</c:f>
              <c:strCache>
                <c:ptCount val="1"/>
                <c:pt idx="0">
                  <c:v>Investigaciones iniciadas</c:v>
                </c:pt>
              </c:strCache>
            </c:strRef>
          </c:tx>
          <c:spPr>
            <a:ln w="28575" cap="rnd">
              <a:solidFill>
                <a:srgbClr val="8E61A5"/>
              </a:solidFill>
              <a:round/>
            </a:ln>
            <a:effectLst>
              <a:outerShdw blurRad="50800" dist="38100" dir="2700000" algn="tl" rotWithShape="0">
                <a:prstClr val="black">
                  <a:alpha val="40000"/>
                </a:prstClr>
              </a:outerShdw>
            </a:effectLst>
          </c:spPr>
          <c:marker>
            <c:symbol val="diamond"/>
            <c:size val="10"/>
            <c:spPr>
              <a:solidFill>
                <a:srgbClr val="8E61A5"/>
              </a:solidFill>
              <a:ln w="9525">
                <a:solidFill>
                  <a:srgbClr val="8E61A5"/>
                </a:solidFill>
              </a:ln>
              <a:effectLst/>
            </c:spPr>
          </c:marker>
          <c:dLbls>
            <c:dLbl>
              <c:idx val="1"/>
              <c:layout>
                <c:manualLayout>
                  <c:x val="-5.2227342549923249E-2"/>
                  <c:y val="-6.6666809195687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2-49F5-B423-F14081F15B2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'HISTÓRICOS CONTROL INTERNO'!$X$3:$X$5</c:f>
              <c:numCache>
                <c:formatCode>General</c:formatCode>
                <c:ptCount val="3"/>
                <c:pt idx="0">
                  <c:v>2018</c:v>
                </c:pt>
                <c:pt idx="1">
                  <c:v>2019</c:v>
                </c:pt>
                <c:pt idx="2">
                  <c:v>2020</c:v>
                </c:pt>
              </c:numCache>
            </c:numRef>
          </c:cat>
          <c:val>
            <c:numRef>
              <c:f>'HISTÓRICOS CONTROL INTERNO'!$Y$3:$Y$5</c:f>
              <c:numCache>
                <c:formatCode>#,##0</c:formatCode>
                <c:ptCount val="3"/>
                <c:pt idx="0">
                  <c:v>20277</c:v>
                </c:pt>
                <c:pt idx="1">
                  <c:v>57644</c:v>
                </c:pt>
                <c:pt idx="2">
                  <c:v>41704</c:v>
                </c:pt>
              </c:numCache>
            </c:numRef>
          </c:val>
          <c:smooth val="0"/>
          <c:extLst>
            <c:ext xmlns:c16="http://schemas.microsoft.com/office/drawing/2014/chart" uri="{C3380CC4-5D6E-409C-BE32-E72D297353CC}">
              <c16:uniqueId val="{00000001-73C2-49F5-B423-F14081F15B20}"/>
            </c:ext>
          </c:extLst>
        </c:ser>
        <c:dLbls>
          <c:showLegendKey val="0"/>
          <c:showVal val="0"/>
          <c:showCatName val="0"/>
          <c:showSerName val="0"/>
          <c:showPercent val="0"/>
          <c:showBubbleSize val="0"/>
        </c:dLbls>
        <c:marker val="1"/>
        <c:smooth val="0"/>
        <c:axId val="281122000"/>
        <c:axId val="281122416"/>
      </c:lineChart>
      <c:catAx>
        <c:axId val="2811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81122416"/>
        <c:crosses val="autoZero"/>
        <c:auto val="1"/>
        <c:lblAlgn val="ctr"/>
        <c:lblOffset val="100"/>
        <c:noMultiLvlLbl val="0"/>
      </c:catAx>
      <c:valAx>
        <c:axId val="281122416"/>
        <c:scaling>
          <c:orientation val="minMax"/>
        </c:scaling>
        <c:delete val="1"/>
        <c:axPos val="l"/>
        <c:numFmt formatCode="#,##0" sourceLinked="1"/>
        <c:majorTickMark val="none"/>
        <c:minorTickMark val="none"/>
        <c:tickLblPos val="nextTo"/>
        <c:crossAx val="28112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F9CC0"/>
            </a:solidFill>
            <a:ln>
              <a:noFill/>
            </a:ln>
            <a:effectLst/>
          </c:spPr>
          <c:invertIfNegative val="0"/>
          <c:dPt>
            <c:idx val="0"/>
            <c:invertIfNegative val="0"/>
            <c:bubble3D val="0"/>
            <c:spPr>
              <a:solidFill>
                <a:srgbClr val="006098"/>
              </a:solidFill>
              <a:ln>
                <a:noFill/>
              </a:ln>
              <a:effectLst/>
            </c:spPr>
            <c:extLst>
              <c:ext xmlns:c16="http://schemas.microsoft.com/office/drawing/2014/chart" uri="{C3380CC4-5D6E-409C-BE32-E72D297353CC}">
                <c16:uniqueId val="{00000001-4FF8-4B12-A7CC-1E5F3A2A875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'LISTADO INST'!$AI$4:$AI$32</c:f>
              <c:strCache>
                <c:ptCount val="29"/>
                <c:pt idx="0">
                  <c:v>Educación</c:v>
                </c:pt>
                <c:pt idx="1">
                  <c:v>Salud</c:v>
                </c:pt>
                <c:pt idx="2">
                  <c:v>Desarrollo social</c:v>
                </c:pt>
                <c:pt idx="3">
                  <c:v>Arte, cultura y otras manifestaciones sociales</c:v>
                </c:pt>
                <c:pt idx="4">
                  <c:v>Economía</c:v>
                </c:pt>
                <c:pt idx="5">
                  <c:v>Desarrollo agrario, territorial, urbano y vivienda</c:v>
                </c:pt>
                <c:pt idx="6">
                  <c:v>Comunicaciones y transportes</c:v>
                </c:pt>
                <c:pt idx="7">
                  <c:v>Seguridad pública o seguridad ciudadana</c:v>
                </c:pt>
                <c:pt idx="8">
                  <c:v>Función pública</c:v>
                </c:pt>
                <c:pt idx="9">
                  <c:v>Gobierno y política interior</c:v>
                </c:pt>
                <c:pt idx="10">
                  <c:v>Medio ambiente y ecología</c:v>
                </c:pt>
                <c:pt idx="11">
                  <c:v>Turismo</c:v>
                </c:pt>
                <c:pt idx="12">
                  <c:v>Asuntos financieros y hacendarios</c:v>
                </c:pt>
                <c:pt idx="13">
                  <c:v>Agricultura y desarrollo rural</c:v>
                </c:pt>
                <c:pt idx="14">
                  <c:v>Ciencia, tecnología e innovación</c:v>
                </c:pt>
                <c:pt idx="15">
                  <c:v>Servicios públicos</c:v>
                </c:pt>
                <c:pt idx="16">
                  <c:v>Despacho del ejecutivo</c:v>
                </c:pt>
                <c:pt idx="17">
                  <c:v>Justicia</c:v>
                </c:pt>
                <c:pt idx="18">
                  <c:v>Asuntos jurídicos</c:v>
                </c:pt>
                <c:pt idx="19">
                  <c:v>Protección y seguridad social</c:v>
                </c:pt>
                <c:pt idx="20">
                  <c:v>Cultura física y/o deporte</c:v>
                </c:pt>
                <c:pt idx="21">
                  <c:v>Servicios registrales, administrativos y patrimoniales</c:v>
                </c:pt>
                <c:pt idx="22">
                  <c:v>Igualdad de género y/o derechos de las mujeres</c:v>
                </c:pt>
                <c:pt idx="23">
                  <c:v>Trabajo</c:v>
                </c:pt>
                <c:pt idx="24">
                  <c:v>Protección civil</c:v>
                </c:pt>
                <c:pt idx="25">
                  <c:v>Asuntos indígenas</c:v>
                </c:pt>
                <c:pt idx="26">
                  <c:v>Reinserción social</c:v>
                </c:pt>
                <c:pt idx="27">
                  <c:v>Combustibles y energía</c:v>
                </c:pt>
                <c:pt idx="28">
                  <c:v>Otra función</c:v>
                </c:pt>
              </c:strCache>
            </c:strRef>
          </c:cat>
          <c:val>
            <c:numRef>
              <c:f>'LISTADO INST'!$AJ$4:$AJ$32</c:f>
              <c:numCache>
                <c:formatCode>General</c:formatCode>
                <c:ptCount val="29"/>
                <c:pt idx="0">
                  <c:v>587</c:v>
                </c:pt>
                <c:pt idx="1">
                  <c:v>127</c:v>
                </c:pt>
                <c:pt idx="2">
                  <c:v>126</c:v>
                </c:pt>
                <c:pt idx="3">
                  <c:v>107</c:v>
                </c:pt>
                <c:pt idx="4">
                  <c:v>95</c:v>
                </c:pt>
                <c:pt idx="5">
                  <c:v>85</c:v>
                </c:pt>
                <c:pt idx="6">
                  <c:v>79</c:v>
                </c:pt>
                <c:pt idx="7">
                  <c:v>78</c:v>
                </c:pt>
                <c:pt idx="8">
                  <c:v>75</c:v>
                </c:pt>
                <c:pt idx="9">
                  <c:v>75</c:v>
                </c:pt>
                <c:pt idx="10">
                  <c:v>68</c:v>
                </c:pt>
                <c:pt idx="11">
                  <c:v>55</c:v>
                </c:pt>
                <c:pt idx="12">
                  <c:v>51</c:v>
                </c:pt>
                <c:pt idx="13">
                  <c:v>50</c:v>
                </c:pt>
                <c:pt idx="14">
                  <c:v>50</c:v>
                </c:pt>
                <c:pt idx="15">
                  <c:v>49</c:v>
                </c:pt>
                <c:pt idx="16">
                  <c:v>48</c:v>
                </c:pt>
                <c:pt idx="17">
                  <c:v>48</c:v>
                </c:pt>
                <c:pt idx="18">
                  <c:v>42</c:v>
                </c:pt>
                <c:pt idx="19">
                  <c:v>41</c:v>
                </c:pt>
                <c:pt idx="20">
                  <c:v>40</c:v>
                </c:pt>
                <c:pt idx="21">
                  <c:v>40</c:v>
                </c:pt>
                <c:pt idx="22">
                  <c:v>39</c:v>
                </c:pt>
                <c:pt idx="23">
                  <c:v>39</c:v>
                </c:pt>
                <c:pt idx="24">
                  <c:v>22</c:v>
                </c:pt>
                <c:pt idx="25">
                  <c:v>14</c:v>
                </c:pt>
                <c:pt idx="26">
                  <c:v>8</c:v>
                </c:pt>
                <c:pt idx="27">
                  <c:v>6</c:v>
                </c:pt>
                <c:pt idx="28">
                  <c:v>95</c:v>
                </c:pt>
              </c:numCache>
            </c:numRef>
          </c:val>
          <c:extLst>
            <c:ext xmlns:c16="http://schemas.microsoft.com/office/drawing/2014/chart" uri="{C3380CC4-5D6E-409C-BE32-E72D297353CC}">
              <c16:uniqueId val="{00000002-4FF8-4B12-A7CC-1E5F3A2A8754}"/>
            </c:ext>
          </c:extLst>
        </c:ser>
        <c:dLbls>
          <c:showLegendKey val="0"/>
          <c:showVal val="0"/>
          <c:showCatName val="0"/>
          <c:showSerName val="0"/>
          <c:showPercent val="0"/>
          <c:showBubbleSize val="0"/>
        </c:dLbls>
        <c:gapWidth val="70"/>
        <c:axId val="1124305647"/>
        <c:axId val="1124305231"/>
      </c:barChart>
      <c:catAx>
        <c:axId val="1124305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124305231"/>
        <c:crosses val="autoZero"/>
        <c:auto val="1"/>
        <c:lblAlgn val="ctr"/>
        <c:lblOffset val="100"/>
        <c:noMultiLvlLbl val="0"/>
      </c:catAx>
      <c:valAx>
        <c:axId val="1124305231"/>
        <c:scaling>
          <c:orientation val="minMax"/>
        </c:scaling>
        <c:delete val="1"/>
        <c:axPos val="t"/>
        <c:numFmt formatCode="General" sourceLinked="1"/>
        <c:majorTickMark val="none"/>
        <c:minorTickMark val="none"/>
        <c:tickLblPos val="nextTo"/>
        <c:crossAx val="1124305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6.1919504643962849E-2"/>
          <c:w val="0.93888888888888888"/>
          <c:h val="0.78492154424969329"/>
        </c:manualLayout>
      </c:layout>
      <c:lineChart>
        <c:grouping val="standard"/>
        <c:varyColors val="0"/>
        <c:ser>
          <c:idx val="0"/>
          <c:order val="0"/>
          <c:tx>
            <c:strRef>
              <c:f>'HISTÓRICOS CONTROL INTERNO'!$AG$3</c:f>
              <c:strCache>
                <c:ptCount val="1"/>
                <c:pt idx="0">
                  <c:v>Iniciados</c:v>
                </c:pt>
              </c:strCache>
            </c:strRef>
          </c:tx>
          <c:spPr>
            <a:ln w="28575" cap="rnd">
              <a:solidFill>
                <a:srgbClr val="EC68A0"/>
              </a:solidFill>
              <a:round/>
            </a:ln>
            <a:effectLst>
              <a:outerShdw blurRad="50800" dist="38100" dir="2700000" algn="tl" rotWithShape="0">
                <a:prstClr val="black">
                  <a:alpha val="40000"/>
                </a:prstClr>
              </a:outerShdw>
            </a:effectLst>
          </c:spPr>
          <c:marker>
            <c:symbol val="diamond"/>
            <c:size val="10"/>
            <c:spPr>
              <a:solidFill>
                <a:srgbClr val="EC68A0"/>
              </a:solidFill>
              <a:ln w="9525">
                <a:solidFill>
                  <a:srgbClr val="EC68A0"/>
                </a:solidFill>
              </a:ln>
              <a:effectLst>
                <a:outerShdw blurRad="50800" dist="38100" dir="2700000" algn="tl" rotWithShape="0">
                  <a:prstClr val="black">
                    <a:alpha val="40000"/>
                  </a:prstClr>
                </a:outerShdw>
              </a:effectLst>
            </c:spPr>
          </c:marker>
          <c:dLbls>
            <c:dLbl>
              <c:idx val="0"/>
              <c:layout>
                <c:manualLayout>
                  <c:x val="-6.666666666666668E-2"/>
                  <c:y val="6.6528052007125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F-40FF-91E8-D47C5BD231B5}"/>
                </c:ext>
              </c:extLst>
            </c:dLbl>
            <c:dLbl>
              <c:idx val="1"/>
              <c:layout>
                <c:manualLayout>
                  <c:x val="-6.1111111111111109E-2"/>
                  <c:y val="-7.0535687683002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7F-40FF-91E8-D47C5BD231B5}"/>
                </c:ext>
              </c:extLst>
            </c:dLbl>
            <c:dLbl>
              <c:idx val="3"/>
              <c:layout>
                <c:manualLayout>
                  <c:x val="-1.6666666666666666E-2"/>
                  <c:y val="-4.4352034671417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7F-40FF-91E8-D47C5BD231B5}"/>
                </c:ext>
              </c:extLst>
            </c:dLbl>
            <c:dLbl>
              <c:idx val="4"/>
              <c:layout>
                <c:manualLayout>
                  <c:x val="-3.3333333333333333E-2"/>
                  <c:y val="6.652805200712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7F-40FF-91E8-D47C5BD231B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'HISTÓRICOS CONTROL INTERNO'!$AF$4:$AF$9</c:f>
              <c:numCache>
                <c:formatCode>General</c:formatCode>
                <c:ptCount val="6"/>
                <c:pt idx="0">
                  <c:v>2015</c:v>
                </c:pt>
                <c:pt idx="1">
                  <c:v>2016</c:v>
                </c:pt>
                <c:pt idx="2">
                  <c:v>2017</c:v>
                </c:pt>
                <c:pt idx="3">
                  <c:v>2018</c:v>
                </c:pt>
                <c:pt idx="4">
                  <c:v>2019</c:v>
                </c:pt>
                <c:pt idx="5">
                  <c:v>2020</c:v>
                </c:pt>
              </c:numCache>
            </c:numRef>
          </c:cat>
          <c:val>
            <c:numRef>
              <c:f>'HISTÓRICOS CONTROL INTERNO'!$AG$4:$AG$9</c:f>
              <c:numCache>
                <c:formatCode>#,##0</c:formatCode>
                <c:ptCount val="6"/>
                <c:pt idx="0">
                  <c:v>17459</c:v>
                </c:pt>
                <c:pt idx="1">
                  <c:v>19188</c:v>
                </c:pt>
                <c:pt idx="2">
                  <c:v>18893</c:v>
                </c:pt>
                <c:pt idx="3">
                  <c:v>6364</c:v>
                </c:pt>
                <c:pt idx="4">
                  <c:v>4684</c:v>
                </c:pt>
                <c:pt idx="5">
                  <c:v>6820</c:v>
                </c:pt>
              </c:numCache>
            </c:numRef>
          </c:val>
          <c:smooth val="0"/>
          <c:extLst>
            <c:ext xmlns:c16="http://schemas.microsoft.com/office/drawing/2014/chart" uri="{C3380CC4-5D6E-409C-BE32-E72D297353CC}">
              <c16:uniqueId val="{00000004-8E7F-40FF-91E8-D47C5BD231B5}"/>
            </c:ext>
          </c:extLst>
        </c:ser>
        <c:dLbls>
          <c:showLegendKey val="0"/>
          <c:showVal val="0"/>
          <c:showCatName val="0"/>
          <c:showSerName val="0"/>
          <c:showPercent val="0"/>
          <c:showBubbleSize val="0"/>
        </c:dLbls>
        <c:marker val="1"/>
        <c:smooth val="0"/>
        <c:axId val="565035744"/>
        <c:axId val="565052384"/>
      </c:lineChart>
      <c:catAx>
        <c:axId val="5650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65052384"/>
        <c:crosses val="autoZero"/>
        <c:auto val="1"/>
        <c:lblAlgn val="ctr"/>
        <c:lblOffset val="100"/>
        <c:noMultiLvlLbl val="0"/>
      </c:catAx>
      <c:valAx>
        <c:axId val="565052384"/>
        <c:scaling>
          <c:orientation val="minMax"/>
        </c:scaling>
        <c:delete val="1"/>
        <c:axPos val="l"/>
        <c:numFmt formatCode="#,##0" sourceLinked="1"/>
        <c:majorTickMark val="none"/>
        <c:minorTickMark val="none"/>
        <c:tickLblPos val="nextTo"/>
        <c:crossAx val="56503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'HISTÓRICOS CONTROL INTERNO'!$AM$2</c:f>
              <c:strCache>
                <c:ptCount val="1"/>
                <c:pt idx="0">
                  <c:v>Servidores sancionados</c:v>
                </c:pt>
              </c:strCache>
            </c:strRef>
          </c:tx>
          <c:spPr>
            <a:ln w="28575" cap="rnd">
              <a:solidFill>
                <a:srgbClr val="58267A"/>
              </a:solidFill>
              <a:round/>
            </a:ln>
            <a:effectLst>
              <a:outerShdw blurRad="50800" dist="38100" dir="2700000" algn="tl" rotWithShape="0">
                <a:prstClr val="black">
                  <a:alpha val="40000"/>
                </a:prstClr>
              </a:outerShdw>
            </a:effectLst>
          </c:spPr>
          <c:marker>
            <c:symbol val="diamond"/>
            <c:size val="10"/>
            <c:spPr>
              <a:solidFill>
                <a:srgbClr val="58267A"/>
              </a:solidFill>
              <a:ln w="9525">
                <a:solidFill>
                  <a:srgbClr val="58267A"/>
                </a:solidFill>
              </a:ln>
              <a:effectLst>
                <a:outerShdw blurRad="50800" dist="38100" dir="2700000" algn="tl" rotWithShape="0">
                  <a:prstClr val="black">
                    <a:alpha val="40000"/>
                  </a:prstClr>
                </a:outerShdw>
              </a:effectLst>
            </c:spPr>
          </c:marker>
          <c:dLbls>
            <c:dLbl>
              <c:idx val="0"/>
              <c:layout>
                <c:manualLayout>
                  <c:x val="-8.255933058034443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29-4D5E-8664-B6BE0FE86B00}"/>
                </c:ext>
              </c:extLst>
            </c:dLbl>
            <c:dLbl>
              <c:idx val="1"/>
              <c:layout>
                <c:manualLayout>
                  <c:x val="-2.201582148809184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29-4D5E-8664-B6BE0FE86B00}"/>
                </c:ext>
              </c:extLst>
            </c:dLbl>
            <c:dLbl>
              <c:idx val="2"/>
              <c:layout>
                <c:manualLayout>
                  <c:x val="-1.651186611606888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29-4D5E-8664-B6BE0FE86B00}"/>
                </c:ext>
              </c:extLst>
            </c:dLbl>
            <c:dLbl>
              <c:idx val="5"/>
              <c:layout>
                <c:manualLayout>
                  <c:x val="-1.376083665886896E-2"/>
                  <c:y val="-2.7495188342040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29-4D5E-8664-B6BE0FE86B0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'HISTÓRICOS CONTROL INTERNO'!$AL$3:$AL$9</c:f>
              <c:numCache>
                <c:formatCode>General</c:formatCode>
                <c:ptCount val="7"/>
                <c:pt idx="0">
                  <c:v>2014</c:v>
                </c:pt>
                <c:pt idx="1">
                  <c:v>2015</c:v>
                </c:pt>
                <c:pt idx="2">
                  <c:v>2016</c:v>
                </c:pt>
                <c:pt idx="3">
                  <c:v>2017</c:v>
                </c:pt>
                <c:pt idx="4">
                  <c:v>2018</c:v>
                </c:pt>
                <c:pt idx="5">
                  <c:v>2019</c:v>
                </c:pt>
                <c:pt idx="6">
                  <c:v>2020</c:v>
                </c:pt>
              </c:numCache>
            </c:numRef>
          </c:cat>
          <c:val>
            <c:numRef>
              <c:f>'HISTÓRICOS CONTROL INTERNO'!$AM$3:$AM$9</c:f>
              <c:numCache>
                <c:formatCode>#,##0</c:formatCode>
                <c:ptCount val="7"/>
                <c:pt idx="0">
                  <c:v>10047</c:v>
                </c:pt>
                <c:pt idx="1">
                  <c:v>12019</c:v>
                </c:pt>
                <c:pt idx="2">
                  <c:v>11038</c:v>
                </c:pt>
                <c:pt idx="3">
                  <c:v>10266</c:v>
                </c:pt>
                <c:pt idx="4">
                  <c:v>6988</c:v>
                </c:pt>
                <c:pt idx="5">
                  <c:v>3407</c:v>
                </c:pt>
                <c:pt idx="6">
                  <c:v>2032</c:v>
                </c:pt>
              </c:numCache>
            </c:numRef>
          </c:val>
          <c:smooth val="0"/>
          <c:extLst>
            <c:ext xmlns:c16="http://schemas.microsoft.com/office/drawing/2014/chart" uri="{C3380CC4-5D6E-409C-BE32-E72D297353CC}">
              <c16:uniqueId val="{00000003-6829-4D5E-8664-B6BE0FE86B00}"/>
            </c:ext>
          </c:extLst>
        </c:ser>
        <c:dLbls>
          <c:showLegendKey val="0"/>
          <c:showVal val="0"/>
          <c:showCatName val="0"/>
          <c:showSerName val="0"/>
          <c:showPercent val="0"/>
          <c:showBubbleSize val="0"/>
        </c:dLbls>
        <c:marker val="1"/>
        <c:smooth val="0"/>
        <c:axId val="853913168"/>
        <c:axId val="853922736"/>
      </c:lineChart>
      <c:catAx>
        <c:axId val="85391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853922736"/>
        <c:crosses val="autoZero"/>
        <c:auto val="1"/>
        <c:lblAlgn val="ctr"/>
        <c:lblOffset val="100"/>
        <c:noMultiLvlLbl val="0"/>
      </c:catAx>
      <c:valAx>
        <c:axId val="853922736"/>
        <c:scaling>
          <c:orientation val="minMax"/>
        </c:scaling>
        <c:delete val="1"/>
        <c:axPos val="l"/>
        <c:numFmt formatCode="#,##0" sourceLinked="1"/>
        <c:majorTickMark val="none"/>
        <c:minorTickMark val="none"/>
        <c:tickLblPos val="nextTo"/>
        <c:crossAx val="85391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0.17772570280178143"/>
          <c:w val="0.93888888888888888"/>
          <c:h val="0.68491469816272965"/>
        </c:manualLayout>
      </c:layout>
      <c:barChart>
        <c:barDir val="col"/>
        <c:grouping val="clustered"/>
        <c:varyColors val="0"/>
        <c:ser>
          <c:idx val="0"/>
          <c:order val="0"/>
          <c:tx>
            <c:strRef>
              <c:f>'SERV SANCI'!$J$4</c:f>
              <c:strCache>
                <c:ptCount val="1"/>
                <c:pt idx="0">
                  <c:v>2020</c:v>
                </c:pt>
              </c:strCache>
            </c:strRef>
          </c:tx>
          <c:spPr>
            <a:solidFill>
              <a:srgbClr val="08497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 SANCI'!$L$3:$N$3</c:f>
              <c:strCache>
                <c:ptCount val="3"/>
                <c:pt idx="0">
                  <c:v>Por faltas administrativas 
no graves</c:v>
                </c:pt>
                <c:pt idx="1">
                  <c:v>Por faltas administrativas 
graves</c:v>
                </c:pt>
                <c:pt idx="2">
                  <c:v>Por faltas administrativas 
no graves y graves</c:v>
                </c:pt>
              </c:strCache>
            </c:strRef>
          </c:cat>
          <c:val>
            <c:numRef>
              <c:f>'SERV SANCI'!$L$4:$N$4</c:f>
              <c:numCache>
                <c:formatCode>#,##0</c:formatCode>
                <c:ptCount val="3"/>
                <c:pt idx="0">
                  <c:v>1607</c:v>
                </c:pt>
                <c:pt idx="1">
                  <c:v>358</c:v>
                </c:pt>
                <c:pt idx="2">
                  <c:v>67</c:v>
                </c:pt>
              </c:numCache>
            </c:numRef>
          </c:val>
          <c:extLst>
            <c:ext xmlns:c16="http://schemas.microsoft.com/office/drawing/2014/chart" uri="{C3380CC4-5D6E-409C-BE32-E72D297353CC}">
              <c16:uniqueId val="{00000000-72B8-4B17-B05F-5D6EF995E1E8}"/>
            </c:ext>
          </c:extLst>
        </c:ser>
        <c:ser>
          <c:idx val="1"/>
          <c:order val="1"/>
          <c:tx>
            <c:strRef>
              <c:f>'SERV SANCI'!$J$5</c:f>
              <c:strCache>
                <c:ptCount val="1"/>
                <c:pt idx="0">
                  <c:v>2019</c:v>
                </c:pt>
              </c:strCache>
            </c:strRef>
          </c:tx>
          <c:spPr>
            <a:solidFill>
              <a:srgbClr val="ECB538"/>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 SANCI'!$L$3:$N$3</c:f>
              <c:strCache>
                <c:ptCount val="3"/>
                <c:pt idx="0">
                  <c:v>Por faltas administrativas 
no graves</c:v>
                </c:pt>
                <c:pt idx="1">
                  <c:v>Por faltas administrativas 
graves</c:v>
                </c:pt>
                <c:pt idx="2">
                  <c:v>Por faltas administrativas 
no graves y graves</c:v>
                </c:pt>
              </c:strCache>
            </c:strRef>
          </c:cat>
          <c:val>
            <c:numRef>
              <c:f>'SERV SANCI'!$L$5:$N$5</c:f>
              <c:numCache>
                <c:formatCode>#,##0</c:formatCode>
                <c:ptCount val="3"/>
                <c:pt idx="0">
                  <c:v>2682</c:v>
                </c:pt>
                <c:pt idx="1">
                  <c:v>725</c:v>
                </c:pt>
                <c:pt idx="2">
                  <c:v>0</c:v>
                </c:pt>
              </c:numCache>
            </c:numRef>
          </c:val>
          <c:extLst>
            <c:ext xmlns:c16="http://schemas.microsoft.com/office/drawing/2014/chart" uri="{C3380CC4-5D6E-409C-BE32-E72D297353CC}">
              <c16:uniqueId val="{00000001-72B8-4B17-B05F-5D6EF995E1E8}"/>
            </c:ext>
          </c:extLst>
        </c:ser>
        <c:dLbls>
          <c:showLegendKey val="0"/>
          <c:showVal val="0"/>
          <c:showCatName val="0"/>
          <c:showSerName val="0"/>
          <c:showPercent val="0"/>
          <c:showBubbleSize val="0"/>
        </c:dLbls>
        <c:gapWidth val="219"/>
        <c:overlap val="-27"/>
        <c:axId val="565074432"/>
        <c:axId val="565059872"/>
      </c:barChart>
      <c:catAx>
        <c:axId val="56507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65059872"/>
        <c:crosses val="autoZero"/>
        <c:auto val="1"/>
        <c:lblAlgn val="ctr"/>
        <c:lblOffset val="100"/>
        <c:noMultiLvlLbl val="0"/>
      </c:catAx>
      <c:valAx>
        <c:axId val="565059872"/>
        <c:scaling>
          <c:orientation val="minMax"/>
        </c:scaling>
        <c:delete val="1"/>
        <c:axPos val="l"/>
        <c:numFmt formatCode="#,##0" sourceLinked="1"/>
        <c:majorTickMark val="none"/>
        <c:minorTickMark val="none"/>
        <c:tickLblPos val="nextTo"/>
        <c:crossAx val="565074432"/>
        <c:crosses val="autoZero"/>
        <c:crossBetween val="between"/>
      </c:valAx>
      <c:spPr>
        <a:noFill/>
        <a:ln>
          <a:noFill/>
        </a:ln>
        <a:effectLst/>
      </c:spPr>
    </c:plotArea>
    <c:legend>
      <c:legendPos val="b"/>
      <c:layout>
        <c:manualLayout>
          <c:xMode val="edge"/>
          <c:yMode val="edge"/>
          <c:x val="0.82497287839020117"/>
          <c:y val="7.1485855934680679E-4"/>
          <c:w val="0.17227646544181976"/>
          <c:h val="7.933513655444504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6.2812262824132853E-2"/>
          <c:w val="0.90833333333333344"/>
          <c:h val="0.82148952739280101"/>
        </c:manualLayout>
      </c:layout>
      <c:lineChart>
        <c:grouping val="standard"/>
        <c:varyColors val="0"/>
        <c:ser>
          <c:idx val="0"/>
          <c:order val="0"/>
          <c:tx>
            <c:strRef>
              <c:f>'HISTÓRICOS CONTROL INTERNO'!$BH$3</c:f>
              <c:strCache>
                <c:ptCount val="1"/>
                <c:pt idx="0">
                  <c:v>Sanciones</c:v>
                </c:pt>
              </c:strCache>
            </c:strRef>
          </c:tx>
          <c:spPr>
            <a:ln w="28575" cap="rnd">
              <a:solidFill>
                <a:srgbClr val="C62686"/>
              </a:solidFill>
              <a:round/>
            </a:ln>
            <a:effectLst>
              <a:outerShdw blurRad="50800" dist="38100" dir="2700000" algn="tl" rotWithShape="0">
                <a:prstClr val="black">
                  <a:alpha val="40000"/>
                </a:prstClr>
              </a:outerShdw>
            </a:effectLst>
          </c:spPr>
          <c:marker>
            <c:symbol val="diamond"/>
            <c:size val="10"/>
            <c:spPr>
              <a:solidFill>
                <a:srgbClr val="C62686"/>
              </a:solidFill>
              <a:ln w="9525">
                <a:solidFill>
                  <a:srgbClr val="C62686"/>
                </a:solidFill>
              </a:ln>
              <a:effectLst>
                <a:outerShdw blurRad="50800" dist="38100" dir="2700000" algn="tl" rotWithShape="0">
                  <a:prstClr val="black">
                    <a:alpha val="40000"/>
                  </a:prstClr>
                </a:outerShdw>
              </a:effectLst>
            </c:spPr>
          </c:marker>
          <c:dLbls>
            <c:dLbl>
              <c:idx val="5"/>
              <c:layout>
                <c:manualLayout>
                  <c:x val="-5.3307487278895171E-2"/>
                  <c:y val="-7.4243289548829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7F-4178-A5F3-9CCD534BDC16}"/>
                </c:ext>
              </c:extLst>
            </c:dLbl>
            <c:dLbl>
              <c:idx val="6"/>
              <c:layout>
                <c:manualLayout>
                  <c:x val="-4.2021334442475036E-2"/>
                  <c:y val="-6.2829339365132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E1-496C-890C-8ACB3AAA4DB8}"/>
                </c:ext>
              </c:extLst>
            </c:dLbl>
            <c:dLbl>
              <c:idx val="9"/>
              <c:layout>
                <c:manualLayout>
                  <c:x val="-3.3333333333333333E-2"/>
                  <c:y val="-5.7102057112848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E1-496C-890C-8ACB3AAA4DB8}"/>
                </c:ext>
              </c:extLst>
            </c:dLbl>
            <c:dLbl>
              <c:idx val="10"/>
              <c:layout>
                <c:manualLayout>
                  <c:x val="0"/>
                  <c:y val="-1.7130617133854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E1-496C-890C-8ACB3AAA4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'HISTÓRICOS CONTROL INTERNO'!$BG$4:$BG$14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'HISTÓRICOS CONTROL INTERNO'!$BH$4:$BH$14</c:f>
              <c:numCache>
                <c:formatCode>#,##0</c:formatCode>
                <c:ptCount val="11"/>
                <c:pt idx="0">
                  <c:v>8641</c:v>
                </c:pt>
                <c:pt idx="1">
                  <c:v>11005</c:v>
                </c:pt>
                <c:pt idx="2">
                  <c:v>8118</c:v>
                </c:pt>
                <c:pt idx="3">
                  <c:v>12110</c:v>
                </c:pt>
                <c:pt idx="4">
                  <c:v>8692</c:v>
                </c:pt>
                <c:pt idx="5">
                  <c:v>15679</c:v>
                </c:pt>
                <c:pt idx="6">
                  <c:v>14694</c:v>
                </c:pt>
                <c:pt idx="7">
                  <c:v>13127</c:v>
                </c:pt>
                <c:pt idx="8">
                  <c:v>7770</c:v>
                </c:pt>
                <c:pt idx="9">
                  <c:v>3712</c:v>
                </c:pt>
                <c:pt idx="10">
                  <c:v>2123</c:v>
                </c:pt>
              </c:numCache>
            </c:numRef>
          </c:val>
          <c:smooth val="0"/>
          <c:extLst>
            <c:ext xmlns:c16="http://schemas.microsoft.com/office/drawing/2014/chart" uri="{C3380CC4-5D6E-409C-BE32-E72D297353CC}">
              <c16:uniqueId val="{00000003-7AE1-496C-890C-8ACB3AAA4DB8}"/>
            </c:ext>
          </c:extLst>
        </c:ser>
        <c:dLbls>
          <c:showLegendKey val="0"/>
          <c:showVal val="0"/>
          <c:showCatName val="0"/>
          <c:showSerName val="0"/>
          <c:showPercent val="0"/>
          <c:showBubbleSize val="0"/>
        </c:dLbls>
        <c:marker val="1"/>
        <c:smooth val="0"/>
        <c:axId val="863595632"/>
        <c:axId val="863603536"/>
      </c:lineChart>
      <c:catAx>
        <c:axId val="8635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63603536"/>
        <c:crosses val="autoZero"/>
        <c:auto val="1"/>
        <c:lblAlgn val="ctr"/>
        <c:lblOffset val="100"/>
        <c:noMultiLvlLbl val="0"/>
      </c:catAx>
      <c:valAx>
        <c:axId val="863603536"/>
        <c:scaling>
          <c:orientation val="minMax"/>
        </c:scaling>
        <c:delete val="1"/>
        <c:axPos val="l"/>
        <c:numFmt formatCode="#,##0" sourceLinked="1"/>
        <c:majorTickMark val="none"/>
        <c:minorTickMark val="none"/>
        <c:tickLblPos val="nextTo"/>
        <c:crossAx val="863595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F9CC0"/>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08497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A41-49F0-B40D-4CC759A0994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'SANCIONES IMPUESTAS'!$N$7:$N$12</c:f>
              <c:strCache>
                <c:ptCount val="6"/>
                <c:pt idx="0">
                  <c:v>Amonestación privada</c:v>
                </c:pt>
                <c:pt idx="1">
                  <c:v>Inhabilitación temporal</c:v>
                </c:pt>
                <c:pt idx="2">
                  <c:v>Amonestación pública</c:v>
                </c:pt>
                <c:pt idx="3">
                  <c:v>Suspensión del empleo, cargo o comisión </c:v>
                </c:pt>
                <c:pt idx="4">
                  <c:v>Destitución</c:v>
                </c:pt>
                <c:pt idx="5">
                  <c:v>Otras sanciones administrativas</c:v>
                </c:pt>
              </c:strCache>
            </c:strRef>
          </c:cat>
          <c:val>
            <c:numRef>
              <c:f>'SANCIONES IMPUESTAS'!$P$7:$P$12</c:f>
              <c:numCache>
                <c:formatCode>0.0%</c:formatCode>
                <c:ptCount val="6"/>
                <c:pt idx="0">
                  <c:v>0.33415233415233414</c:v>
                </c:pt>
                <c:pt idx="1">
                  <c:v>0.2810810810810811</c:v>
                </c:pt>
                <c:pt idx="2">
                  <c:v>0.16412776412776411</c:v>
                </c:pt>
                <c:pt idx="3">
                  <c:v>9.680589680589681E-2</c:v>
                </c:pt>
                <c:pt idx="4">
                  <c:v>3.1941031941031942E-2</c:v>
                </c:pt>
                <c:pt idx="5">
                  <c:v>9.1891891891891897E-2</c:v>
                </c:pt>
              </c:numCache>
            </c:numRef>
          </c:val>
          <c:extLst>
            <c:ext xmlns:c16="http://schemas.microsoft.com/office/drawing/2014/chart" uri="{C3380CC4-5D6E-409C-BE32-E72D297353CC}">
              <c16:uniqueId val="{00000002-8A41-49F0-B40D-4CC759A09949}"/>
            </c:ext>
          </c:extLst>
        </c:ser>
        <c:dLbls>
          <c:showLegendKey val="0"/>
          <c:showVal val="0"/>
          <c:showCatName val="0"/>
          <c:showSerName val="0"/>
          <c:showPercent val="0"/>
          <c:showBubbleSize val="0"/>
        </c:dLbls>
        <c:gapWidth val="70"/>
        <c:overlap val="-27"/>
        <c:axId val="437061488"/>
        <c:axId val="437068976"/>
      </c:barChart>
      <c:catAx>
        <c:axId val="4370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37068976"/>
        <c:crosses val="autoZero"/>
        <c:auto val="1"/>
        <c:lblAlgn val="ctr"/>
        <c:lblOffset val="100"/>
        <c:noMultiLvlLbl val="0"/>
      </c:catAx>
      <c:valAx>
        <c:axId val="437068976"/>
        <c:scaling>
          <c:orientation val="minMax"/>
        </c:scaling>
        <c:delete val="1"/>
        <c:axPos val="l"/>
        <c:numFmt formatCode="0.0%" sourceLinked="1"/>
        <c:majorTickMark val="none"/>
        <c:minorTickMark val="none"/>
        <c:tickLblPos val="nextTo"/>
        <c:crossAx val="43706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'HISTÓRICOS CONTROL INTERNO'!$BA$2</c:f>
              <c:strCache>
                <c:ptCount val="1"/>
                <c:pt idx="0">
                  <c:v>Serv pub denun</c:v>
                </c:pt>
              </c:strCache>
            </c:strRef>
          </c:tx>
          <c:spPr>
            <a:ln w="28575" cap="rnd">
              <a:solidFill>
                <a:srgbClr val="ECB538"/>
              </a:solidFill>
              <a:round/>
            </a:ln>
            <a:effectLst>
              <a:outerShdw blurRad="50800" dist="38100" dir="2700000" algn="tl" rotWithShape="0">
                <a:prstClr val="black">
                  <a:alpha val="40000"/>
                </a:prstClr>
              </a:outerShdw>
            </a:effectLst>
          </c:spPr>
          <c:marker>
            <c:symbol val="diamond"/>
            <c:size val="10"/>
            <c:spPr>
              <a:solidFill>
                <a:srgbClr val="ECB538"/>
              </a:solidFill>
              <a:ln w="9525">
                <a:solidFill>
                  <a:srgbClr val="ECB538"/>
                </a:solidFill>
              </a:ln>
              <a:effectLst>
                <a:outerShdw blurRad="50800" dist="38100" dir="2700000" algn="tl" rotWithShape="0">
                  <a:prstClr val="black">
                    <a:alpha val="40000"/>
                  </a:prstClr>
                </a:outerShdw>
              </a:effectLst>
            </c:spPr>
          </c:marker>
          <c:dLbls>
            <c:dLbl>
              <c:idx val="2"/>
              <c:layout>
                <c:manualLayout>
                  <c:x val="-1.666666666666671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94-41D1-A6E0-0370B2412F3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'HISTÓRICOS CONTROL INTERNO'!$AZ$3:$AZ$8</c:f>
              <c:numCache>
                <c:formatCode>General</c:formatCode>
                <c:ptCount val="6"/>
                <c:pt idx="0">
                  <c:v>2015</c:v>
                </c:pt>
                <c:pt idx="1">
                  <c:v>2016</c:v>
                </c:pt>
                <c:pt idx="2">
                  <c:v>2017</c:v>
                </c:pt>
                <c:pt idx="3">
                  <c:v>2018</c:v>
                </c:pt>
                <c:pt idx="4">
                  <c:v>2019</c:v>
                </c:pt>
                <c:pt idx="5">
                  <c:v>2020</c:v>
                </c:pt>
              </c:numCache>
            </c:numRef>
          </c:cat>
          <c:val>
            <c:numRef>
              <c:f>'HISTÓRICOS CONTROL INTERNO'!$BA$3:$BA$8</c:f>
              <c:numCache>
                <c:formatCode>#,##0</c:formatCode>
                <c:ptCount val="6"/>
                <c:pt idx="0">
                  <c:v>105</c:v>
                </c:pt>
                <c:pt idx="1">
                  <c:v>793</c:v>
                </c:pt>
                <c:pt idx="2">
                  <c:v>408</c:v>
                </c:pt>
                <c:pt idx="3">
                  <c:v>380</c:v>
                </c:pt>
                <c:pt idx="4">
                  <c:v>1006</c:v>
                </c:pt>
                <c:pt idx="5">
                  <c:v>286</c:v>
                </c:pt>
              </c:numCache>
            </c:numRef>
          </c:val>
          <c:smooth val="0"/>
          <c:extLst>
            <c:ext xmlns:c16="http://schemas.microsoft.com/office/drawing/2014/chart" uri="{C3380CC4-5D6E-409C-BE32-E72D297353CC}">
              <c16:uniqueId val="{00000001-5194-41D1-A6E0-0370B2412F38}"/>
            </c:ext>
          </c:extLst>
        </c:ser>
        <c:dLbls>
          <c:showLegendKey val="0"/>
          <c:showVal val="0"/>
          <c:showCatName val="0"/>
          <c:showSerName val="0"/>
          <c:showPercent val="0"/>
          <c:showBubbleSize val="0"/>
        </c:dLbls>
        <c:marker val="1"/>
        <c:smooth val="0"/>
        <c:axId val="227910288"/>
        <c:axId val="227912784"/>
      </c:lineChart>
      <c:catAx>
        <c:axId val="22791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27912784"/>
        <c:crosses val="autoZero"/>
        <c:auto val="1"/>
        <c:lblAlgn val="ctr"/>
        <c:lblOffset val="100"/>
        <c:noMultiLvlLbl val="0"/>
      </c:catAx>
      <c:valAx>
        <c:axId val="227912784"/>
        <c:scaling>
          <c:orientation val="minMax"/>
        </c:scaling>
        <c:delete val="1"/>
        <c:axPos val="l"/>
        <c:numFmt formatCode="#,##0" sourceLinked="1"/>
        <c:majorTickMark val="none"/>
        <c:minorTickMark val="none"/>
        <c:tickLblPos val="nextTo"/>
        <c:crossAx val="22791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'MECANISMOS SALVAGUARDA INS'!$AS$2</c:f>
              <c:strCache>
                <c:ptCount val="1"/>
                <c:pt idx="0">
                  <c:v>Adquisiciones, arrendamientos y servicios</c:v>
                </c:pt>
              </c:strCache>
            </c:strRef>
          </c:tx>
          <c:spPr>
            <a:solidFill>
              <a:srgbClr val="8C1B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'MECANISMOS SALVAGUARDA INS'!$AR$3:$AR$18</c:f>
              <c:strCache>
                <c:ptCount val="16"/>
                <c:pt idx="0">
                  <c:v>Comités de adquisiciones, arrendamientos y servicios / obra pública</c:v>
                </c:pt>
                <c:pt idx="1">
                  <c:v>Junta de aclaraciones</c:v>
                </c:pt>
                <c:pt idx="2">
                  <c:v>Instituciones de vigilancia y auditoría de los procedimientos de contratación pública</c:v>
                </c:pt>
                <c:pt idx="3">
                  <c:v>Programas anuales de contrataciones públicas</c:v>
                </c:pt>
                <c:pt idx="4">
                  <c:v>Investigación de mercado</c:v>
                </c:pt>
                <c:pt idx="5">
                  <c:v>Verificación del cumplimiento de las condiciones de las contrataciones públicas</c:v>
                </c:pt>
                <c:pt idx="6">
                  <c:v>Criterios de justificación técnica y económica para la definición de las contrataciones públicas</c:v>
                </c:pt>
                <c:pt idx="7">
                  <c:v>Mecanismos de solución de controversias</c:v>
                </c:pt>
                <c:pt idx="8">
                  <c:v>Mecanismos para la denuncia de irregularidades y hechos de corrupción en los procedimientos de contratación pública</c:v>
                </c:pt>
                <c:pt idx="9">
                  <c:v>Sanciones </c:v>
                </c:pt>
                <c:pt idx="10">
                  <c:v>Integridad de los particulares que participan en los procedimientos de contratación pública</c:v>
                </c:pt>
                <c:pt idx="11">
                  <c:v>Perfiles y requerimientos mínimos de competencias para servidores que participan en los procedimientos de contratación pública</c:v>
                </c:pt>
                <c:pt idx="12">
                  <c:v>Metodologías homólogas de riesgos (incluyendo corrupción y mayor uso de TIC para gestión de riesgos, controles y seguimiento)</c:v>
                </c:pt>
                <c:pt idx="13">
                  <c:v>Control de prácticas monopólicas</c:v>
                </c:pt>
                <c:pt idx="14">
                  <c:v>Testigos sociales</c:v>
                </c:pt>
                <c:pt idx="15">
                  <c:v>Otro mecanismo de salvaguarda institucional</c:v>
                </c:pt>
              </c:strCache>
            </c:strRef>
          </c:cat>
          <c:val>
            <c:numRef>
              <c:f>'MECANISMOS SALVAGUARDA INS'!$AS$3:$AS$18</c:f>
              <c:numCache>
                <c:formatCode>General</c:formatCode>
                <c:ptCount val="16"/>
                <c:pt idx="0">
                  <c:v>29</c:v>
                </c:pt>
                <c:pt idx="1">
                  <c:v>29</c:v>
                </c:pt>
                <c:pt idx="2">
                  <c:v>29</c:v>
                </c:pt>
                <c:pt idx="3">
                  <c:v>28</c:v>
                </c:pt>
                <c:pt idx="4">
                  <c:v>28</c:v>
                </c:pt>
                <c:pt idx="5">
                  <c:v>28</c:v>
                </c:pt>
                <c:pt idx="6">
                  <c:v>27</c:v>
                </c:pt>
                <c:pt idx="7">
                  <c:v>26</c:v>
                </c:pt>
                <c:pt idx="8">
                  <c:v>25</c:v>
                </c:pt>
                <c:pt idx="9">
                  <c:v>24</c:v>
                </c:pt>
                <c:pt idx="10">
                  <c:v>23</c:v>
                </c:pt>
                <c:pt idx="11">
                  <c:v>18</c:v>
                </c:pt>
                <c:pt idx="12">
                  <c:v>17</c:v>
                </c:pt>
                <c:pt idx="13">
                  <c:v>11</c:v>
                </c:pt>
                <c:pt idx="14">
                  <c:v>11</c:v>
                </c:pt>
                <c:pt idx="15">
                  <c:v>3</c:v>
                </c:pt>
              </c:numCache>
            </c:numRef>
          </c:val>
          <c:extLst>
            <c:ext xmlns:c16="http://schemas.microsoft.com/office/drawing/2014/chart" uri="{C3380CC4-5D6E-409C-BE32-E72D297353CC}">
              <c16:uniqueId val="{00000000-F63E-428F-8C51-3EDD86EDD0BD}"/>
            </c:ext>
          </c:extLst>
        </c:ser>
        <c:ser>
          <c:idx val="1"/>
          <c:order val="1"/>
          <c:tx>
            <c:strRef>
              <c:f>'MECANISMOS SALVAGUARDA INS'!$AT$2</c:f>
              <c:strCache>
                <c:ptCount val="1"/>
                <c:pt idx="0">
                  <c:v>Obra pública y servicios relacionados con la misma</c:v>
                </c:pt>
              </c:strCache>
            </c:strRef>
          </c:tx>
          <c:spPr>
            <a:solidFill>
              <a:srgbClr val="706F6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'MECANISMOS SALVAGUARDA INS'!$AR$3:$AR$18</c:f>
              <c:strCache>
                <c:ptCount val="16"/>
                <c:pt idx="0">
                  <c:v>Comités de adquisiciones, arrendamientos y servicios / obra pública</c:v>
                </c:pt>
                <c:pt idx="1">
                  <c:v>Junta de aclaraciones</c:v>
                </c:pt>
                <c:pt idx="2">
                  <c:v>Instituciones de vigilancia y auditoría de los procedimientos de contratación pública</c:v>
                </c:pt>
                <c:pt idx="3">
                  <c:v>Programas anuales de contrataciones públicas</c:v>
                </c:pt>
                <c:pt idx="4">
                  <c:v>Investigación de mercado</c:v>
                </c:pt>
                <c:pt idx="5">
                  <c:v>Verificación del cumplimiento de las condiciones de las contrataciones públicas</c:v>
                </c:pt>
                <c:pt idx="6">
                  <c:v>Criterios de justificación técnica y económica para la definición de las contrataciones públicas</c:v>
                </c:pt>
                <c:pt idx="7">
                  <c:v>Mecanismos de solución de controversias</c:v>
                </c:pt>
                <c:pt idx="8">
                  <c:v>Mecanismos para la denuncia de irregularidades y hechos de corrupción en los procedimientos de contratación pública</c:v>
                </c:pt>
                <c:pt idx="9">
                  <c:v>Sanciones </c:v>
                </c:pt>
                <c:pt idx="10">
                  <c:v>Integridad de los particulares que participan en los procedimientos de contratación pública</c:v>
                </c:pt>
                <c:pt idx="11">
                  <c:v>Perfiles y requerimientos mínimos de competencias para servidores que participan en los procedimientos de contratación pública</c:v>
                </c:pt>
                <c:pt idx="12">
                  <c:v>Metodologías homólogas de riesgos (incluyendo corrupción y mayor uso de TIC para gestión de riesgos, controles y seguimiento)</c:v>
                </c:pt>
                <c:pt idx="13">
                  <c:v>Control de prácticas monopólicas</c:v>
                </c:pt>
                <c:pt idx="14">
                  <c:v>Testigos sociales</c:v>
                </c:pt>
                <c:pt idx="15">
                  <c:v>Otro mecanismo de salvaguarda institucional</c:v>
                </c:pt>
              </c:strCache>
            </c:strRef>
          </c:cat>
          <c:val>
            <c:numRef>
              <c:f>'MECANISMOS SALVAGUARDA INS'!$AT$3:$AT$18</c:f>
              <c:numCache>
                <c:formatCode>General</c:formatCode>
                <c:ptCount val="16"/>
                <c:pt idx="0">
                  <c:v>18</c:v>
                </c:pt>
                <c:pt idx="1">
                  <c:v>23</c:v>
                </c:pt>
                <c:pt idx="2">
                  <c:v>23</c:v>
                </c:pt>
                <c:pt idx="3">
                  <c:v>18</c:v>
                </c:pt>
                <c:pt idx="4">
                  <c:v>20</c:v>
                </c:pt>
                <c:pt idx="5">
                  <c:v>22</c:v>
                </c:pt>
                <c:pt idx="6">
                  <c:v>22</c:v>
                </c:pt>
                <c:pt idx="7">
                  <c:v>18</c:v>
                </c:pt>
                <c:pt idx="8">
                  <c:v>20</c:v>
                </c:pt>
                <c:pt idx="9">
                  <c:v>20</c:v>
                </c:pt>
                <c:pt idx="10">
                  <c:v>18</c:v>
                </c:pt>
                <c:pt idx="11">
                  <c:v>15</c:v>
                </c:pt>
                <c:pt idx="12">
                  <c:v>13</c:v>
                </c:pt>
                <c:pt idx="13">
                  <c:v>6</c:v>
                </c:pt>
                <c:pt idx="14">
                  <c:v>13</c:v>
                </c:pt>
                <c:pt idx="15">
                  <c:v>2</c:v>
                </c:pt>
              </c:numCache>
            </c:numRef>
          </c:val>
          <c:extLst>
            <c:ext xmlns:c16="http://schemas.microsoft.com/office/drawing/2014/chart" uri="{C3380CC4-5D6E-409C-BE32-E72D297353CC}">
              <c16:uniqueId val="{00000001-F63E-428F-8C51-3EDD86EDD0BD}"/>
            </c:ext>
          </c:extLst>
        </c:ser>
        <c:dLbls>
          <c:showLegendKey val="0"/>
          <c:showVal val="0"/>
          <c:showCatName val="0"/>
          <c:showSerName val="0"/>
          <c:showPercent val="0"/>
          <c:showBubbleSize val="0"/>
        </c:dLbls>
        <c:gapWidth val="70"/>
        <c:axId val="281149040"/>
        <c:axId val="281133232"/>
      </c:barChart>
      <c:catAx>
        <c:axId val="281149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1133232"/>
        <c:crosses val="autoZero"/>
        <c:auto val="1"/>
        <c:lblAlgn val="ctr"/>
        <c:lblOffset val="100"/>
        <c:noMultiLvlLbl val="0"/>
      </c:catAx>
      <c:valAx>
        <c:axId val="281133232"/>
        <c:scaling>
          <c:orientation val="minMax"/>
        </c:scaling>
        <c:delete val="1"/>
        <c:axPos val="t"/>
        <c:numFmt formatCode="General" sourceLinked="1"/>
        <c:majorTickMark val="none"/>
        <c:minorTickMark val="none"/>
        <c:tickLblPos val="nextTo"/>
        <c:crossAx val="28114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15265490516616E-2"/>
          <c:y val="8.7713028579539123E-2"/>
          <c:w val="0.71516690886025636"/>
          <c:h val="0.72297884450778405"/>
        </c:manualLayout>
      </c:layout>
      <c:barChart>
        <c:barDir val="col"/>
        <c:grouping val="clustered"/>
        <c:varyColors val="0"/>
        <c:ser>
          <c:idx val="0"/>
          <c:order val="0"/>
          <c:tx>
            <c:strRef>
              <c:f>'CONTRATOS POR TIPO'!$P$16</c:f>
              <c:strCache>
                <c:ptCount val="1"/>
                <c:pt idx="0">
                  <c:v>Adjudicación directa</c:v>
                </c:pt>
              </c:strCache>
            </c:strRef>
          </c:tx>
          <c:spPr>
            <a:solidFill>
              <a:srgbClr val="08497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'CONTRATOS POR TIPO'!$Q$15:$R$15</c:f>
              <c:strCache>
                <c:ptCount val="2"/>
                <c:pt idx="0">
                  <c:v>Adquisiciones, 
arrendamientos 
y servicios</c:v>
                </c:pt>
                <c:pt idx="1">
                  <c:v>Obra pública y servicios 
relacionados con 
la misma</c:v>
                </c:pt>
              </c:strCache>
            </c:strRef>
          </c:cat>
          <c:val>
            <c:numRef>
              <c:f>'CONTRATOS POR TIPO'!$Q$16:$R$16</c:f>
              <c:numCache>
                <c:formatCode>#,##0</c:formatCode>
                <c:ptCount val="2"/>
                <c:pt idx="0">
                  <c:v>60766</c:v>
                </c:pt>
                <c:pt idx="1">
                  <c:v>3533</c:v>
                </c:pt>
              </c:numCache>
            </c:numRef>
          </c:val>
          <c:extLst>
            <c:ext xmlns:c16="http://schemas.microsoft.com/office/drawing/2014/chart" uri="{C3380CC4-5D6E-409C-BE32-E72D297353CC}">
              <c16:uniqueId val="{00000000-E607-4507-9589-60F7965D6005}"/>
            </c:ext>
          </c:extLst>
        </c:ser>
        <c:ser>
          <c:idx val="2"/>
          <c:order val="1"/>
          <c:tx>
            <c:strRef>
              <c:f>'CONTRATOS POR TIPO'!$P$17</c:f>
              <c:strCache>
                <c:ptCount val="1"/>
                <c:pt idx="0">
                  <c:v>Licitación pública nacional</c:v>
                </c:pt>
              </c:strCache>
            </c:strRef>
          </c:tx>
          <c:spPr>
            <a:solidFill>
              <a:srgbClr val="8E61A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'CONTRATOS POR TIPO'!$Q$15:$R$15</c:f>
              <c:strCache>
                <c:ptCount val="2"/>
                <c:pt idx="0">
                  <c:v>Adquisiciones, 
arrendamientos 
y servicios</c:v>
                </c:pt>
                <c:pt idx="1">
                  <c:v>Obra pública y servicios 
relacionados con 
la misma</c:v>
                </c:pt>
              </c:strCache>
            </c:strRef>
          </c:cat>
          <c:val>
            <c:numRef>
              <c:f>'CONTRATOS POR TIPO'!$Q$17:$R$17</c:f>
              <c:numCache>
                <c:formatCode>#,##0</c:formatCode>
                <c:ptCount val="2"/>
                <c:pt idx="0">
                  <c:v>4826</c:v>
                </c:pt>
                <c:pt idx="1">
                  <c:v>2217</c:v>
                </c:pt>
              </c:numCache>
            </c:numRef>
          </c:val>
          <c:extLst>
            <c:ext xmlns:c16="http://schemas.microsoft.com/office/drawing/2014/chart" uri="{C3380CC4-5D6E-409C-BE32-E72D297353CC}">
              <c16:uniqueId val="{00000001-E607-4507-9589-60F7965D6005}"/>
            </c:ext>
          </c:extLst>
        </c:ser>
        <c:ser>
          <c:idx val="1"/>
          <c:order val="2"/>
          <c:tx>
            <c:strRef>
              <c:f>'CONTRATOS POR TIPO'!$P$18</c:f>
              <c:strCache>
                <c:ptCount val="1"/>
                <c:pt idx="0">
                  <c:v>Invitación a cuando menos tres personas o invitación restringida</c:v>
                </c:pt>
              </c:strCache>
            </c:strRef>
          </c:tx>
          <c:spPr>
            <a:solidFill>
              <a:srgbClr val="CE941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'CONTRATOS POR TIPO'!$Q$15:$R$15</c:f>
              <c:strCache>
                <c:ptCount val="2"/>
                <c:pt idx="0">
                  <c:v>Adquisiciones, 
arrendamientos 
y servicios</c:v>
                </c:pt>
                <c:pt idx="1">
                  <c:v>Obra pública y servicios 
relacionados con 
la misma</c:v>
                </c:pt>
              </c:strCache>
            </c:strRef>
          </c:cat>
          <c:val>
            <c:numRef>
              <c:f>'CONTRATOS POR TIPO'!$Q$18:$R$18</c:f>
              <c:numCache>
                <c:formatCode>#,##0</c:formatCode>
                <c:ptCount val="2"/>
                <c:pt idx="0">
                  <c:v>4321</c:v>
                </c:pt>
                <c:pt idx="1">
                  <c:v>1996</c:v>
                </c:pt>
              </c:numCache>
            </c:numRef>
          </c:val>
          <c:extLst>
            <c:ext xmlns:c16="http://schemas.microsoft.com/office/drawing/2014/chart" uri="{C3380CC4-5D6E-409C-BE32-E72D297353CC}">
              <c16:uniqueId val="{00000002-E607-4507-9589-60F7965D6005}"/>
            </c:ext>
          </c:extLst>
        </c:ser>
        <c:ser>
          <c:idx val="3"/>
          <c:order val="3"/>
          <c:tx>
            <c:strRef>
              <c:f>'CONTRATOS POR TIPO'!$P$19</c:f>
              <c:strCache>
                <c:ptCount val="1"/>
                <c:pt idx="0">
                  <c:v>Licitación pública internacional</c:v>
                </c:pt>
              </c:strCache>
            </c:strRef>
          </c:tx>
          <c:spPr>
            <a:solidFill>
              <a:srgbClr val="F7BFD8"/>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'CONTRATOS POR TIPO'!$Q$15:$R$15</c:f>
              <c:strCache>
                <c:ptCount val="2"/>
                <c:pt idx="0">
                  <c:v>Adquisiciones, 
arrendamientos 
y servicios</c:v>
                </c:pt>
                <c:pt idx="1">
                  <c:v>Obra pública y servicios 
relacionados con 
la misma</c:v>
                </c:pt>
              </c:strCache>
            </c:strRef>
          </c:cat>
          <c:val>
            <c:numRef>
              <c:f>'CONTRATOS POR TIPO'!$Q$19:$R$19</c:f>
              <c:numCache>
                <c:formatCode>#,##0</c:formatCode>
                <c:ptCount val="2"/>
                <c:pt idx="0">
                  <c:v>133</c:v>
                </c:pt>
                <c:pt idx="1">
                  <c:v>0</c:v>
                </c:pt>
              </c:numCache>
            </c:numRef>
          </c:val>
          <c:extLst>
            <c:ext xmlns:c16="http://schemas.microsoft.com/office/drawing/2014/chart" uri="{C3380CC4-5D6E-409C-BE32-E72D297353CC}">
              <c16:uniqueId val="{00000003-E607-4507-9589-60F7965D6005}"/>
            </c:ext>
          </c:extLst>
        </c:ser>
        <c:ser>
          <c:idx val="4"/>
          <c:order val="4"/>
          <c:tx>
            <c:strRef>
              <c:f>'CONTRATOS POR TIPO'!$P$20</c:f>
              <c:strCache>
                <c:ptCount val="1"/>
                <c:pt idx="0">
                  <c:v>Otro procedimiento</c:v>
                </c:pt>
              </c:strCache>
            </c:strRef>
          </c:tx>
          <c:spPr>
            <a:solidFill>
              <a:srgbClr val="DBD7D8"/>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'CONTRATOS POR TIPO'!$Q$15:$R$15</c:f>
              <c:strCache>
                <c:ptCount val="2"/>
                <c:pt idx="0">
                  <c:v>Adquisiciones, 
arrendamientos 
y servicios</c:v>
                </c:pt>
                <c:pt idx="1">
                  <c:v>Obra pública y servicios 
relacionados con 
la misma</c:v>
                </c:pt>
              </c:strCache>
            </c:strRef>
          </c:cat>
          <c:val>
            <c:numRef>
              <c:f>'CONTRATOS POR TIPO'!$Q$20:$R$20</c:f>
              <c:numCache>
                <c:formatCode>#,##0</c:formatCode>
                <c:ptCount val="2"/>
                <c:pt idx="0">
                  <c:v>1864</c:v>
                </c:pt>
                <c:pt idx="1">
                  <c:v>723</c:v>
                </c:pt>
              </c:numCache>
            </c:numRef>
          </c:val>
          <c:extLst>
            <c:ext xmlns:c16="http://schemas.microsoft.com/office/drawing/2014/chart" uri="{C3380CC4-5D6E-409C-BE32-E72D297353CC}">
              <c16:uniqueId val="{00000004-E607-4507-9589-60F7965D6005}"/>
            </c:ext>
          </c:extLst>
        </c:ser>
        <c:dLbls>
          <c:showLegendKey val="0"/>
          <c:showVal val="0"/>
          <c:showCatName val="0"/>
          <c:showSerName val="0"/>
          <c:showPercent val="0"/>
          <c:showBubbleSize val="0"/>
        </c:dLbls>
        <c:gapWidth val="70"/>
        <c:overlap val="-27"/>
        <c:axId val="729114976"/>
        <c:axId val="729113312"/>
      </c:barChart>
      <c:catAx>
        <c:axId val="729114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29113312"/>
        <c:crosses val="autoZero"/>
        <c:auto val="1"/>
        <c:lblAlgn val="ctr"/>
        <c:lblOffset val="100"/>
        <c:tickMarkSkip val="1"/>
        <c:noMultiLvlLbl val="0"/>
      </c:catAx>
      <c:valAx>
        <c:axId val="729113312"/>
        <c:scaling>
          <c:orientation val="minMax"/>
        </c:scaling>
        <c:delete val="1"/>
        <c:axPos val="l"/>
        <c:numFmt formatCode="#,##0" sourceLinked="1"/>
        <c:majorTickMark val="none"/>
        <c:minorTickMark val="none"/>
        <c:tickLblPos val="nextTo"/>
        <c:crossAx val="729114976"/>
        <c:crosses val="autoZero"/>
        <c:crossBetween val="between"/>
      </c:valAx>
      <c:spPr>
        <a:noFill/>
        <a:ln>
          <a:noFill/>
        </a:ln>
        <a:effectLst/>
      </c:spPr>
    </c:plotArea>
    <c:legend>
      <c:legendPos val="b"/>
      <c:layout>
        <c:manualLayout>
          <c:xMode val="edge"/>
          <c:yMode val="edge"/>
          <c:x val="0.75602849496465185"/>
          <c:y val="0.12313805849754041"/>
          <c:w val="0.23149575360054453"/>
          <c:h val="0.778945640421834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CBBDC"/>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FE4-410E-92A7-B1C1CD8F5DC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Catastro!$W$7:$W$23</c:f>
              <c:strCache>
                <c:ptCount val="17"/>
                <c:pt idx="0">
                  <c:v>Administración de catálogos</c:v>
                </c:pt>
                <c:pt idx="1">
                  <c:v>Administración del padrón catastral (altas, 
baja, cambios)</c:v>
                </c:pt>
                <c:pt idx="2">
                  <c:v>Control y autenticación de niveles de usuario</c:v>
                </c:pt>
                <c:pt idx="3">
                  <c:v>Control de servicios catastrales</c:v>
                </c:pt>
                <c:pt idx="4">
                  <c:v>Estructura de base de datos relacional</c:v>
                </c:pt>
                <c:pt idx="5">
                  <c:v>Módulo de valuación</c:v>
                </c:pt>
                <c:pt idx="6">
                  <c:v>Visualizador de la cartografía</c:v>
                </c:pt>
                <c:pt idx="7">
                  <c:v>Almacén digital</c:v>
                </c:pt>
                <c:pt idx="8">
                  <c:v> Vinculación automática con la base 
de datos cartográfica</c:v>
                </c:pt>
                <c:pt idx="9">
                  <c:v> Mantenimiento cartográfico</c:v>
                </c:pt>
                <c:pt idx="10">
                  <c:v>Ambiente web Internet/intranet</c:v>
                </c:pt>
                <c:pt idx="11">
                  <c:v>Control del procedimiento 
administrativo de ejecución</c:v>
                </c:pt>
                <c:pt idx="12">
                  <c:v>Módulos para notarios, desarrollo 
urbano u otras dependencias</c:v>
                </c:pt>
                <c:pt idx="13">
                  <c:v>Consulta de información en línea con los 
municipios / demarcaciones territoriales</c:v>
                </c:pt>
                <c:pt idx="14">
                  <c:v>Disponibilidad de servicio WMS 
(Web Map Service)</c:v>
                </c:pt>
                <c:pt idx="15">
                  <c:v>Consulta de información con Registro 
Público de la Propiedad</c:v>
                </c:pt>
                <c:pt idx="16">
                  <c:v>Otra</c:v>
                </c:pt>
              </c:strCache>
            </c:strRef>
          </c:cat>
          <c:val>
            <c:numRef>
              <c:f>Catastro!$X$7:$X$23</c:f>
              <c:numCache>
                <c:formatCode>General</c:formatCode>
                <c:ptCount val="17"/>
                <c:pt idx="0">
                  <c:v>27</c:v>
                </c:pt>
                <c:pt idx="1">
                  <c:v>26</c:v>
                </c:pt>
                <c:pt idx="2">
                  <c:v>26</c:v>
                </c:pt>
                <c:pt idx="3">
                  <c:v>25</c:v>
                </c:pt>
                <c:pt idx="4">
                  <c:v>23</c:v>
                </c:pt>
                <c:pt idx="5">
                  <c:v>21</c:v>
                </c:pt>
                <c:pt idx="6">
                  <c:v>21</c:v>
                </c:pt>
                <c:pt idx="7">
                  <c:v>19</c:v>
                </c:pt>
                <c:pt idx="8">
                  <c:v>18</c:v>
                </c:pt>
                <c:pt idx="9">
                  <c:v>18</c:v>
                </c:pt>
                <c:pt idx="10">
                  <c:v>16</c:v>
                </c:pt>
                <c:pt idx="11">
                  <c:v>12</c:v>
                </c:pt>
                <c:pt idx="12">
                  <c:v>11</c:v>
                </c:pt>
                <c:pt idx="13">
                  <c:v>11</c:v>
                </c:pt>
                <c:pt idx="14">
                  <c:v>9</c:v>
                </c:pt>
                <c:pt idx="15">
                  <c:v>7</c:v>
                </c:pt>
                <c:pt idx="16">
                  <c:v>3</c:v>
                </c:pt>
              </c:numCache>
            </c:numRef>
          </c:val>
          <c:extLst>
            <c:ext xmlns:c16="http://schemas.microsoft.com/office/drawing/2014/chart" uri="{C3380CC4-5D6E-409C-BE32-E72D297353CC}">
              <c16:uniqueId val="{00000002-6FE4-410E-92A7-B1C1CD8F5DC1}"/>
            </c:ext>
          </c:extLst>
        </c:ser>
        <c:dLbls>
          <c:showLegendKey val="0"/>
          <c:showVal val="0"/>
          <c:showCatName val="0"/>
          <c:showSerName val="0"/>
          <c:showPercent val="0"/>
          <c:showBubbleSize val="0"/>
        </c:dLbls>
        <c:gapWidth val="90"/>
        <c:axId val="1098458719"/>
        <c:axId val="1098451647"/>
      </c:barChart>
      <c:catAx>
        <c:axId val="10984587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098451647"/>
        <c:crosses val="autoZero"/>
        <c:auto val="1"/>
        <c:lblAlgn val="ctr"/>
        <c:lblOffset val="100"/>
        <c:noMultiLvlLbl val="0"/>
      </c:catAx>
      <c:valAx>
        <c:axId val="1098451647"/>
        <c:scaling>
          <c:orientation val="minMax"/>
        </c:scaling>
        <c:delete val="1"/>
        <c:axPos val="t"/>
        <c:numFmt formatCode="General" sourceLinked="1"/>
        <c:majorTickMark val="none"/>
        <c:minorTickMark val="none"/>
        <c:tickLblPos val="nextTo"/>
        <c:crossAx val="1098458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EDE8F"/>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E941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496-4B0E-A27E-447E1BE27B4F}"/>
              </c:ext>
            </c:extLst>
          </c:dPt>
          <c:dPt>
            <c:idx val="1"/>
            <c:invertIfNegative val="0"/>
            <c:bubble3D val="0"/>
            <c:spPr>
              <a:solidFill>
                <a:srgbClr val="CE941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2496-4B0E-A27E-447E1BE27B4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terr'!$M$6:$M$12</c:f>
              <c:strCache>
                <c:ptCount val="7"/>
                <c:pt idx="0">
                  <c:v>Brindar asesorías</c:v>
                </c:pt>
                <c:pt idx="1">
                  <c:v>Regularización de 
la tenencia de la 
tierra</c:v>
                </c:pt>
                <c:pt idx="2">
                  <c:v>Dar opiniones</c:v>
                </c:pt>
                <c:pt idx="3">
                  <c:v>Emisión de 
normatividad</c:v>
                </c:pt>
                <c:pt idx="4">
                  <c:v>Emisión de
políticas públicas</c:v>
                </c:pt>
                <c:pt idx="5">
                  <c:v>Otorgar 
financiamiento</c:v>
                </c:pt>
                <c:pt idx="6">
                  <c:v>Otra</c:v>
                </c:pt>
              </c:strCache>
            </c:strRef>
          </c:cat>
          <c:val>
            <c:numRef>
              <c:f>'Gestión terr'!$N$6:$N$12</c:f>
              <c:numCache>
                <c:formatCode>General</c:formatCode>
                <c:ptCount val="7"/>
                <c:pt idx="0">
                  <c:v>18</c:v>
                </c:pt>
                <c:pt idx="1">
                  <c:v>18</c:v>
                </c:pt>
                <c:pt idx="2">
                  <c:v>16</c:v>
                </c:pt>
                <c:pt idx="3">
                  <c:v>5</c:v>
                </c:pt>
                <c:pt idx="4">
                  <c:v>3</c:v>
                </c:pt>
                <c:pt idx="5">
                  <c:v>1</c:v>
                </c:pt>
                <c:pt idx="6">
                  <c:v>7</c:v>
                </c:pt>
              </c:numCache>
            </c:numRef>
          </c:val>
          <c:extLst>
            <c:ext xmlns:c16="http://schemas.microsoft.com/office/drawing/2014/chart" uri="{C3380CC4-5D6E-409C-BE32-E72D297353CC}">
              <c16:uniqueId val="{00000002-2496-4B0E-A27E-447E1BE27B4F}"/>
            </c:ext>
          </c:extLst>
        </c:ser>
        <c:dLbls>
          <c:showLegendKey val="0"/>
          <c:showVal val="0"/>
          <c:showCatName val="0"/>
          <c:showSerName val="0"/>
          <c:showPercent val="0"/>
          <c:showBubbleSize val="0"/>
        </c:dLbls>
        <c:gapWidth val="70"/>
        <c:overlap val="-27"/>
        <c:axId val="1279212351"/>
        <c:axId val="1279212767"/>
      </c:barChart>
      <c:catAx>
        <c:axId val="127921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279212767"/>
        <c:crosses val="autoZero"/>
        <c:auto val="1"/>
        <c:lblAlgn val="ctr"/>
        <c:lblOffset val="100"/>
        <c:noMultiLvlLbl val="0"/>
      </c:catAx>
      <c:valAx>
        <c:axId val="1279212767"/>
        <c:scaling>
          <c:orientation val="minMax"/>
        </c:scaling>
        <c:delete val="1"/>
        <c:axPos val="l"/>
        <c:numFmt formatCode="General" sourceLinked="1"/>
        <c:majorTickMark val="none"/>
        <c:minorTickMark val="none"/>
        <c:tickLblPos val="nextTo"/>
        <c:crossAx val="127921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TITULARES!$R$3</c:f>
              <c:strCache>
                <c:ptCount val="1"/>
                <c:pt idx="0">
                  <c:v>Hombres</c:v>
                </c:pt>
              </c:strCache>
            </c:strRef>
          </c:tx>
          <c:spPr>
            <a:solidFill>
              <a:srgbClr val="58267A"/>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TITULARES!$P$4:$P$14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TITULARES!$R$4:$R$14</c:f>
              <c:numCache>
                <c:formatCode>General</c:formatCode>
                <c:ptCount val="11"/>
                <c:pt idx="0">
                  <c:v>510</c:v>
                </c:pt>
                <c:pt idx="1">
                  <c:v>618</c:v>
                </c:pt>
                <c:pt idx="2">
                  <c:v>686</c:v>
                </c:pt>
                <c:pt idx="3">
                  <c:v>674</c:v>
                </c:pt>
                <c:pt idx="4" formatCode="#,##0">
                  <c:v>1496</c:v>
                </c:pt>
                <c:pt idx="5" formatCode="#,##0">
                  <c:v>1552</c:v>
                </c:pt>
                <c:pt idx="6" formatCode="#,##0">
                  <c:v>1607</c:v>
                </c:pt>
                <c:pt idx="7" formatCode="#,##0">
                  <c:v>1639</c:v>
                </c:pt>
                <c:pt idx="8" formatCode="#,##0">
                  <c:v>1572</c:v>
                </c:pt>
                <c:pt idx="9" formatCode="#,##0">
                  <c:v>1534</c:v>
                </c:pt>
                <c:pt idx="10" formatCode="#,##0">
                  <c:v>1501</c:v>
                </c:pt>
              </c:numCache>
            </c:numRef>
          </c:val>
          <c:extLst>
            <c:ext xmlns:c16="http://schemas.microsoft.com/office/drawing/2014/chart" uri="{C3380CC4-5D6E-409C-BE32-E72D297353CC}">
              <c16:uniqueId val="{00000000-78B3-44F9-8CB6-D652D7D585A7}"/>
            </c:ext>
          </c:extLst>
        </c:ser>
        <c:ser>
          <c:idx val="2"/>
          <c:order val="2"/>
          <c:tx>
            <c:strRef>
              <c:f>TITULARES!$S$3</c:f>
              <c:strCache>
                <c:ptCount val="1"/>
                <c:pt idx="0">
                  <c:v>Mujeres</c:v>
                </c:pt>
              </c:strCache>
            </c:strRef>
          </c:tx>
          <c:spPr>
            <a:solidFill>
              <a:srgbClr val="ECB538"/>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TITULARES!$P$4:$P$14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TITULARES!$S$4:$S$14</c:f>
              <c:numCache>
                <c:formatCode>General</c:formatCode>
                <c:ptCount val="11"/>
                <c:pt idx="0">
                  <c:v>91</c:v>
                </c:pt>
                <c:pt idx="1">
                  <c:v>123</c:v>
                </c:pt>
                <c:pt idx="2">
                  <c:v>131</c:v>
                </c:pt>
                <c:pt idx="3">
                  <c:v>155</c:v>
                </c:pt>
                <c:pt idx="4" formatCode="#,##0">
                  <c:v>346</c:v>
                </c:pt>
                <c:pt idx="5" formatCode="#,##0">
                  <c:v>385</c:v>
                </c:pt>
                <c:pt idx="6" formatCode="#,##0">
                  <c:v>487</c:v>
                </c:pt>
                <c:pt idx="7" formatCode="#,##0">
                  <c:v>507</c:v>
                </c:pt>
                <c:pt idx="8" formatCode="#,##0">
                  <c:v>504</c:v>
                </c:pt>
                <c:pt idx="9" formatCode="#,##0">
                  <c:v>533</c:v>
                </c:pt>
                <c:pt idx="10" formatCode="#,##0">
                  <c:v>552</c:v>
                </c:pt>
              </c:numCache>
            </c:numRef>
          </c:val>
          <c:extLst>
            <c:ext xmlns:c16="http://schemas.microsoft.com/office/drawing/2014/chart" uri="{C3380CC4-5D6E-409C-BE32-E72D297353CC}">
              <c16:uniqueId val="{00000001-78B3-44F9-8CB6-D652D7D585A7}"/>
            </c:ext>
          </c:extLst>
        </c:ser>
        <c:ser>
          <c:idx val="3"/>
          <c:order val="3"/>
          <c:tx>
            <c:strRef>
              <c:f>TITULARES!$T$3</c:f>
              <c:strCache>
                <c:ptCount val="1"/>
                <c:pt idx="0">
                  <c:v>No especificado</c:v>
                </c:pt>
              </c:strCache>
            </c:strRef>
          </c:tx>
          <c:spPr>
            <a:solidFill>
              <a:srgbClr val="BAB4B4"/>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TITULARES!$P$4:$P$14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TITULARES!$T$4:$T$14</c:f>
              <c:numCache>
                <c:formatCode>General</c:formatCode>
                <c:ptCount val="11"/>
                <c:pt idx="0">
                  <c:v>140</c:v>
                </c:pt>
                <c:pt idx="1">
                  <c:v>99</c:v>
                </c:pt>
                <c:pt idx="2">
                  <c:v>87</c:v>
                </c:pt>
                <c:pt idx="3">
                  <c:v>62</c:v>
                </c:pt>
                <c:pt idx="4" formatCode="#,##0">
                  <c:v>347</c:v>
                </c:pt>
                <c:pt idx="5" formatCode="#,##0">
                  <c:v>274</c:v>
                </c:pt>
                <c:pt idx="6" formatCode="#,##0">
                  <c:v>85</c:v>
                </c:pt>
                <c:pt idx="7" formatCode="#,##0">
                  <c:v>57</c:v>
                </c:pt>
                <c:pt idx="8" formatCode="#,##0">
                  <c:v>113</c:v>
                </c:pt>
                <c:pt idx="9" formatCode="#,##0">
                  <c:v>94</c:v>
                </c:pt>
                <c:pt idx="10" formatCode="#,##0">
                  <c:v>108</c:v>
                </c:pt>
              </c:numCache>
            </c:numRef>
          </c:val>
          <c:extLst>
            <c:ext xmlns:c16="http://schemas.microsoft.com/office/drawing/2014/chart" uri="{C3380CC4-5D6E-409C-BE32-E72D297353CC}">
              <c16:uniqueId val="{00000002-78B3-44F9-8CB6-D652D7D585A7}"/>
            </c:ext>
          </c:extLst>
        </c:ser>
        <c:dLbls>
          <c:showLegendKey val="0"/>
          <c:showVal val="0"/>
          <c:showCatName val="0"/>
          <c:showSerName val="0"/>
          <c:showPercent val="0"/>
          <c:showBubbleSize val="0"/>
        </c:dLbls>
        <c:gapWidth val="5"/>
        <c:axId val="605033792"/>
        <c:axId val="605022560"/>
      </c:barChart>
      <c:lineChart>
        <c:grouping val="standard"/>
        <c:varyColors val="0"/>
        <c:ser>
          <c:idx val="0"/>
          <c:order val="0"/>
          <c:tx>
            <c:strRef>
              <c:f>TITULARES!$Q$3</c:f>
              <c:strCache>
                <c:ptCount val="1"/>
                <c:pt idx="0">
                  <c:v>Total</c:v>
                </c:pt>
              </c:strCache>
            </c:strRef>
          </c:tx>
          <c:spPr>
            <a:ln w="28575" cap="rnd">
              <a:solidFill>
                <a:srgbClr val="8C1B67"/>
              </a:solidFill>
              <a:round/>
            </a:ln>
            <a:effectLst>
              <a:outerShdw blurRad="50800" dist="38100" dir="2700000" algn="tl" rotWithShape="0">
                <a:prstClr val="black">
                  <a:alpha val="40000"/>
                </a:prstClr>
              </a:outerShdw>
            </a:effectLst>
          </c:spPr>
          <c:marker>
            <c:symbol val="diamond"/>
            <c:size val="10"/>
            <c:spPr>
              <a:solidFill>
                <a:srgbClr val="8C1B67"/>
              </a:solidFill>
              <a:ln w="9525">
                <a:solidFill>
                  <a:srgbClr val="8C1B67"/>
                </a:solidFill>
              </a:ln>
              <a:effectLst>
                <a:outerShdw blurRad="50800" dist="38100" dir="2700000" algn="tl" rotWithShape="0">
                  <a:prstClr val="black">
                    <a:alpha val="40000"/>
                  </a:prstClr>
                </a:outerShdw>
              </a:effectLst>
            </c:spPr>
          </c:marker>
          <c:dLbls>
            <c:dLbl>
              <c:idx val="3"/>
              <c:layout>
                <c:manualLayout>
                  <c:x val="-5.5377053133376042E-2"/>
                  <c:y val="-6.3298702245552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B3-44F9-8CB6-D652D7D585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TITULARES!$P$4:$P$14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TITULARES!$Q$4:$Q$14</c:f>
              <c:numCache>
                <c:formatCode>General</c:formatCode>
                <c:ptCount val="11"/>
                <c:pt idx="0">
                  <c:v>741</c:v>
                </c:pt>
                <c:pt idx="1">
                  <c:v>840</c:v>
                </c:pt>
                <c:pt idx="2">
                  <c:v>904</c:v>
                </c:pt>
                <c:pt idx="3">
                  <c:v>891</c:v>
                </c:pt>
                <c:pt idx="4" formatCode="#,##0">
                  <c:v>2189</c:v>
                </c:pt>
                <c:pt idx="5" formatCode="#,##0">
                  <c:v>2211</c:v>
                </c:pt>
                <c:pt idx="6" formatCode="#,##0">
                  <c:v>2179</c:v>
                </c:pt>
                <c:pt idx="7" formatCode="#,##0">
                  <c:v>2203</c:v>
                </c:pt>
                <c:pt idx="8" formatCode="#,##0">
                  <c:v>2189</c:v>
                </c:pt>
                <c:pt idx="9" formatCode="#,##0">
                  <c:v>2161</c:v>
                </c:pt>
                <c:pt idx="10" formatCode="#,##0">
                  <c:v>2161</c:v>
                </c:pt>
              </c:numCache>
            </c:numRef>
          </c:val>
          <c:smooth val="0"/>
          <c:extLst>
            <c:ext xmlns:c16="http://schemas.microsoft.com/office/drawing/2014/chart" uri="{C3380CC4-5D6E-409C-BE32-E72D297353CC}">
              <c16:uniqueId val="{00000004-78B3-44F9-8CB6-D652D7D585A7}"/>
            </c:ext>
          </c:extLst>
        </c:ser>
        <c:dLbls>
          <c:showLegendKey val="0"/>
          <c:showVal val="0"/>
          <c:showCatName val="0"/>
          <c:showSerName val="0"/>
          <c:showPercent val="0"/>
          <c:showBubbleSize val="0"/>
        </c:dLbls>
        <c:marker val="1"/>
        <c:smooth val="0"/>
        <c:axId val="605033792"/>
        <c:axId val="605022560"/>
      </c:lineChart>
      <c:catAx>
        <c:axId val="60503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5022560"/>
        <c:crosses val="autoZero"/>
        <c:auto val="1"/>
        <c:lblAlgn val="ctr"/>
        <c:lblOffset val="100"/>
        <c:noMultiLvlLbl val="0"/>
      </c:catAx>
      <c:valAx>
        <c:axId val="605022560"/>
        <c:scaling>
          <c:orientation val="minMax"/>
        </c:scaling>
        <c:delete val="1"/>
        <c:axPos val="l"/>
        <c:numFmt formatCode="General" sourceLinked="1"/>
        <c:majorTickMark val="none"/>
        <c:minorTickMark val="none"/>
        <c:tickLblPos val="nextTo"/>
        <c:crossAx val="605033792"/>
        <c:crosses val="autoZero"/>
        <c:crossBetween val="between"/>
      </c:valAx>
      <c:spPr>
        <a:noFill/>
        <a:ln>
          <a:noFill/>
        </a:ln>
        <a:effectLst/>
      </c:spPr>
    </c:plotArea>
    <c:legend>
      <c:legendPos val="b"/>
      <c:layout>
        <c:manualLayout>
          <c:xMode val="edge"/>
          <c:yMode val="edge"/>
          <c:x val="0.17026534227391188"/>
          <c:y val="0.9312704141149023"/>
          <c:w val="0.65475770475687001"/>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93627687363578"/>
          <c:y val="5.6642636457260559E-2"/>
          <c:w val="0.4852593517781712"/>
          <c:h val="0.94335736354273947"/>
        </c:manualLayout>
      </c:layout>
      <c:barChart>
        <c:barDir val="bar"/>
        <c:grouping val="clustered"/>
        <c:varyColors val="0"/>
        <c:ser>
          <c:idx val="0"/>
          <c:order val="0"/>
          <c:spPr>
            <a:solidFill>
              <a:srgbClr val="B9D4EA"/>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006098"/>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5DD1-4BDE-9918-03A755544DC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 AMBIENTE'!$A$2:$A$11</c:f>
              <c:strCache>
                <c:ptCount val="10"/>
                <c:pt idx="0">
                  <c:v>Biodiversidad y ecosistemas</c:v>
                </c:pt>
                <c:pt idx="1">
                  <c:v>Atmósfera</c:v>
                </c:pt>
                <c:pt idx="2">
                  <c:v>Transporte y movilidad urbana </c:v>
                </c:pt>
                <c:pt idx="3">
                  <c:v>Procuración de justicia ambiental</c:v>
                </c:pt>
                <c:pt idx="4">
                  <c:v>Residuos sólidos urbanos</c:v>
                </c:pt>
                <c:pt idx="5">
                  <c:v>Suelo, uso del suelo y edificaciones </c:v>
                </c:pt>
                <c:pt idx="6">
                  <c:v>Cambio climático </c:v>
                </c:pt>
                <c:pt idx="7">
                  <c:v>Energía</c:v>
                </c:pt>
                <c:pt idx="8">
                  <c:v>Asentamientos humanos, ciudades resilientes y sostenibles </c:v>
                </c:pt>
                <c:pt idx="9">
                  <c:v>Administración pública sostenible </c:v>
                </c:pt>
              </c:strCache>
            </c:strRef>
          </c:cat>
          <c:val>
            <c:numRef>
              <c:f>'MEDIO AMBIENTE'!$B$2:$B$11</c:f>
              <c:numCache>
                <c:formatCode>General</c:formatCode>
                <c:ptCount val="10"/>
                <c:pt idx="0">
                  <c:v>110</c:v>
                </c:pt>
                <c:pt idx="1">
                  <c:v>54</c:v>
                </c:pt>
                <c:pt idx="2">
                  <c:v>52</c:v>
                </c:pt>
                <c:pt idx="3">
                  <c:v>49</c:v>
                </c:pt>
                <c:pt idx="4">
                  <c:v>47</c:v>
                </c:pt>
                <c:pt idx="5">
                  <c:v>35</c:v>
                </c:pt>
                <c:pt idx="6">
                  <c:v>33</c:v>
                </c:pt>
                <c:pt idx="7">
                  <c:v>19</c:v>
                </c:pt>
                <c:pt idx="8">
                  <c:v>17</c:v>
                </c:pt>
                <c:pt idx="9">
                  <c:v>8</c:v>
                </c:pt>
              </c:numCache>
            </c:numRef>
          </c:val>
          <c:extLst>
            <c:ext xmlns:c16="http://schemas.microsoft.com/office/drawing/2014/chart" uri="{C3380CC4-5D6E-409C-BE32-E72D297353CC}">
              <c16:uniqueId val="{00000002-5DD1-4BDE-9918-03A755544DC1}"/>
            </c:ext>
          </c:extLst>
        </c:ser>
        <c:dLbls>
          <c:showLegendKey val="0"/>
          <c:showVal val="0"/>
          <c:showCatName val="0"/>
          <c:showSerName val="0"/>
          <c:showPercent val="0"/>
          <c:showBubbleSize val="0"/>
        </c:dLbls>
        <c:gapWidth val="70"/>
        <c:axId val="1305374287"/>
        <c:axId val="1305375535"/>
      </c:barChart>
      <c:catAx>
        <c:axId val="13053742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305375535"/>
        <c:crosses val="autoZero"/>
        <c:auto val="1"/>
        <c:lblAlgn val="ctr"/>
        <c:lblOffset val="100"/>
        <c:noMultiLvlLbl val="0"/>
      </c:catAx>
      <c:valAx>
        <c:axId val="1305375535"/>
        <c:scaling>
          <c:orientation val="minMax"/>
        </c:scaling>
        <c:delete val="1"/>
        <c:axPos val="t"/>
        <c:numFmt formatCode="General" sourceLinked="1"/>
        <c:majorTickMark val="none"/>
        <c:minorTickMark val="none"/>
        <c:tickLblPos val="nextTo"/>
        <c:crossAx val="1305374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40193861905874"/>
          <c:y val="2.7796257274161396E-2"/>
          <c:w val="0.77634503607841099"/>
          <c:h val="0.8358714620131944"/>
        </c:manualLayout>
      </c:layout>
      <c:barChart>
        <c:barDir val="bar"/>
        <c:grouping val="stacked"/>
        <c:varyColors val="0"/>
        <c:ser>
          <c:idx val="0"/>
          <c:order val="0"/>
          <c:tx>
            <c:strRef>
              <c:f>TITULARES!$AF$26</c:f>
              <c:strCache>
                <c:ptCount val="1"/>
                <c:pt idx="0">
                  <c:v>Hombres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0"/>
              <c:layout>
                <c:manualLayout>
                  <c:x val="-4.3772185197568439E-2"/>
                  <c:y val="0"/>
                </c:manualLayout>
              </c:layout>
              <c:tx>
                <c:rich>
                  <a:bodyPr/>
                  <a:lstStyle/>
                  <a:p>
                    <a:r>
                      <a:rPr lang="en-US"/>
                      <a:t>4.8%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B2-447F-804F-A415E695177C}"/>
                </c:ext>
              </c:extLst>
            </c:dLbl>
            <c:dLbl>
              <c:idx val="1"/>
              <c:tx>
                <c:rich>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55.4%</a:t>
                    </a: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B2-447F-804F-A415E695177C}"/>
                </c:ext>
              </c:extLst>
            </c:dLbl>
            <c:dLbl>
              <c:idx val="2"/>
              <c:tx>
                <c:rich>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26.4%</a:t>
                    </a: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B2-447F-804F-A415E695177C}"/>
                </c:ext>
              </c:extLst>
            </c:dLbl>
            <c:dLbl>
              <c:idx val="3"/>
              <c:tx>
                <c:rich>
                  <a:bodyPr/>
                  <a:lstStyle/>
                  <a:p>
                    <a:r>
                      <a:rPr lang="en-US"/>
                      <a:t>3.3%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B2-447F-804F-A415E695177C}"/>
                </c:ext>
              </c:extLst>
            </c:dLbl>
            <c:dLbl>
              <c:idx val="4"/>
              <c:tx>
                <c:rich>
                  <a:bodyPr/>
                  <a:lstStyle/>
                  <a:p>
                    <a:r>
                      <a:rPr lang="en-US"/>
                      <a:t>1.7%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B2-447F-804F-A415E695177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TITULARES!$AE$27:$AE$31</c:f>
              <c:strCache>
                <c:ptCount val="5"/>
                <c:pt idx="0">
                  <c:v>0 años</c:v>
                </c:pt>
                <c:pt idx="1">
                  <c:v>1 a 3 años</c:v>
                </c:pt>
                <c:pt idx="2">
                  <c:v>4 a 6 años</c:v>
                </c:pt>
                <c:pt idx="3">
                  <c:v>7 a 10 años</c:v>
                </c:pt>
                <c:pt idx="4">
                  <c:v>Más de 10 años</c:v>
                </c:pt>
              </c:strCache>
            </c:strRef>
          </c:cat>
          <c:val>
            <c:numRef>
              <c:f>TITULARES!$AF$27:$AF$31</c:f>
              <c:numCache>
                <c:formatCode>0.0%</c:formatCode>
                <c:ptCount val="5"/>
                <c:pt idx="0">
                  <c:v>-4.7968021319120598E-2</c:v>
                </c:pt>
                <c:pt idx="1">
                  <c:v>-0.55429713524317104</c:v>
                </c:pt>
                <c:pt idx="2">
                  <c:v>-0.26449033977348402</c:v>
                </c:pt>
                <c:pt idx="3">
                  <c:v>-3.2644903397734799E-2</c:v>
                </c:pt>
                <c:pt idx="4">
                  <c:v>-1.6655562958027999E-2</c:v>
                </c:pt>
              </c:numCache>
            </c:numRef>
          </c:val>
          <c:extLst>
            <c:ext xmlns:c16="http://schemas.microsoft.com/office/drawing/2014/chart" uri="{C3380CC4-5D6E-409C-BE32-E72D297353CC}">
              <c16:uniqueId val="{00000005-A9B2-447F-804F-A415E695177C}"/>
            </c:ext>
          </c:extLst>
        </c:ser>
        <c:ser>
          <c:idx val="1"/>
          <c:order val="1"/>
          <c:tx>
            <c:strRef>
              <c:f>TITULARES!$AG$26</c:f>
              <c:strCache>
                <c:ptCount val="1"/>
                <c:pt idx="0">
                  <c:v>Mujeres</c:v>
                </c:pt>
              </c:strCache>
            </c:strRef>
          </c:tx>
          <c:spPr>
            <a:solidFill>
              <a:srgbClr val="ECB538"/>
            </a:solidFill>
            <a:ln>
              <a:noFill/>
            </a:ln>
            <a:effectLst>
              <a:outerShdw blurRad="50800" dist="38100" dir="2700000" algn="tl" rotWithShape="0">
                <a:prstClr val="black">
                  <a:alpha val="40000"/>
                </a:prstClr>
              </a:outerShdw>
            </a:effectLst>
          </c:spPr>
          <c:invertIfNegative val="0"/>
          <c:dLbls>
            <c:dLbl>
              <c:idx val="0"/>
              <c:layout>
                <c:manualLayout>
                  <c:x val="5.3117577865820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B2-447F-804F-A415E695177C}"/>
                </c:ext>
              </c:extLst>
            </c:dLbl>
            <c:dLbl>
              <c:idx val="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B2-447F-804F-A415E695177C}"/>
                </c:ext>
              </c:extLst>
            </c:dLbl>
            <c:dLbl>
              <c:idx val="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B2-447F-804F-A415E695177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TITULARES!$AE$27:$AE$31</c:f>
              <c:strCache>
                <c:ptCount val="5"/>
                <c:pt idx="0">
                  <c:v>0 años</c:v>
                </c:pt>
                <c:pt idx="1">
                  <c:v>1 a 3 años</c:v>
                </c:pt>
                <c:pt idx="2">
                  <c:v>4 a 6 años</c:v>
                </c:pt>
                <c:pt idx="3">
                  <c:v>7 a 10 años</c:v>
                </c:pt>
                <c:pt idx="4">
                  <c:v>Más de 10 años</c:v>
                </c:pt>
              </c:strCache>
            </c:strRef>
          </c:cat>
          <c:val>
            <c:numRef>
              <c:f>TITULARES!$AG$27:$AG$31</c:f>
              <c:numCache>
                <c:formatCode>0.0%</c:formatCode>
                <c:ptCount val="5"/>
                <c:pt idx="0">
                  <c:v>6.8840579710144928E-2</c:v>
                </c:pt>
                <c:pt idx="1">
                  <c:v>0.52536231884057971</c:v>
                </c:pt>
                <c:pt idx="2">
                  <c:v>0.25181159420289856</c:v>
                </c:pt>
                <c:pt idx="3">
                  <c:v>3.2608695652173912E-2</c:v>
                </c:pt>
                <c:pt idx="4">
                  <c:v>1.4492753623188406E-2</c:v>
                </c:pt>
              </c:numCache>
            </c:numRef>
          </c:val>
          <c:extLst>
            <c:ext xmlns:c16="http://schemas.microsoft.com/office/drawing/2014/chart" uri="{C3380CC4-5D6E-409C-BE32-E72D297353CC}">
              <c16:uniqueId val="{00000009-A9B2-447F-804F-A415E695177C}"/>
            </c:ext>
          </c:extLst>
        </c:ser>
        <c:dLbls>
          <c:showLegendKey val="0"/>
          <c:showVal val="0"/>
          <c:showCatName val="0"/>
          <c:showSerName val="0"/>
          <c:showPercent val="0"/>
          <c:showBubbleSize val="0"/>
        </c:dLbls>
        <c:gapWidth val="40"/>
        <c:overlap val="100"/>
        <c:axId val="281161104"/>
        <c:axId val="281169008"/>
      </c:barChart>
      <c:catAx>
        <c:axId val="2811611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1169008"/>
        <c:crosses val="autoZero"/>
        <c:auto val="1"/>
        <c:lblAlgn val="ctr"/>
        <c:lblOffset val="100"/>
        <c:noMultiLvlLbl val="0"/>
      </c:catAx>
      <c:valAx>
        <c:axId val="281169008"/>
        <c:scaling>
          <c:orientation val="minMax"/>
        </c:scaling>
        <c:delete val="1"/>
        <c:axPos val="t"/>
        <c:numFmt formatCode="0.0%" sourceLinked="1"/>
        <c:majorTickMark val="none"/>
        <c:minorTickMark val="none"/>
        <c:tickLblPos val="nextTo"/>
        <c:crossAx val="281161104"/>
        <c:crosses val="autoZero"/>
        <c:crossBetween val="between"/>
      </c:valAx>
      <c:spPr>
        <a:noFill/>
        <a:ln>
          <a:noFill/>
        </a:ln>
        <a:effectLst/>
      </c:spPr>
    </c:plotArea>
    <c:legend>
      <c:legendPos val="b"/>
      <c:layout>
        <c:manualLayout>
          <c:xMode val="edge"/>
          <c:yMode val="edge"/>
          <c:x val="0.51321194020542471"/>
          <c:y val="0.93801804633187114"/>
          <c:w val="0.25409056497870047"/>
          <c:h val="6.198195366812882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1500229138024"/>
          <c:y val="7.8050243719535062E-2"/>
          <c:w val="0.66649710452860067"/>
          <c:h val="0.62670623261644542"/>
        </c:manualLayout>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rgbClr val="EC68A0"/>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8C3-4E39-A53B-DDB65324AB73}"/>
              </c:ext>
            </c:extLst>
          </c:dPt>
          <c:dPt>
            <c:idx val="1"/>
            <c:bubble3D val="0"/>
            <c:spPr>
              <a:solidFill>
                <a:srgbClr val="8C1B67"/>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8C3-4E39-A53B-DDB65324AB73}"/>
              </c:ext>
            </c:extLst>
          </c:dPt>
          <c:dPt>
            <c:idx val="2"/>
            <c:bubble3D val="0"/>
            <c:spPr>
              <a:solidFill>
                <a:srgbClr val="BAB4B4"/>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8C3-4E39-A53B-DDB65324AB73}"/>
              </c:ext>
            </c:extLst>
          </c:dPt>
          <c:dLbls>
            <c:dLbl>
              <c:idx val="0"/>
              <c:layout>
                <c:manualLayout>
                  <c:x val="1.4249052201808107E-2"/>
                  <c:y val="1.1194017414489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3-4E39-A53B-DDB65324AB73}"/>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3-08C3-4E39-A53B-DDB65324AB7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TITULARES!$W$3:$W$5</c:f>
              <c:strCache>
                <c:ptCount val="3"/>
                <c:pt idx="0">
                  <c:v>Pertenece a algún pueblo indígena</c:v>
                </c:pt>
                <c:pt idx="1">
                  <c:v>No pertenece a algún pueblo indígena</c:v>
                </c:pt>
                <c:pt idx="2">
                  <c:v>No se sabe</c:v>
                </c:pt>
              </c:strCache>
            </c:strRef>
          </c:cat>
          <c:val>
            <c:numRef>
              <c:f>TITULARES!$Y$3:$Y$5</c:f>
              <c:numCache>
                <c:formatCode>0.0%</c:formatCode>
                <c:ptCount val="3"/>
                <c:pt idx="0">
                  <c:v>1.6196205460434984E-2</c:v>
                </c:pt>
                <c:pt idx="1">
                  <c:v>0.67885238315594632</c:v>
                </c:pt>
                <c:pt idx="2">
                  <c:v>0.3049514113836187</c:v>
                </c:pt>
              </c:numCache>
            </c:numRef>
          </c:val>
          <c:extLst>
            <c:ext xmlns:c16="http://schemas.microsoft.com/office/drawing/2014/chart" uri="{C3380CC4-5D6E-409C-BE32-E72D297353CC}">
              <c16:uniqueId val="{00000006-08C3-4E39-A53B-DDB65324AB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82867628858321"/>
          <c:y val="8.3075909628943456E-2"/>
          <c:w val="0.61762431561652154"/>
          <c:h val="0.62973434203077561"/>
        </c:manualLayout>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rgbClr val="FEDE8F"/>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D778-4BB1-BC99-ECC34F009256}"/>
              </c:ext>
            </c:extLst>
          </c:dPt>
          <c:dPt>
            <c:idx val="1"/>
            <c:bubble3D val="0"/>
            <c:spPr>
              <a:solidFill>
                <a:srgbClr val="CE941F"/>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D778-4BB1-BC99-ECC34F009256}"/>
              </c:ext>
            </c:extLst>
          </c:dPt>
          <c:dPt>
            <c:idx val="2"/>
            <c:bubble3D val="0"/>
            <c:spPr>
              <a:solidFill>
                <a:srgbClr val="BAB4B4"/>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D778-4BB1-BC99-ECC34F009256}"/>
              </c:ext>
            </c:extLst>
          </c:dPt>
          <c:dLbls>
            <c:dLbl>
              <c:idx val="0"/>
              <c:layout>
                <c:manualLayout>
                  <c:x val="-7.6587957435072657E-3"/>
                  <c:y val="2.13942668931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78-4BB1-BC99-ECC34F009256}"/>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6="http://schemas.microsoft.com/office/drawing/2014/chart" uri="{C3380CC4-5D6E-409C-BE32-E72D297353CC}">
                  <c16:uniqueId val="{00000003-D778-4BB1-BC99-ECC34F00925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TITULARES!$AD$3:$AD$5</c:f>
              <c:strCache>
                <c:ptCount val="3"/>
                <c:pt idx="0">
                  <c:v>Con alguna discapacidad</c:v>
                </c:pt>
                <c:pt idx="1">
                  <c:v>Sin discapacidad</c:v>
                </c:pt>
                <c:pt idx="2">
                  <c:v>No se sabe</c:v>
                </c:pt>
              </c:strCache>
            </c:strRef>
          </c:cat>
          <c:val>
            <c:numRef>
              <c:f>TITULARES!$AF$3:$AF$5</c:f>
              <c:numCache>
                <c:formatCode>0.0%</c:formatCode>
                <c:ptCount val="3"/>
                <c:pt idx="0">
                  <c:v>8.7922258213789916E-3</c:v>
                </c:pt>
                <c:pt idx="1">
                  <c:v>0.73160573808422025</c:v>
                </c:pt>
                <c:pt idx="2">
                  <c:v>0.25960203609440075</c:v>
                </c:pt>
              </c:numCache>
            </c:numRef>
          </c:val>
          <c:extLst>
            <c:ext xmlns:c16="http://schemas.microsoft.com/office/drawing/2014/chart" uri="{C3380CC4-5D6E-409C-BE32-E72D297353CC}">
              <c16:uniqueId val="{00000006-D778-4BB1-BC99-ECC34F00925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529053393873211"/>
          <c:y val="0.75764545056867894"/>
          <c:w val="0.74995421192788858"/>
          <c:h val="0.21457677165354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PERSONAL!$Q$6</c:f>
              <c:strCache>
                <c:ptCount val="1"/>
                <c:pt idx="0">
                  <c:v>Hombres</c:v>
                </c:pt>
              </c:strCache>
            </c:strRef>
          </c:tx>
          <c:spPr>
            <a:solidFill>
              <a:srgbClr val="8E61A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PERSONAL!$P$7:$P$17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PERSONAL!$Q$7:$Q$17</c:f>
              <c:numCache>
                <c:formatCode>#,##0</c:formatCode>
                <c:ptCount val="11"/>
                <c:pt idx="0">
                  <c:v>852903</c:v>
                </c:pt>
                <c:pt idx="1">
                  <c:v>843824</c:v>
                </c:pt>
                <c:pt idx="2">
                  <c:v>932500</c:v>
                </c:pt>
                <c:pt idx="3">
                  <c:v>1018751</c:v>
                </c:pt>
                <c:pt idx="4">
                  <c:v>1129806</c:v>
                </c:pt>
                <c:pt idx="5">
                  <c:v>1080474</c:v>
                </c:pt>
                <c:pt idx="6">
                  <c:v>1124995</c:v>
                </c:pt>
                <c:pt idx="7">
                  <c:v>1157470</c:v>
                </c:pt>
                <c:pt idx="8">
                  <c:v>1145844</c:v>
                </c:pt>
                <c:pt idx="9">
                  <c:v>1153534</c:v>
                </c:pt>
                <c:pt idx="10">
                  <c:v>1043257</c:v>
                </c:pt>
              </c:numCache>
            </c:numRef>
          </c:val>
          <c:extLst>
            <c:ext xmlns:c16="http://schemas.microsoft.com/office/drawing/2014/chart" uri="{C3380CC4-5D6E-409C-BE32-E72D297353CC}">
              <c16:uniqueId val="{00000000-A2B0-4D12-8E02-C9C3514E5D6C}"/>
            </c:ext>
          </c:extLst>
        </c:ser>
        <c:ser>
          <c:idx val="1"/>
          <c:order val="1"/>
          <c:tx>
            <c:strRef>
              <c:f>PERSONAL!$R$6</c:f>
              <c:strCache>
                <c:ptCount val="1"/>
                <c:pt idx="0">
                  <c:v>Mujeres</c:v>
                </c:pt>
              </c:strCache>
            </c:strRef>
          </c:tx>
          <c:spPr>
            <a:solidFill>
              <a:srgbClr val="ECB538"/>
            </a:solidFill>
            <a:ln>
              <a:noFill/>
            </a:ln>
            <a:effectLst>
              <a:outerShdw blurRad="50800" dist="38100" algn="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PERSONAL!$P$7:$P$17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PERSONAL!$R$7:$R$17</c:f>
              <c:numCache>
                <c:formatCode>#,##0</c:formatCode>
                <c:ptCount val="11"/>
                <c:pt idx="0">
                  <c:v>851665</c:v>
                </c:pt>
                <c:pt idx="1">
                  <c:v>834704</c:v>
                </c:pt>
                <c:pt idx="2">
                  <c:v>981675</c:v>
                </c:pt>
                <c:pt idx="3">
                  <c:v>1104864</c:v>
                </c:pt>
                <c:pt idx="4">
                  <c:v>1264829</c:v>
                </c:pt>
                <c:pt idx="5">
                  <c:v>1203178</c:v>
                </c:pt>
                <c:pt idx="6">
                  <c:v>1282948</c:v>
                </c:pt>
                <c:pt idx="7">
                  <c:v>1344031</c:v>
                </c:pt>
                <c:pt idx="8">
                  <c:v>1361714</c:v>
                </c:pt>
                <c:pt idx="9">
                  <c:v>1416909</c:v>
                </c:pt>
                <c:pt idx="10">
                  <c:v>1342949</c:v>
                </c:pt>
              </c:numCache>
            </c:numRef>
          </c:val>
          <c:extLst>
            <c:ext xmlns:c16="http://schemas.microsoft.com/office/drawing/2014/chart" uri="{C3380CC4-5D6E-409C-BE32-E72D297353CC}">
              <c16:uniqueId val="{00000001-A2B0-4D12-8E02-C9C3514E5D6C}"/>
            </c:ext>
          </c:extLst>
        </c:ser>
        <c:dLbls>
          <c:showLegendKey val="0"/>
          <c:showVal val="0"/>
          <c:showCatName val="0"/>
          <c:showSerName val="0"/>
          <c:showPercent val="0"/>
          <c:showBubbleSize val="0"/>
        </c:dLbls>
        <c:gapWidth val="70"/>
        <c:overlap val="-27"/>
        <c:axId val="816583727"/>
        <c:axId val="816584975"/>
      </c:barChart>
      <c:lineChart>
        <c:grouping val="standard"/>
        <c:varyColors val="0"/>
        <c:ser>
          <c:idx val="2"/>
          <c:order val="2"/>
          <c:tx>
            <c:strRef>
              <c:f>PERSONAL!$S$6</c:f>
              <c:strCache>
                <c:ptCount val="1"/>
                <c:pt idx="0">
                  <c:v>Total</c:v>
                </c:pt>
              </c:strCache>
            </c:strRef>
          </c:tx>
          <c:spPr>
            <a:ln w="28575" cap="rnd">
              <a:solidFill>
                <a:srgbClr val="08497F"/>
              </a:solidFill>
              <a:round/>
            </a:ln>
            <a:effectLst>
              <a:outerShdw blurRad="50800" dist="38100" dir="2700000" algn="tl" rotWithShape="0">
                <a:prstClr val="black">
                  <a:alpha val="40000"/>
                </a:prstClr>
              </a:outerShdw>
            </a:effectLst>
          </c:spPr>
          <c:marker>
            <c:symbol val="diamond"/>
            <c:size val="10"/>
            <c:spPr>
              <a:solidFill>
                <a:srgbClr val="08497F"/>
              </a:solidFill>
              <a:ln w="9525">
                <a:solidFill>
                  <a:srgbClr val="08497F"/>
                </a:solidFill>
              </a:ln>
              <a:effectLst>
                <a:outerShdw blurRad="50800" dist="38100" dir="2700000" algn="tl" rotWithShape="0">
                  <a:prstClr val="black">
                    <a:alpha val="40000"/>
                  </a:prstClr>
                </a:outerShdw>
              </a:effectLst>
            </c:spPr>
          </c:marker>
          <c:dLbls>
            <c:dLbl>
              <c:idx val="0"/>
              <c:layout>
                <c:manualLayout>
                  <c:x val="-8.2017434072584758E-2"/>
                  <c:y val="-4.467825400754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B0-4D12-8E02-C9C3514E5D6C}"/>
                </c:ext>
              </c:extLst>
            </c:dLbl>
            <c:dLbl>
              <c:idx val="1"/>
              <c:layout>
                <c:manualLayout>
                  <c:x val="-6.9209238118078664E-2"/>
                  <c:y val="5.5792687047192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B0-4D12-8E02-C9C3514E5D6C}"/>
                </c:ext>
              </c:extLst>
            </c:dLbl>
            <c:dLbl>
              <c:idx val="2"/>
              <c:layout>
                <c:manualLayout>
                  <c:x val="-0.10507218679069573"/>
                  <c:y val="-5.7237121639390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B0-4D12-8E02-C9C3514E5D6C}"/>
                </c:ext>
              </c:extLst>
            </c:dLbl>
            <c:dLbl>
              <c:idx val="3"/>
              <c:layout>
                <c:manualLayout>
                  <c:x val="-2.3099732681856715E-2"/>
                  <c:y val="4.3233819415350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B0-4D12-8E02-C9C3514E5D6C}"/>
                </c:ext>
              </c:extLst>
            </c:dLbl>
            <c:dLbl>
              <c:idx val="5"/>
              <c:layout>
                <c:manualLayout>
                  <c:x val="-3.8469567827264031E-2"/>
                  <c:y val="5.5792687047192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B0-4D12-8E02-C9C3514E5D6C}"/>
                </c:ext>
              </c:extLst>
            </c:dLbl>
            <c:dLbl>
              <c:idx val="6"/>
              <c:layout>
                <c:manualLayout>
                  <c:x val="-6.4085959736276218E-2"/>
                  <c:y val="-6.1423410850004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B0-4D12-8E02-C9C3514E5D6C}"/>
                </c:ext>
              </c:extLst>
            </c:dLbl>
            <c:dLbl>
              <c:idx val="7"/>
              <c:layout>
                <c:manualLayout>
                  <c:x val="-7.1770877308979977E-2"/>
                  <c:y val="5.1606397836578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B0-4D12-8E02-C9C3514E5D6C}"/>
                </c:ext>
              </c:extLst>
            </c:dLbl>
            <c:dLbl>
              <c:idx val="8"/>
              <c:layout>
                <c:manualLayout>
                  <c:x val="-7.177087730897988E-2"/>
                  <c:y val="-6.1423410850004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B0-4D12-8E02-C9C3514E5D6C}"/>
                </c:ext>
              </c:extLst>
            </c:dLbl>
            <c:dLbl>
              <c:idx val="9"/>
              <c:layout>
                <c:manualLayout>
                  <c:x val="-8.714071245438719E-2"/>
                  <c:y val="4.742010862596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B0-4D12-8E02-C9C3514E5D6C}"/>
                </c:ext>
              </c:extLst>
            </c:dLbl>
            <c:dLbl>
              <c:idx val="10"/>
              <c:layout>
                <c:manualLayout>
                  <c:x val="-1.8619284544259176E-3"/>
                  <c:y val="-5.7237121639390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B0-4D12-8E02-C9C3514E5D6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PERSONAL!$P$7:$P$17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PERSONAL!$S$7:$S$17</c:f>
              <c:numCache>
                <c:formatCode>#,##0</c:formatCode>
                <c:ptCount val="11"/>
                <c:pt idx="0">
                  <c:v>1704568</c:v>
                </c:pt>
                <c:pt idx="1">
                  <c:v>1678528</c:v>
                </c:pt>
                <c:pt idx="2">
                  <c:v>1941071</c:v>
                </c:pt>
                <c:pt idx="3">
                  <c:v>2233749</c:v>
                </c:pt>
                <c:pt idx="4">
                  <c:v>2394635</c:v>
                </c:pt>
                <c:pt idx="5">
                  <c:v>2283652</c:v>
                </c:pt>
                <c:pt idx="6">
                  <c:v>2407943</c:v>
                </c:pt>
                <c:pt idx="7">
                  <c:v>2501501</c:v>
                </c:pt>
                <c:pt idx="8">
                  <c:v>2507558</c:v>
                </c:pt>
                <c:pt idx="9">
                  <c:v>2570443</c:v>
                </c:pt>
                <c:pt idx="10">
                  <c:v>2386206</c:v>
                </c:pt>
              </c:numCache>
            </c:numRef>
          </c:val>
          <c:smooth val="0"/>
          <c:extLst>
            <c:ext xmlns:c16="http://schemas.microsoft.com/office/drawing/2014/chart" uri="{C3380CC4-5D6E-409C-BE32-E72D297353CC}">
              <c16:uniqueId val="{0000000C-A2B0-4D12-8E02-C9C3514E5D6C}"/>
            </c:ext>
          </c:extLst>
        </c:ser>
        <c:dLbls>
          <c:showLegendKey val="0"/>
          <c:showVal val="0"/>
          <c:showCatName val="0"/>
          <c:showSerName val="0"/>
          <c:showPercent val="0"/>
          <c:showBubbleSize val="0"/>
        </c:dLbls>
        <c:marker val="1"/>
        <c:smooth val="0"/>
        <c:axId val="816583727"/>
        <c:axId val="816584975"/>
      </c:lineChart>
      <c:catAx>
        <c:axId val="8165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16584975"/>
        <c:crosses val="autoZero"/>
        <c:auto val="1"/>
        <c:lblAlgn val="ctr"/>
        <c:lblOffset val="100"/>
        <c:noMultiLvlLbl val="0"/>
      </c:catAx>
      <c:valAx>
        <c:axId val="816584975"/>
        <c:scaling>
          <c:orientation val="minMax"/>
        </c:scaling>
        <c:delete val="1"/>
        <c:axPos val="l"/>
        <c:numFmt formatCode="#,##0" sourceLinked="1"/>
        <c:majorTickMark val="none"/>
        <c:minorTickMark val="none"/>
        <c:tickLblPos val="nextTo"/>
        <c:crossAx val="8165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64718838615325E-2"/>
          <c:y val="0.15277777777777779"/>
          <c:w val="0.96107056232276933"/>
          <c:h val="0.37320297788055301"/>
        </c:manualLayout>
      </c:layout>
      <c:barChart>
        <c:barDir val="col"/>
        <c:grouping val="clustered"/>
        <c:varyColors val="0"/>
        <c:ser>
          <c:idx val="0"/>
          <c:order val="0"/>
          <c:tx>
            <c:strRef>
              <c:f>PERSONAL!$ER$4</c:f>
              <c:strCache>
                <c:ptCount val="1"/>
                <c:pt idx="0">
                  <c:v>2020</c:v>
                </c:pt>
              </c:strCache>
            </c:strRef>
          </c:tx>
          <c:spPr>
            <a:solidFill>
              <a:srgbClr val="08497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PERSONAL!$EQ$5:$EQ$17</c:f>
              <c:strCache>
                <c:ptCount val="13"/>
                <c:pt idx="0">
                  <c:v>Programas de 
capacitación</c:v>
                </c:pt>
                <c:pt idx="1">
                  <c:v>Actualización de 
perfiles de puesto</c:v>
                </c:pt>
                <c:pt idx="2">
                  <c:v>Reclutamiento, 
selección e 
inducción</c:v>
                </c:pt>
                <c:pt idx="3">
                  <c:v>Mecanismos de 
evaluación del 
desempeño</c:v>
                </c:pt>
                <c:pt idx="4">
                  <c:v>Diseño y selección 
de pruebas de 
ingreso</c:v>
                </c:pt>
                <c:pt idx="5">
                  <c:v>Diseño y validación 
de competencias</c:v>
                </c:pt>
                <c:pt idx="6">
                  <c:v>Evaluación de 
impacto de la 
capacitación</c:v>
                </c:pt>
                <c:pt idx="7">
                  <c:v>Programas de 
estímulos 
y recompensas</c:v>
                </c:pt>
                <c:pt idx="8">
                  <c:v>Diseño curricular</c:v>
                </c:pt>
                <c:pt idx="9">
                  <c:v>Concursos públicos 
y abiertos para la 
contratación</c:v>
                </c:pt>
                <c:pt idx="10">
                  <c:v>Servicio civil 
de carrera </c:v>
                </c:pt>
                <c:pt idx="11">
                  <c:v>Separación 
del servicio</c:v>
                </c:pt>
                <c:pt idx="12">
                  <c:v>Otros</c:v>
                </c:pt>
              </c:strCache>
            </c:strRef>
          </c:cat>
          <c:val>
            <c:numRef>
              <c:f>PERSONAL!$ER$5:$ER$17</c:f>
              <c:numCache>
                <c:formatCode>#,##0</c:formatCode>
                <c:ptCount val="13"/>
                <c:pt idx="0">
                  <c:v>1247</c:v>
                </c:pt>
                <c:pt idx="1">
                  <c:v>832</c:v>
                </c:pt>
                <c:pt idx="2">
                  <c:v>800</c:v>
                </c:pt>
                <c:pt idx="3">
                  <c:v>581</c:v>
                </c:pt>
                <c:pt idx="4">
                  <c:v>509</c:v>
                </c:pt>
                <c:pt idx="5">
                  <c:v>431</c:v>
                </c:pt>
                <c:pt idx="6">
                  <c:v>427</c:v>
                </c:pt>
                <c:pt idx="7">
                  <c:v>407</c:v>
                </c:pt>
                <c:pt idx="8">
                  <c:v>310</c:v>
                </c:pt>
                <c:pt idx="9">
                  <c:v>256</c:v>
                </c:pt>
                <c:pt idx="10">
                  <c:v>231</c:v>
                </c:pt>
                <c:pt idx="11">
                  <c:v>150</c:v>
                </c:pt>
                <c:pt idx="12">
                  <c:v>33</c:v>
                </c:pt>
              </c:numCache>
            </c:numRef>
          </c:val>
          <c:extLst>
            <c:ext xmlns:c16="http://schemas.microsoft.com/office/drawing/2014/chart" uri="{C3380CC4-5D6E-409C-BE32-E72D297353CC}">
              <c16:uniqueId val="{00000000-D99A-45A3-B775-A89A3F0C20EF}"/>
            </c:ext>
          </c:extLst>
        </c:ser>
        <c:ser>
          <c:idx val="1"/>
          <c:order val="1"/>
          <c:tx>
            <c:strRef>
              <c:f>PERSONAL!$ES$4</c:f>
              <c:strCache>
                <c:ptCount val="1"/>
                <c:pt idx="0">
                  <c:v>2019</c:v>
                </c:pt>
              </c:strCache>
            </c:strRef>
          </c:tx>
          <c:spPr>
            <a:solidFill>
              <a:srgbClr val="ECB538"/>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PERSONAL!$EQ$5:$EQ$17</c:f>
              <c:strCache>
                <c:ptCount val="13"/>
                <c:pt idx="0">
                  <c:v>Programas de 
capacitación</c:v>
                </c:pt>
                <c:pt idx="1">
                  <c:v>Actualización de 
perfiles de puesto</c:v>
                </c:pt>
                <c:pt idx="2">
                  <c:v>Reclutamiento, 
selección e 
inducción</c:v>
                </c:pt>
                <c:pt idx="3">
                  <c:v>Mecanismos de 
evaluación del 
desempeño</c:v>
                </c:pt>
                <c:pt idx="4">
                  <c:v>Diseño y selección 
de pruebas de 
ingreso</c:v>
                </c:pt>
                <c:pt idx="5">
                  <c:v>Diseño y validación 
de competencias</c:v>
                </c:pt>
                <c:pt idx="6">
                  <c:v>Evaluación de 
impacto de la 
capacitación</c:v>
                </c:pt>
                <c:pt idx="7">
                  <c:v>Programas de 
estímulos 
y recompensas</c:v>
                </c:pt>
                <c:pt idx="8">
                  <c:v>Diseño curricular</c:v>
                </c:pt>
                <c:pt idx="9">
                  <c:v>Concursos públicos 
y abiertos para la 
contratación</c:v>
                </c:pt>
                <c:pt idx="10">
                  <c:v>Servicio civil 
de carrera </c:v>
                </c:pt>
                <c:pt idx="11">
                  <c:v>Separación 
del servicio</c:v>
                </c:pt>
                <c:pt idx="12">
                  <c:v>Otros</c:v>
                </c:pt>
              </c:strCache>
            </c:strRef>
          </c:cat>
          <c:val>
            <c:numRef>
              <c:f>PERSONAL!$ES$5:$ES$17</c:f>
              <c:numCache>
                <c:formatCode>#,##0</c:formatCode>
                <c:ptCount val="13"/>
                <c:pt idx="0">
                  <c:v>1300</c:v>
                </c:pt>
                <c:pt idx="1">
                  <c:v>678</c:v>
                </c:pt>
                <c:pt idx="2">
                  <c:v>878</c:v>
                </c:pt>
                <c:pt idx="3">
                  <c:v>592</c:v>
                </c:pt>
                <c:pt idx="4">
                  <c:v>647</c:v>
                </c:pt>
                <c:pt idx="5">
                  <c:v>451</c:v>
                </c:pt>
                <c:pt idx="6">
                  <c:v>532</c:v>
                </c:pt>
                <c:pt idx="7">
                  <c:v>422</c:v>
                </c:pt>
                <c:pt idx="8">
                  <c:v>480</c:v>
                </c:pt>
                <c:pt idx="9">
                  <c:v>307</c:v>
                </c:pt>
                <c:pt idx="10">
                  <c:v>185</c:v>
                </c:pt>
                <c:pt idx="11">
                  <c:v>203</c:v>
                </c:pt>
                <c:pt idx="12">
                  <c:v>82</c:v>
                </c:pt>
              </c:numCache>
            </c:numRef>
          </c:val>
          <c:extLst>
            <c:ext xmlns:c16="http://schemas.microsoft.com/office/drawing/2014/chart" uri="{C3380CC4-5D6E-409C-BE32-E72D297353CC}">
              <c16:uniqueId val="{00000001-D99A-45A3-B775-A89A3F0C20EF}"/>
            </c:ext>
          </c:extLst>
        </c:ser>
        <c:dLbls>
          <c:showLegendKey val="0"/>
          <c:showVal val="0"/>
          <c:showCatName val="0"/>
          <c:showSerName val="0"/>
          <c:showPercent val="0"/>
          <c:showBubbleSize val="0"/>
        </c:dLbls>
        <c:gapWidth val="219"/>
        <c:overlap val="-27"/>
        <c:axId val="281118256"/>
        <c:axId val="281128656"/>
      </c:barChart>
      <c:catAx>
        <c:axId val="28111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1128656"/>
        <c:crosses val="autoZero"/>
        <c:auto val="1"/>
        <c:lblAlgn val="ctr"/>
        <c:lblOffset val="100"/>
        <c:noMultiLvlLbl val="0"/>
      </c:catAx>
      <c:valAx>
        <c:axId val="281128656"/>
        <c:scaling>
          <c:orientation val="minMax"/>
        </c:scaling>
        <c:delete val="1"/>
        <c:axPos val="l"/>
        <c:numFmt formatCode="#,##0" sourceLinked="1"/>
        <c:majorTickMark val="none"/>
        <c:minorTickMark val="none"/>
        <c:tickLblPos val="nextTo"/>
        <c:crossAx val="281118256"/>
        <c:crosses val="autoZero"/>
        <c:crossBetween val="between"/>
      </c:valAx>
      <c:spPr>
        <a:noFill/>
        <a:ln>
          <a:noFill/>
        </a:ln>
        <a:effectLst/>
      </c:spPr>
    </c:plotArea>
    <c:legend>
      <c:legendPos val="b"/>
      <c:layout>
        <c:manualLayout>
          <c:xMode val="edge"/>
          <c:yMode val="edge"/>
          <c:x val="0.4388367578313066"/>
          <c:y val="0.92641590804866869"/>
          <c:w val="0.12232648433738683"/>
          <c:h val="7.358409195133136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PRESUPUESTO!$B$9</c:f>
              <c:strCache>
                <c:ptCount val="1"/>
                <c:pt idx="0">
                  <c:v>Total</c:v>
                </c:pt>
              </c:strCache>
            </c:strRef>
          </c:tx>
          <c:spPr>
            <a:ln w="28575" cap="sq">
              <a:solidFill>
                <a:srgbClr val="58267A"/>
              </a:solidFill>
              <a:round/>
            </a:ln>
            <a:effectLst>
              <a:outerShdw blurRad="50800" dist="38100" dir="2700000" algn="tl" rotWithShape="0">
                <a:prstClr val="black">
                  <a:alpha val="40000"/>
                </a:prstClr>
              </a:outerShdw>
            </a:effectLst>
          </c:spPr>
          <c:marker>
            <c:symbol val="diamond"/>
            <c:size val="10"/>
            <c:spPr>
              <a:solidFill>
                <a:srgbClr val="58267A"/>
              </a:solidFill>
              <a:ln w="9525">
                <a:solidFill>
                  <a:srgbClr val="58267A"/>
                </a:solidFill>
              </a:ln>
              <a:effectLst>
                <a:outerShdw blurRad="50800" dist="38100" dir="2700000" algn="tl" rotWithShape="0">
                  <a:prstClr val="black">
                    <a:alpha val="40000"/>
                  </a:prstClr>
                </a:outerShdw>
              </a:effectLst>
            </c:spPr>
          </c:marker>
          <c:dLbls>
            <c:dLbl>
              <c:idx val="0"/>
              <c:layout>
                <c:manualLayout>
                  <c:x val="-0.14660218119286814"/>
                  <c:y val="-9.4146595646132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DE-46F7-8E61-23599A43D1C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PRESUPUESTO!$A$10:$A$14</c:f>
              <c:numCache>
                <c:formatCode>General</c:formatCode>
                <c:ptCount val="5"/>
                <c:pt idx="0">
                  <c:v>2016</c:v>
                </c:pt>
                <c:pt idx="1">
                  <c:v>2017</c:v>
                </c:pt>
                <c:pt idx="2">
                  <c:v>2018</c:v>
                </c:pt>
                <c:pt idx="3">
                  <c:v>2019</c:v>
                </c:pt>
                <c:pt idx="4">
                  <c:v>2020</c:v>
                </c:pt>
              </c:numCache>
            </c:numRef>
          </c:cat>
          <c:val>
            <c:numRef>
              <c:f>PRESUPUESTO!$B$10:$B$14</c:f>
              <c:numCache>
                <c:formatCode>#,##0.0</c:formatCode>
                <c:ptCount val="5"/>
                <c:pt idx="0">
                  <c:v>1703391.4141199996</c:v>
                </c:pt>
                <c:pt idx="1">
                  <c:v>1944715.7824797498</c:v>
                </c:pt>
                <c:pt idx="2">
                  <c:v>1919301.8918319503</c:v>
                </c:pt>
                <c:pt idx="3">
                  <c:v>1859880.3299545802</c:v>
                </c:pt>
                <c:pt idx="4">
                  <c:v>1799264.0423527332</c:v>
                </c:pt>
              </c:numCache>
            </c:numRef>
          </c:val>
          <c:smooth val="0"/>
          <c:extLst>
            <c:ext xmlns:c16="http://schemas.microsoft.com/office/drawing/2014/chart" uri="{C3380CC4-5D6E-409C-BE32-E72D297353CC}">
              <c16:uniqueId val="{00000001-24DE-46F7-8E61-23599A43D1CD}"/>
            </c:ext>
          </c:extLst>
        </c:ser>
        <c:dLbls>
          <c:showLegendKey val="0"/>
          <c:showVal val="0"/>
          <c:showCatName val="0"/>
          <c:showSerName val="0"/>
          <c:showPercent val="0"/>
          <c:showBubbleSize val="0"/>
        </c:dLbls>
        <c:marker val="1"/>
        <c:smooth val="0"/>
        <c:axId val="287647552"/>
        <c:axId val="287645472"/>
      </c:lineChart>
      <c:catAx>
        <c:axId val="2876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7645472"/>
        <c:crosses val="autoZero"/>
        <c:auto val="1"/>
        <c:lblAlgn val="ctr"/>
        <c:lblOffset val="100"/>
        <c:noMultiLvlLbl val="0"/>
      </c:catAx>
      <c:valAx>
        <c:axId val="287645472"/>
        <c:scaling>
          <c:orientation val="minMax"/>
          <c:max val="2000000"/>
          <c:min val="1500000"/>
        </c:scaling>
        <c:delete val="1"/>
        <c:axPos val="l"/>
        <c:numFmt formatCode="#,##0.0" sourceLinked="1"/>
        <c:majorTickMark val="none"/>
        <c:minorTickMark val="none"/>
        <c:tickLblPos val="nextTo"/>
        <c:crossAx val="28764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0FED62C-0DCA-4E9E-97FB-C40C75E37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4663</Words>
  <Characters>25647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Comunicado. Resultados del Censo Nacional de Gobiernos Estatales (CNGE) 2021</vt:lpstr>
    </vt:vector>
  </TitlesOfParts>
  <Manager>INEGI</Manager>
  <Company/>
  <LinksUpToDate>false</LinksUpToDate>
  <CharactersWithSpaces>30250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Resultados del Censo Nacional de Gobiernos Estatales (CNGE) 2021</dc:title>
  <dc:subject/>
  <dc:creator>INEGI</dc:creator>
  <cp:keywords>Resultados del Censo Nacional de Gobiernos Estatales (CNGE) 2021</cp:keywords>
  <dc:description/>
  <cp:lastModifiedBy>GUILLEN MEDINA MOISES</cp:lastModifiedBy>
  <cp:revision>19</cp:revision>
  <cp:lastPrinted>2021-08-21T05:19:00Z</cp:lastPrinted>
  <dcterms:created xsi:type="dcterms:W3CDTF">2021-08-31T17:05:00Z</dcterms:created>
  <dcterms:modified xsi:type="dcterms:W3CDTF">2021-09-01T00:47:00Z</dcterms:modified>
</cp:coreProperties>
</file>