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E373C" w14:textId="77777777" w:rsidR="009C017E" w:rsidRDefault="00F47EF4" w:rsidP="00FB748F">
      <w:pPr>
        <w:tabs>
          <w:tab w:val="left" w:pos="1095"/>
          <w:tab w:val="center" w:pos="4419"/>
        </w:tabs>
        <w:spacing w:after="0" w:line="240" w:lineRule="auto"/>
        <w:rPr>
          <w:rFonts w:ascii="Arial" w:hAnsi="Arial" w:cs="Arial"/>
          <w:b/>
          <w:sz w:val="24"/>
          <w:szCs w:val="24"/>
        </w:rPr>
      </w:pPr>
      <w:bookmarkStart w:id="0" w:name="_Hlk88644236"/>
      <w:bookmarkEnd w:id="0"/>
      <w:r>
        <w:rPr>
          <w:rFonts w:ascii="Arial" w:hAnsi="Arial" w:cs="Arial"/>
          <w:b/>
          <w:sz w:val="24"/>
          <w:szCs w:val="24"/>
        </w:rPr>
        <w:tab/>
      </w:r>
      <w:r>
        <w:rPr>
          <w:rFonts w:ascii="Arial" w:hAnsi="Arial" w:cs="Arial"/>
          <w:b/>
          <w:sz w:val="24"/>
          <w:szCs w:val="24"/>
        </w:rPr>
        <w:tab/>
      </w:r>
    </w:p>
    <w:p w14:paraId="2BB9A801" w14:textId="270848D1" w:rsidR="009C017E" w:rsidRDefault="009C017E" w:rsidP="00C63DD9">
      <w:pPr>
        <w:spacing w:after="0" w:line="240" w:lineRule="auto"/>
        <w:ind w:left="-567" w:right="-518"/>
        <w:jc w:val="center"/>
        <w:rPr>
          <w:rFonts w:ascii="Arial" w:hAnsi="Arial" w:cs="Arial"/>
          <w:b/>
          <w:sz w:val="24"/>
          <w:szCs w:val="24"/>
        </w:rPr>
      </w:pPr>
      <w:bookmarkStart w:id="1" w:name="_GoBack"/>
      <w:bookmarkEnd w:id="1"/>
      <w:r>
        <w:rPr>
          <w:rFonts w:ascii="Arial" w:hAnsi="Arial" w:cs="Arial"/>
          <w:b/>
          <w:sz w:val="24"/>
          <w:szCs w:val="24"/>
        </w:rPr>
        <w:t>ENCUESTA ANUAL DE EMPRESAS CONSTRUCTORAS (EAEC)</w:t>
      </w:r>
      <w:r w:rsidR="00C10898">
        <w:rPr>
          <w:rFonts w:ascii="Arial" w:hAnsi="Arial" w:cs="Arial"/>
          <w:b/>
          <w:sz w:val="24"/>
          <w:szCs w:val="24"/>
        </w:rPr>
        <w:t xml:space="preserve"> 2020</w:t>
      </w:r>
    </w:p>
    <w:p w14:paraId="0C6EF27A" w14:textId="77777777" w:rsidR="009C017E" w:rsidRPr="00A4209B" w:rsidRDefault="009C017E" w:rsidP="00C63DD9">
      <w:pPr>
        <w:spacing w:after="0" w:line="240" w:lineRule="auto"/>
        <w:ind w:left="-567" w:right="-518"/>
        <w:jc w:val="center"/>
        <w:rPr>
          <w:rFonts w:ascii="Arial" w:hAnsi="Arial" w:cs="Arial"/>
          <w:b/>
          <w:sz w:val="24"/>
          <w:szCs w:val="24"/>
        </w:rPr>
      </w:pPr>
      <w:r>
        <w:rPr>
          <w:rFonts w:ascii="Arial" w:hAnsi="Arial" w:cs="Arial"/>
          <w:b/>
          <w:sz w:val="24"/>
          <w:szCs w:val="24"/>
        </w:rPr>
        <w:t>CIFRAS PRELIMINARES</w:t>
      </w:r>
    </w:p>
    <w:p w14:paraId="1758EA12" w14:textId="77777777" w:rsidR="009C017E" w:rsidRDefault="009C017E" w:rsidP="00C63DD9">
      <w:pPr>
        <w:tabs>
          <w:tab w:val="left" w:pos="1095"/>
          <w:tab w:val="center" w:pos="4419"/>
        </w:tabs>
        <w:spacing w:after="0" w:line="240" w:lineRule="auto"/>
        <w:ind w:left="-567" w:right="-518"/>
        <w:rPr>
          <w:rFonts w:ascii="Arial" w:hAnsi="Arial" w:cs="Arial"/>
          <w:b/>
          <w:sz w:val="24"/>
          <w:szCs w:val="24"/>
        </w:rPr>
      </w:pPr>
    </w:p>
    <w:p w14:paraId="49186D69" w14:textId="77777777" w:rsidR="00C10898" w:rsidRDefault="009C017E" w:rsidP="00C63DD9">
      <w:pPr>
        <w:spacing w:after="0" w:line="240" w:lineRule="auto"/>
        <w:ind w:left="-567" w:right="-518"/>
        <w:jc w:val="both"/>
        <w:rPr>
          <w:rFonts w:ascii="Arial" w:eastAsia="Times New Roman" w:hAnsi="Arial" w:cs="Arial"/>
          <w:lang w:eastAsia="es-MX"/>
        </w:rPr>
      </w:pPr>
      <w:r w:rsidRPr="005F52E0">
        <w:rPr>
          <w:rFonts w:ascii="Arial" w:eastAsia="Times New Roman" w:hAnsi="Arial" w:cs="Arial"/>
          <w:lang w:eastAsia="es-MX"/>
        </w:rPr>
        <w:t xml:space="preserve">El Instituto Nacional de Estadística y Geografía (INEGI) presenta los resultados </w:t>
      </w:r>
      <w:r w:rsidR="00C10898">
        <w:rPr>
          <w:rFonts w:ascii="Arial" w:eastAsia="Times New Roman" w:hAnsi="Arial" w:cs="Arial"/>
          <w:lang w:eastAsia="es-MX"/>
        </w:rPr>
        <w:t xml:space="preserve">preliminares </w:t>
      </w:r>
      <w:r w:rsidRPr="005F52E0">
        <w:rPr>
          <w:rFonts w:ascii="Arial" w:eastAsia="Times New Roman" w:hAnsi="Arial" w:cs="Arial"/>
          <w:lang w:eastAsia="es-MX"/>
        </w:rPr>
        <w:t>de la Encuesta Anual de Empresas Constructoras (EAEC) 2020</w:t>
      </w:r>
      <w:r w:rsidR="00C10898">
        <w:rPr>
          <w:rFonts w:ascii="Arial" w:eastAsia="Times New Roman" w:hAnsi="Arial" w:cs="Arial"/>
          <w:lang w:eastAsia="es-MX"/>
        </w:rPr>
        <w:t xml:space="preserve">, </w:t>
      </w:r>
      <w:r w:rsidR="005F76D1">
        <w:rPr>
          <w:rFonts w:ascii="Arial" w:eastAsia="Times New Roman" w:hAnsi="Arial" w:cs="Arial"/>
          <w:lang w:eastAsia="es-MX"/>
        </w:rPr>
        <w:t>que permiten evaluar</w:t>
      </w:r>
      <w:r w:rsidRPr="005F52E0">
        <w:rPr>
          <w:rFonts w:ascii="Arial" w:eastAsia="Times New Roman" w:hAnsi="Arial" w:cs="Arial"/>
          <w:lang w:eastAsia="es-MX"/>
        </w:rPr>
        <w:t xml:space="preserve"> el comportamiento económico de </w:t>
      </w:r>
      <w:r w:rsidR="00C10898">
        <w:rPr>
          <w:rFonts w:ascii="Arial" w:eastAsia="Times New Roman" w:hAnsi="Arial" w:cs="Arial"/>
          <w:lang w:eastAsia="es-MX"/>
        </w:rPr>
        <w:t xml:space="preserve">la </w:t>
      </w:r>
      <w:r w:rsidRPr="005F52E0">
        <w:rPr>
          <w:rFonts w:ascii="Arial" w:eastAsia="Times New Roman" w:hAnsi="Arial" w:cs="Arial"/>
          <w:lang w:eastAsia="es-MX"/>
        </w:rPr>
        <w:t>estructura de las principales variables del sector construcción del país</w:t>
      </w:r>
      <w:r w:rsidR="00C10898">
        <w:rPr>
          <w:rFonts w:ascii="Arial" w:eastAsia="Times New Roman" w:hAnsi="Arial" w:cs="Arial"/>
          <w:lang w:eastAsia="es-MX"/>
        </w:rPr>
        <w:t>.</w:t>
      </w:r>
    </w:p>
    <w:p w14:paraId="492A29D0" w14:textId="77777777" w:rsidR="00C10898" w:rsidRDefault="00C10898" w:rsidP="00C63DD9">
      <w:pPr>
        <w:spacing w:after="0" w:line="240" w:lineRule="auto"/>
        <w:ind w:left="-567" w:right="-518"/>
        <w:jc w:val="both"/>
        <w:rPr>
          <w:rFonts w:ascii="Arial" w:eastAsia="Times New Roman" w:hAnsi="Arial" w:cs="Arial"/>
          <w:lang w:eastAsia="es-MX"/>
        </w:rPr>
      </w:pPr>
    </w:p>
    <w:p w14:paraId="7192F424" w14:textId="77777777" w:rsidR="007C5C0E" w:rsidRPr="005F52E0" w:rsidRDefault="00C10898" w:rsidP="00C63DD9">
      <w:pPr>
        <w:spacing w:after="0" w:line="240" w:lineRule="auto"/>
        <w:ind w:left="-567" w:right="-518"/>
        <w:jc w:val="both"/>
        <w:rPr>
          <w:rFonts w:ascii="Arial" w:eastAsia="Times New Roman" w:hAnsi="Arial" w:cs="Arial"/>
          <w:lang w:eastAsia="es-MX"/>
        </w:rPr>
      </w:pPr>
      <w:r>
        <w:rPr>
          <w:rFonts w:ascii="Arial" w:eastAsia="Times New Roman" w:hAnsi="Arial" w:cs="Arial"/>
          <w:lang w:eastAsia="es-MX"/>
        </w:rPr>
        <w:t>La EAC</w:t>
      </w:r>
      <w:r w:rsidR="009C017E" w:rsidRPr="005F52E0">
        <w:rPr>
          <w:rFonts w:ascii="Arial" w:eastAsia="Times New Roman" w:hAnsi="Arial" w:cs="Arial"/>
          <w:lang w:eastAsia="es-MX"/>
        </w:rPr>
        <w:t xml:space="preserve"> sirve como insumo fundamental para la generación de diversos cálculos macroeconómicos, así como de indicadores económicos relacionados con el empleo, la producción y la inversión de las empresas constructoras mexicanas. </w:t>
      </w:r>
    </w:p>
    <w:p w14:paraId="2DACF247" w14:textId="77777777" w:rsidR="009C017E" w:rsidRPr="005F52E0" w:rsidRDefault="009C017E" w:rsidP="00C63DD9">
      <w:pPr>
        <w:spacing w:after="0" w:line="240" w:lineRule="auto"/>
        <w:ind w:left="-567" w:right="-518"/>
        <w:jc w:val="both"/>
        <w:rPr>
          <w:rFonts w:ascii="Arial" w:eastAsia="Times New Roman" w:hAnsi="Arial" w:cs="Arial"/>
          <w:lang w:eastAsia="es-MX"/>
        </w:rPr>
      </w:pPr>
    </w:p>
    <w:p w14:paraId="5ED76888" w14:textId="77777777" w:rsidR="009C017E" w:rsidRDefault="009C017E" w:rsidP="00C63DD9">
      <w:pPr>
        <w:spacing w:after="0" w:line="240" w:lineRule="auto"/>
        <w:ind w:left="-567" w:right="-518"/>
        <w:jc w:val="both"/>
        <w:rPr>
          <w:rFonts w:ascii="Arial" w:eastAsia="Times New Roman" w:hAnsi="Arial" w:cs="Arial"/>
          <w:lang w:eastAsia="es-MX"/>
        </w:rPr>
      </w:pPr>
      <w:r w:rsidRPr="005F52E0">
        <w:rPr>
          <w:rFonts w:ascii="Arial" w:eastAsia="Times New Roman" w:hAnsi="Arial" w:cs="Arial"/>
          <w:lang w:eastAsia="es-MX"/>
        </w:rPr>
        <w:t>La oferta estadística está conformada por valores absolutos de personal ocupado, remuneraciones, gastos por consumo de bienes y servicios, ingresos por suministro de bienes y servicios, valor de producción, existencias y activos fijos, las cuales se desagregan por sector y subsector de acuerdo con el Sistema de Clasificación Industrial de América del Norte (SCIAN) 2013</w:t>
      </w:r>
      <w:r w:rsidR="00C10898">
        <w:rPr>
          <w:rFonts w:ascii="Arial" w:eastAsia="Times New Roman" w:hAnsi="Arial" w:cs="Arial"/>
          <w:lang w:eastAsia="es-MX"/>
        </w:rPr>
        <w:t>.</w:t>
      </w:r>
    </w:p>
    <w:p w14:paraId="08D201FA" w14:textId="77777777" w:rsidR="009C017E" w:rsidRPr="005F52E0" w:rsidRDefault="009C017E" w:rsidP="00C63DD9">
      <w:pPr>
        <w:pStyle w:val="Default"/>
        <w:ind w:left="-567" w:right="-518"/>
        <w:jc w:val="both"/>
        <w:rPr>
          <w:rFonts w:eastAsia="Times New Roman"/>
          <w:color w:val="auto"/>
          <w:sz w:val="22"/>
          <w:szCs w:val="22"/>
          <w:lang w:eastAsia="es-MX"/>
        </w:rPr>
      </w:pPr>
    </w:p>
    <w:p w14:paraId="7BA27BC1" w14:textId="77777777" w:rsidR="009C017E" w:rsidRPr="005F52E0" w:rsidRDefault="005F76D1" w:rsidP="00C63DD9">
      <w:pPr>
        <w:spacing w:after="0" w:line="240" w:lineRule="auto"/>
        <w:ind w:left="-567" w:right="-518"/>
        <w:jc w:val="both"/>
        <w:rPr>
          <w:rFonts w:ascii="Arial" w:eastAsia="Times New Roman" w:hAnsi="Arial" w:cs="Arial"/>
          <w:b/>
          <w:bCs/>
          <w:lang w:eastAsia="es-MX"/>
        </w:rPr>
      </w:pPr>
      <w:r w:rsidRPr="005F52E0">
        <w:rPr>
          <w:rFonts w:ascii="Arial" w:eastAsia="Times New Roman" w:hAnsi="Arial" w:cs="Arial"/>
          <w:b/>
          <w:bCs/>
          <w:lang w:eastAsia="es-MX"/>
        </w:rPr>
        <w:t>PRINCIPALES RESULTADOS.</w:t>
      </w:r>
    </w:p>
    <w:p w14:paraId="23729433" w14:textId="77777777" w:rsidR="009C017E" w:rsidRPr="005F52E0" w:rsidRDefault="009C017E" w:rsidP="00C63DD9">
      <w:pPr>
        <w:spacing w:after="0" w:line="240" w:lineRule="auto"/>
        <w:ind w:left="-567" w:right="-518"/>
        <w:jc w:val="both"/>
        <w:rPr>
          <w:rFonts w:ascii="Arial" w:eastAsia="Times New Roman" w:hAnsi="Arial" w:cs="Arial"/>
          <w:lang w:eastAsia="es-MX"/>
        </w:rPr>
      </w:pPr>
    </w:p>
    <w:p w14:paraId="7DAC3061" w14:textId="77777777" w:rsidR="009C017E" w:rsidRDefault="009C017E" w:rsidP="00C63DD9">
      <w:pPr>
        <w:spacing w:after="0" w:line="240" w:lineRule="auto"/>
        <w:ind w:left="-567" w:right="-518"/>
        <w:jc w:val="both"/>
        <w:rPr>
          <w:rFonts w:ascii="Arial" w:eastAsia="Times New Roman" w:hAnsi="Arial" w:cs="Arial"/>
          <w:lang w:eastAsia="es-MX"/>
        </w:rPr>
      </w:pPr>
      <w:r w:rsidRPr="005F52E0">
        <w:rPr>
          <w:rFonts w:ascii="Arial" w:eastAsia="Times New Roman" w:hAnsi="Arial" w:cs="Arial"/>
          <w:lang w:eastAsia="es-MX"/>
        </w:rPr>
        <w:t>En 2020, la EAEC registra variaciones anuales negativas en sus cinco principales variables respecto a 2019: Personal ocupado total</w:t>
      </w:r>
      <w:r w:rsidR="00C63DD9">
        <w:rPr>
          <w:rFonts w:ascii="Arial" w:eastAsia="Times New Roman" w:hAnsi="Arial" w:cs="Arial"/>
          <w:lang w:eastAsia="es-MX"/>
        </w:rPr>
        <w:t xml:space="preserve"> con 10.7%</w:t>
      </w:r>
      <w:r w:rsidRPr="005F52E0">
        <w:rPr>
          <w:rFonts w:ascii="Arial" w:eastAsia="Times New Roman" w:hAnsi="Arial" w:cs="Arial"/>
          <w:lang w:eastAsia="es-MX"/>
        </w:rPr>
        <w:t>, valor de producción</w:t>
      </w:r>
      <w:r w:rsidR="00C63DD9">
        <w:rPr>
          <w:rFonts w:ascii="Arial" w:eastAsia="Times New Roman" w:hAnsi="Arial" w:cs="Arial"/>
          <w:lang w:eastAsia="es-MX"/>
        </w:rPr>
        <w:t xml:space="preserve"> con 9.5%</w:t>
      </w:r>
      <w:r w:rsidRPr="005F52E0">
        <w:rPr>
          <w:rFonts w:ascii="Arial" w:eastAsia="Times New Roman" w:hAnsi="Arial" w:cs="Arial"/>
          <w:lang w:eastAsia="es-MX"/>
        </w:rPr>
        <w:t>, gastos por consumo de bienes y servicios</w:t>
      </w:r>
      <w:r w:rsidR="00C63DD9">
        <w:rPr>
          <w:rFonts w:ascii="Arial" w:eastAsia="Times New Roman" w:hAnsi="Arial" w:cs="Arial"/>
          <w:lang w:eastAsia="es-MX"/>
        </w:rPr>
        <w:t xml:space="preserve"> con 12.3% </w:t>
      </w:r>
      <w:r w:rsidRPr="005F52E0">
        <w:rPr>
          <w:rFonts w:ascii="Arial" w:eastAsia="Times New Roman" w:hAnsi="Arial" w:cs="Arial"/>
          <w:lang w:eastAsia="es-MX"/>
        </w:rPr>
        <w:t>, ingresos por suministro de bienes y servicios</w:t>
      </w:r>
      <w:r w:rsidR="00C63DD9">
        <w:rPr>
          <w:rFonts w:ascii="Arial" w:eastAsia="Times New Roman" w:hAnsi="Arial" w:cs="Arial"/>
          <w:lang w:eastAsia="es-MX"/>
        </w:rPr>
        <w:t xml:space="preserve"> con 10.8%</w:t>
      </w:r>
      <w:r w:rsidRPr="005F52E0">
        <w:rPr>
          <w:rFonts w:ascii="Arial" w:eastAsia="Times New Roman" w:hAnsi="Arial" w:cs="Arial"/>
          <w:lang w:eastAsia="es-MX"/>
        </w:rPr>
        <w:t xml:space="preserve"> y valor de activos fijos totales con 11.6</w:t>
      </w:r>
      <w:r w:rsidR="00C63DD9">
        <w:rPr>
          <w:rFonts w:ascii="Arial" w:eastAsia="Times New Roman" w:hAnsi="Arial" w:cs="Arial"/>
          <w:lang w:eastAsia="es-MX"/>
        </w:rPr>
        <w:t xml:space="preserve"> por ciento.</w:t>
      </w:r>
    </w:p>
    <w:p w14:paraId="51C900DC" w14:textId="77777777" w:rsidR="005F76D1" w:rsidRDefault="005F76D1" w:rsidP="00C63DD9">
      <w:pPr>
        <w:spacing w:after="0" w:line="240" w:lineRule="auto"/>
        <w:ind w:left="-567" w:right="-518"/>
        <w:jc w:val="both"/>
        <w:rPr>
          <w:rFonts w:ascii="Arial" w:eastAsia="Times New Roman" w:hAnsi="Arial" w:cs="Arial"/>
          <w:lang w:eastAsia="es-MX"/>
        </w:rPr>
      </w:pPr>
    </w:p>
    <w:p w14:paraId="2732C912" w14:textId="77777777" w:rsidR="005F76D1" w:rsidRDefault="005F76D1" w:rsidP="005F76D1">
      <w:pPr>
        <w:pStyle w:val="Default"/>
        <w:jc w:val="center"/>
        <w:rPr>
          <w:b/>
          <w:color w:val="auto"/>
          <w:sz w:val="22"/>
          <w:lang w:eastAsia="es-MX"/>
        </w:rPr>
      </w:pPr>
      <w:r>
        <w:rPr>
          <w:b/>
          <w:color w:val="auto"/>
          <w:sz w:val="22"/>
          <w:lang w:eastAsia="es-MX"/>
        </w:rPr>
        <w:t>Resultados de las p</w:t>
      </w:r>
      <w:r w:rsidRPr="005110B8">
        <w:rPr>
          <w:b/>
          <w:color w:val="auto"/>
          <w:sz w:val="22"/>
          <w:lang w:eastAsia="es-MX"/>
        </w:rPr>
        <w:t xml:space="preserve">rincipales </w:t>
      </w:r>
      <w:r>
        <w:rPr>
          <w:b/>
          <w:color w:val="auto"/>
          <w:sz w:val="22"/>
          <w:lang w:eastAsia="es-MX"/>
        </w:rPr>
        <w:t>variables de las empresas constructoras</w:t>
      </w:r>
    </w:p>
    <w:p w14:paraId="62588683" w14:textId="77777777" w:rsidR="005F76D1" w:rsidRDefault="005F76D1" w:rsidP="005F76D1">
      <w:pPr>
        <w:pStyle w:val="Default"/>
        <w:jc w:val="center"/>
        <w:rPr>
          <w:b/>
          <w:color w:val="auto"/>
          <w:sz w:val="22"/>
          <w:lang w:eastAsia="es-MX"/>
        </w:rPr>
      </w:pPr>
      <w:r w:rsidRPr="005110B8">
        <w:rPr>
          <w:b/>
          <w:color w:val="auto"/>
          <w:sz w:val="22"/>
          <w:lang w:eastAsia="es-MX"/>
        </w:rPr>
        <w:t>(</w:t>
      </w:r>
      <w:r>
        <w:rPr>
          <w:b/>
          <w:color w:val="auto"/>
          <w:sz w:val="22"/>
          <w:lang w:eastAsia="es-MX"/>
        </w:rPr>
        <w:t>Miles de m</w:t>
      </w:r>
      <w:r w:rsidRPr="005110B8">
        <w:rPr>
          <w:b/>
          <w:color w:val="auto"/>
          <w:sz w:val="22"/>
          <w:lang w:eastAsia="es-MX"/>
        </w:rPr>
        <w:t>illones de pesos</w:t>
      </w:r>
      <w:r>
        <w:rPr>
          <w:b/>
          <w:color w:val="auto"/>
          <w:sz w:val="22"/>
          <w:lang w:eastAsia="es-MX"/>
        </w:rPr>
        <w:t xml:space="preserve"> corrientes</w:t>
      </w:r>
      <w:r w:rsidRPr="005110B8">
        <w:rPr>
          <w:b/>
          <w:color w:val="auto"/>
          <w:sz w:val="22"/>
          <w:lang w:eastAsia="es-MX"/>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253"/>
        <w:gridCol w:w="1312"/>
        <w:gridCol w:w="1078"/>
        <w:gridCol w:w="1146"/>
      </w:tblGrid>
      <w:tr w:rsidR="005F76D1" w:rsidRPr="003E6102" w14:paraId="631FE285" w14:textId="77777777" w:rsidTr="00F94E08">
        <w:trPr>
          <w:trHeight w:val="383"/>
          <w:jc w:val="center"/>
        </w:trPr>
        <w:tc>
          <w:tcPr>
            <w:tcW w:w="5253" w:type="dxa"/>
            <w:vMerge w:val="restart"/>
            <w:shd w:val="clear" w:color="auto" w:fill="FFD966" w:themeFill="accent4" w:themeFillTint="99"/>
            <w:tcMar>
              <w:top w:w="15" w:type="dxa"/>
              <w:left w:w="15" w:type="dxa"/>
              <w:bottom w:w="0" w:type="dxa"/>
              <w:right w:w="15" w:type="dxa"/>
            </w:tcMar>
            <w:vAlign w:val="center"/>
            <w:hideMark/>
          </w:tcPr>
          <w:p w14:paraId="792D3AA9" w14:textId="77777777" w:rsidR="005F76D1" w:rsidRPr="00773BBF" w:rsidRDefault="005F76D1" w:rsidP="00F94E08">
            <w:pPr>
              <w:pStyle w:val="Default"/>
              <w:jc w:val="center"/>
              <w:rPr>
                <w:b/>
                <w:color w:val="auto"/>
                <w:sz w:val="22"/>
                <w:szCs w:val="22"/>
                <w:lang w:eastAsia="es-MX"/>
              </w:rPr>
            </w:pPr>
            <w:r w:rsidRPr="00773BBF">
              <w:rPr>
                <w:b/>
                <w:bCs/>
                <w:color w:val="auto"/>
                <w:sz w:val="22"/>
                <w:szCs w:val="22"/>
                <w:lang w:eastAsia="es-MX"/>
              </w:rPr>
              <w:t>Variable</w:t>
            </w:r>
          </w:p>
        </w:tc>
        <w:tc>
          <w:tcPr>
            <w:tcW w:w="2390" w:type="dxa"/>
            <w:gridSpan w:val="2"/>
            <w:shd w:val="clear" w:color="auto" w:fill="FFD966" w:themeFill="accent4" w:themeFillTint="99"/>
            <w:tcMar>
              <w:top w:w="15" w:type="dxa"/>
              <w:left w:w="15" w:type="dxa"/>
              <w:bottom w:w="0" w:type="dxa"/>
              <w:right w:w="15" w:type="dxa"/>
            </w:tcMar>
            <w:vAlign w:val="center"/>
            <w:hideMark/>
          </w:tcPr>
          <w:p w14:paraId="573054E3" w14:textId="77777777" w:rsidR="005F76D1" w:rsidRPr="00773BBF" w:rsidRDefault="005F76D1" w:rsidP="00F94E08">
            <w:pPr>
              <w:pStyle w:val="Default"/>
              <w:jc w:val="center"/>
              <w:rPr>
                <w:b/>
                <w:bCs/>
                <w:color w:val="auto"/>
                <w:sz w:val="22"/>
                <w:szCs w:val="22"/>
                <w:lang w:eastAsia="es-MX"/>
              </w:rPr>
            </w:pPr>
            <w:r w:rsidRPr="00773BBF">
              <w:rPr>
                <w:b/>
                <w:bCs/>
                <w:color w:val="auto"/>
                <w:sz w:val="22"/>
                <w:szCs w:val="22"/>
                <w:lang w:eastAsia="es-MX"/>
              </w:rPr>
              <w:t>Año</w:t>
            </w:r>
          </w:p>
        </w:tc>
        <w:tc>
          <w:tcPr>
            <w:tcW w:w="1146" w:type="dxa"/>
            <w:vMerge w:val="restart"/>
            <w:shd w:val="clear" w:color="auto" w:fill="FFD966" w:themeFill="accent4" w:themeFillTint="99"/>
            <w:tcMar>
              <w:top w:w="15" w:type="dxa"/>
              <w:left w:w="15" w:type="dxa"/>
              <w:bottom w:w="0" w:type="dxa"/>
              <w:right w:w="15" w:type="dxa"/>
            </w:tcMar>
            <w:vAlign w:val="center"/>
            <w:hideMark/>
          </w:tcPr>
          <w:p w14:paraId="74356D17" w14:textId="77777777" w:rsidR="005F76D1" w:rsidRDefault="005F76D1" w:rsidP="00F94E08">
            <w:pPr>
              <w:pStyle w:val="Default"/>
              <w:jc w:val="center"/>
              <w:rPr>
                <w:b/>
                <w:bCs/>
                <w:color w:val="auto"/>
                <w:sz w:val="22"/>
                <w:szCs w:val="22"/>
                <w:lang w:eastAsia="es-MX"/>
              </w:rPr>
            </w:pPr>
            <w:r w:rsidRPr="00773BBF">
              <w:rPr>
                <w:b/>
                <w:bCs/>
                <w:color w:val="auto"/>
                <w:sz w:val="22"/>
                <w:szCs w:val="22"/>
                <w:lang w:eastAsia="es-MX"/>
              </w:rPr>
              <w:t>Variación anual</w:t>
            </w:r>
          </w:p>
          <w:p w14:paraId="40A70963" w14:textId="77777777" w:rsidR="005F76D1" w:rsidRPr="00773BBF" w:rsidRDefault="005F76D1" w:rsidP="00F94E08">
            <w:pPr>
              <w:pStyle w:val="Default"/>
              <w:jc w:val="center"/>
              <w:rPr>
                <w:b/>
                <w:color w:val="auto"/>
                <w:sz w:val="22"/>
                <w:szCs w:val="22"/>
                <w:lang w:eastAsia="es-MX"/>
              </w:rPr>
            </w:pPr>
            <w:r w:rsidRPr="00773BBF">
              <w:rPr>
                <w:b/>
                <w:bCs/>
                <w:color w:val="auto"/>
                <w:sz w:val="22"/>
                <w:szCs w:val="22"/>
                <w:lang w:eastAsia="es-MX"/>
              </w:rPr>
              <w:t xml:space="preserve"> (%)</w:t>
            </w:r>
          </w:p>
        </w:tc>
      </w:tr>
      <w:tr w:rsidR="005F76D1" w:rsidRPr="003E6102" w14:paraId="4A451A8B" w14:textId="77777777" w:rsidTr="00F94E08">
        <w:trPr>
          <w:trHeight w:val="218"/>
          <w:jc w:val="center"/>
        </w:trPr>
        <w:tc>
          <w:tcPr>
            <w:tcW w:w="5253" w:type="dxa"/>
            <w:vMerge/>
            <w:shd w:val="clear" w:color="auto" w:fill="FFD966" w:themeFill="accent4" w:themeFillTint="99"/>
            <w:tcMar>
              <w:top w:w="15" w:type="dxa"/>
              <w:left w:w="15" w:type="dxa"/>
              <w:bottom w:w="0" w:type="dxa"/>
              <w:right w:w="15" w:type="dxa"/>
            </w:tcMar>
            <w:vAlign w:val="center"/>
          </w:tcPr>
          <w:p w14:paraId="5941F410" w14:textId="77777777" w:rsidR="005F76D1" w:rsidRPr="00773BBF" w:rsidRDefault="005F76D1" w:rsidP="00F94E08">
            <w:pPr>
              <w:pStyle w:val="Default"/>
              <w:jc w:val="center"/>
              <w:rPr>
                <w:b/>
                <w:bCs/>
                <w:color w:val="auto"/>
                <w:sz w:val="22"/>
                <w:szCs w:val="22"/>
                <w:lang w:eastAsia="es-MX"/>
              </w:rPr>
            </w:pPr>
          </w:p>
        </w:tc>
        <w:tc>
          <w:tcPr>
            <w:tcW w:w="1312" w:type="dxa"/>
            <w:shd w:val="clear" w:color="auto" w:fill="FFD966" w:themeFill="accent4" w:themeFillTint="99"/>
            <w:tcMar>
              <w:top w:w="15" w:type="dxa"/>
              <w:left w:w="15" w:type="dxa"/>
              <w:bottom w:w="0" w:type="dxa"/>
              <w:right w:w="15" w:type="dxa"/>
            </w:tcMar>
            <w:vAlign w:val="center"/>
          </w:tcPr>
          <w:p w14:paraId="523CEB4B" w14:textId="77777777" w:rsidR="005F76D1" w:rsidRPr="00773BBF" w:rsidRDefault="005F76D1" w:rsidP="00F94E08">
            <w:pPr>
              <w:pStyle w:val="Default"/>
              <w:jc w:val="center"/>
              <w:rPr>
                <w:b/>
                <w:bCs/>
                <w:color w:val="auto"/>
                <w:sz w:val="22"/>
                <w:szCs w:val="22"/>
                <w:lang w:eastAsia="es-MX"/>
              </w:rPr>
            </w:pPr>
            <w:r w:rsidRPr="00773BBF">
              <w:rPr>
                <w:b/>
                <w:bCs/>
                <w:color w:val="auto"/>
                <w:sz w:val="22"/>
                <w:szCs w:val="22"/>
                <w:lang w:eastAsia="es-MX"/>
              </w:rPr>
              <w:t>2019</w:t>
            </w:r>
          </w:p>
        </w:tc>
        <w:tc>
          <w:tcPr>
            <w:tcW w:w="1078" w:type="dxa"/>
            <w:shd w:val="clear" w:color="auto" w:fill="FFD966" w:themeFill="accent4" w:themeFillTint="99"/>
            <w:vAlign w:val="center"/>
          </w:tcPr>
          <w:p w14:paraId="061B8227" w14:textId="77777777" w:rsidR="005F76D1" w:rsidRPr="00773BBF" w:rsidRDefault="005F76D1" w:rsidP="00F94E08">
            <w:pPr>
              <w:pStyle w:val="Default"/>
              <w:jc w:val="center"/>
              <w:rPr>
                <w:b/>
                <w:bCs/>
                <w:color w:val="auto"/>
                <w:sz w:val="22"/>
                <w:szCs w:val="22"/>
                <w:lang w:eastAsia="es-MX"/>
              </w:rPr>
            </w:pPr>
            <w:r w:rsidRPr="00773BBF">
              <w:rPr>
                <w:b/>
                <w:bCs/>
                <w:color w:val="auto"/>
                <w:sz w:val="22"/>
                <w:szCs w:val="22"/>
                <w:lang w:eastAsia="es-MX"/>
              </w:rPr>
              <w:t>2020</w:t>
            </w:r>
            <w:r w:rsidRPr="00773BBF">
              <w:rPr>
                <w:rFonts w:eastAsia="Times New Roman"/>
                <w:b/>
                <w:bCs/>
                <w:sz w:val="22"/>
                <w:szCs w:val="22"/>
                <w:vertAlign w:val="superscript"/>
                <w:lang w:eastAsia="es-MX"/>
              </w:rPr>
              <w:t>p/</w:t>
            </w:r>
          </w:p>
        </w:tc>
        <w:tc>
          <w:tcPr>
            <w:tcW w:w="1146" w:type="dxa"/>
            <w:vMerge/>
            <w:shd w:val="clear" w:color="auto" w:fill="A8D08D" w:themeFill="accent6" w:themeFillTint="99"/>
            <w:tcMar>
              <w:top w:w="15" w:type="dxa"/>
              <w:left w:w="15" w:type="dxa"/>
              <w:bottom w:w="0" w:type="dxa"/>
              <w:right w:w="15" w:type="dxa"/>
            </w:tcMar>
            <w:vAlign w:val="center"/>
          </w:tcPr>
          <w:p w14:paraId="685CC6D7" w14:textId="77777777" w:rsidR="005F76D1" w:rsidRPr="00773BBF" w:rsidRDefault="005F76D1" w:rsidP="00F94E08">
            <w:pPr>
              <w:pStyle w:val="Default"/>
              <w:jc w:val="center"/>
              <w:rPr>
                <w:b/>
                <w:bCs/>
                <w:color w:val="auto"/>
                <w:sz w:val="22"/>
                <w:szCs w:val="22"/>
                <w:lang w:eastAsia="es-MX"/>
              </w:rPr>
            </w:pPr>
          </w:p>
        </w:tc>
      </w:tr>
      <w:tr w:rsidR="005F76D1" w:rsidRPr="003E6102" w14:paraId="197D67D5" w14:textId="77777777" w:rsidTr="00F94E08">
        <w:trPr>
          <w:trHeight w:val="265"/>
          <w:jc w:val="center"/>
        </w:trPr>
        <w:tc>
          <w:tcPr>
            <w:tcW w:w="5253" w:type="dxa"/>
            <w:shd w:val="clear" w:color="auto" w:fill="auto"/>
            <w:tcMar>
              <w:top w:w="15" w:type="dxa"/>
              <w:left w:w="15" w:type="dxa"/>
              <w:bottom w:w="0" w:type="dxa"/>
              <w:right w:w="15" w:type="dxa"/>
            </w:tcMar>
            <w:vAlign w:val="center"/>
            <w:hideMark/>
          </w:tcPr>
          <w:p w14:paraId="58182AAD" w14:textId="77777777" w:rsidR="005F76D1" w:rsidRPr="00773BBF" w:rsidRDefault="005F76D1" w:rsidP="00F94E08">
            <w:pPr>
              <w:pStyle w:val="Default"/>
              <w:rPr>
                <w:color w:val="auto"/>
                <w:sz w:val="22"/>
                <w:szCs w:val="22"/>
                <w:lang w:eastAsia="es-MX"/>
              </w:rPr>
            </w:pPr>
            <w:r w:rsidRPr="00773BBF">
              <w:rPr>
                <w:color w:val="auto"/>
                <w:sz w:val="22"/>
                <w:szCs w:val="22"/>
                <w:lang w:eastAsia="es-MX"/>
              </w:rPr>
              <w:t>Personal ocupado total (miles de personas)</w:t>
            </w:r>
          </w:p>
        </w:tc>
        <w:tc>
          <w:tcPr>
            <w:tcW w:w="1312" w:type="dxa"/>
            <w:shd w:val="clear" w:color="auto" w:fill="auto"/>
            <w:tcMar>
              <w:top w:w="15" w:type="dxa"/>
              <w:left w:w="15" w:type="dxa"/>
              <w:bottom w:w="0" w:type="dxa"/>
              <w:right w:w="15" w:type="dxa"/>
            </w:tcMar>
            <w:vAlign w:val="center"/>
          </w:tcPr>
          <w:p w14:paraId="322A0311" w14:textId="77777777" w:rsidR="005F76D1" w:rsidRPr="00773BBF" w:rsidRDefault="005F76D1" w:rsidP="00F94E08">
            <w:pPr>
              <w:pStyle w:val="NormalWeb"/>
              <w:spacing w:before="0" w:beforeAutospacing="0" w:after="0" w:afterAutospacing="0"/>
              <w:jc w:val="center"/>
              <w:textAlignment w:val="bottom"/>
              <w:rPr>
                <w:rFonts w:ascii="Arial" w:hAnsi="Arial" w:cs="Arial"/>
                <w:sz w:val="22"/>
                <w:szCs w:val="22"/>
              </w:rPr>
            </w:pPr>
            <w:r w:rsidRPr="00773BBF">
              <w:rPr>
                <w:rFonts w:ascii="Arial" w:eastAsia="Helvetica Neue Medium" w:hAnsi="Arial" w:cs="Arial"/>
                <w:sz w:val="22"/>
                <w:szCs w:val="22"/>
              </w:rPr>
              <w:t>606</w:t>
            </w:r>
          </w:p>
        </w:tc>
        <w:tc>
          <w:tcPr>
            <w:tcW w:w="1078" w:type="dxa"/>
            <w:vAlign w:val="center"/>
          </w:tcPr>
          <w:p w14:paraId="10C48350" w14:textId="77777777" w:rsidR="005F76D1" w:rsidRPr="00773BBF" w:rsidRDefault="005F76D1" w:rsidP="00F94E08">
            <w:pPr>
              <w:pStyle w:val="Default"/>
              <w:jc w:val="center"/>
              <w:rPr>
                <w:color w:val="auto"/>
                <w:sz w:val="22"/>
                <w:szCs w:val="22"/>
                <w:lang w:eastAsia="es-MX"/>
              </w:rPr>
            </w:pPr>
            <w:r w:rsidRPr="00773BBF">
              <w:rPr>
                <w:rFonts w:eastAsia="Helvetica Neue Medium"/>
                <w:color w:val="auto"/>
                <w:sz w:val="22"/>
                <w:szCs w:val="22"/>
              </w:rPr>
              <w:t>541</w:t>
            </w:r>
          </w:p>
        </w:tc>
        <w:tc>
          <w:tcPr>
            <w:tcW w:w="1146" w:type="dxa"/>
            <w:shd w:val="clear" w:color="auto" w:fill="auto"/>
            <w:tcMar>
              <w:top w:w="15" w:type="dxa"/>
              <w:left w:w="15" w:type="dxa"/>
              <w:bottom w:w="0" w:type="dxa"/>
              <w:right w:w="15" w:type="dxa"/>
            </w:tcMar>
            <w:vAlign w:val="center"/>
          </w:tcPr>
          <w:p w14:paraId="5DEE4943" w14:textId="77777777" w:rsidR="005F76D1" w:rsidRPr="00773BBF" w:rsidRDefault="005F76D1" w:rsidP="00F94E08">
            <w:pPr>
              <w:pStyle w:val="Default"/>
              <w:jc w:val="center"/>
              <w:rPr>
                <w:color w:val="auto"/>
                <w:sz w:val="22"/>
                <w:szCs w:val="22"/>
                <w:lang w:eastAsia="es-MX"/>
              </w:rPr>
            </w:pPr>
            <w:r w:rsidRPr="00773BBF">
              <w:rPr>
                <w:color w:val="auto"/>
                <w:sz w:val="22"/>
                <w:szCs w:val="22"/>
                <w:lang w:eastAsia="es-MX"/>
              </w:rPr>
              <w:t>-10.7</w:t>
            </w:r>
          </w:p>
        </w:tc>
      </w:tr>
      <w:tr w:rsidR="005F76D1" w:rsidRPr="003E6102" w14:paraId="120DD251" w14:textId="77777777" w:rsidTr="00F94E08">
        <w:trPr>
          <w:trHeight w:val="255"/>
          <w:jc w:val="center"/>
        </w:trPr>
        <w:tc>
          <w:tcPr>
            <w:tcW w:w="5253" w:type="dxa"/>
            <w:shd w:val="clear" w:color="auto" w:fill="auto"/>
            <w:tcMar>
              <w:top w:w="15" w:type="dxa"/>
              <w:left w:w="15" w:type="dxa"/>
              <w:bottom w:w="0" w:type="dxa"/>
              <w:right w:w="15" w:type="dxa"/>
            </w:tcMar>
            <w:vAlign w:val="center"/>
            <w:hideMark/>
          </w:tcPr>
          <w:p w14:paraId="7B051DB5" w14:textId="77777777" w:rsidR="005F76D1" w:rsidRPr="00773BBF" w:rsidRDefault="005F76D1" w:rsidP="00F94E08">
            <w:pPr>
              <w:pStyle w:val="Default"/>
              <w:rPr>
                <w:color w:val="auto"/>
                <w:sz w:val="22"/>
                <w:szCs w:val="22"/>
                <w:lang w:eastAsia="es-MX"/>
              </w:rPr>
            </w:pPr>
            <w:r w:rsidRPr="00773BBF">
              <w:rPr>
                <w:color w:val="auto"/>
                <w:sz w:val="22"/>
                <w:szCs w:val="22"/>
                <w:lang w:eastAsia="es-MX"/>
              </w:rPr>
              <w:t>Valor de producción</w:t>
            </w:r>
          </w:p>
        </w:tc>
        <w:tc>
          <w:tcPr>
            <w:tcW w:w="1312" w:type="dxa"/>
            <w:shd w:val="clear" w:color="auto" w:fill="auto"/>
            <w:tcMar>
              <w:top w:w="15" w:type="dxa"/>
              <w:left w:w="15" w:type="dxa"/>
              <w:bottom w:w="0" w:type="dxa"/>
              <w:right w:w="15" w:type="dxa"/>
            </w:tcMar>
            <w:vAlign w:val="center"/>
          </w:tcPr>
          <w:p w14:paraId="0E51A5F6" w14:textId="77777777" w:rsidR="005F76D1" w:rsidRPr="00773BBF" w:rsidRDefault="005F76D1" w:rsidP="00F94E08">
            <w:pPr>
              <w:pStyle w:val="NormalWeb"/>
              <w:spacing w:before="0" w:beforeAutospacing="0" w:after="0" w:afterAutospacing="0"/>
              <w:jc w:val="center"/>
              <w:textAlignment w:val="bottom"/>
              <w:rPr>
                <w:rFonts w:ascii="Arial" w:hAnsi="Arial" w:cs="Arial"/>
                <w:sz w:val="22"/>
                <w:szCs w:val="22"/>
              </w:rPr>
            </w:pPr>
            <w:r w:rsidRPr="00773BBF">
              <w:rPr>
                <w:rFonts w:ascii="Arial" w:eastAsia="Helvetica Neue Medium" w:hAnsi="Arial" w:cs="Arial"/>
                <w:sz w:val="22"/>
                <w:szCs w:val="22"/>
              </w:rPr>
              <w:t>461</w:t>
            </w:r>
          </w:p>
        </w:tc>
        <w:tc>
          <w:tcPr>
            <w:tcW w:w="1078" w:type="dxa"/>
            <w:vAlign w:val="center"/>
          </w:tcPr>
          <w:p w14:paraId="6D5895EC" w14:textId="77777777" w:rsidR="005F76D1" w:rsidRPr="00773BBF" w:rsidRDefault="005F76D1" w:rsidP="00F94E08">
            <w:pPr>
              <w:pStyle w:val="NormalWeb"/>
              <w:spacing w:before="0" w:beforeAutospacing="0" w:after="0" w:afterAutospacing="0"/>
              <w:jc w:val="center"/>
              <w:textAlignment w:val="bottom"/>
              <w:rPr>
                <w:rFonts w:ascii="Arial" w:eastAsia="Helvetica Neue Medium" w:hAnsi="Arial" w:cs="Arial"/>
                <w:sz w:val="22"/>
                <w:szCs w:val="22"/>
              </w:rPr>
            </w:pPr>
            <w:r w:rsidRPr="00773BBF">
              <w:rPr>
                <w:rFonts w:ascii="Arial" w:eastAsia="Helvetica Neue Medium" w:hAnsi="Arial" w:cs="Arial"/>
                <w:sz w:val="22"/>
                <w:szCs w:val="22"/>
              </w:rPr>
              <w:t>417</w:t>
            </w:r>
          </w:p>
        </w:tc>
        <w:tc>
          <w:tcPr>
            <w:tcW w:w="1146" w:type="dxa"/>
            <w:shd w:val="clear" w:color="auto" w:fill="auto"/>
            <w:tcMar>
              <w:top w:w="15" w:type="dxa"/>
              <w:left w:w="15" w:type="dxa"/>
              <w:bottom w:w="0" w:type="dxa"/>
              <w:right w:w="15" w:type="dxa"/>
            </w:tcMar>
            <w:vAlign w:val="center"/>
          </w:tcPr>
          <w:p w14:paraId="7A7C6A7A" w14:textId="77777777" w:rsidR="005F76D1" w:rsidRPr="00773BBF" w:rsidRDefault="005F76D1" w:rsidP="00F94E08">
            <w:pPr>
              <w:pStyle w:val="NormalWeb"/>
              <w:spacing w:before="0" w:beforeAutospacing="0" w:after="0" w:afterAutospacing="0"/>
              <w:jc w:val="center"/>
              <w:textAlignment w:val="bottom"/>
              <w:rPr>
                <w:rFonts w:ascii="Arial" w:hAnsi="Arial" w:cs="Arial"/>
                <w:sz w:val="22"/>
                <w:szCs w:val="22"/>
              </w:rPr>
            </w:pPr>
            <w:r w:rsidRPr="00773BBF">
              <w:rPr>
                <w:rFonts w:ascii="Arial" w:hAnsi="Arial" w:cs="Arial"/>
                <w:sz w:val="22"/>
                <w:szCs w:val="22"/>
              </w:rPr>
              <w:t>-9.5</w:t>
            </w:r>
          </w:p>
        </w:tc>
      </w:tr>
      <w:tr w:rsidR="005F76D1" w:rsidRPr="003E6102" w14:paraId="521AE0B3" w14:textId="77777777" w:rsidTr="00F94E08">
        <w:trPr>
          <w:trHeight w:val="273"/>
          <w:jc w:val="center"/>
        </w:trPr>
        <w:tc>
          <w:tcPr>
            <w:tcW w:w="5253" w:type="dxa"/>
            <w:shd w:val="clear" w:color="auto" w:fill="auto"/>
            <w:tcMar>
              <w:top w:w="15" w:type="dxa"/>
              <w:left w:w="15" w:type="dxa"/>
              <w:bottom w:w="0" w:type="dxa"/>
              <w:right w:w="15" w:type="dxa"/>
            </w:tcMar>
            <w:vAlign w:val="center"/>
            <w:hideMark/>
          </w:tcPr>
          <w:p w14:paraId="374A3AFA" w14:textId="77777777" w:rsidR="005F76D1" w:rsidRPr="00773BBF" w:rsidRDefault="005F76D1" w:rsidP="00F94E08">
            <w:pPr>
              <w:pStyle w:val="Default"/>
              <w:rPr>
                <w:color w:val="auto"/>
                <w:sz w:val="22"/>
                <w:szCs w:val="22"/>
                <w:lang w:eastAsia="es-MX"/>
              </w:rPr>
            </w:pPr>
            <w:r w:rsidRPr="00773BBF">
              <w:rPr>
                <w:color w:val="auto"/>
                <w:sz w:val="22"/>
                <w:szCs w:val="22"/>
                <w:lang w:eastAsia="es-MX"/>
              </w:rPr>
              <w:t>Gastos por consumo de bienes y servicios</w:t>
            </w:r>
          </w:p>
        </w:tc>
        <w:tc>
          <w:tcPr>
            <w:tcW w:w="1312" w:type="dxa"/>
            <w:shd w:val="clear" w:color="auto" w:fill="auto"/>
            <w:tcMar>
              <w:top w:w="15" w:type="dxa"/>
              <w:left w:w="15" w:type="dxa"/>
              <w:bottom w:w="0" w:type="dxa"/>
              <w:right w:w="15" w:type="dxa"/>
            </w:tcMar>
            <w:vAlign w:val="center"/>
          </w:tcPr>
          <w:p w14:paraId="35C56296" w14:textId="77777777" w:rsidR="005F76D1" w:rsidRPr="00773BBF" w:rsidRDefault="005F76D1" w:rsidP="00F94E08">
            <w:pPr>
              <w:pStyle w:val="NormalWeb"/>
              <w:spacing w:before="0" w:beforeAutospacing="0" w:after="0" w:afterAutospacing="0"/>
              <w:jc w:val="center"/>
              <w:textAlignment w:val="bottom"/>
              <w:rPr>
                <w:rFonts w:ascii="Arial" w:hAnsi="Arial" w:cs="Arial"/>
                <w:sz w:val="22"/>
                <w:szCs w:val="22"/>
              </w:rPr>
            </w:pPr>
            <w:r w:rsidRPr="00773BBF">
              <w:rPr>
                <w:rFonts w:ascii="Arial" w:eastAsia="Helvetica Neue Medium" w:hAnsi="Arial" w:cs="Arial"/>
                <w:sz w:val="22"/>
                <w:szCs w:val="22"/>
              </w:rPr>
              <w:t>334</w:t>
            </w:r>
          </w:p>
        </w:tc>
        <w:tc>
          <w:tcPr>
            <w:tcW w:w="1078" w:type="dxa"/>
            <w:vAlign w:val="center"/>
          </w:tcPr>
          <w:p w14:paraId="7063DF31" w14:textId="77777777" w:rsidR="005F76D1" w:rsidRPr="00773BBF" w:rsidRDefault="005F76D1" w:rsidP="00F94E08">
            <w:pPr>
              <w:pStyle w:val="NormalWeb"/>
              <w:spacing w:before="0" w:beforeAutospacing="0" w:after="0" w:afterAutospacing="0"/>
              <w:jc w:val="center"/>
              <w:textAlignment w:val="bottom"/>
              <w:rPr>
                <w:rFonts w:ascii="Arial" w:eastAsia="Helvetica Neue Medium" w:hAnsi="Arial" w:cs="Arial"/>
                <w:sz w:val="22"/>
                <w:szCs w:val="22"/>
              </w:rPr>
            </w:pPr>
            <w:r w:rsidRPr="00773BBF">
              <w:rPr>
                <w:rFonts w:ascii="Arial" w:eastAsia="Helvetica Neue Medium" w:hAnsi="Arial" w:cs="Arial"/>
                <w:sz w:val="22"/>
                <w:szCs w:val="22"/>
              </w:rPr>
              <w:t>293</w:t>
            </w:r>
          </w:p>
        </w:tc>
        <w:tc>
          <w:tcPr>
            <w:tcW w:w="1146" w:type="dxa"/>
            <w:shd w:val="clear" w:color="auto" w:fill="auto"/>
            <w:tcMar>
              <w:top w:w="15" w:type="dxa"/>
              <w:left w:w="15" w:type="dxa"/>
              <w:bottom w:w="0" w:type="dxa"/>
              <w:right w:w="15" w:type="dxa"/>
            </w:tcMar>
            <w:vAlign w:val="center"/>
          </w:tcPr>
          <w:p w14:paraId="42765EAD" w14:textId="77777777" w:rsidR="005F76D1" w:rsidRPr="00773BBF" w:rsidRDefault="005F76D1" w:rsidP="00F94E08">
            <w:pPr>
              <w:pStyle w:val="NormalWeb"/>
              <w:spacing w:before="0" w:beforeAutospacing="0" w:after="0" w:afterAutospacing="0"/>
              <w:jc w:val="center"/>
              <w:textAlignment w:val="bottom"/>
              <w:rPr>
                <w:rFonts w:ascii="Arial" w:hAnsi="Arial" w:cs="Arial"/>
                <w:sz w:val="22"/>
                <w:szCs w:val="22"/>
              </w:rPr>
            </w:pPr>
            <w:r w:rsidRPr="00773BBF">
              <w:rPr>
                <w:rFonts w:ascii="Arial" w:hAnsi="Arial" w:cs="Arial"/>
                <w:sz w:val="22"/>
                <w:szCs w:val="22"/>
              </w:rPr>
              <w:t>-12.3</w:t>
            </w:r>
          </w:p>
        </w:tc>
      </w:tr>
      <w:tr w:rsidR="005F76D1" w:rsidRPr="003E6102" w14:paraId="6416ECCD" w14:textId="77777777" w:rsidTr="00F94E08">
        <w:trPr>
          <w:trHeight w:val="249"/>
          <w:jc w:val="center"/>
        </w:trPr>
        <w:tc>
          <w:tcPr>
            <w:tcW w:w="5253" w:type="dxa"/>
            <w:shd w:val="clear" w:color="auto" w:fill="auto"/>
            <w:tcMar>
              <w:top w:w="15" w:type="dxa"/>
              <w:left w:w="15" w:type="dxa"/>
              <w:bottom w:w="0" w:type="dxa"/>
              <w:right w:w="15" w:type="dxa"/>
            </w:tcMar>
            <w:vAlign w:val="center"/>
            <w:hideMark/>
          </w:tcPr>
          <w:p w14:paraId="6C2B024D" w14:textId="77777777" w:rsidR="005F76D1" w:rsidRPr="00773BBF" w:rsidRDefault="005F76D1" w:rsidP="00F94E08">
            <w:pPr>
              <w:pStyle w:val="Default"/>
              <w:rPr>
                <w:color w:val="auto"/>
                <w:sz w:val="22"/>
                <w:szCs w:val="22"/>
                <w:lang w:eastAsia="es-MX"/>
              </w:rPr>
            </w:pPr>
            <w:r w:rsidRPr="00773BBF">
              <w:rPr>
                <w:color w:val="auto"/>
                <w:sz w:val="22"/>
                <w:szCs w:val="22"/>
                <w:lang w:eastAsia="es-MX"/>
              </w:rPr>
              <w:t>Ingresos por suministro de bienes y servicios</w:t>
            </w:r>
          </w:p>
        </w:tc>
        <w:tc>
          <w:tcPr>
            <w:tcW w:w="1312" w:type="dxa"/>
            <w:shd w:val="clear" w:color="auto" w:fill="auto"/>
            <w:tcMar>
              <w:top w:w="15" w:type="dxa"/>
              <w:left w:w="15" w:type="dxa"/>
              <w:bottom w:w="0" w:type="dxa"/>
              <w:right w:w="15" w:type="dxa"/>
            </w:tcMar>
            <w:vAlign w:val="center"/>
          </w:tcPr>
          <w:p w14:paraId="4904248E" w14:textId="77777777" w:rsidR="005F76D1" w:rsidRPr="00773BBF" w:rsidRDefault="005F76D1" w:rsidP="00F94E08">
            <w:pPr>
              <w:pStyle w:val="NormalWeb"/>
              <w:spacing w:before="0" w:beforeAutospacing="0" w:after="0" w:afterAutospacing="0"/>
              <w:jc w:val="center"/>
              <w:textAlignment w:val="bottom"/>
              <w:rPr>
                <w:rFonts w:ascii="Arial" w:hAnsi="Arial" w:cs="Arial"/>
                <w:sz w:val="22"/>
                <w:szCs w:val="22"/>
              </w:rPr>
            </w:pPr>
            <w:r w:rsidRPr="00773BBF">
              <w:rPr>
                <w:rFonts w:ascii="Arial" w:eastAsia="Helvetica Neue Medium" w:hAnsi="Arial" w:cs="Arial"/>
                <w:sz w:val="22"/>
                <w:szCs w:val="22"/>
              </w:rPr>
              <w:t>603</w:t>
            </w:r>
          </w:p>
        </w:tc>
        <w:tc>
          <w:tcPr>
            <w:tcW w:w="1078" w:type="dxa"/>
            <w:vAlign w:val="center"/>
          </w:tcPr>
          <w:p w14:paraId="3EFB3AAC" w14:textId="77777777" w:rsidR="005F76D1" w:rsidRPr="00773BBF" w:rsidRDefault="005F76D1" w:rsidP="00F94E08">
            <w:pPr>
              <w:pStyle w:val="NormalWeb"/>
              <w:spacing w:before="0" w:beforeAutospacing="0" w:after="0" w:afterAutospacing="0"/>
              <w:jc w:val="center"/>
              <w:textAlignment w:val="bottom"/>
              <w:rPr>
                <w:rFonts w:ascii="Arial" w:eastAsia="Helvetica Neue Medium" w:hAnsi="Arial" w:cs="Arial"/>
                <w:sz w:val="22"/>
                <w:szCs w:val="22"/>
              </w:rPr>
            </w:pPr>
            <w:r w:rsidRPr="00773BBF">
              <w:rPr>
                <w:rFonts w:ascii="Arial" w:eastAsia="Helvetica Neue Medium" w:hAnsi="Arial" w:cs="Arial"/>
                <w:sz w:val="22"/>
                <w:szCs w:val="22"/>
              </w:rPr>
              <w:t>538</w:t>
            </w:r>
          </w:p>
        </w:tc>
        <w:tc>
          <w:tcPr>
            <w:tcW w:w="1146" w:type="dxa"/>
            <w:shd w:val="clear" w:color="auto" w:fill="auto"/>
            <w:tcMar>
              <w:top w:w="15" w:type="dxa"/>
              <w:left w:w="15" w:type="dxa"/>
              <w:bottom w:w="0" w:type="dxa"/>
              <w:right w:w="15" w:type="dxa"/>
            </w:tcMar>
            <w:vAlign w:val="center"/>
          </w:tcPr>
          <w:p w14:paraId="47069F37" w14:textId="77777777" w:rsidR="005F76D1" w:rsidRPr="00773BBF" w:rsidRDefault="005F76D1" w:rsidP="00F94E08">
            <w:pPr>
              <w:pStyle w:val="NormalWeb"/>
              <w:spacing w:before="0" w:beforeAutospacing="0" w:after="0" w:afterAutospacing="0"/>
              <w:jc w:val="center"/>
              <w:textAlignment w:val="bottom"/>
              <w:rPr>
                <w:rFonts w:ascii="Arial" w:hAnsi="Arial" w:cs="Arial"/>
                <w:sz w:val="22"/>
                <w:szCs w:val="22"/>
              </w:rPr>
            </w:pPr>
            <w:r w:rsidRPr="00773BBF">
              <w:rPr>
                <w:rFonts w:ascii="Arial" w:hAnsi="Arial" w:cs="Arial"/>
                <w:sz w:val="22"/>
                <w:szCs w:val="22"/>
              </w:rPr>
              <w:t>-10.8</w:t>
            </w:r>
          </w:p>
        </w:tc>
      </w:tr>
      <w:tr w:rsidR="005F76D1" w:rsidRPr="003E6102" w14:paraId="3BD17B0A" w14:textId="77777777" w:rsidTr="00F94E08">
        <w:trPr>
          <w:trHeight w:val="254"/>
          <w:jc w:val="center"/>
        </w:trPr>
        <w:tc>
          <w:tcPr>
            <w:tcW w:w="5253" w:type="dxa"/>
            <w:shd w:val="clear" w:color="auto" w:fill="auto"/>
            <w:tcMar>
              <w:top w:w="15" w:type="dxa"/>
              <w:left w:w="15" w:type="dxa"/>
              <w:bottom w:w="0" w:type="dxa"/>
              <w:right w:w="15" w:type="dxa"/>
            </w:tcMar>
            <w:vAlign w:val="center"/>
            <w:hideMark/>
          </w:tcPr>
          <w:p w14:paraId="5E875CEC" w14:textId="77777777" w:rsidR="005F76D1" w:rsidRPr="00773BBF" w:rsidRDefault="005F76D1" w:rsidP="00F94E08">
            <w:pPr>
              <w:pStyle w:val="Default"/>
              <w:rPr>
                <w:color w:val="auto"/>
                <w:sz w:val="22"/>
                <w:szCs w:val="22"/>
                <w:lang w:eastAsia="es-MX"/>
              </w:rPr>
            </w:pPr>
            <w:r w:rsidRPr="00773BBF">
              <w:rPr>
                <w:color w:val="auto"/>
                <w:sz w:val="22"/>
                <w:szCs w:val="22"/>
                <w:lang w:eastAsia="es-MX"/>
              </w:rPr>
              <w:t>Valor de activos fijos totales</w:t>
            </w:r>
          </w:p>
        </w:tc>
        <w:tc>
          <w:tcPr>
            <w:tcW w:w="1312" w:type="dxa"/>
            <w:shd w:val="clear" w:color="auto" w:fill="auto"/>
            <w:tcMar>
              <w:top w:w="15" w:type="dxa"/>
              <w:left w:w="15" w:type="dxa"/>
              <w:bottom w:w="0" w:type="dxa"/>
              <w:right w:w="15" w:type="dxa"/>
            </w:tcMar>
            <w:vAlign w:val="center"/>
          </w:tcPr>
          <w:p w14:paraId="0A04AB85" w14:textId="77777777" w:rsidR="005F76D1" w:rsidRPr="00773BBF" w:rsidRDefault="005F76D1" w:rsidP="00F94E08">
            <w:pPr>
              <w:pStyle w:val="NormalWeb"/>
              <w:spacing w:before="0" w:beforeAutospacing="0" w:after="0" w:afterAutospacing="0"/>
              <w:jc w:val="center"/>
              <w:textAlignment w:val="bottom"/>
              <w:rPr>
                <w:rFonts w:ascii="Arial" w:hAnsi="Arial" w:cs="Arial"/>
                <w:sz w:val="22"/>
                <w:szCs w:val="22"/>
              </w:rPr>
            </w:pPr>
            <w:r w:rsidRPr="00773BBF">
              <w:rPr>
                <w:rFonts w:ascii="Arial" w:eastAsia="Helvetica Neue Medium" w:hAnsi="Arial" w:cs="Arial"/>
                <w:sz w:val="22"/>
                <w:szCs w:val="22"/>
              </w:rPr>
              <w:t>129</w:t>
            </w:r>
          </w:p>
        </w:tc>
        <w:tc>
          <w:tcPr>
            <w:tcW w:w="1078" w:type="dxa"/>
            <w:vAlign w:val="center"/>
          </w:tcPr>
          <w:p w14:paraId="7034C25D" w14:textId="77777777" w:rsidR="005F76D1" w:rsidRPr="00773BBF" w:rsidRDefault="005F76D1" w:rsidP="00F94E08">
            <w:pPr>
              <w:pStyle w:val="NormalWeb"/>
              <w:spacing w:before="0" w:beforeAutospacing="0" w:after="0" w:afterAutospacing="0"/>
              <w:jc w:val="center"/>
              <w:textAlignment w:val="bottom"/>
              <w:rPr>
                <w:rFonts w:ascii="Arial" w:eastAsia="Helvetica Neue Medium" w:hAnsi="Arial" w:cs="Arial"/>
                <w:sz w:val="22"/>
                <w:szCs w:val="22"/>
              </w:rPr>
            </w:pPr>
            <w:r w:rsidRPr="00773BBF">
              <w:rPr>
                <w:rFonts w:ascii="Arial" w:eastAsia="Helvetica Neue Medium" w:hAnsi="Arial" w:cs="Arial"/>
                <w:sz w:val="22"/>
                <w:szCs w:val="22"/>
              </w:rPr>
              <w:t>114</w:t>
            </w:r>
          </w:p>
        </w:tc>
        <w:tc>
          <w:tcPr>
            <w:tcW w:w="1146" w:type="dxa"/>
            <w:shd w:val="clear" w:color="auto" w:fill="auto"/>
            <w:tcMar>
              <w:top w:w="15" w:type="dxa"/>
              <w:left w:w="15" w:type="dxa"/>
              <w:bottom w:w="0" w:type="dxa"/>
              <w:right w:w="15" w:type="dxa"/>
            </w:tcMar>
            <w:vAlign w:val="center"/>
          </w:tcPr>
          <w:p w14:paraId="33115AB4" w14:textId="77777777" w:rsidR="005F76D1" w:rsidRPr="00773BBF" w:rsidRDefault="005F76D1" w:rsidP="00F94E08">
            <w:pPr>
              <w:pStyle w:val="NormalWeb"/>
              <w:spacing w:before="0" w:beforeAutospacing="0" w:after="0" w:afterAutospacing="0"/>
              <w:jc w:val="center"/>
              <w:textAlignment w:val="bottom"/>
              <w:rPr>
                <w:rFonts w:ascii="Arial" w:hAnsi="Arial" w:cs="Arial"/>
                <w:sz w:val="22"/>
                <w:szCs w:val="22"/>
              </w:rPr>
            </w:pPr>
            <w:r w:rsidRPr="00773BBF">
              <w:rPr>
                <w:rFonts w:ascii="Arial" w:hAnsi="Arial" w:cs="Arial"/>
                <w:sz w:val="22"/>
                <w:szCs w:val="22"/>
              </w:rPr>
              <w:t>-11.6</w:t>
            </w:r>
          </w:p>
        </w:tc>
      </w:tr>
    </w:tbl>
    <w:p w14:paraId="6E6A0BB1" w14:textId="77777777" w:rsidR="005F76D1" w:rsidRPr="00B14B1C" w:rsidRDefault="005F76D1" w:rsidP="005F76D1">
      <w:pPr>
        <w:pStyle w:val="Default"/>
        <w:jc w:val="both"/>
        <w:rPr>
          <w:color w:val="auto"/>
          <w:sz w:val="16"/>
          <w:szCs w:val="16"/>
          <w:lang w:eastAsia="es-MX"/>
        </w:rPr>
      </w:pPr>
      <w:r w:rsidRPr="00B14B1C">
        <w:rPr>
          <w:color w:val="auto"/>
          <w:sz w:val="16"/>
          <w:szCs w:val="16"/>
          <w:vertAlign w:val="superscript"/>
          <w:lang w:eastAsia="es-MX"/>
        </w:rPr>
        <w:t xml:space="preserve">p/ </w:t>
      </w:r>
      <w:r w:rsidRPr="00B14B1C">
        <w:rPr>
          <w:color w:val="auto"/>
          <w:sz w:val="16"/>
          <w:szCs w:val="16"/>
          <w:lang w:eastAsia="es-MX"/>
        </w:rPr>
        <w:t xml:space="preserve">Cifras preliminares. </w:t>
      </w:r>
    </w:p>
    <w:p w14:paraId="754F7611" w14:textId="77777777" w:rsidR="005F76D1" w:rsidRPr="005F76D1" w:rsidRDefault="005F76D1" w:rsidP="005F76D1">
      <w:pPr>
        <w:pStyle w:val="Default"/>
        <w:jc w:val="both"/>
        <w:rPr>
          <w:b/>
          <w:color w:val="auto"/>
          <w:sz w:val="16"/>
          <w:szCs w:val="16"/>
          <w:lang w:eastAsia="es-MX"/>
        </w:rPr>
      </w:pPr>
      <w:r w:rsidRPr="00B14B1C">
        <w:rPr>
          <w:color w:val="auto"/>
          <w:sz w:val="16"/>
          <w:szCs w:val="16"/>
          <w:lang w:eastAsia="es-MX"/>
        </w:rPr>
        <w:t xml:space="preserve">Fuente: </w:t>
      </w:r>
      <w:r w:rsidRPr="00B14B1C">
        <w:rPr>
          <w:b/>
          <w:color w:val="auto"/>
          <w:sz w:val="16"/>
          <w:szCs w:val="16"/>
          <w:lang w:eastAsia="es-MX"/>
        </w:rPr>
        <w:t>INEGI.</w:t>
      </w:r>
    </w:p>
    <w:p w14:paraId="04715241" w14:textId="77777777" w:rsidR="009C017E" w:rsidRDefault="009C017E" w:rsidP="00C63DD9">
      <w:pPr>
        <w:tabs>
          <w:tab w:val="left" w:pos="1095"/>
          <w:tab w:val="center" w:pos="4419"/>
        </w:tabs>
        <w:spacing w:after="0" w:line="240" w:lineRule="auto"/>
        <w:ind w:left="-567" w:right="-518"/>
        <w:rPr>
          <w:rFonts w:ascii="Arial" w:hAnsi="Arial" w:cs="Arial"/>
          <w:b/>
          <w:sz w:val="24"/>
          <w:szCs w:val="24"/>
        </w:rPr>
      </w:pPr>
    </w:p>
    <w:p w14:paraId="0A6D46A2" w14:textId="77777777" w:rsidR="009C017E" w:rsidRPr="005F52E0" w:rsidRDefault="009C017E" w:rsidP="00C63DD9">
      <w:pPr>
        <w:pStyle w:val="Default"/>
        <w:ind w:left="-567" w:right="-518"/>
        <w:jc w:val="both"/>
        <w:rPr>
          <w:sz w:val="22"/>
          <w:szCs w:val="22"/>
          <w:lang w:eastAsia="es-MX"/>
        </w:rPr>
      </w:pPr>
      <w:r>
        <w:rPr>
          <w:sz w:val="22"/>
          <w:szCs w:val="22"/>
          <w:lang w:eastAsia="es-MX"/>
        </w:rPr>
        <w:t>El personal ocupado total de las empresas constructoras registr</w:t>
      </w:r>
      <w:r w:rsidR="00C10898">
        <w:rPr>
          <w:sz w:val="22"/>
          <w:szCs w:val="22"/>
          <w:lang w:eastAsia="es-MX"/>
        </w:rPr>
        <w:t>ó</w:t>
      </w:r>
      <w:r>
        <w:rPr>
          <w:sz w:val="22"/>
          <w:szCs w:val="22"/>
          <w:lang w:eastAsia="es-MX"/>
        </w:rPr>
        <w:t xml:space="preserve"> una disminución en sus tres subsectores</w:t>
      </w:r>
      <w:r w:rsidR="00C10898">
        <w:rPr>
          <w:sz w:val="22"/>
          <w:szCs w:val="22"/>
          <w:lang w:eastAsia="es-MX"/>
        </w:rPr>
        <w:t>:</w:t>
      </w:r>
      <w:r>
        <w:rPr>
          <w:sz w:val="22"/>
          <w:szCs w:val="22"/>
          <w:lang w:eastAsia="es-MX"/>
        </w:rPr>
        <w:t xml:space="preserve"> </w:t>
      </w:r>
      <w:r w:rsidR="005F76D1">
        <w:rPr>
          <w:sz w:val="22"/>
          <w:szCs w:val="22"/>
          <w:lang w:eastAsia="es-MX"/>
        </w:rPr>
        <w:t xml:space="preserve">la </w:t>
      </w:r>
      <w:r>
        <w:rPr>
          <w:sz w:val="22"/>
          <w:szCs w:val="22"/>
          <w:lang w:eastAsia="es-MX"/>
        </w:rPr>
        <w:t>edificación se contra</w:t>
      </w:r>
      <w:r w:rsidR="00C10898">
        <w:rPr>
          <w:sz w:val="22"/>
          <w:szCs w:val="22"/>
          <w:lang w:eastAsia="es-MX"/>
        </w:rPr>
        <w:t>jo</w:t>
      </w:r>
      <w:r>
        <w:rPr>
          <w:sz w:val="22"/>
          <w:szCs w:val="22"/>
          <w:lang w:eastAsia="es-MX"/>
        </w:rPr>
        <w:t xml:space="preserve"> 12%, </w:t>
      </w:r>
      <w:r w:rsidR="005F76D1">
        <w:rPr>
          <w:sz w:val="22"/>
          <w:szCs w:val="22"/>
          <w:lang w:eastAsia="es-MX"/>
        </w:rPr>
        <w:t xml:space="preserve">la </w:t>
      </w:r>
      <w:r>
        <w:rPr>
          <w:sz w:val="22"/>
          <w:szCs w:val="22"/>
          <w:lang w:eastAsia="es-MX"/>
        </w:rPr>
        <w:t>c</w:t>
      </w:r>
      <w:r w:rsidRPr="000042EB">
        <w:rPr>
          <w:sz w:val="22"/>
          <w:szCs w:val="22"/>
          <w:lang w:eastAsia="es-MX"/>
        </w:rPr>
        <w:t>onstrucción de obras de ingeniería civil</w:t>
      </w:r>
      <w:r>
        <w:rPr>
          <w:sz w:val="22"/>
          <w:szCs w:val="22"/>
          <w:lang w:eastAsia="es-MX"/>
        </w:rPr>
        <w:t xml:space="preserve"> 8.6% y </w:t>
      </w:r>
      <w:r w:rsidR="005F76D1">
        <w:rPr>
          <w:sz w:val="22"/>
          <w:szCs w:val="22"/>
          <w:lang w:eastAsia="es-MX"/>
        </w:rPr>
        <w:t xml:space="preserve">los </w:t>
      </w:r>
      <w:r>
        <w:rPr>
          <w:sz w:val="22"/>
          <w:szCs w:val="22"/>
          <w:lang w:eastAsia="es-MX"/>
        </w:rPr>
        <w:t>t</w:t>
      </w:r>
      <w:r w:rsidRPr="000042EB">
        <w:rPr>
          <w:sz w:val="22"/>
          <w:szCs w:val="22"/>
          <w:lang w:eastAsia="es-MX"/>
        </w:rPr>
        <w:t>rabajos especializados para la construcción</w:t>
      </w:r>
      <w:r>
        <w:rPr>
          <w:sz w:val="22"/>
          <w:szCs w:val="22"/>
          <w:lang w:eastAsia="es-MX"/>
        </w:rPr>
        <w:t xml:space="preserve"> 9.8 por ciento.</w:t>
      </w:r>
    </w:p>
    <w:p w14:paraId="1D3B5F1D" w14:textId="77777777" w:rsidR="009C017E" w:rsidRDefault="009C017E" w:rsidP="00C63DD9">
      <w:pPr>
        <w:pStyle w:val="Default"/>
        <w:ind w:left="-567" w:right="-518"/>
        <w:jc w:val="both"/>
        <w:rPr>
          <w:b/>
          <w:color w:val="auto"/>
          <w:sz w:val="22"/>
          <w:szCs w:val="22"/>
          <w:lang w:eastAsia="es-MX"/>
        </w:rPr>
      </w:pPr>
    </w:p>
    <w:p w14:paraId="09BCA019" w14:textId="77777777" w:rsidR="009C017E" w:rsidRDefault="009C017E" w:rsidP="00C63DD9">
      <w:pPr>
        <w:pStyle w:val="Default"/>
        <w:ind w:left="-567" w:right="-518"/>
        <w:jc w:val="both"/>
        <w:rPr>
          <w:bCs/>
          <w:color w:val="auto"/>
          <w:sz w:val="22"/>
          <w:lang w:eastAsia="es-MX"/>
        </w:rPr>
      </w:pPr>
      <w:r>
        <w:rPr>
          <w:color w:val="auto"/>
          <w:sz w:val="22"/>
          <w:lang w:eastAsia="es-MX"/>
        </w:rPr>
        <w:t>Las remuneraciones medias anuales aumenta</w:t>
      </w:r>
      <w:r w:rsidR="005F76D1">
        <w:rPr>
          <w:color w:val="auto"/>
          <w:sz w:val="22"/>
          <w:lang w:eastAsia="es-MX"/>
        </w:rPr>
        <w:t>ro</w:t>
      </w:r>
      <w:r>
        <w:rPr>
          <w:color w:val="auto"/>
          <w:sz w:val="22"/>
          <w:lang w:eastAsia="es-MX"/>
        </w:rPr>
        <w:t xml:space="preserve">n 7.5% en las empresas constructoras durante 2020; el mayor incremento se dio en el subsector </w:t>
      </w:r>
      <w:r>
        <w:rPr>
          <w:bCs/>
          <w:color w:val="auto"/>
          <w:sz w:val="22"/>
          <w:lang w:eastAsia="es-MX"/>
        </w:rPr>
        <w:t>c</w:t>
      </w:r>
      <w:r w:rsidRPr="00D241C8">
        <w:rPr>
          <w:bCs/>
          <w:color w:val="auto"/>
          <w:sz w:val="22"/>
          <w:lang w:eastAsia="es-MX"/>
        </w:rPr>
        <w:t>onstrucción de obras de ingeniería civil</w:t>
      </w:r>
      <w:r>
        <w:rPr>
          <w:bCs/>
          <w:color w:val="auto"/>
          <w:sz w:val="22"/>
          <w:lang w:eastAsia="es-MX"/>
        </w:rPr>
        <w:t xml:space="preserve"> con 14.3 por ciento.</w:t>
      </w:r>
    </w:p>
    <w:p w14:paraId="24569A47" w14:textId="77777777" w:rsidR="009C017E" w:rsidRDefault="009C017E" w:rsidP="00C63DD9">
      <w:pPr>
        <w:tabs>
          <w:tab w:val="left" w:pos="1095"/>
          <w:tab w:val="center" w:pos="4419"/>
        </w:tabs>
        <w:spacing w:after="0" w:line="240" w:lineRule="auto"/>
        <w:ind w:left="-567" w:right="-518"/>
        <w:rPr>
          <w:rFonts w:ascii="Arial" w:hAnsi="Arial" w:cs="Arial"/>
          <w:b/>
          <w:sz w:val="24"/>
          <w:szCs w:val="24"/>
        </w:rPr>
      </w:pPr>
    </w:p>
    <w:p w14:paraId="29695C4D" w14:textId="77777777" w:rsidR="009C017E" w:rsidRDefault="009C017E" w:rsidP="00C63DD9">
      <w:pPr>
        <w:pStyle w:val="Default"/>
        <w:ind w:left="-567" w:right="-518"/>
        <w:jc w:val="both"/>
        <w:rPr>
          <w:color w:val="auto"/>
          <w:sz w:val="22"/>
          <w:lang w:eastAsia="es-MX"/>
        </w:rPr>
      </w:pPr>
      <w:r w:rsidRPr="00E86EC0">
        <w:rPr>
          <w:color w:val="auto"/>
          <w:sz w:val="22"/>
          <w:lang w:eastAsia="es-MX"/>
        </w:rPr>
        <w:t xml:space="preserve">Respecto al valor de </w:t>
      </w:r>
      <w:r>
        <w:rPr>
          <w:color w:val="auto"/>
          <w:sz w:val="22"/>
          <w:lang w:eastAsia="es-MX"/>
        </w:rPr>
        <w:t xml:space="preserve">la </w:t>
      </w:r>
      <w:r w:rsidRPr="00E86EC0">
        <w:rPr>
          <w:color w:val="auto"/>
          <w:sz w:val="22"/>
          <w:lang w:eastAsia="es-MX"/>
        </w:rPr>
        <w:t xml:space="preserve">producción </w:t>
      </w:r>
      <w:r>
        <w:rPr>
          <w:color w:val="auto"/>
          <w:sz w:val="22"/>
          <w:lang w:eastAsia="es-MX"/>
        </w:rPr>
        <w:t xml:space="preserve">realizado por las empresas constructoras en 2020, el subsector edificación </w:t>
      </w:r>
      <w:r w:rsidR="005F76D1">
        <w:rPr>
          <w:color w:val="auto"/>
          <w:sz w:val="22"/>
          <w:lang w:eastAsia="es-MX"/>
        </w:rPr>
        <w:t>fue le que más aportó</w:t>
      </w:r>
      <w:r>
        <w:rPr>
          <w:color w:val="auto"/>
          <w:sz w:val="22"/>
          <w:lang w:eastAsia="es-MX"/>
        </w:rPr>
        <w:t xml:space="preserve"> con 45.8%, los subsectores construcción de obras de ingeniería civil y trabajos especializados para la construcción representa</w:t>
      </w:r>
      <w:r w:rsidR="005F76D1">
        <w:rPr>
          <w:color w:val="auto"/>
          <w:sz w:val="22"/>
          <w:lang w:eastAsia="es-MX"/>
        </w:rPr>
        <w:t>ro</w:t>
      </w:r>
      <w:r>
        <w:rPr>
          <w:color w:val="auto"/>
          <w:sz w:val="22"/>
          <w:lang w:eastAsia="es-MX"/>
        </w:rPr>
        <w:t>n 44.5% y 9.7 por ciento.</w:t>
      </w:r>
    </w:p>
    <w:p w14:paraId="4A06CCE4" w14:textId="77777777" w:rsidR="009C017E" w:rsidRDefault="009C017E" w:rsidP="00C63DD9">
      <w:pPr>
        <w:tabs>
          <w:tab w:val="left" w:pos="1095"/>
          <w:tab w:val="center" w:pos="4419"/>
        </w:tabs>
        <w:spacing w:after="0" w:line="240" w:lineRule="auto"/>
        <w:ind w:left="-567" w:right="-518"/>
        <w:rPr>
          <w:rFonts w:ascii="Arial" w:hAnsi="Arial" w:cs="Arial"/>
          <w:b/>
          <w:sz w:val="24"/>
          <w:szCs w:val="24"/>
        </w:rPr>
      </w:pPr>
    </w:p>
    <w:p w14:paraId="01EF1548" w14:textId="77777777" w:rsidR="005F76D1" w:rsidRDefault="005F76D1" w:rsidP="00C63DD9">
      <w:pPr>
        <w:pStyle w:val="Default"/>
        <w:ind w:left="-567" w:right="-518"/>
        <w:jc w:val="both"/>
        <w:rPr>
          <w:sz w:val="22"/>
          <w:szCs w:val="22"/>
          <w:lang w:eastAsia="es-MX"/>
        </w:rPr>
      </w:pPr>
    </w:p>
    <w:p w14:paraId="4C102573" w14:textId="77777777" w:rsidR="009C017E" w:rsidRDefault="009C017E" w:rsidP="00C63DD9">
      <w:pPr>
        <w:pStyle w:val="Default"/>
        <w:ind w:left="-567" w:right="-518"/>
        <w:jc w:val="both"/>
        <w:rPr>
          <w:sz w:val="22"/>
          <w:szCs w:val="22"/>
          <w:lang w:eastAsia="es-MX"/>
        </w:rPr>
      </w:pPr>
      <w:r w:rsidRPr="005F52E0">
        <w:rPr>
          <w:sz w:val="22"/>
          <w:szCs w:val="22"/>
          <w:lang w:eastAsia="es-MX"/>
        </w:rPr>
        <w:lastRenderedPageBreak/>
        <w:t>En 2020, los materiales para la construcción consumidos como contratista principal representan el principal rubro del consumo de bienes y servicios al contribuir con 51.6% del total del sector, seguido por los pagos a subcontratistas 22.1</w:t>
      </w:r>
      <w:r w:rsidR="005F76D1">
        <w:rPr>
          <w:sz w:val="22"/>
          <w:szCs w:val="22"/>
          <w:lang w:eastAsia="es-MX"/>
        </w:rPr>
        <w:t xml:space="preserve"> por ciento.</w:t>
      </w:r>
    </w:p>
    <w:p w14:paraId="227992C2" w14:textId="77777777" w:rsidR="009C017E" w:rsidRDefault="009C017E" w:rsidP="005F76D1">
      <w:pPr>
        <w:pStyle w:val="Pa27"/>
        <w:spacing w:line="240" w:lineRule="auto"/>
        <w:ind w:right="-518"/>
        <w:jc w:val="both"/>
        <w:rPr>
          <w:sz w:val="22"/>
          <w:lang w:val="es-MX" w:eastAsia="es-MX"/>
        </w:rPr>
      </w:pPr>
    </w:p>
    <w:p w14:paraId="2CFFEF20" w14:textId="77777777" w:rsidR="009C017E" w:rsidRDefault="005F76D1" w:rsidP="00C63DD9">
      <w:pPr>
        <w:pStyle w:val="Default"/>
        <w:ind w:left="-567" w:right="-518"/>
        <w:jc w:val="both"/>
        <w:rPr>
          <w:sz w:val="22"/>
          <w:lang w:eastAsia="es-MX"/>
        </w:rPr>
      </w:pPr>
      <w:r>
        <w:rPr>
          <w:sz w:val="22"/>
          <w:lang w:eastAsia="es-MX"/>
        </w:rPr>
        <w:t>D</w:t>
      </w:r>
      <w:r w:rsidR="009C017E">
        <w:rPr>
          <w:sz w:val="22"/>
          <w:lang w:eastAsia="es-MX"/>
        </w:rPr>
        <w:t>urant</w:t>
      </w:r>
      <w:r>
        <w:rPr>
          <w:sz w:val="22"/>
          <w:lang w:eastAsia="es-MX"/>
        </w:rPr>
        <w:t>e</w:t>
      </w:r>
      <w:r w:rsidR="009C017E">
        <w:rPr>
          <w:sz w:val="22"/>
          <w:lang w:eastAsia="es-MX"/>
        </w:rPr>
        <w:t xml:space="preserve"> 2020 los ingresos obtenidos por </w:t>
      </w:r>
      <w:r w:rsidR="009C017E" w:rsidRPr="00664DB4">
        <w:rPr>
          <w:sz w:val="22"/>
          <w:lang w:eastAsia="es-MX"/>
        </w:rPr>
        <w:t xml:space="preserve">la </w:t>
      </w:r>
      <w:r w:rsidR="009C017E">
        <w:rPr>
          <w:sz w:val="22"/>
          <w:lang w:eastAsia="es-MX"/>
        </w:rPr>
        <w:t>e</w:t>
      </w:r>
      <w:r w:rsidR="009C017E" w:rsidRPr="0040640C">
        <w:rPr>
          <w:sz w:val="22"/>
          <w:lang w:eastAsia="es-MX"/>
        </w:rPr>
        <w:t>jecución de obras como contratista principal</w:t>
      </w:r>
      <w:r w:rsidR="009C017E">
        <w:rPr>
          <w:sz w:val="22"/>
          <w:lang w:eastAsia="es-MX"/>
        </w:rPr>
        <w:t>,</w:t>
      </w:r>
      <w:r w:rsidR="009C017E" w:rsidRPr="00664DB4">
        <w:rPr>
          <w:sz w:val="22"/>
          <w:lang w:eastAsia="es-MX"/>
        </w:rPr>
        <w:t xml:space="preserve"> representan</w:t>
      </w:r>
      <w:r w:rsidR="009C017E" w:rsidRPr="00A57743">
        <w:rPr>
          <w:sz w:val="22"/>
          <w:lang w:eastAsia="es-MX"/>
        </w:rPr>
        <w:t xml:space="preserve"> el </w:t>
      </w:r>
      <w:r w:rsidR="009C017E">
        <w:rPr>
          <w:sz w:val="22"/>
          <w:lang w:eastAsia="es-MX"/>
        </w:rPr>
        <w:t xml:space="preserve">principal rubro en los ingresos por suministro de bienes y servicios de las empresas constructoras </w:t>
      </w:r>
      <w:r w:rsidR="009C017E" w:rsidRPr="00A57743">
        <w:rPr>
          <w:sz w:val="22"/>
          <w:lang w:eastAsia="es-MX"/>
        </w:rPr>
        <w:t xml:space="preserve">al contribuir con </w:t>
      </w:r>
      <w:r w:rsidR="009C017E">
        <w:rPr>
          <w:sz w:val="22"/>
          <w:lang w:eastAsia="es-MX"/>
        </w:rPr>
        <w:t>75.8</w:t>
      </w:r>
      <w:r w:rsidR="009C017E" w:rsidRPr="00A57743">
        <w:rPr>
          <w:sz w:val="22"/>
          <w:lang w:eastAsia="es-MX"/>
        </w:rPr>
        <w:t>%</w:t>
      </w:r>
      <w:r w:rsidR="009C017E">
        <w:rPr>
          <w:sz w:val="22"/>
          <w:lang w:eastAsia="es-MX"/>
        </w:rPr>
        <w:t xml:space="preserve"> del total;</w:t>
      </w:r>
      <w:r w:rsidR="009C017E" w:rsidRPr="00A57743">
        <w:rPr>
          <w:sz w:val="22"/>
          <w:lang w:eastAsia="es-MX"/>
        </w:rPr>
        <w:t xml:space="preserve"> </w:t>
      </w:r>
      <w:r w:rsidR="009C017E">
        <w:rPr>
          <w:sz w:val="22"/>
          <w:lang w:eastAsia="es-MX"/>
        </w:rPr>
        <w:t>en segundo lugar, se tiene el ingreso por la e</w:t>
      </w:r>
      <w:r w:rsidR="009C017E" w:rsidRPr="0040640C">
        <w:rPr>
          <w:sz w:val="22"/>
          <w:lang w:eastAsia="es-MX"/>
        </w:rPr>
        <w:t>jecución de obras como subcontratista</w:t>
      </w:r>
      <w:r w:rsidR="009C017E">
        <w:rPr>
          <w:sz w:val="22"/>
          <w:lang w:eastAsia="es-MX"/>
        </w:rPr>
        <w:t xml:space="preserve"> con 15.1 por ciento.</w:t>
      </w:r>
    </w:p>
    <w:p w14:paraId="71855F83" w14:textId="77777777" w:rsidR="009C017E" w:rsidRDefault="009C017E" w:rsidP="005F76D1">
      <w:pPr>
        <w:tabs>
          <w:tab w:val="left" w:pos="1095"/>
          <w:tab w:val="center" w:pos="4419"/>
        </w:tabs>
        <w:spacing w:after="0" w:line="240" w:lineRule="auto"/>
        <w:ind w:right="-518"/>
        <w:rPr>
          <w:rFonts w:ascii="Arial" w:hAnsi="Arial" w:cs="Arial"/>
          <w:b/>
          <w:sz w:val="24"/>
          <w:szCs w:val="24"/>
        </w:rPr>
      </w:pPr>
    </w:p>
    <w:p w14:paraId="24AE09F8" w14:textId="77777777" w:rsidR="009C017E" w:rsidRDefault="009C017E" w:rsidP="00C63DD9">
      <w:pPr>
        <w:pStyle w:val="Default"/>
        <w:ind w:left="-567" w:right="-518"/>
        <w:jc w:val="both"/>
        <w:rPr>
          <w:color w:val="auto"/>
          <w:sz w:val="22"/>
          <w:lang w:eastAsia="es-MX"/>
        </w:rPr>
      </w:pPr>
      <w:r>
        <w:rPr>
          <w:color w:val="auto"/>
          <w:sz w:val="22"/>
          <w:lang w:eastAsia="es-MX"/>
        </w:rPr>
        <w:t>L</w:t>
      </w:r>
      <w:r w:rsidRPr="00EA35D5">
        <w:rPr>
          <w:color w:val="auto"/>
          <w:sz w:val="22"/>
          <w:lang w:eastAsia="es-MX"/>
        </w:rPr>
        <w:t xml:space="preserve">a maquinaria y el equipo </w:t>
      </w:r>
      <w:r>
        <w:rPr>
          <w:color w:val="auto"/>
          <w:sz w:val="22"/>
          <w:lang w:eastAsia="es-MX"/>
        </w:rPr>
        <w:t>para la construcción</w:t>
      </w:r>
      <w:r w:rsidRPr="00EA35D5">
        <w:rPr>
          <w:color w:val="auto"/>
          <w:sz w:val="22"/>
          <w:lang w:eastAsia="es-MX"/>
        </w:rPr>
        <w:t xml:space="preserve"> representa el activo </w:t>
      </w:r>
      <w:r>
        <w:rPr>
          <w:color w:val="auto"/>
          <w:sz w:val="22"/>
          <w:lang w:eastAsia="es-MX"/>
        </w:rPr>
        <w:t>más importante de las empresas constructoras</w:t>
      </w:r>
      <w:r w:rsidRPr="00EA35D5">
        <w:rPr>
          <w:color w:val="auto"/>
          <w:sz w:val="22"/>
          <w:lang w:eastAsia="es-MX"/>
        </w:rPr>
        <w:t xml:space="preserve"> </w:t>
      </w:r>
      <w:r>
        <w:rPr>
          <w:color w:val="auto"/>
          <w:sz w:val="22"/>
          <w:lang w:eastAsia="es-MX"/>
        </w:rPr>
        <w:t>en los años 2019 y 2020, su participación supera más de la mitad del total de los activos fijos en ambos periodos.</w:t>
      </w:r>
    </w:p>
    <w:p w14:paraId="43C13FCB" w14:textId="77777777" w:rsidR="009C017E" w:rsidRDefault="009C017E" w:rsidP="005F76D1">
      <w:pPr>
        <w:pStyle w:val="Default"/>
        <w:ind w:right="-518"/>
        <w:jc w:val="both"/>
        <w:rPr>
          <w:color w:val="auto"/>
          <w:sz w:val="22"/>
          <w:szCs w:val="22"/>
          <w:lang w:eastAsia="es-MX"/>
        </w:rPr>
      </w:pPr>
    </w:p>
    <w:p w14:paraId="67B91A46" w14:textId="77777777" w:rsidR="009C017E" w:rsidRDefault="009C017E" w:rsidP="00C63DD9">
      <w:pPr>
        <w:pStyle w:val="Default"/>
        <w:ind w:left="-567" w:right="-518"/>
        <w:jc w:val="both"/>
        <w:rPr>
          <w:color w:val="auto"/>
          <w:sz w:val="22"/>
          <w:lang w:eastAsia="es-MX"/>
        </w:rPr>
      </w:pPr>
      <w:r w:rsidRPr="008379A9">
        <w:rPr>
          <w:color w:val="auto"/>
          <w:sz w:val="22"/>
          <w:lang w:eastAsia="es-MX"/>
        </w:rPr>
        <w:t xml:space="preserve">Por nivel de estudios, </w:t>
      </w:r>
      <w:r>
        <w:rPr>
          <w:color w:val="auto"/>
          <w:sz w:val="22"/>
          <w:lang w:eastAsia="es-MX"/>
        </w:rPr>
        <w:t>durante 2020 en comparación con el año anterior se increment</w:t>
      </w:r>
      <w:r w:rsidR="005F76D1">
        <w:rPr>
          <w:color w:val="auto"/>
          <w:sz w:val="22"/>
          <w:lang w:eastAsia="es-MX"/>
        </w:rPr>
        <w:t>ó</w:t>
      </w:r>
      <w:r>
        <w:rPr>
          <w:color w:val="auto"/>
          <w:sz w:val="22"/>
          <w:lang w:eastAsia="es-MX"/>
        </w:rPr>
        <w:t xml:space="preserve"> la participación del personal ocupado con educación superior en ambos sexos: hombres 4.0% y mujeres 7.1%; en contraste, se registra una disminución de la contribución del personal con educación básica de 5.6% y 4.6 por ciento.</w:t>
      </w:r>
    </w:p>
    <w:p w14:paraId="4331CCDE" w14:textId="77777777" w:rsidR="009C017E" w:rsidRDefault="009C017E" w:rsidP="005F76D1">
      <w:pPr>
        <w:tabs>
          <w:tab w:val="left" w:pos="1095"/>
          <w:tab w:val="center" w:pos="4419"/>
        </w:tabs>
        <w:spacing w:after="0" w:line="240" w:lineRule="auto"/>
        <w:ind w:right="-518"/>
        <w:rPr>
          <w:rFonts w:ascii="Arial" w:hAnsi="Arial" w:cs="Arial"/>
          <w:b/>
          <w:sz w:val="24"/>
          <w:szCs w:val="24"/>
        </w:rPr>
      </w:pPr>
    </w:p>
    <w:p w14:paraId="688D2787" w14:textId="77777777" w:rsidR="009C017E" w:rsidRDefault="005F76D1" w:rsidP="00C63DD9">
      <w:pPr>
        <w:pStyle w:val="Default"/>
        <w:ind w:left="-567" w:right="-518"/>
        <w:jc w:val="both"/>
        <w:rPr>
          <w:color w:val="auto"/>
          <w:sz w:val="22"/>
          <w:lang w:eastAsia="es-MX"/>
        </w:rPr>
      </w:pPr>
      <w:r>
        <w:rPr>
          <w:color w:val="auto"/>
          <w:sz w:val="22"/>
          <w:lang w:eastAsia="es-MX"/>
        </w:rPr>
        <w:t xml:space="preserve">El </w:t>
      </w:r>
      <w:r w:rsidR="009C017E">
        <w:rPr>
          <w:color w:val="auto"/>
          <w:sz w:val="22"/>
          <w:lang w:eastAsia="es-MX"/>
        </w:rPr>
        <w:t>9.7</w:t>
      </w:r>
      <w:r w:rsidR="009C017E" w:rsidRPr="00A341C6">
        <w:rPr>
          <w:color w:val="auto"/>
          <w:sz w:val="22"/>
          <w:lang w:eastAsia="es-MX"/>
        </w:rPr>
        <w:t xml:space="preserve">% de los ingresos totales de las </w:t>
      </w:r>
      <w:r w:rsidR="009C017E">
        <w:rPr>
          <w:color w:val="auto"/>
          <w:sz w:val="22"/>
          <w:lang w:eastAsia="es-MX"/>
        </w:rPr>
        <w:t>empresas constructoras</w:t>
      </w:r>
      <w:r w:rsidR="009C017E" w:rsidRPr="00A341C6">
        <w:rPr>
          <w:color w:val="auto"/>
          <w:sz w:val="22"/>
          <w:lang w:eastAsia="es-MX"/>
        </w:rPr>
        <w:t xml:space="preserve"> durante 2020 se </w:t>
      </w:r>
      <w:r w:rsidR="009C017E">
        <w:rPr>
          <w:color w:val="auto"/>
          <w:sz w:val="22"/>
          <w:lang w:eastAsia="es-MX"/>
        </w:rPr>
        <w:t>efectuaron utilizando un medio electrónico</w:t>
      </w:r>
      <w:r w:rsidR="009C017E" w:rsidRPr="00A341C6">
        <w:rPr>
          <w:color w:val="auto"/>
          <w:sz w:val="22"/>
          <w:lang w:eastAsia="es-MX"/>
        </w:rPr>
        <w:t>.</w:t>
      </w:r>
    </w:p>
    <w:p w14:paraId="0A325FCE" w14:textId="77777777" w:rsidR="009C017E" w:rsidRDefault="009C017E" w:rsidP="00C63DD9">
      <w:pPr>
        <w:pStyle w:val="Default"/>
        <w:ind w:left="-567" w:right="-518"/>
        <w:jc w:val="both"/>
        <w:rPr>
          <w:color w:val="auto"/>
          <w:sz w:val="22"/>
          <w:lang w:eastAsia="es-MX"/>
        </w:rPr>
      </w:pPr>
    </w:p>
    <w:p w14:paraId="49921BAE" w14:textId="77777777" w:rsidR="009C017E" w:rsidRDefault="009C017E" w:rsidP="00C63DD9">
      <w:pPr>
        <w:pStyle w:val="Default"/>
        <w:ind w:left="-567" w:right="-518"/>
        <w:jc w:val="both"/>
        <w:rPr>
          <w:color w:val="auto"/>
          <w:sz w:val="22"/>
          <w:lang w:eastAsia="es-MX"/>
        </w:rPr>
      </w:pPr>
      <w:r w:rsidRPr="00A341C6">
        <w:rPr>
          <w:color w:val="auto"/>
          <w:sz w:val="22"/>
          <w:lang w:eastAsia="es-MX"/>
        </w:rPr>
        <w:t xml:space="preserve">La modalidad </w:t>
      </w:r>
      <w:r>
        <w:rPr>
          <w:color w:val="auto"/>
          <w:sz w:val="22"/>
          <w:lang w:eastAsia="es-MX"/>
        </w:rPr>
        <w:t xml:space="preserve">electrónica mediante la cual </w:t>
      </w:r>
      <w:r w:rsidRPr="00A341C6">
        <w:rPr>
          <w:color w:val="auto"/>
          <w:sz w:val="22"/>
          <w:lang w:eastAsia="es-MX"/>
        </w:rPr>
        <w:t>l</w:t>
      </w:r>
      <w:r>
        <w:rPr>
          <w:color w:val="auto"/>
          <w:sz w:val="22"/>
          <w:lang w:eastAsia="es-MX"/>
        </w:rPr>
        <w:t>a</w:t>
      </w:r>
      <w:r w:rsidRPr="00A341C6">
        <w:rPr>
          <w:color w:val="auto"/>
          <w:sz w:val="22"/>
          <w:lang w:eastAsia="es-MX"/>
        </w:rPr>
        <w:t xml:space="preserve">s </w:t>
      </w:r>
      <w:r>
        <w:rPr>
          <w:color w:val="auto"/>
          <w:sz w:val="22"/>
          <w:lang w:eastAsia="es-MX"/>
        </w:rPr>
        <w:t xml:space="preserve">empresas constructoras </w:t>
      </w:r>
      <w:r w:rsidRPr="00A341C6">
        <w:rPr>
          <w:color w:val="auto"/>
          <w:sz w:val="22"/>
          <w:lang w:eastAsia="es-MX"/>
        </w:rPr>
        <w:t xml:space="preserve">obtuvieron mayor cantidad de ingresos fue </w:t>
      </w:r>
      <w:r>
        <w:rPr>
          <w:color w:val="auto"/>
          <w:sz w:val="22"/>
          <w:lang w:eastAsia="es-MX"/>
        </w:rPr>
        <w:t xml:space="preserve">la página web de la empresa </w:t>
      </w:r>
      <w:r w:rsidRPr="00A341C6">
        <w:rPr>
          <w:color w:val="auto"/>
          <w:sz w:val="22"/>
          <w:lang w:eastAsia="es-MX"/>
        </w:rPr>
        <w:t>con 3</w:t>
      </w:r>
      <w:r>
        <w:rPr>
          <w:color w:val="auto"/>
          <w:sz w:val="22"/>
          <w:lang w:eastAsia="es-MX"/>
        </w:rPr>
        <w:t>2</w:t>
      </w:r>
      <w:r w:rsidRPr="00A341C6">
        <w:rPr>
          <w:color w:val="auto"/>
          <w:sz w:val="22"/>
          <w:lang w:eastAsia="es-MX"/>
        </w:rPr>
        <w:t>.5%, seguido de otra modalidad informática 3</w:t>
      </w:r>
      <w:r>
        <w:rPr>
          <w:color w:val="auto"/>
          <w:sz w:val="22"/>
          <w:lang w:eastAsia="es-MX"/>
        </w:rPr>
        <w:t>0</w:t>
      </w:r>
      <w:r w:rsidRPr="00A341C6">
        <w:rPr>
          <w:color w:val="auto"/>
          <w:sz w:val="22"/>
          <w:lang w:eastAsia="es-MX"/>
        </w:rPr>
        <w:t xml:space="preserve">.7%, </w:t>
      </w:r>
      <w:r>
        <w:rPr>
          <w:color w:val="auto"/>
          <w:sz w:val="22"/>
          <w:lang w:eastAsia="es-MX"/>
        </w:rPr>
        <w:t>correo electrónico</w:t>
      </w:r>
      <w:r w:rsidRPr="00A341C6">
        <w:rPr>
          <w:color w:val="auto"/>
          <w:sz w:val="22"/>
          <w:lang w:eastAsia="es-MX"/>
        </w:rPr>
        <w:t xml:space="preserve"> 2</w:t>
      </w:r>
      <w:r>
        <w:rPr>
          <w:color w:val="auto"/>
          <w:sz w:val="22"/>
          <w:lang w:eastAsia="es-MX"/>
        </w:rPr>
        <w:t>4</w:t>
      </w:r>
      <w:r w:rsidRPr="00A341C6">
        <w:rPr>
          <w:color w:val="auto"/>
          <w:sz w:val="22"/>
          <w:lang w:eastAsia="es-MX"/>
        </w:rPr>
        <w:t xml:space="preserve">%, redes sociales </w:t>
      </w:r>
      <w:r>
        <w:rPr>
          <w:color w:val="auto"/>
          <w:sz w:val="22"/>
          <w:lang w:eastAsia="es-MX"/>
        </w:rPr>
        <w:t>11</w:t>
      </w:r>
      <w:r w:rsidRPr="00A341C6">
        <w:rPr>
          <w:color w:val="auto"/>
          <w:sz w:val="22"/>
          <w:lang w:eastAsia="es-MX"/>
        </w:rPr>
        <w:t xml:space="preserve">% y páginas web de terceros </w:t>
      </w:r>
      <w:r w:rsidR="005F76D1">
        <w:rPr>
          <w:color w:val="auto"/>
          <w:sz w:val="22"/>
          <w:lang w:eastAsia="es-MX"/>
        </w:rPr>
        <w:t xml:space="preserve">con </w:t>
      </w:r>
      <w:r>
        <w:rPr>
          <w:color w:val="auto"/>
          <w:sz w:val="22"/>
          <w:lang w:eastAsia="es-MX"/>
        </w:rPr>
        <w:t>1.8</w:t>
      </w:r>
      <w:r w:rsidRPr="00A341C6">
        <w:rPr>
          <w:color w:val="auto"/>
          <w:sz w:val="22"/>
          <w:lang w:eastAsia="es-MX"/>
        </w:rPr>
        <w:t xml:space="preserve"> por ciento.</w:t>
      </w:r>
    </w:p>
    <w:p w14:paraId="053CC4BF" w14:textId="77777777" w:rsidR="009C017E" w:rsidRDefault="009C017E" w:rsidP="00C63DD9">
      <w:pPr>
        <w:pStyle w:val="Default"/>
        <w:ind w:left="-567" w:right="-518"/>
        <w:jc w:val="both"/>
        <w:rPr>
          <w:color w:val="auto"/>
          <w:sz w:val="22"/>
          <w:lang w:eastAsia="es-MX"/>
        </w:rPr>
      </w:pPr>
    </w:p>
    <w:p w14:paraId="07548165" w14:textId="77777777" w:rsidR="00C63DD9" w:rsidRDefault="009C017E" w:rsidP="00C63DD9">
      <w:pPr>
        <w:spacing w:after="0" w:line="240" w:lineRule="auto"/>
        <w:ind w:left="-567" w:right="-518"/>
        <w:jc w:val="both"/>
        <w:rPr>
          <w:rFonts w:ascii="Arial" w:eastAsia="Times New Roman" w:hAnsi="Arial" w:cs="Arial"/>
          <w:lang w:eastAsia="es-MX"/>
        </w:rPr>
      </w:pPr>
      <w:r w:rsidRPr="00F96BC3">
        <w:rPr>
          <w:rFonts w:ascii="Arial" w:hAnsi="Arial" w:cs="Arial"/>
          <w:color w:val="000000"/>
        </w:rPr>
        <w:t xml:space="preserve">Como parte de la oferta estadística de la EAEC </w:t>
      </w:r>
      <w:r w:rsidR="00F96BC3" w:rsidRPr="00F96BC3">
        <w:rPr>
          <w:rFonts w:ascii="Arial" w:hAnsi="Arial" w:cs="Arial"/>
          <w:color w:val="000000"/>
        </w:rPr>
        <w:t xml:space="preserve">también </w:t>
      </w:r>
      <w:r w:rsidRPr="00F96BC3">
        <w:rPr>
          <w:rFonts w:ascii="Arial" w:hAnsi="Arial" w:cs="Arial"/>
          <w:color w:val="000000"/>
        </w:rPr>
        <w:t xml:space="preserve">se generan resultados por entidad federativa. </w:t>
      </w:r>
      <w:r w:rsidR="00C63DD9" w:rsidRPr="005F52E0">
        <w:rPr>
          <w:rFonts w:ascii="Arial" w:eastAsia="Times New Roman" w:hAnsi="Arial" w:cs="Arial"/>
          <w:lang w:eastAsia="es-MX"/>
        </w:rPr>
        <w:t>Adicionalmente, se difunde información de carácter cualitativo sobre la capacitación, gastos e ingresos del comercio electrónico y características generales de las empresas constructoras.</w:t>
      </w:r>
    </w:p>
    <w:p w14:paraId="4FF4C766" w14:textId="77777777" w:rsidR="00C63DD9" w:rsidRPr="005F52E0" w:rsidRDefault="00C63DD9" w:rsidP="00C63DD9">
      <w:pPr>
        <w:spacing w:after="0" w:line="240" w:lineRule="auto"/>
        <w:ind w:left="-567" w:right="-518"/>
        <w:jc w:val="both"/>
        <w:rPr>
          <w:rFonts w:ascii="Arial" w:eastAsia="Times New Roman" w:hAnsi="Arial" w:cs="Arial"/>
          <w:lang w:eastAsia="es-MX"/>
        </w:rPr>
      </w:pPr>
    </w:p>
    <w:p w14:paraId="7C92675F" w14:textId="77777777" w:rsidR="00F96BC3" w:rsidRPr="00F96BC3" w:rsidRDefault="009C017E" w:rsidP="00C63DD9">
      <w:pPr>
        <w:widowControl w:val="0"/>
        <w:autoSpaceDE w:val="0"/>
        <w:autoSpaceDN w:val="0"/>
        <w:adjustRightInd w:val="0"/>
        <w:spacing w:after="0" w:line="240" w:lineRule="auto"/>
        <w:ind w:left="-567" w:right="-518"/>
        <w:jc w:val="both"/>
        <w:rPr>
          <w:rFonts w:ascii="Arial" w:hAnsi="Arial" w:cs="Arial"/>
          <w:color w:val="000000"/>
        </w:rPr>
      </w:pPr>
      <w:r w:rsidRPr="00F96BC3">
        <w:rPr>
          <w:rFonts w:ascii="Arial" w:hAnsi="Arial" w:cs="Arial"/>
          <w:lang w:eastAsia="es-MX"/>
        </w:rPr>
        <w:t>Los resultados completos de la EAEC de 2020 y años previos se encuentran disponibles en el portal del Instituto (</w:t>
      </w:r>
      <w:hyperlink r:id="rId8" w:history="1">
        <w:r w:rsidRPr="00F96BC3">
          <w:rPr>
            <w:rStyle w:val="Hipervnculo"/>
            <w:rFonts w:ascii="Arial" w:hAnsi="Arial" w:cs="Arial"/>
            <w:lang w:eastAsia="es-MX"/>
          </w:rPr>
          <w:t>www.inegi.org.mx</w:t>
        </w:r>
      </w:hyperlink>
      <w:r w:rsidRPr="00F96BC3">
        <w:rPr>
          <w:rFonts w:ascii="Arial" w:hAnsi="Arial" w:cs="Arial"/>
          <w:lang w:eastAsia="es-MX"/>
        </w:rPr>
        <w:t xml:space="preserve">) en la siguiente </w:t>
      </w:r>
      <w:r w:rsidR="00CE46F4">
        <w:rPr>
          <w:rFonts w:ascii="Arial" w:hAnsi="Arial" w:cs="Arial"/>
          <w:lang w:eastAsia="es-MX"/>
        </w:rPr>
        <w:t>dirección electrónica</w:t>
      </w:r>
      <w:r w:rsidRPr="00F96BC3">
        <w:rPr>
          <w:rFonts w:ascii="Arial" w:hAnsi="Arial" w:cs="Arial"/>
          <w:lang w:eastAsia="es-MX"/>
        </w:rPr>
        <w:t>:</w:t>
      </w:r>
    </w:p>
    <w:p w14:paraId="1794A71E" w14:textId="77777777" w:rsidR="009C017E" w:rsidRPr="00F96BC3" w:rsidRDefault="00D243EB" w:rsidP="00C63DD9">
      <w:pPr>
        <w:pStyle w:val="Default"/>
        <w:ind w:left="-567" w:right="-518"/>
        <w:jc w:val="both"/>
        <w:rPr>
          <w:color w:val="auto"/>
          <w:sz w:val="22"/>
          <w:szCs w:val="22"/>
          <w:lang w:eastAsia="es-MX"/>
        </w:rPr>
      </w:pPr>
      <w:hyperlink r:id="rId9" w:history="1">
        <w:r w:rsidR="00F96BC3" w:rsidRPr="00F96BC3">
          <w:rPr>
            <w:rStyle w:val="Hipervnculo"/>
            <w:rFonts w:eastAsiaTheme="minorEastAsia"/>
            <w:bCs/>
            <w:sz w:val="22"/>
            <w:szCs w:val="22"/>
            <w:lang w:eastAsia="es-MX"/>
          </w:rPr>
          <w:t>https://www.inegi.org.mx/programas/eaec/2013/</w:t>
        </w:r>
      </w:hyperlink>
    </w:p>
    <w:p w14:paraId="3CDBEA43" w14:textId="77777777" w:rsidR="009C017E" w:rsidRDefault="009C017E" w:rsidP="005F76D1">
      <w:pPr>
        <w:widowControl w:val="0"/>
        <w:autoSpaceDE w:val="0"/>
        <w:autoSpaceDN w:val="0"/>
        <w:adjustRightInd w:val="0"/>
        <w:spacing w:after="0" w:line="240" w:lineRule="auto"/>
        <w:ind w:right="-518"/>
        <w:jc w:val="both"/>
        <w:rPr>
          <w:rFonts w:ascii="Arial" w:eastAsiaTheme="minorEastAsia" w:hAnsi="Arial" w:cs="Arial"/>
          <w:b/>
          <w:bCs/>
          <w:lang w:eastAsia="es-MX"/>
        </w:rPr>
      </w:pPr>
    </w:p>
    <w:p w14:paraId="5BB6E74D" w14:textId="77777777" w:rsidR="009C017E" w:rsidRPr="00187E09" w:rsidRDefault="009C017E" w:rsidP="00C63DD9">
      <w:pPr>
        <w:widowControl w:val="0"/>
        <w:autoSpaceDE w:val="0"/>
        <w:autoSpaceDN w:val="0"/>
        <w:adjustRightInd w:val="0"/>
        <w:spacing w:after="0" w:line="240" w:lineRule="auto"/>
        <w:ind w:left="-567" w:right="-518"/>
        <w:jc w:val="both"/>
        <w:rPr>
          <w:rFonts w:ascii="Arial" w:eastAsiaTheme="minorEastAsia" w:hAnsi="Arial" w:cs="Arial"/>
          <w:b/>
          <w:bCs/>
          <w:lang w:eastAsia="es-MX"/>
        </w:rPr>
      </w:pPr>
      <w:r w:rsidRPr="00187E09">
        <w:rPr>
          <w:rFonts w:ascii="Arial" w:eastAsiaTheme="minorEastAsia" w:hAnsi="Arial" w:cs="Arial"/>
          <w:b/>
          <w:bCs/>
          <w:lang w:eastAsia="es-MX"/>
        </w:rPr>
        <w:t>Nota al usuario:</w:t>
      </w:r>
    </w:p>
    <w:p w14:paraId="12D46272" w14:textId="77777777" w:rsidR="009C017E" w:rsidRPr="00187E09" w:rsidRDefault="009C017E" w:rsidP="00C63DD9">
      <w:pPr>
        <w:widowControl w:val="0"/>
        <w:autoSpaceDE w:val="0"/>
        <w:autoSpaceDN w:val="0"/>
        <w:adjustRightInd w:val="0"/>
        <w:spacing w:after="0" w:line="240" w:lineRule="auto"/>
        <w:ind w:left="-567" w:right="-518"/>
        <w:jc w:val="both"/>
        <w:rPr>
          <w:rFonts w:ascii="Arial" w:eastAsiaTheme="minorEastAsia" w:hAnsi="Arial" w:cs="Arial"/>
          <w:lang w:eastAsia="es-MX"/>
        </w:rPr>
      </w:pPr>
    </w:p>
    <w:p w14:paraId="78D17159" w14:textId="77777777" w:rsidR="009C017E" w:rsidRPr="00187E09" w:rsidRDefault="009C017E" w:rsidP="00C63DD9">
      <w:pPr>
        <w:widowControl w:val="0"/>
        <w:autoSpaceDE w:val="0"/>
        <w:autoSpaceDN w:val="0"/>
        <w:adjustRightInd w:val="0"/>
        <w:spacing w:after="0" w:line="240" w:lineRule="auto"/>
        <w:ind w:left="-567" w:right="-518"/>
        <w:jc w:val="both"/>
        <w:rPr>
          <w:rFonts w:ascii="Arial" w:eastAsiaTheme="minorEastAsia" w:hAnsi="Arial" w:cs="Arial"/>
          <w:lang w:eastAsia="es-MX"/>
        </w:rPr>
      </w:pPr>
      <w:r w:rsidRPr="00187E09">
        <w:rPr>
          <w:rFonts w:ascii="Arial" w:eastAsiaTheme="minorEastAsia" w:hAnsi="Arial" w:cs="Arial"/>
          <w:lang w:eastAsia="es-MX"/>
        </w:rPr>
        <w:t>La Tasa de No Respuesta de la Encuesta Anual de Empresas Constructoras (EAEC), correspondiente al año 2020 registró porcentajes apropiados conforme al diseño estadístico de la encuesta, la cual no se concentró en algún dominio de estudio en particular y permitió la generación de estadísticas con niveles adecuados de cobertura y precisión.</w:t>
      </w:r>
    </w:p>
    <w:p w14:paraId="15F65D8B" w14:textId="77777777" w:rsidR="009C017E" w:rsidRDefault="009C017E" w:rsidP="00C63DD9">
      <w:pPr>
        <w:pStyle w:val="Default"/>
        <w:ind w:left="-567" w:right="-518"/>
        <w:jc w:val="center"/>
        <w:rPr>
          <w:color w:val="auto"/>
          <w:sz w:val="22"/>
          <w:lang w:eastAsia="es-MX"/>
        </w:rPr>
      </w:pPr>
    </w:p>
    <w:p w14:paraId="276F5ADD" w14:textId="77777777" w:rsidR="005F76D1" w:rsidRPr="005F76D1" w:rsidRDefault="005F76D1" w:rsidP="005F76D1">
      <w:pPr>
        <w:pStyle w:val="NormalWeb"/>
        <w:spacing w:before="0" w:beforeAutospacing="0" w:after="0" w:afterAutospacing="0"/>
        <w:ind w:left="-426" w:right="-233"/>
        <w:contextualSpacing/>
        <w:jc w:val="center"/>
        <w:rPr>
          <w:rFonts w:ascii="Arial" w:hAnsi="Arial" w:cs="Arial"/>
          <w:b/>
          <w:sz w:val="22"/>
          <w:szCs w:val="22"/>
        </w:rPr>
      </w:pPr>
      <w:r w:rsidRPr="005F76D1">
        <w:rPr>
          <w:rFonts w:ascii="Arial" w:hAnsi="Arial" w:cs="Arial"/>
          <w:b/>
          <w:sz w:val="22"/>
          <w:szCs w:val="22"/>
        </w:rPr>
        <w:t>Se anexa nota técnica</w:t>
      </w:r>
    </w:p>
    <w:p w14:paraId="75FDA10E" w14:textId="77777777" w:rsidR="005F76D1" w:rsidRPr="005F76D1" w:rsidRDefault="005F76D1" w:rsidP="005F76D1">
      <w:pPr>
        <w:pStyle w:val="NormalWeb"/>
        <w:spacing w:before="0" w:beforeAutospacing="0" w:after="0" w:afterAutospacing="0"/>
        <w:ind w:left="-426" w:right="-233"/>
        <w:contextualSpacing/>
        <w:jc w:val="center"/>
        <w:rPr>
          <w:rFonts w:ascii="Arial" w:hAnsi="Arial" w:cs="Arial"/>
          <w:sz w:val="22"/>
          <w:szCs w:val="22"/>
        </w:rPr>
      </w:pPr>
    </w:p>
    <w:p w14:paraId="1E188EF3" w14:textId="77777777" w:rsidR="005F76D1" w:rsidRPr="005F76D1" w:rsidRDefault="005F76D1" w:rsidP="005F76D1">
      <w:pPr>
        <w:pStyle w:val="NormalWeb"/>
        <w:spacing w:before="0" w:beforeAutospacing="0" w:after="0" w:afterAutospacing="0"/>
        <w:ind w:left="-426" w:right="-233"/>
        <w:contextualSpacing/>
        <w:jc w:val="center"/>
        <w:rPr>
          <w:rFonts w:ascii="Arial" w:hAnsi="Arial" w:cs="Arial"/>
          <w:sz w:val="22"/>
          <w:szCs w:val="22"/>
        </w:rPr>
      </w:pPr>
      <w:r w:rsidRPr="005F76D1">
        <w:rPr>
          <w:rFonts w:ascii="Arial" w:hAnsi="Arial" w:cs="Arial"/>
          <w:sz w:val="22"/>
          <w:szCs w:val="22"/>
        </w:rPr>
        <w:t xml:space="preserve">Para consultas de medios y periodistas, contactar a: </w:t>
      </w:r>
      <w:hyperlink r:id="rId10" w:history="1">
        <w:r w:rsidRPr="005F76D1">
          <w:rPr>
            <w:rStyle w:val="Hipervnculo"/>
            <w:rFonts w:ascii="Arial" w:hAnsi="Arial" w:cs="Arial"/>
            <w:sz w:val="22"/>
            <w:szCs w:val="22"/>
          </w:rPr>
          <w:t>comunicacionsocial@inegi.org.mx</w:t>
        </w:r>
      </w:hyperlink>
    </w:p>
    <w:p w14:paraId="2F30B34E" w14:textId="77777777" w:rsidR="005F76D1" w:rsidRPr="005F76D1" w:rsidRDefault="005F76D1" w:rsidP="005F76D1">
      <w:pPr>
        <w:pStyle w:val="NormalWeb"/>
        <w:spacing w:before="0" w:beforeAutospacing="0" w:after="0" w:afterAutospacing="0"/>
        <w:ind w:left="-426" w:right="-233"/>
        <w:contextualSpacing/>
        <w:jc w:val="center"/>
        <w:rPr>
          <w:rFonts w:ascii="Arial" w:hAnsi="Arial" w:cs="Arial"/>
          <w:sz w:val="22"/>
          <w:szCs w:val="22"/>
        </w:rPr>
      </w:pPr>
      <w:r w:rsidRPr="005F76D1">
        <w:rPr>
          <w:rFonts w:ascii="Arial" w:hAnsi="Arial" w:cs="Arial"/>
          <w:sz w:val="22"/>
          <w:szCs w:val="22"/>
        </w:rPr>
        <w:t xml:space="preserve">o llamar al teléfono (55) 52-78-10-00, </w:t>
      </w:r>
      <w:proofErr w:type="spellStart"/>
      <w:r w:rsidRPr="005F76D1">
        <w:rPr>
          <w:rFonts w:ascii="Arial" w:hAnsi="Arial" w:cs="Arial"/>
          <w:sz w:val="22"/>
          <w:szCs w:val="22"/>
        </w:rPr>
        <w:t>exts</w:t>
      </w:r>
      <w:proofErr w:type="spellEnd"/>
      <w:r w:rsidRPr="005F76D1">
        <w:rPr>
          <w:rFonts w:ascii="Arial" w:hAnsi="Arial" w:cs="Arial"/>
          <w:sz w:val="22"/>
          <w:szCs w:val="22"/>
        </w:rPr>
        <w:t>. 1134, 1260 y 1241.</w:t>
      </w:r>
    </w:p>
    <w:p w14:paraId="7A5B858F" w14:textId="77777777" w:rsidR="005F76D1" w:rsidRPr="005F76D1" w:rsidRDefault="005F76D1" w:rsidP="005F76D1">
      <w:pPr>
        <w:ind w:left="-426" w:right="-233"/>
        <w:contextualSpacing/>
        <w:jc w:val="center"/>
        <w:rPr>
          <w:rFonts w:ascii="Arial" w:hAnsi="Arial" w:cs="Arial"/>
        </w:rPr>
      </w:pPr>
    </w:p>
    <w:p w14:paraId="241FB111" w14:textId="77777777" w:rsidR="005F76D1" w:rsidRPr="005F76D1" w:rsidRDefault="005F76D1" w:rsidP="005F76D1">
      <w:pPr>
        <w:ind w:left="-426" w:right="-233"/>
        <w:contextualSpacing/>
        <w:jc w:val="center"/>
        <w:rPr>
          <w:rFonts w:ascii="Arial" w:hAnsi="Arial" w:cs="Arial"/>
        </w:rPr>
      </w:pPr>
      <w:r w:rsidRPr="005F76D1">
        <w:rPr>
          <w:rFonts w:ascii="Arial" w:hAnsi="Arial" w:cs="Arial"/>
        </w:rPr>
        <w:t>Dirección de Atención a Medios / Dirección General Adjunta de Comunicación</w:t>
      </w:r>
    </w:p>
    <w:p w14:paraId="6ED8A53A" w14:textId="77777777" w:rsidR="005F76D1" w:rsidRPr="00D62445" w:rsidRDefault="005F76D1" w:rsidP="005F76D1">
      <w:pPr>
        <w:ind w:left="-426" w:right="-518"/>
        <w:contextualSpacing/>
      </w:pPr>
    </w:p>
    <w:p w14:paraId="084789ED" w14:textId="77777777" w:rsidR="005F76D1" w:rsidRDefault="005F76D1" w:rsidP="005F76D1">
      <w:pPr>
        <w:ind w:left="-425" w:right="-516"/>
        <w:contextualSpacing/>
        <w:rPr>
          <w:noProof/>
          <w:lang w:eastAsia="es-MX"/>
        </w:rPr>
        <w:sectPr w:rsidR="005F76D1" w:rsidSect="005F76D1">
          <w:headerReference w:type="default" r:id="rId11"/>
          <w:footerReference w:type="default" r:id="rId12"/>
          <w:type w:val="continuous"/>
          <w:pgSz w:w="12242" w:h="15842" w:code="1"/>
          <w:pgMar w:top="1985" w:right="1418" w:bottom="1134" w:left="1559" w:header="567" w:footer="567" w:gutter="0"/>
          <w:paperSrc w:first="7" w:other="7"/>
          <w:pgNumType w:start="1"/>
          <w:cols w:space="720"/>
          <w:docGrid w:linePitch="360"/>
        </w:sectPr>
      </w:pPr>
      <w:r>
        <w:rPr>
          <w:noProof/>
          <w:lang w:eastAsia="es-MX"/>
        </w:rPr>
        <w:t xml:space="preserve">                                            </w:t>
      </w:r>
      <w:r w:rsidRPr="00D62445">
        <w:rPr>
          <w:noProof/>
          <w:lang w:eastAsia="es-MX"/>
        </w:rPr>
        <w:drawing>
          <wp:inline distT="0" distB="0" distL="0" distR="0" wp14:anchorId="24814648" wp14:editId="0E7201D0">
            <wp:extent cx="307975" cy="304800"/>
            <wp:effectExtent l="0" t="0" r="0" b="0"/>
            <wp:docPr id="27" name="Imagen 27"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163" cy="305976"/>
                    </a:xfrm>
                    <a:prstGeom prst="rect">
                      <a:avLst/>
                    </a:prstGeom>
                    <a:noFill/>
                    <a:ln>
                      <a:noFill/>
                    </a:ln>
                  </pic:spPr>
                </pic:pic>
              </a:graphicData>
            </a:graphic>
          </wp:inline>
        </w:drawing>
      </w:r>
      <w:r w:rsidRPr="00D62445">
        <w:rPr>
          <w:noProof/>
          <w:lang w:eastAsia="es-MX"/>
        </w:rPr>
        <w:t xml:space="preserve"> </w:t>
      </w:r>
      <w:r w:rsidRPr="00D62445">
        <w:rPr>
          <w:noProof/>
          <w:lang w:eastAsia="es-MX"/>
        </w:rPr>
        <w:drawing>
          <wp:inline distT="0" distB="0" distL="0" distR="0" wp14:anchorId="46BC513E" wp14:editId="418598B5">
            <wp:extent cx="295275" cy="295275"/>
            <wp:effectExtent l="0" t="0" r="9525" b="9525"/>
            <wp:docPr id="6" name="Imagen 6"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D62445">
        <w:rPr>
          <w:noProof/>
          <w:lang w:eastAsia="es-MX"/>
        </w:rPr>
        <w:t xml:space="preserve"> </w:t>
      </w:r>
      <w:r w:rsidRPr="00D62445">
        <w:rPr>
          <w:noProof/>
          <w:lang w:eastAsia="es-MX"/>
        </w:rPr>
        <w:drawing>
          <wp:inline distT="0" distB="0" distL="0" distR="0" wp14:anchorId="3D4021C9" wp14:editId="605CE12D">
            <wp:extent cx="295275" cy="295275"/>
            <wp:effectExtent l="0" t="0" r="9525" b="9525"/>
            <wp:docPr id="28" name="Imagen 28"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D62445">
        <w:rPr>
          <w:noProof/>
          <w:lang w:eastAsia="es-MX"/>
        </w:rPr>
        <w:t xml:space="preserve"> </w:t>
      </w:r>
      <w:r w:rsidRPr="00D62445">
        <w:rPr>
          <w:noProof/>
          <w:lang w:eastAsia="es-MX"/>
        </w:rPr>
        <w:drawing>
          <wp:inline distT="0" distB="0" distL="0" distR="0" wp14:anchorId="66376E49" wp14:editId="778ED8C8">
            <wp:extent cx="295275" cy="295275"/>
            <wp:effectExtent l="0" t="0" r="9525" b="9525"/>
            <wp:docPr id="13" name="Imagen 13"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D62445">
        <w:rPr>
          <w:noProof/>
          <w:lang w:eastAsia="es-MX"/>
        </w:rPr>
        <w:t xml:space="preserve">  </w:t>
      </w:r>
      <w:r w:rsidRPr="00D62445">
        <w:rPr>
          <w:noProof/>
          <w:lang w:eastAsia="es-MX"/>
        </w:rPr>
        <w:drawing>
          <wp:inline distT="0" distB="0" distL="0" distR="0" wp14:anchorId="3E1F70EF" wp14:editId="573C5977">
            <wp:extent cx="2286000" cy="274320"/>
            <wp:effectExtent l="0" t="0" r="0" b="0"/>
            <wp:docPr id="18" name="Imagen 1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B82F348" w14:textId="77777777" w:rsidR="005F76D1" w:rsidRDefault="005F76D1" w:rsidP="005F76D1">
      <w:pPr>
        <w:ind w:left="-425" w:right="-516"/>
        <w:contextualSpacing/>
        <w:rPr>
          <w:noProof/>
          <w:lang w:eastAsia="es-MX"/>
        </w:rPr>
        <w:sectPr w:rsidR="005F76D1" w:rsidSect="005F76D1">
          <w:type w:val="continuous"/>
          <w:pgSz w:w="12242" w:h="15842" w:code="1"/>
          <w:pgMar w:top="1985" w:right="1418" w:bottom="1134" w:left="1559" w:header="567" w:footer="567" w:gutter="0"/>
          <w:paperSrc w:first="7" w:other="7"/>
          <w:pgNumType w:start="1"/>
          <w:cols w:space="720"/>
          <w:docGrid w:linePitch="360"/>
        </w:sectPr>
      </w:pPr>
    </w:p>
    <w:p w14:paraId="29BBF51D" w14:textId="77777777" w:rsidR="00C63DD9" w:rsidRDefault="00C63DD9" w:rsidP="00FB748F">
      <w:pPr>
        <w:tabs>
          <w:tab w:val="left" w:pos="1095"/>
          <w:tab w:val="center" w:pos="4419"/>
        </w:tabs>
        <w:spacing w:after="0" w:line="240" w:lineRule="auto"/>
        <w:rPr>
          <w:rFonts w:ascii="Arial" w:hAnsi="Arial" w:cs="Arial"/>
          <w:b/>
          <w:sz w:val="24"/>
          <w:szCs w:val="24"/>
        </w:rPr>
      </w:pPr>
    </w:p>
    <w:p w14:paraId="2AB718DA" w14:textId="77777777" w:rsidR="00F47EF4" w:rsidRDefault="00F47EF4" w:rsidP="005F76D1">
      <w:pPr>
        <w:tabs>
          <w:tab w:val="left" w:pos="1095"/>
          <w:tab w:val="center" w:pos="4419"/>
        </w:tabs>
        <w:spacing w:after="0" w:line="240" w:lineRule="auto"/>
        <w:jc w:val="center"/>
        <w:rPr>
          <w:rFonts w:ascii="Arial" w:hAnsi="Arial" w:cs="Arial"/>
          <w:b/>
          <w:sz w:val="24"/>
          <w:szCs w:val="24"/>
        </w:rPr>
      </w:pPr>
      <w:r w:rsidRPr="00A4209B">
        <w:rPr>
          <w:rFonts w:ascii="Arial" w:hAnsi="Arial" w:cs="Arial"/>
          <w:b/>
          <w:sz w:val="24"/>
          <w:szCs w:val="24"/>
        </w:rPr>
        <w:t>NOTA TÉCNICA</w:t>
      </w:r>
    </w:p>
    <w:p w14:paraId="4D412954" w14:textId="77777777" w:rsidR="00773BBF" w:rsidRDefault="00D26405" w:rsidP="00FB748F">
      <w:pPr>
        <w:spacing w:after="0" w:line="240" w:lineRule="auto"/>
        <w:jc w:val="center"/>
        <w:rPr>
          <w:rFonts w:ascii="Arial" w:hAnsi="Arial" w:cs="Arial"/>
          <w:b/>
          <w:sz w:val="24"/>
          <w:szCs w:val="24"/>
        </w:rPr>
      </w:pPr>
      <w:r>
        <w:rPr>
          <w:rFonts w:ascii="Arial" w:hAnsi="Arial" w:cs="Arial"/>
          <w:b/>
          <w:sz w:val="24"/>
          <w:szCs w:val="24"/>
        </w:rPr>
        <w:t xml:space="preserve">ENCUESTA ANUAL DE </w:t>
      </w:r>
      <w:r w:rsidR="00633D73">
        <w:rPr>
          <w:rFonts w:ascii="Arial" w:hAnsi="Arial" w:cs="Arial"/>
          <w:b/>
          <w:sz w:val="24"/>
          <w:szCs w:val="24"/>
        </w:rPr>
        <w:t>EMPRESAS CONSTRUCTORAS</w:t>
      </w:r>
      <w:r w:rsidR="001D4B18">
        <w:rPr>
          <w:rFonts w:ascii="Arial" w:hAnsi="Arial" w:cs="Arial"/>
          <w:b/>
          <w:sz w:val="24"/>
          <w:szCs w:val="24"/>
        </w:rPr>
        <w:t xml:space="preserve"> (EA</w:t>
      </w:r>
      <w:r w:rsidR="0089721E">
        <w:rPr>
          <w:rFonts w:ascii="Arial" w:hAnsi="Arial" w:cs="Arial"/>
          <w:b/>
          <w:sz w:val="24"/>
          <w:szCs w:val="24"/>
        </w:rPr>
        <w:t>EC</w:t>
      </w:r>
      <w:r w:rsidR="001D4B18">
        <w:rPr>
          <w:rFonts w:ascii="Arial" w:hAnsi="Arial" w:cs="Arial"/>
          <w:b/>
          <w:sz w:val="24"/>
          <w:szCs w:val="24"/>
        </w:rPr>
        <w:t>)</w:t>
      </w:r>
    </w:p>
    <w:p w14:paraId="57DB55F4" w14:textId="77777777" w:rsidR="00F47EF4" w:rsidRPr="00A4209B" w:rsidRDefault="00D26405" w:rsidP="00FB748F">
      <w:pPr>
        <w:spacing w:after="0" w:line="240" w:lineRule="auto"/>
        <w:jc w:val="center"/>
        <w:rPr>
          <w:rFonts w:ascii="Arial" w:hAnsi="Arial" w:cs="Arial"/>
          <w:b/>
          <w:sz w:val="24"/>
          <w:szCs w:val="24"/>
        </w:rPr>
      </w:pPr>
      <w:r>
        <w:rPr>
          <w:rFonts w:ascii="Arial" w:hAnsi="Arial" w:cs="Arial"/>
          <w:b/>
          <w:sz w:val="24"/>
          <w:szCs w:val="24"/>
        </w:rPr>
        <w:t>CI</w:t>
      </w:r>
      <w:r w:rsidR="001D4B18">
        <w:rPr>
          <w:rFonts w:ascii="Arial" w:hAnsi="Arial" w:cs="Arial"/>
          <w:b/>
          <w:sz w:val="24"/>
          <w:szCs w:val="24"/>
        </w:rPr>
        <w:t>FRAS DE 2020</w:t>
      </w:r>
    </w:p>
    <w:p w14:paraId="147D54B3" w14:textId="77777777" w:rsidR="00F47EF4" w:rsidRPr="00E27FC6" w:rsidRDefault="00F47EF4" w:rsidP="00FB748F">
      <w:pPr>
        <w:spacing w:after="0" w:line="240" w:lineRule="auto"/>
        <w:jc w:val="both"/>
        <w:rPr>
          <w:rFonts w:ascii="Arial" w:eastAsia="Times New Roman" w:hAnsi="Arial" w:cs="Arial"/>
          <w:lang w:eastAsia="es-MX"/>
        </w:rPr>
      </w:pPr>
    </w:p>
    <w:p w14:paraId="27270F73" w14:textId="77777777" w:rsidR="00E27FC6" w:rsidRPr="005F52E0" w:rsidRDefault="00E27FC6" w:rsidP="00E27FC6">
      <w:pPr>
        <w:spacing w:after="0" w:line="240" w:lineRule="auto"/>
        <w:jc w:val="both"/>
        <w:rPr>
          <w:rFonts w:ascii="Arial" w:eastAsia="Times New Roman" w:hAnsi="Arial" w:cs="Arial"/>
          <w:lang w:eastAsia="es-MX"/>
        </w:rPr>
      </w:pPr>
      <w:r w:rsidRPr="005F52E0">
        <w:rPr>
          <w:rFonts w:ascii="Arial" w:eastAsia="Times New Roman" w:hAnsi="Arial" w:cs="Arial"/>
          <w:lang w:eastAsia="es-MX"/>
        </w:rPr>
        <w:t xml:space="preserve">El Instituto Nacional de Estadística y Geografía (INEGI) presenta los resultados de la Encuesta Anual de Empresas Constructoras (EAEC) con información referida al año 2020. </w:t>
      </w:r>
    </w:p>
    <w:p w14:paraId="20888000" w14:textId="77777777" w:rsidR="00E27FC6" w:rsidRPr="005F52E0" w:rsidRDefault="00E27FC6" w:rsidP="00E27FC6">
      <w:pPr>
        <w:spacing w:after="0" w:line="240" w:lineRule="auto"/>
        <w:jc w:val="both"/>
        <w:rPr>
          <w:rFonts w:ascii="Arial" w:eastAsia="Times New Roman" w:hAnsi="Arial" w:cs="Arial"/>
          <w:lang w:eastAsia="es-MX"/>
        </w:rPr>
      </w:pPr>
    </w:p>
    <w:p w14:paraId="2FA355F2" w14:textId="77777777" w:rsidR="00E27FC6" w:rsidRPr="005F52E0" w:rsidRDefault="00E27FC6" w:rsidP="00E27FC6">
      <w:pPr>
        <w:spacing w:after="0" w:line="240" w:lineRule="auto"/>
        <w:jc w:val="both"/>
        <w:rPr>
          <w:rFonts w:ascii="Arial" w:eastAsia="Times New Roman" w:hAnsi="Arial" w:cs="Arial"/>
          <w:lang w:eastAsia="es-MX"/>
        </w:rPr>
      </w:pPr>
      <w:r w:rsidRPr="005F52E0">
        <w:rPr>
          <w:rFonts w:ascii="Arial" w:eastAsia="Times New Roman" w:hAnsi="Arial" w:cs="Arial"/>
          <w:lang w:eastAsia="es-MX"/>
        </w:rPr>
        <w:t>La EAEC surgió en</w:t>
      </w:r>
      <w:r w:rsidR="002652BF" w:rsidRPr="005F52E0">
        <w:rPr>
          <w:rFonts w:ascii="Arial" w:eastAsia="Times New Roman" w:hAnsi="Arial" w:cs="Arial"/>
          <w:lang w:eastAsia="es-MX"/>
        </w:rPr>
        <w:t xml:space="preserve"> el</w:t>
      </w:r>
      <w:r w:rsidR="009F1076">
        <w:rPr>
          <w:rFonts w:ascii="Arial" w:eastAsia="Times New Roman" w:hAnsi="Arial" w:cs="Arial"/>
          <w:lang w:eastAsia="es-MX"/>
        </w:rPr>
        <w:t xml:space="preserve"> </w:t>
      </w:r>
      <w:r w:rsidR="002652BF" w:rsidRPr="005F52E0">
        <w:rPr>
          <w:rFonts w:ascii="Arial" w:eastAsia="Times New Roman" w:hAnsi="Arial" w:cs="Arial"/>
          <w:lang w:eastAsia="es-MX"/>
        </w:rPr>
        <w:t>2000</w:t>
      </w:r>
      <w:r w:rsidRPr="005F52E0">
        <w:rPr>
          <w:rFonts w:ascii="Arial" w:eastAsia="Times New Roman" w:hAnsi="Arial" w:cs="Arial"/>
          <w:lang w:eastAsia="es-MX"/>
        </w:rPr>
        <w:t>, es decir</w:t>
      </w:r>
      <w:r w:rsidR="002652BF" w:rsidRPr="005F52E0">
        <w:rPr>
          <w:rFonts w:ascii="Arial" w:eastAsia="Times New Roman" w:hAnsi="Arial" w:cs="Arial"/>
          <w:lang w:eastAsia="es-MX"/>
        </w:rPr>
        <w:t>, que tiene una historia de más de 20</w:t>
      </w:r>
      <w:r w:rsidRPr="005F52E0">
        <w:rPr>
          <w:rFonts w:ascii="Arial" w:eastAsia="Times New Roman" w:hAnsi="Arial" w:cs="Arial"/>
          <w:lang w:eastAsia="es-MX"/>
        </w:rPr>
        <w:t xml:space="preserve"> años brindando estadísticas básicas que muestren el comportamiento económico de estructura de las principales variables del sector construcción del país, que sirve como insumo fundamental para la generación de diversos cálculos macroeconómicos, así como de indicadores económicos relacionados con el empleo, la producción y la inversión de las empresas constructoras mexicanas. </w:t>
      </w:r>
    </w:p>
    <w:p w14:paraId="2824E581" w14:textId="77777777" w:rsidR="00E27FC6" w:rsidRPr="005F52E0" w:rsidRDefault="00E27FC6" w:rsidP="00E27FC6">
      <w:pPr>
        <w:spacing w:after="0" w:line="240" w:lineRule="auto"/>
        <w:jc w:val="both"/>
        <w:rPr>
          <w:rFonts w:ascii="Arial" w:eastAsia="Times New Roman" w:hAnsi="Arial" w:cs="Arial"/>
          <w:lang w:eastAsia="es-MX"/>
        </w:rPr>
      </w:pPr>
    </w:p>
    <w:p w14:paraId="2A854F5F" w14:textId="77777777" w:rsidR="00E27FC6" w:rsidRPr="005F52E0" w:rsidRDefault="00E27FC6" w:rsidP="00E27FC6">
      <w:pPr>
        <w:spacing w:after="0" w:line="240" w:lineRule="auto"/>
        <w:jc w:val="both"/>
        <w:rPr>
          <w:rFonts w:ascii="Arial" w:eastAsia="Times New Roman" w:hAnsi="Arial" w:cs="Arial"/>
          <w:lang w:eastAsia="es-MX"/>
        </w:rPr>
      </w:pPr>
      <w:r w:rsidRPr="005F52E0">
        <w:rPr>
          <w:rFonts w:ascii="Arial" w:eastAsia="Times New Roman" w:hAnsi="Arial" w:cs="Arial"/>
          <w:lang w:eastAsia="es-MX"/>
        </w:rPr>
        <w:t>La oferta estadística está conformada por valores absolutos de personal ocupado, remuneraciones, gastos por consumo de bienes y servicios, ingresos por suministro de bienes y servicios, valor de producción, existencias y activos fijos, las cuales se desagregan por sector</w:t>
      </w:r>
      <w:r w:rsidR="0031078C" w:rsidRPr="005F52E0">
        <w:rPr>
          <w:rFonts w:ascii="Arial" w:eastAsia="Times New Roman" w:hAnsi="Arial" w:cs="Arial"/>
          <w:lang w:eastAsia="es-MX"/>
        </w:rPr>
        <w:t xml:space="preserve"> y</w:t>
      </w:r>
      <w:r w:rsidRPr="005F52E0">
        <w:rPr>
          <w:rFonts w:ascii="Arial" w:eastAsia="Times New Roman" w:hAnsi="Arial" w:cs="Arial"/>
          <w:lang w:eastAsia="es-MX"/>
        </w:rPr>
        <w:t xml:space="preserve"> subsector de acuerdo con el Sistema de Clasificación Industrial de América del Norte (SCIAN) 2013, lo que permite dar seguimiento al comportamiento de la actividad económica de este sector</w:t>
      </w:r>
      <w:r w:rsidR="0031078C" w:rsidRPr="005F52E0">
        <w:rPr>
          <w:rFonts w:ascii="Arial" w:eastAsia="Times New Roman" w:hAnsi="Arial" w:cs="Arial"/>
          <w:lang w:eastAsia="es-MX"/>
        </w:rPr>
        <w:t xml:space="preserve">. Asimismo, </w:t>
      </w:r>
      <w:r w:rsidR="00FB748F">
        <w:rPr>
          <w:rFonts w:ascii="Arial" w:eastAsia="Times New Roman" w:hAnsi="Arial" w:cs="Arial"/>
          <w:lang w:eastAsia="es-MX"/>
        </w:rPr>
        <w:t xml:space="preserve">por separado </w:t>
      </w:r>
      <w:r w:rsidR="0031078C" w:rsidRPr="005F52E0">
        <w:rPr>
          <w:rFonts w:ascii="Arial" w:eastAsia="Times New Roman" w:hAnsi="Arial" w:cs="Arial"/>
          <w:lang w:eastAsia="es-MX"/>
        </w:rPr>
        <w:t>las estadísticas se presentan por entidad federativa.</w:t>
      </w:r>
    </w:p>
    <w:p w14:paraId="5742AA41" w14:textId="77777777" w:rsidR="00E27FC6" w:rsidRPr="005F52E0" w:rsidRDefault="00E27FC6" w:rsidP="00E27FC6">
      <w:pPr>
        <w:spacing w:after="0" w:line="240" w:lineRule="auto"/>
        <w:jc w:val="both"/>
        <w:rPr>
          <w:rFonts w:ascii="Arial" w:eastAsia="Times New Roman" w:hAnsi="Arial" w:cs="Arial"/>
          <w:lang w:eastAsia="es-MX"/>
        </w:rPr>
      </w:pPr>
    </w:p>
    <w:p w14:paraId="338A690A" w14:textId="77777777" w:rsidR="00E27FC6" w:rsidRPr="005F52E0" w:rsidRDefault="007E2AD9" w:rsidP="00E27FC6">
      <w:pPr>
        <w:spacing w:after="0" w:line="240" w:lineRule="auto"/>
        <w:jc w:val="both"/>
        <w:rPr>
          <w:rFonts w:ascii="Arial" w:eastAsia="Times New Roman" w:hAnsi="Arial" w:cs="Arial"/>
          <w:lang w:eastAsia="es-MX"/>
        </w:rPr>
      </w:pPr>
      <w:r w:rsidRPr="005F52E0">
        <w:rPr>
          <w:rFonts w:ascii="Arial" w:eastAsia="Times New Roman" w:hAnsi="Arial" w:cs="Arial"/>
          <w:lang w:eastAsia="es-MX"/>
        </w:rPr>
        <w:t>A</w:t>
      </w:r>
      <w:r w:rsidR="002652BF" w:rsidRPr="005F52E0">
        <w:rPr>
          <w:rFonts w:ascii="Arial" w:eastAsia="Times New Roman" w:hAnsi="Arial" w:cs="Arial"/>
          <w:lang w:eastAsia="es-MX"/>
        </w:rPr>
        <w:t>dicionalmente</w:t>
      </w:r>
      <w:r w:rsidR="00E27FC6" w:rsidRPr="005F52E0">
        <w:rPr>
          <w:rFonts w:ascii="Arial" w:eastAsia="Times New Roman" w:hAnsi="Arial" w:cs="Arial"/>
          <w:lang w:eastAsia="es-MX"/>
        </w:rPr>
        <w:t>, se difunde información de carácter cualitativo sobre la capacitación, gastos e ingresos del comercio electrónico y características generales de l</w:t>
      </w:r>
      <w:r w:rsidR="0031078C" w:rsidRPr="005F52E0">
        <w:rPr>
          <w:rFonts w:ascii="Arial" w:eastAsia="Times New Roman" w:hAnsi="Arial" w:cs="Arial"/>
          <w:lang w:eastAsia="es-MX"/>
        </w:rPr>
        <w:t>a</w:t>
      </w:r>
      <w:r w:rsidR="00E27FC6" w:rsidRPr="005F52E0">
        <w:rPr>
          <w:rFonts w:ascii="Arial" w:eastAsia="Times New Roman" w:hAnsi="Arial" w:cs="Arial"/>
          <w:lang w:eastAsia="es-MX"/>
        </w:rPr>
        <w:t xml:space="preserve">s </w:t>
      </w:r>
      <w:r w:rsidR="0031078C" w:rsidRPr="005F52E0">
        <w:rPr>
          <w:rFonts w:ascii="Arial" w:eastAsia="Times New Roman" w:hAnsi="Arial" w:cs="Arial"/>
          <w:lang w:eastAsia="es-MX"/>
        </w:rPr>
        <w:t>empresas constructoras.</w:t>
      </w:r>
    </w:p>
    <w:p w14:paraId="5FEC6DE9" w14:textId="77777777" w:rsidR="00FA691B" w:rsidRPr="005F52E0" w:rsidRDefault="00FA691B" w:rsidP="00E27FC6">
      <w:pPr>
        <w:spacing w:after="0" w:line="240" w:lineRule="auto"/>
        <w:jc w:val="both"/>
        <w:rPr>
          <w:rFonts w:ascii="Arial" w:eastAsia="Times New Roman" w:hAnsi="Arial" w:cs="Arial"/>
          <w:lang w:eastAsia="es-MX"/>
        </w:rPr>
      </w:pPr>
    </w:p>
    <w:p w14:paraId="0C417637" w14:textId="77777777" w:rsidR="00FA691B" w:rsidRPr="005F52E0" w:rsidRDefault="00FA691B" w:rsidP="00FA691B">
      <w:pPr>
        <w:spacing w:after="0" w:line="240" w:lineRule="auto"/>
        <w:jc w:val="both"/>
        <w:rPr>
          <w:rFonts w:ascii="Arial" w:eastAsia="Calibri" w:hAnsi="Arial" w:cs="Arial"/>
        </w:rPr>
      </w:pPr>
      <w:r w:rsidRPr="005F52E0">
        <w:rPr>
          <w:rFonts w:ascii="Arial" w:eastAsia="Calibri" w:hAnsi="Arial" w:cs="Arial"/>
        </w:rPr>
        <w:t>La</w:t>
      </w:r>
      <w:r w:rsidR="00FB748F">
        <w:rPr>
          <w:rFonts w:ascii="Arial" w:eastAsia="Calibri" w:hAnsi="Arial" w:cs="Arial"/>
        </w:rPr>
        <w:t xml:space="preserve"> EAEC serie 2013 ofrece</w:t>
      </w:r>
      <w:r w:rsidRPr="005F52E0">
        <w:rPr>
          <w:rFonts w:ascii="Arial" w:eastAsia="Calibri" w:hAnsi="Arial" w:cs="Arial"/>
        </w:rPr>
        <w:t xml:space="preserve"> in</w:t>
      </w:r>
      <w:r w:rsidR="00FB748F">
        <w:rPr>
          <w:rFonts w:ascii="Arial" w:eastAsia="Calibri" w:hAnsi="Arial" w:cs="Arial"/>
        </w:rPr>
        <w:t>formación del periodo 2013-2020. Las series anteriores cubren el periodo a partir del 2000.</w:t>
      </w:r>
    </w:p>
    <w:p w14:paraId="4660C50B" w14:textId="77777777" w:rsidR="0089721E" w:rsidRPr="005F52E0" w:rsidRDefault="0089721E" w:rsidP="0089721E">
      <w:pPr>
        <w:pStyle w:val="Default"/>
        <w:jc w:val="both"/>
        <w:rPr>
          <w:rFonts w:eastAsia="Times New Roman"/>
          <w:color w:val="auto"/>
          <w:sz w:val="22"/>
          <w:szCs w:val="22"/>
          <w:lang w:eastAsia="es-MX"/>
        </w:rPr>
      </w:pPr>
    </w:p>
    <w:p w14:paraId="0973FF28" w14:textId="77777777" w:rsidR="00D009A4" w:rsidRPr="005F52E0" w:rsidRDefault="00D009A4" w:rsidP="00D93423">
      <w:pPr>
        <w:spacing w:after="0" w:line="240" w:lineRule="auto"/>
        <w:jc w:val="both"/>
        <w:rPr>
          <w:rFonts w:ascii="Arial" w:eastAsia="Times New Roman" w:hAnsi="Arial" w:cs="Arial"/>
          <w:b/>
          <w:bCs/>
          <w:lang w:eastAsia="es-MX"/>
        </w:rPr>
      </w:pPr>
      <w:r w:rsidRPr="005F52E0">
        <w:rPr>
          <w:rFonts w:ascii="Arial" w:eastAsia="Times New Roman" w:hAnsi="Arial" w:cs="Arial"/>
          <w:b/>
          <w:bCs/>
          <w:lang w:eastAsia="es-MX"/>
        </w:rPr>
        <w:t>Principales resultados.</w:t>
      </w:r>
    </w:p>
    <w:p w14:paraId="421051EF" w14:textId="77777777" w:rsidR="00D009A4" w:rsidRPr="005F52E0" w:rsidRDefault="00D009A4" w:rsidP="00D93423">
      <w:pPr>
        <w:spacing w:after="0" w:line="240" w:lineRule="auto"/>
        <w:jc w:val="both"/>
        <w:rPr>
          <w:rFonts w:ascii="Arial" w:eastAsia="Times New Roman" w:hAnsi="Arial" w:cs="Arial"/>
          <w:lang w:eastAsia="es-MX"/>
        </w:rPr>
      </w:pPr>
    </w:p>
    <w:p w14:paraId="072424B4" w14:textId="77777777" w:rsidR="008F3E12" w:rsidRPr="005F52E0" w:rsidRDefault="0031078C" w:rsidP="00D93423">
      <w:pPr>
        <w:spacing w:after="0" w:line="240" w:lineRule="auto"/>
        <w:jc w:val="both"/>
        <w:rPr>
          <w:rFonts w:ascii="Arial" w:eastAsia="Times New Roman" w:hAnsi="Arial" w:cs="Arial"/>
          <w:lang w:eastAsia="es-MX"/>
        </w:rPr>
      </w:pPr>
      <w:r w:rsidRPr="005F52E0">
        <w:rPr>
          <w:rFonts w:ascii="Arial" w:eastAsia="Times New Roman" w:hAnsi="Arial" w:cs="Arial"/>
          <w:lang w:eastAsia="es-MX"/>
        </w:rPr>
        <w:t xml:space="preserve">En 2020, </w:t>
      </w:r>
      <w:r w:rsidR="00B374D2" w:rsidRPr="005F52E0">
        <w:rPr>
          <w:rFonts w:ascii="Arial" w:eastAsia="Times New Roman" w:hAnsi="Arial" w:cs="Arial"/>
          <w:lang w:eastAsia="es-MX"/>
        </w:rPr>
        <w:t>l</w:t>
      </w:r>
      <w:r w:rsidR="00D009A4" w:rsidRPr="005F52E0">
        <w:rPr>
          <w:rFonts w:ascii="Arial" w:eastAsia="Times New Roman" w:hAnsi="Arial" w:cs="Arial"/>
          <w:lang w:eastAsia="es-MX"/>
        </w:rPr>
        <w:t xml:space="preserve">a </w:t>
      </w:r>
      <w:r w:rsidR="0089721E" w:rsidRPr="005F52E0">
        <w:rPr>
          <w:rFonts w:ascii="Arial" w:eastAsia="Times New Roman" w:hAnsi="Arial" w:cs="Arial"/>
          <w:lang w:eastAsia="es-MX"/>
        </w:rPr>
        <w:t>EAEC</w:t>
      </w:r>
      <w:r w:rsidR="00D009A4" w:rsidRPr="005F52E0">
        <w:rPr>
          <w:rFonts w:ascii="Arial" w:eastAsia="Times New Roman" w:hAnsi="Arial" w:cs="Arial"/>
          <w:lang w:eastAsia="es-MX"/>
        </w:rPr>
        <w:t xml:space="preserve"> </w:t>
      </w:r>
      <w:r w:rsidR="00B374D2" w:rsidRPr="005F52E0">
        <w:rPr>
          <w:rFonts w:ascii="Arial" w:eastAsia="Times New Roman" w:hAnsi="Arial" w:cs="Arial"/>
          <w:lang w:eastAsia="es-MX"/>
        </w:rPr>
        <w:t xml:space="preserve">registra </w:t>
      </w:r>
      <w:r w:rsidR="00D009A4" w:rsidRPr="005F52E0">
        <w:rPr>
          <w:rFonts w:ascii="Arial" w:eastAsia="Times New Roman" w:hAnsi="Arial" w:cs="Arial"/>
          <w:lang w:eastAsia="es-MX"/>
        </w:rPr>
        <w:t xml:space="preserve">variaciones anuales </w:t>
      </w:r>
      <w:r w:rsidR="00356A76" w:rsidRPr="005F52E0">
        <w:rPr>
          <w:rFonts w:ascii="Arial" w:eastAsia="Times New Roman" w:hAnsi="Arial" w:cs="Arial"/>
          <w:lang w:eastAsia="es-MX"/>
        </w:rPr>
        <w:t>negat</w:t>
      </w:r>
      <w:r w:rsidR="00D009A4" w:rsidRPr="005F52E0">
        <w:rPr>
          <w:rFonts w:ascii="Arial" w:eastAsia="Times New Roman" w:hAnsi="Arial" w:cs="Arial"/>
          <w:lang w:eastAsia="es-MX"/>
        </w:rPr>
        <w:t>ivas</w:t>
      </w:r>
      <w:r w:rsidRPr="005F52E0">
        <w:rPr>
          <w:rFonts w:ascii="Arial" w:eastAsia="Times New Roman" w:hAnsi="Arial" w:cs="Arial"/>
          <w:lang w:eastAsia="es-MX"/>
        </w:rPr>
        <w:t xml:space="preserve"> en sus cinco principales variables</w:t>
      </w:r>
      <w:r w:rsidR="00D009A4" w:rsidRPr="005F52E0">
        <w:rPr>
          <w:rFonts w:ascii="Arial" w:eastAsia="Times New Roman" w:hAnsi="Arial" w:cs="Arial"/>
          <w:lang w:eastAsia="es-MX"/>
        </w:rPr>
        <w:t xml:space="preserve"> </w:t>
      </w:r>
      <w:r w:rsidR="00F562A2" w:rsidRPr="005F52E0">
        <w:rPr>
          <w:rFonts w:ascii="Arial" w:eastAsia="Times New Roman" w:hAnsi="Arial" w:cs="Arial"/>
          <w:lang w:eastAsia="es-MX"/>
        </w:rPr>
        <w:t>respecto</w:t>
      </w:r>
      <w:r w:rsidR="003A575A" w:rsidRPr="005F52E0">
        <w:rPr>
          <w:rFonts w:ascii="Arial" w:eastAsia="Times New Roman" w:hAnsi="Arial" w:cs="Arial"/>
          <w:lang w:eastAsia="es-MX"/>
        </w:rPr>
        <w:t xml:space="preserve"> a </w:t>
      </w:r>
      <w:r w:rsidR="00F562A2" w:rsidRPr="005F52E0">
        <w:rPr>
          <w:rFonts w:ascii="Arial" w:eastAsia="Times New Roman" w:hAnsi="Arial" w:cs="Arial"/>
          <w:lang w:eastAsia="es-MX"/>
        </w:rPr>
        <w:t>2019</w:t>
      </w:r>
      <w:r w:rsidR="003A575A" w:rsidRPr="005F52E0">
        <w:rPr>
          <w:rFonts w:ascii="Arial" w:eastAsia="Times New Roman" w:hAnsi="Arial" w:cs="Arial"/>
          <w:lang w:eastAsia="es-MX"/>
        </w:rPr>
        <w:t>: P</w:t>
      </w:r>
      <w:r w:rsidR="008F3E12" w:rsidRPr="005F52E0">
        <w:rPr>
          <w:rFonts w:ascii="Arial" w:eastAsia="Times New Roman" w:hAnsi="Arial" w:cs="Arial"/>
          <w:lang w:eastAsia="es-MX"/>
        </w:rPr>
        <w:t>ersonal ocupado</w:t>
      </w:r>
      <w:r w:rsidR="00111B5D" w:rsidRPr="005F52E0">
        <w:rPr>
          <w:rFonts w:ascii="Arial" w:eastAsia="Times New Roman" w:hAnsi="Arial" w:cs="Arial"/>
          <w:lang w:eastAsia="es-MX"/>
        </w:rPr>
        <w:t xml:space="preserve"> total</w:t>
      </w:r>
      <w:r w:rsidR="008F3E12" w:rsidRPr="005F52E0">
        <w:rPr>
          <w:rFonts w:ascii="Arial" w:eastAsia="Times New Roman" w:hAnsi="Arial" w:cs="Arial"/>
          <w:lang w:eastAsia="es-MX"/>
        </w:rPr>
        <w:t xml:space="preserve">, </w:t>
      </w:r>
      <w:r w:rsidR="003A575A" w:rsidRPr="005F52E0">
        <w:rPr>
          <w:rFonts w:ascii="Arial" w:eastAsia="Times New Roman" w:hAnsi="Arial" w:cs="Arial"/>
          <w:lang w:eastAsia="es-MX"/>
        </w:rPr>
        <w:t>v</w:t>
      </w:r>
      <w:r w:rsidR="004939AC" w:rsidRPr="005F52E0">
        <w:rPr>
          <w:rFonts w:ascii="Arial" w:eastAsia="Times New Roman" w:hAnsi="Arial" w:cs="Arial"/>
          <w:lang w:eastAsia="es-MX"/>
        </w:rPr>
        <w:t xml:space="preserve">alor de </w:t>
      </w:r>
      <w:r w:rsidR="00332A2B" w:rsidRPr="005F52E0">
        <w:rPr>
          <w:rFonts w:ascii="Arial" w:eastAsia="Times New Roman" w:hAnsi="Arial" w:cs="Arial"/>
          <w:lang w:eastAsia="es-MX"/>
        </w:rPr>
        <w:t>producción</w:t>
      </w:r>
      <w:r w:rsidR="008F3E12" w:rsidRPr="005F52E0">
        <w:rPr>
          <w:rFonts w:ascii="Arial" w:eastAsia="Times New Roman" w:hAnsi="Arial" w:cs="Arial"/>
          <w:lang w:eastAsia="es-MX"/>
        </w:rPr>
        <w:t xml:space="preserve">, gastos </w:t>
      </w:r>
      <w:r w:rsidR="00111B5D" w:rsidRPr="005F52E0">
        <w:rPr>
          <w:rFonts w:ascii="Arial" w:eastAsia="Times New Roman" w:hAnsi="Arial" w:cs="Arial"/>
          <w:lang w:eastAsia="es-MX"/>
        </w:rPr>
        <w:t>por consumo de bienes y servicios</w:t>
      </w:r>
      <w:r w:rsidR="00B374D2" w:rsidRPr="005F52E0">
        <w:rPr>
          <w:rFonts w:ascii="Arial" w:eastAsia="Times New Roman" w:hAnsi="Arial" w:cs="Arial"/>
          <w:lang w:eastAsia="es-MX"/>
        </w:rPr>
        <w:t>,</w:t>
      </w:r>
      <w:r w:rsidR="008F3E12" w:rsidRPr="005F52E0">
        <w:rPr>
          <w:rFonts w:ascii="Arial" w:eastAsia="Times New Roman" w:hAnsi="Arial" w:cs="Arial"/>
          <w:lang w:eastAsia="es-MX"/>
        </w:rPr>
        <w:t xml:space="preserve"> ingresos </w:t>
      </w:r>
      <w:r w:rsidR="00111B5D" w:rsidRPr="005F52E0">
        <w:rPr>
          <w:rFonts w:ascii="Arial" w:eastAsia="Times New Roman" w:hAnsi="Arial" w:cs="Arial"/>
          <w:lang w:eastAsia="es-MX"/>
        </w:rPr>
        <w:t>por suministro de bienes y servicios</w:t>
      </w:r>
      <w:r w:rsidR="00B374D2" w:rsidRPr="005F52E0">
        <w:rPr>
          <w:rFonts w:ascii="Arial" w:eastAsia="Times New Roman" w:hAnsi="Arial" w:cs="Arial"/>
          <w:lang w:eastAsia="es-MX"/>
        </w:rPr>
        <w:t xml:space="preserve"> y </w:t>
      </w:r>
      <w:r w:rsidR="004C690D" w:rsidRPr="005F52E0">
        <w:rPr>
          <w:rFonts w:ascii="Arial" w:eastAsia="Times New Roman" w:hAnsi="Arial" w:cs="Arial"/>
          <w:lang w:eastAsia="es-MX"/>
        </w:rPr>
        <w:t xml:space="preserve">valor de </w:t>
      </w:r>
      <w:r w:rsidR="00B374D2" w:rsidRPr="005F52E0">
        <w:rPr>
          <w:rFonts w:ascii="Arial" w:eastAsia="Times New Roman" w:hAnsi="Arial" w:cs="Arial"/>
          <w:lang w:eastAsia="es-MX"/>
        </w:rPr>
        <w:t>activos fijos</w:t>
      </w:r>
      <w:r w:rsidR="004C690D" w:rsidRPr="005F52E0">
        <w:rPr>
          <w:rFonts w:ascii="Arial" w:eastAsia="Times New Roman" w:hAnsi="Arial" w:cs="Arial"/>
          <w:lang w:eastAsia="es-MX"/>
        </w:rPr>
        <w:t xml:space="preserve"> totales</w:t>
      </w:r>
      <w:r w:rsidR="00111B5D" w:rsidRPr="005F52E0">
        <w:rPr>
          <w:rFonts w:ascii="Arial" w:eastAsia="Times New Roman" w:hAnsi="Arial" w:cs="Arial"/>
          <w:lang w:eastAsia="es-MX"/>
        </w:rPr>
        <w:t xml:space="preserve"> </w:t>
      </w:r>
      <w:r w:rsidR="000A2F48" w:rsidRPr="005F52E0">
        <w:rPr>
          <w:rFonts w:ascii="Arial" w:eastAsia="Times New Roman" w:hAnsi="Arial" w:cs="Arial"/>
          <w:lang w:eastAsia="es-MX"/>
        </w:rPr>
        <w:t xml:space="preserve">con </w:t>
      </w:r>
      <w:r w:rsidR="00E83B4F" w:rsidRPr="005F52E0">
        <w:rPr>
          <w:rFonts w:ascii="Arial" w:eastAsia="Times New Roman" w:hAnsi="Arial" w:cs="Arial"/>
          <w:lang w:eastAsia="es-MX"/>
        </w:rPr>
        <w:t>10.</w:t>
      </w:r>
      <w:r w:rsidR="000E393F" w:rsidRPr="005F52E0">
        <w:rPr>
          <w:rFonts w:ascii="Arial" w:eastAsia="Times New Roman" w:hAnsi="Arial" w:cs="Arial"/>
          <w:lang w:eastAsia="es-MX"/>
        </w:rPr>
        <w:t>7</w:t>
      </w:r>
      <w:r w:rsidR="00056DE9" w:rsidRPr="005F52E0">
        <w:rPr>
          <w:rFonts w:ascii="Arial" w:eastAsia="Times New Roman" w:hAnsi="Arial" w:cs="Arial"/>
          <w:lang w:eastAsia="es-MX"/>
        </w:rPr>
        <w:t xml:space="preserve">%, </w:t>
      </w:r>
      <w:r w:rsidR="00E83B4F" w:rsidRPr="005F52E0">
        <w:rPr>
          <w:rFonts w:ascii="Arial" w:eastAsia="Times New Roman" w:hAnsi="Arial" w:cs="Arial"/>
          <w:lang w:eastAsia="es-MX"/>
        </w:rPr>
        <w:t>9.</w:t>
      </w:r>
      <w:r w:rsidR="004352F9" w:rsidRPr="005F52E0">
        <w:rPr>
          <w:rFonts w:ascii="Arial" w:eastAsia="Times New Roman" w:hAnsi="Arial" w:cs="Arial"/>
          <w:lang w:eastAsia="es-MX"/>
        </w:rPr>
        <w:t>5</w:t>
      </w:r>
      <w:r w:rsidR="008F3E12" w:rsidRPr="005F52E0">
        <w:rPr>
          <w:rFonts w:ascii="Arial" w:eastAsia="Times New Roman" w:hAnsi="Arial" w:cs="Arial"/>
          <w:lang w:eastAsia="es-MX"/>
        </w:rPr>
        <w:t xml:space="preserve">%, </w:t>
      </w:r>
      <w:r w:rsidR="00E83B4F" w:rsidRPr="005F52E0">
        <w:rPr>
          <w:rFonts w:ascii="Arial" w:eastAsia="Times New Roman" w:hAnsi="Arial" w:cs="Arial"/>
          <w:lang w:eastAsia="es-MX"/>
        </w:rPr>
        <w:t>12.</w:t>
      </w:r>
      <w:r w:rsidR="004352F9" w:rsidRPr="005F52E0">
        <w:rPr>
          <w:rFonts w:ascii="Arial" w:eastAsia="Times New Roman" w:hAnsi="Arial" w:cs="Arial"/>
          <w:lang w:eastAsia="es-MX"/>
        </w:rPr>
        <w:t>3</w:t>
      </w:r>
      <w:r w:rsidR="00056DE9" w:rsidRPr="005F52E0">
        <w:rPr>
          <w:rFonts w:ascii="Arial" w:eastAsia="Times New Roman" w:hAnsi="Arial" w:cs="Arial"/>
          <w:lang w:eastAsia="es-MX"/>
        </w:rPr>
        <w:t xml:space="preserve">%, </w:t>
      </w:r>
      <w:r w:rsidR="00E83B4F" w:rsidRPr="005F52E0">
        <w:rPr>
          <w:rFonts w:ascii="Arial" w:eastAsia="Times New Roman" w:hAnsi="Arial" w:cs="Arial"/>
          <w:lang w:eastAsia="es-MX"/>
        </w:rPr>
        <w:t>10.8</w:t>
      </w:r>
      <w:r w:rsidR="008F3E12" w:rsidRPr="005F52E0">
        <w:rPr>
          <w:rFonts w:ascii="Arial" w:eastAsia="Times New Roman" w:hAnsi="Arial" w:cs="Arial"/>
          <w:lang w:eastAsia="es-MX"/>
        </w:rPr>
        <w:t>%</w:t>
      </w:r>
      <w:r w:rsidR="00B374D2" w:rsidRPr="005F52E0">
        <w:rPr>
          <w:rFonts w:ascii="Arial" w:eastAsia="Times New Roman" w:hAnsi="Arial" w:cs="Arial"/>
          <w:lang w:eastAsia="es-MX"/>
        </w:rPr>
        <w:t xml:space="preserve"> y 11.6%</w:t>
      </w:r>
      <w:r w:rsidR="003A575A" w:rsidRPr="005F52E0">
        <w:rPr>
          <w:rFonts w:ascii="Arial" w:eastAsia="Times New Roman" w:hAnsi="Arial" w:cs="Arial"/>
          <w:lang w:eastAsia="es-MX"/>
        </w:rPr>
        <w:t>,</w:t>
      </w:r>
      <w:r w:rsidR="00B374D2" w:rsidRPr="005F52E0">
        <w:rPr>
          <w:rFonts w:ascii="Arial" w:eastAsia="Times New Roman" w:hAnsi="Arial" w:cs="Arial"/>
          <w:lang w:eastAsia="es-MX"/>
        </w:rPr>
        <w:t xml:space="preserve"> </w:t>
      </w:r>
      <w:r w:rsidR="008F3E12" w:rsidRPr="005F52E0">
        <w:rPr>
          <w:rFonts w:ascii="Arial" w:eastAsia="Times New Roman" w:hAnsi="Arial" w:cs="Arial"/>
          <w:lang w:eastAsia="es-MX"/>
        </w:rPr>
        <w:t>respectivamente.</w:t>
      </w:r>
    </w:p>
    <w:p w14:paraId="10A0CFEE" w14:textId="77777777" w:rsidR="00D009A4" w:rsidRPr="00356A76" w:rsidRDefault="00D009A4" w:rsidP="00D009A4">
      <w:pPr>
        <w:pStyle w:val="Default"/>
        <w:jc w:val="both"/>
        <w:rPr>
          <w:color w:val="auto"/>
          <w:sz w:val="22"/>
          <w:lang w:eastAsia="es-MX"/>
        </w:rPr>
      </w:pPr>
    </w:p>
    <w:p w14:paraId="04559C54" w14:textId="77777777" w:rsidR="00D009A4" w:rsidRDefault="00D009A4" w:rsidP="00D009A4">
      <w:pPr>
        <w:pStyle w:val="Default"/>
        <w:jc w:val="center"/>
        <w:rPr>
          <w:b/>
          <w:color w:val="auto"/>
          <w:sz w:val="22"/>
          <w:lang w:eastAsia="es-MX"/>
        </w:rPr>
      </w:pPr>
      <w:r w:rsidRPr="005110B8">
        <w:rPr>
          <w:b/>
          <w:color w:val="auto"/>
          <w:sz w:val="22"/>
          <w:lang w:eastAsia="es-MX"/>
        </w:rPr>
        <w:t>Cuadro</w:t>
      </w:r>
      <w:r>
        <w:rPr>
          <w:b/>
          <w:color w:val="auto"/>
          <w:sz w:val="22"/>
          <w:lang w:eastAsia="es-MX"/>
        </w:rPr>
        <w:t xml:space="preserve"> 1</w:t>
      </w:r>
      <w:r w:rsidRPr="005110B8">
        <w:rPr>
          <w:b/>
          <w:color w:val="auto"/>
          <w:sz w:val="22"/>
          <w:lang w:eastAsia="es-MX"/>
        </w:rPr>
        <w:t xml:space="preserve"> </w:t>
      </w:r>
    </w:p>
    <w:p w14:paraId="635B0533" w14:textId="77777777" w:rsidR="00C2070A" w:rsidRDefault="003A575A" w:rsidP="00D009A4">
      <w:pPr>
        <w:pStyle w:val="Default"/>
        <w:jc w:val="center"/>
        <w:rPr>
          <w:b/>
          <w:color w:val="auto"/>
          <w:sz w:val="22"/>
          <w:lang w:eastAsia="es-MX"/>
        </w:rPr>
      </w:pPr>
      <w:r>
        <w:rPr>
          <w:b/>
          <w:color w:val="auto"/>
          <w:sz w:val="22"/>
          <w:lang w:eastAsia="es-MX"/>
        </w:rPr>
        <w:t>Resultados de las p</w:t>
      </w:r>
      <w:r w:rsidR="00D009A4" w:rsidRPr="005110B8">
        <w:rPr>
          <w:b/>
          <w:color w:val="auto"/>
          <w:sz w:val="22"/>
          <w:lang w:eastAsia="es-MX"/>
        </w:rPr>
        <w:t xml:space="preserve">rincipales </w:t>
      </w:r>
      <w:r>
        <w:rPr>
          <w:b/>
          <w:color w:val="auto"/>
          <w:sz w:val="22"/>
          <w:lang w:eastAsia="es-MX"/>
        </w:rPr>
        <w:t>variables</w:t>
      </w:r>
      <w:r w:rsidR="00D009A4">
        <w:rPr>
          <w:b/>
          <w:color w:val="auto"/>
          <w:sz w:val="22"/>
          <w:lang w:eastAsia="es-MX"/>
        </w:rPr>
        <w:t xml:space="preserve"> de las </w:t>
      </w:r>
      <w:r w:rsidR="002652BF">
        <w:rPr>
          <w:b/>
          <w:color w:val="auto"/>
          <w:sz w:val="22"/>
          <w:lang w:eastAsia="es-MX"/>
        </w:rPr>
        <w:t>e</w:t>
      </w:r>
      <w:r w:rsidR="004939AC">
        <w:rPr>
          <w:b/>
          <w:color w:val="auto"/>
          <w:sz w:val="22"/>
          <w:lang w:eastAsia="es-MX"/>
        </w:rPr>
        <w:t>mpresas constructoras</w:t>
      </w:r>
    </w:p>
    <w:p w14:paraId="35E368B1" w14:textId="77777777" w:rsidR="0050400D" w:rsidRDefault="00D009A4" w:rsidP="00855A28">
      <w:pPr>
        <w:pStyle w:val="Default"/>
        <w:jc w:val="center"/>
        <w:rPr>
          <w:b/>
          <w:color w:val="auto"/>
          <w:sz w:val="22"/>
          <w:lang w:eastAsia="es-MX"/>
        </w:rPr>
      </w:pPr>
      <w:r w:rsidRPr="005110B8">
        <w:rPr>
          <w:b/>
          <w:color w:val="auto"/>
          <w:sz w:val="22"/>
          <w:lang w:eastAsia="es-MX"/>
        </w:rPr>
        <w:t>(</w:t>
      </w:r>
      <w:r>
        <w:rPr>
          <w:b/>
          <w:color w:val="auto"/>
          <w:sz w:val="22"/>
          <w:lang w:eastAsia="es-MX"/>
        </w:rPr>
        <w:t>Miles de m</w:t>
      </w:r>
      <w:r w:rsidRPr="005110B8">
        <w:rPr>
          <w:b/>
          <w:color w:val="auto"/>
          <w:sz w:val="22"/>
          <w:lang w:eastAsia="es-MX"/>
        </w:rPr>
        <w:t>illones de pesos</w:t>
      </w:r>
      <w:r>
        <w:rPr>
          <w:b/>
          <w:color w:val="auto"/>
          <w:sz w:val="22"/>
          <w:lang w:eastAsia="es-MX"/>
        </w:rPr>
        <w:t xml:space="preserve"> corrientes</w:t>
      </w:r>
      <w:r w:rsidRPr="005110B8">
        <w:rPr>
          <w:b/>
          <w:color w:val="auto"/>
          <w:sz w:val="22"/>
          <w:lang w:eastAsia="es-MX"/>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253"/>
        <w:gridCol w:w="1312"/>
        <w:gridCol w:w="1078"/>
        <w:gridCol w:w="1146"/>
      </w:tblGrid>
      <w:tr w:rsidR="007F53F2" w:rsidRPr="003E6102" w14:paraId="0444374D" w14:textId="77777777" w:rsidTr="00D10D4E">
        <w:trPr>
          <w:trHeight w:val="383"/>
          <w:jc w:val="center"/>
        </w:trPr>
        <w:tc>
          <w:tcPr>
            <w:tcW w:w="5253" w:type="dxa"/>
            <w:vMerge w:val="restart"/>
            <w:shd w:val="clear" w:color="auto" w:fill="FFD966" w:themeFill="accent4" w:themeFillTint="99"/>
            <w:tcMar>
              <w:top w:w="15" w:type="dxa"/>
              <w:left w:w="15" w:type="dxa"/>
              <w:bottom w:w="0" w:type="dxa"/>
              <w:right w:w="15" w:type="dxa"/>
            </w:tcMar>
            <w:vAlign w:val="center"/>
            <w:hideMark/>
          </w:tcPr>
          <w:p w14:paraId="70342F1B" w14:textId="77777777" w:rsidR="00283D9D" w:rsidRPr="00773BBF" w:rsidRDefault="00283D9D" w:rsidP="00283D9D">
            <w:pPr>
              <w:pStyle w:val="Default"/>
              <w:jc w:val="center"/>
              <w:rPr>
                <w:b/>
                <w:color w:val="auto"/>
                <w:sz w:val="22"/>
                <w:szCs w:val="22"/>
                <w:lang w:eastAsia="es-MX"/>
              </w:rPr>
            </w:pPr>
            <w:r w:rsidRPr="00773BBF">
              <w:rPr>
                <w:b/>
                <w:bCs/>
                <w:color w:val="auto"/>
                <w:sz w:val="22"/>
                <w:szCs w:val="22"/>
                <w:lang w:eastAsia="es-MX"/>
              </w:rPr>
              <w:t>Variable</w:t>
            </w:r>
          </w:p>
        </w:tc>
        <w:tc>
          <w:tcPr>
            <w:tcW w:w="2390" w:type="dxa"/>
            <w:gridSpan w:val="2"/>
            <w:shd w:val="clear" w:color="auto" w:fill="FFD966" w:themeFill="accent4" w:themeFillTint="99"/>
            <w:tcMar>
              <w:top w:w="15" w:type="dxa"/>
              <w:left w:w="15" w:type="dxa"/>
              <w:bottom w:w="0" w:type="dxa"/>
              <w:right w:w="15" w:type="dxa"/>
            </w:tcMar>
            <w:vAlign w:val="center"/>
            <w:hideMark/>
          </w:tcPr>
          <w:p w14:paraId="1D0012BA" w14:textId="77777777" w:rsidR="00283D9D" w:rsidRPr="00773BBF" w:rsidRDefault="00283D9D" w:rsidP="00283D9D">
            <w:pPr>
              <w:pStyle w:val="Default"/>
              <w:jc w:val="center"/>
              <w:rPr>
                <w:b/>
                <w:bCs/>
                <w:color w:val="auto"/>
                <w:sz w:val="22"/>
                <w:szCs w:val="22"/>
                <w:lang w:eastAsia="es-MX"/>
              </w:rPr>
            </w:pPr>
            <w:r w:rsidRPr="00773BBF">
              <w:rPr>
                <w:b/>
                <w:bCs/>
                <w:color w:val="auto"/>
                <w:sz w:val="22"/>
                <w:szCs w:val="22"/>
                <w:lang w:eastAsia="es-MX"/>
              </w:rPr>
              <w:t>Año</w:t>
            </w:r>
          </w:p>
        </w:tc>
        <w:tc>
          <w:tcPr>
            <w:tcW w:w="1146" w:type="dxa"/>
            <w:vMerge w:val="restart"/>
            <w:shd w:val="clear" w:color="auto" w:fill="FFD966" w:themeFill="accent4" w:themeFillTint="99"/>
            <w:tcMar>
              <w:top w:w="15" w:type="dxa"/>
              <w:left w:w="15" w:type="dxa"/>
              <w:bottom w:w="0" w:type="dxa"/>
              <w:right w:w="15" w:type="dxa"/>
            </w:tcMar>
            <w:vAlign w:val="center"/>
            <w:hideMark/>
          </w:tcPr>
          <w:p w14:paraId="26DB1D0C" w14:textId="77777777" w:rsidR="003A575A" w:rsidRDefault="00283D9D" w:rsidP="00283D9D">
            <w:pPr>
              <w:pStyle w:val="Default"/>
              <w:jc w:val="center"/>
              <w:rPr>
                <w:b/>
                <w:bCs/>
                <w:color w:val="auto"/>
                <w:sz w:val="22"/>
                <w:szCs w:val="22"/>
                <w:lang w:eastAsia="es-MX"/>
              </w:rPr>
            </w:pPr>
            <w:r w:rsidRPr="00773BBF">
              <w:rPr>
                <w:b/>
                <w:bCs/>
                <w:color w:val="auto"/>
                <w:sz w:val="22"/>
                <w:szCs w:val="22"/>
                <w:lang w:eastAsia="es-MX"/>
              </w:rPr>
              <w:t>Variación anual</w:t>
            </w:r>
          </w:p>
          <w:p w14:paraId="3EF62708" w14:textId="77777777" w:rsidR="00283D9D" w:rsidRPr="00773BBF" w:rsidRDefault="00283D9D" w:rsidP="00283D9D">
            <w:pPr>
              <w:pStyle w:val="Default"/>
              <w:jc w:val="center"/>
              <w:rPr>
                <w:b/>
                <w:color w:val="auto"/>
                <w:sz w:val="22"/>
                <w:szCs w:val="22"/>
                <w:lang w:eastAsia="es-MX"/>
              </w:rPr>
            </w:pPr>
            <w:r w:rsidRPr="00773BBF">
              <w:rPr>
                <w:b/>
                <w:bCs/>
                <w:color w:val="auto"/>
                <w:sz w:val="22"/>
                <w:szCs w:val="22"/>
                <w:lang w:eastAsia="es-MX"/>
              </w:rPr>
              <w:t xml:space="preserve"> (%)</w:t>
            </w:r>
          </w:p>
        </w:tc>
      </w:tr>
      <w:tr w:rsidR="007F53F2" w:rsidRPr="003E6102" w14:paraId="19E04365" w14:textId="77777777" w:rsidTr="003A575A">
        <w:trPr>
          <w:trHeight w:val="218"/>
          <w:jc w:val="center"/>
        </w:trPr>
        <w:tc>
          <w:tcPr>
            <w:tcW w:w="5253" w:type="dxa"/>
            <w:vMerge/>
            <w:shd w:val="clear" w:color="auto" w:fill="FFD966" w:themeFill="accent4" w:themeFillTint="99"/>
            <w:tcMar>
              <w:top w:w="15" w:type="dxa"/>
              <w:left w:w="15" w:type="dxa"/>
              <w:bottom w:w="0" w:type="dxa"/>
              <w:right w:w="15" w:type="dxa"/>
            </w:tcMar>
            <w:vAlign w:val="center"/>
          </w:tcPr>
          <w:p w14:paraId="480A2CD6" w14:textId="77777777" w:rsidR="00283D9D" w:rsidRPr="00773BBF" w:rsidRDefault="00283D9D" w:rsidP="00283D9D">
            <w:pPr>
              <w:pStyle w:val="Default"/>
              <w:jc w:val="center"/>
              <w:rPr>
                <w:b/>
                <w:bCs/>
                <w:color w:val="auto"/>
                <w:sz w:val="22"/>
                <w:szCs w:val="22"/>
                <w:lang w:eastAsia="es-MX"/>
              </w:rPr>
            </w:pPr>
          </w:p>
        </w:tc>
        <w:tc>
          <w:tcPr>
            <w:tcW w:w="1312" w:type="dxa"/>
            <w:shd w:val="clear" w:color="auto" w:fill="FFD966" w:themeFill="accent4" w:themeFillTint="99"/>
            <w:tcMar>
              <w:top w:w="15" w:type="dxa"/>
              <w:left w:w="15" w:type="dxa"/>
              <w:bottom w:w="0" w:type="dxa"/>
              <w:right w:w="15" w:type="dxa"/>
            </w:tcMar>
            <w:vAlign w:val="center"/>
          </w:tcPr>
          <w:p w14:paraId="4966D97F" w14:textId="77777777" w:rsidR="00283D9D" w:rsidRPr="00773BBF" w:rsidRDefault="00AA0654" w:rsidP="00283D9D">
            <w:pPr>
              <w:pStyle w:val="Default"/>
              <w:jc w:val="center"/>
              <w:rPr>
                <w:b/>
                <w:bCs/>
                <w:color w:val="auto"/>
                <w:sz w:val="22"/>
                <w:szCs w:val="22"/>
                <w:lang w:eastAsia="es-MX"/>
              </w:rPr>
            </w:pPr>
            <w:r w:rsidRPr="00773BBF">
              <w:rPr>
                <w:b/>
                <w:bCs/>
                <w:color w:val="auto"/>
                <w:sz w:val="22"/>
                <w:szCs w:val="22"/>
                <w:lang w:eastAsia="es-MX"/>
              </w:rPr>
              <w:t>2019</w:t>
            </w:r>
          </w:p>
        </w:tc>
        <w:tc>
          <w:tcPr>
            <w:tcW w:w="1078" w:type="dxa"/>
            <w:shd w:val="clear" w:color="auto" w:fill="FFD966" w:themeFill="accent4" w:themeFillTint="99"/>
            <w:vAlign w:val="center"/>
          </w:tcPr>
          <w:p w14:paraId="09B2A91E" w14:textId="77777777" w:rsidR="00283D9D" w:rsidRPr="00773BBF" w:rsidRDefault="00AA0654" w:rsidP="00982528">
            <w:pPr>
              <w:pStyle w:val="Default"/>
              <w:jc w:val="center"/>
              <w:rPr>
                <w:b/>
                <w:bCs/>
                <w:color w:val="auto"/>
                <w:sz w:val="22"/>
                <w:szCs w:val="22"/>
                <w:lang w:eastAsia="es-MX"/>
              </w:rPr>
            </w:pPr>
            <w:r w:rsidRPr="00773BBF">
              <w:rPr>
                <w:b/>
                <w:bCs/>
                <w:color w:val="auto"/>
                <w:sz w:val="22"/>
                <w:szCs w:val="22"/>
                <w:lang w:eastAsia="es-MX"/>
              </w:rPr>
              <w:t>2020</w:t>
            </w:r>
            <w:r w:rsidR="00C2070A" w:rsidRPr="00773BBF">
              <w:rPr>
                <w:rFonts w:eastAsia="Times New Roman"/>
                <w:b/>
                <w:bCs/>
                <w:sz w:val="22"/>
                <w:szCs w:val="22"/>
                <w:vertAlign w:val="superscript"/>
                <w:lang w:eastAsia="es-MX"/>
              </w:rPr>
              <w:t>p/</w:t>
            </w:r>
          </w:p>
        </w:tc>
        <w:tc>
          <w:tcPr>
            <w:tcW w:w="1146" w:type="dxa"/>
            <w:vMerge/>
            <w:shd w:val="clear" w:color="auto" w:fill="A8D08D" w:themeFill="accent6" w:themeFillTint="99"/>
            <w:tcMar>
              <w:top w:w="15" w:type="dxa"/>
              <w:left w:w="15" w:type="dxa"/>
              <w:bottom w:w="0" w:type="dxa"/>
              <w:right w:w="15" w:type="dxa"/>
            </w:tcMar>
            <w:vAlign w:val="center"/>
          </w:tcPr>
          <w:p w14:paraId="260E9E6B" w14:textId="77777777" w:rsidR="00283D9D" w:rsidRPr="00773BBF" w:rsidRDefault="00283D9D" w:rsidP="00283D9D">
            <w:pPr>
              <w:pStyle w:val="Default"/>
              <w:jc w:val="center"/>
              <w:rPr>
                <w:b/>
                <w:bCs/>
                <w:color w:val="auto"/>
                <w:sz w:val="22"/>
                <w:szCs w:val="22"/>
                <w:lang w:eastAsia="es-MX"/>
              </w:rPr>
            </w:pPr>
          </w:p>
        </w:tc>
      </w:tr>
      <w:tr w:rsidR="007F53F2" w:rsidRPr="003E6102" w14:paraId="14BF3F03" w14:textId="77777777" w:rsidTr="003A575A">
        <w:trPr>
          <w:trHeight w:val="265"/>
          <w:jc w:val="center"/>
        </w:trPr>
        <w:tc>
          <w:tcPr>
            <w:tcW w:w="5253" w:type="dxa"/>
            <w:shd w:val="clear" w:color="auto" w:fill="auto"/>
            <w:tcMar>
              <w:top w:w="15" w:type="dxa"/>
              <w:left w:w="15" w:type="dxa"/>
              <w:bottom w:w="0" w:type="dxa"/>
              <w:right w:w="15" w:type="dxa"/>
            </w:tcMar>
            <w:vAlign w:val="center"/>
            <w:hideMark/>
          </w:tcPr>
          <w:p w14:paraId="4B8628F9" w14:textId="77777777" w:rsidR="00283D9D" w:rsidRPr="00773BBF" w:rsidRDefault="00283D9D" w:rsidP="00283D9D">
            <w:pPr>
              <w:pStyle w:val="Default"/>
              <w:rPr>
                <w:color w:val="auto"/>
                <w:sz w:val="22"/>
                <w:szCs w:val="22"/>
                <w:lang w:eastAsia="es-MX"/>
              </w:rPr>
            </w:pPr>
            <w:r w:rsidRPr="00773BBF">
              <w:rPr>
                <w:color w:val="auto"/>
                <w:sz w:val="22"/>
                <w:szCs w:val="22"/>
                <w:lang w:eastAsia="es-MX"/>
              </w:rPr>
              <w:t>Personal ocupado total (miles de personas)</w:t>
            </w:r>
          </w:p>
        </w:tc>
        <w:tc>
          <w:tcPr>
            <w:tcW w:w="1312" w:type="dxa"/>
            <w:shd w:val="clear" w:color="auto" w:fill="auto"/>
            <w:tcMar>
              <w:top w:w="15" w:type="dxa"/>
              <w:left w:w="15" w:type="dxa"/>
              <w:bottom w:w="0" w:type="dxa"/>
              <w:right w:w="15" w:type="dxa"/>
            </w:tcMar>
            <w:vAlign w:val="center"/>
          </w:tcPr>
          <w:p w14:paraId="74DEA388" w14:textId="77777777" w:rsidR="00283D9D" w:rsidRPr="00773BBF" w:rsidRDefault="00E83B4F" w:rsidP="00283D9D">
            <w:pPr>
              <w:pStyle w:val="NormalWeb"/>
              <w:spacing w:before="0" w:beforeAutospacing="0" w:after="0" w:afterAutospacing="0"/>
              <w:jc w:val="center"/>
              <w:textAlignment w:val="bottom"/>
              <w:rPr>
                <w:rFonts w:ascii="Arial" w:hAnsi="Arial" w:cs="Arial"/>
                <w:sz w:val="22"/>
                <w:szCs w:val="22"/>
              </w:rPr>
            </w:pPr>
            <w:r w:rsidRPr="00773BBF">
              <w:rPr>
                <w:rFonts w:ascii="Arial" w:eastAsia="Helvetica Neue Medium" w:hAnsi="Arial" w:cs="Arial"/>
                <w:sz w:val="22"/>
                <w:szCs w:val="22"/>
              </w:rPr>
              <w:t>60</w:t>
            </w:r>
            <w:r w:rsidR="00F57FC0" w:rsidRPr="00773BBF">
              <w:rPr>
                <w:rFonts w:ascii="Arial" w:eastAsia="Helvetica Neue Medium" w:hAnsi="Arial" w:cs="Arial"/>
                <w:sz w:val="22"/>
                <w:szCs w:val="22"/>
              </w:rPr>
              <w:t>6</w:t>
            </w:r>
          </w:p>
        </w:tc>
        <w:tc>
          <w:tcPr>
            <w:tcW w:w="1078" w:type="dxa"/>
            <w:vAlign w:val="center"/>
          </w:tcPr>
          <w:p w14:paraId="1C3498C3" w14:textId="77777777" w:rsidR="00283D9D" w:rsidRPr="00773BBF" w:rsidRDefault="00E83B4F" w:rsidP="00283D9D">
            <w:pPr>
              <w:pStyle w:val="Default"/>
              <w:jc w:val="center"/>
              <w:rPr>
                <w:color w:val="auto"/>
                <w:sz w:val="22"/>
                <w:szCs w:val="22"/>
                <w:lang w:eastAsia="es-MX"/>
              </w:rPr>
            </w:pPr>
            <w:r w:rsidRPr="00773BBF">
              <w:rPr>
                <w:rFonts w:eastAsia="Helvetica Neue Medium"/>
                <w:color w:val="auto"/>
                <w:sz w:val="22"/>
                <w:szCs w:val="22"/>
              </w:rPr>
              <w:t>541</w:t>
            </w:r>
          </w:p>
        </w:tc>
        <w:tc>
          <w:tcPr>
            <w:tcW w:w="1146" w:type="dxa"/>
            <w:shd w:val="clear" w:color="auto" w:fill="auto"/>
            <w:tcMar>
              <w:top w:w="15" w:type="dxa"/>
              <w:left w:w="15" w:type="dxa"/>
              <w:bottom w:w="0" w:type="dxa"/>
              <w:right w:w="15" w:type="dxa"/>
            </w:tcMar>
            <w:vAlign w:val="center"/>
          </w:tcPr>
          <w:p w14:paraId="28D52A29" w14:textId="77777777" w:rsidR="00283D9D" w:rsidRPr="00773BBF" w:rsidRDefault="00267F9D" w:rsidP="00283D9D">
            <w:pPr>
              <w:pStyle w:val="Default"/>
              <w:jc w:val="center"/>
              <w:rPr>
                <w:color w:val="auto"/>
                <w:sz w:val="22"/>
                <w:szCs w:val="22"/>
                <w:lang w:eastAsia="es-MX"/>
              </w:rPr>
            </w:pPr>
            <w:r w:rsidRPr="00773BBF">
              <w:rPr>
                <w:color w:val="auto"/>
                <w:sz w:val="22"/>
                <w:szCs w:val="22"/>
                <w:lang w:eastAsia="es-MX"/>
              </w:rPr>
              <w:t>-10.</w:t>
            </w:r>
            <w:r w:rsidR="00F57FC0" w:rsidRPr="00773BBF">
              <w:rPr>
                <w:color w:val="auto"/>
                <w:sz w:val="22"/>
                <w:szCs w:val="22"/>
                <w:lang w:eastAsia="es-MX"/>
              </w:rPr>
              <w:t>7</w:t>
            </w:r>
          </w:p>
        </w:tc>
      </w:tr>
      <w:tr w:rsidR="007F53F2" w:rsidRPr="003E6102" w14:paraId="408CF034" w14:textId="77777777" w:rsidTr="003A575A">
        <w:trPr>
          <w:trHeight w:val="255"/>
          <w:jc w:val="center"/>
        </w:trPr>
        <w:tc>
          <w:tcPr>
            <w:tcW w:w="5253" w:type="dxa"/>
            <w:shd w:val="clear" w:color="auto" w:fill="auto"/>
            <w:tcMar>
              <w:top w:w="15" w:type="dxa"/>
              <w:left w:w="15" w:type="dxa"/>
              <w:bottom w:w="0" w:type="dxa"/>
              <w:right w:w="15" w:type="dxa"/>
            </w:tcMar>
            <w:vAlign w:val="center"/>
            <w:hideMark/>
          </w:tcPr>
          <w:p w14:paraId="07E120F2" w14:textId="77777777" w:rsidR="00283D9D" w:rsidRPr="00773BBF" w:rsidRDefault="00332A2B" w:rsidP="00283D9D">
            <w:pPr>
              <w:pStyle w:val="Default"/>
              <w:rPr>
                <w:color w:val="auto"/>
                <w:sz w:val="22"/>
                <w:szCs w:val="22"/>
                <w:lang w:eastAsia="es-MX"/>
              </w:rPr>
            </w:pPr>
            <w:r w:rsidRPr="00773BBF">
              <w:rPr>
                <w:color w:val="auto"/>
                <w:sz w:val="22"/>
                <w:szCs w:val="22"/>
                <w:lang w:eastAsia="es-MX"/>
              </w:rPr>
              <w:t>Valor de producción</w:t>
            </w:r>
          </w:p>
        </w:tc>
        <w:tc>
          <w:tcPr>
            <w:tcW w:w="1312" w:type="dxa"/>
            <w:shd w:val="clear" w:color="auto" w:fill="auto"/>
            <w:tcMar>
              <w:top w:w="15" w:type="dxa"/>
              <w:left w:w="15" w:type="dxa"/>
              <w:bottom w:w="0" w:type="dxa"/>
              <w:right w:w="15" w:type="dxa"/>
            </w:tcMar>
            <w:vAlign w:val="center"/>
          </w:tcPr>
          <w:p w14:paraId="62B9A8FF" w14:textId="77777777" w:rsidR="00283D9D" w:rsidRPr="00773BBF" w:rsidRDefault="004352F9" w:rsidP="00283D9D">
            <w:pPr>
              <w:pStyle w:val="NormalWeb"/>
              <w:spacing w:before="0" w:beforeAutospacing="0" w:after="0" w:afterAutospacing="0"/>
              <w:jc w:val="center"/>
              <w:textAlignment w:val="bottom"/>
              <w:rPr>
                <w:rFonts w:ascii="Arial" w:hAnsi="Arial" w:cs="Arial"/>
                <w:sz w:val="22"/>
                <w:szCs w:val="22"/>
              </w:rPr>
            </w:pPr>
            <w:r w:rsidRPr="00773BBF">
              <w:rPr>
                <w:rFonts w:ascii="Arial" w:eastAsia="Helvetica Neue Medium" w:hAnsi="Arial" w:cs="Arial"/>
                <w:sz w:val="22"/>
                <w:szCs w:val="22"/>
              </w:rPr>
              <w:t>461</w:t>
            </w:r>
          </w:p>
        </w:tc>
        <w:tc>
          <w:tcPr>
            <w:tcW w:w="1078" w:type="dxa"/>
            <w:vAlign w:val="center"/>
          </w:tcPr>
          <w:p w14:paraId="07952A9D" w14:textId="77777777" w:rsidR="00283D9D" w:rsidRPr="00773BBF" w:rsidRDefault="00267F9D" w:rsidP="00916A4F">
            <w:pPr>
              <w:pStyle w:val="NormalWeb"/>
              <w:spacing w:before="0" w:beforeAutospacing="0" w:after="0" w:afterAutospacing="0"/>
              <w:jc w:val="center"/>
              <w:textAlignment w:val="bottom"/>
              <w:rPr>
                <w:rFonts w:ascii="Arial" w:eastAsia="Helvetica Neue Medium" w:hAnsi="Arial" w:cs="Arial"/>
                <w:sz w:val="22"/>
                <w:szCs w:val="22"/>
              </w:rPr>
            </w:pPr>
            <w:r w:rsidRPr="00773BBF">
              <w:rPr>
                <w:rFonts w:ascii="Arial" w:eastAsia="Helvetica Neue Medium" w:hAnsi="Arial" w:cs="Arial"/>
                <w:sz w:val="22"/>
                <w:szCs w:val="22"/>
              </w:rPr>
              <w:t>417</w:t>
            </w:r>
          </w:p>
        </w:tc>
        <w:tc>
          <w:tcPr>
            <w:tcW w:w="1146" w:type="dxa"/>
            <w:shd w:val="clear" w:color="auto" w:fill="auto"/>
            <w:tcMar>
              <w:top w:w="15" w:type="dxa"/>
              <w:left w:w="15" w:type="dxa"/>
              <w:bottom w:w="0" w:type="dxa"/>
              <w:right w:w="15" w:type="dxa"/>
            </w:tcMar>
            <w:vAlign w:val="center"/>
          </w:tcPr>
          <w:p w14:paraId="009072B3" w14:textId="77777777" w:rsidR="00283D9D" w:rsidRPr="00773BBF" w:rsidRDefault="00267F9D" w:rsidP="00283D9D">
            <w:pPr>
              <w:pStyle w:val="NormalWeb"/>
              <w:spacing w:before="0" w:beforeAutospacing="0" w:after="0" w:afterAutospacing="0"/>
              <w:jc w:val="center"/>
              <w:textAlignment w:val="bottom"/>
              <w:rPr>
                <w:rFonts w:ascii="Arial" w:hAnsi="Arial" w:cs="Arial"/>
                <w:sz w:val="22"/>
                <w:szCs w:val="22"/>
              </w:rPr>
            </w:pPr>
            <w:r w:rsidRPr="00773BBF">
              <w:rPr>
                <w:rFonts w:ascii="Arial" w:hAnsi="Arial" w:cs="Arial"/>
                <w:sz w:val="22"/>
                <w:szCs w:val="22"/>
              </w:rPr>
              <w:t>-9.</w:t>
            </w:r>
            <w:r w:rsidR="004352F9" w:rsidRPr="00773BBF">
              <w:rPr>
                <w:rFonts w:ascii="Arial" w:hAnsi="Arial" w:cs="Arial"/>
                <w:sz w:val="22"/>
                <w:szCs w:val="22"/>
              </w:rPr>
              <w:t>5</w:t>
            </w:r>
          </w:p>
        </w:tc>
      </w:tr>
      <w:tr w:rsidR="007F53F2" w:rsidRPr="003E6102" w14:paraId="0CB30FC3" w14:textId="77777777" w:rsidTr="003A575A">
        <w:trPr>
          <w:trHeight w:val="273"/>
          <w:jc w:val="center"/>
        </w:trPr>
        <w:tc>
          <w:tcPr>
            <w:tcW w:w="5253" w:type="dxa"/>
            <w:shd w:val="clear" w:color="auto" w:fill="auto"/>
            <w:tcMar>
              <w:top w:w="15" w:type="dxa"/>
              <w:left w:w="15" w:type="dxa"/>
              <w:bottom w:w="0" w:type="dxa"/>
              <w:right w:w="15" w:type="dxa"/>
            </w:tcMar>
            <w:vAlign w:val="center"/>
            <w:hideMark/>
          </w:tcPr>
          <w:p w14:paraId="79E7D70D" w14:textId="77777777" w:rsidR="00283D9D" w:rsidRPr="00773BBF" w:rsidRDefault="00043729" w:rsidP="00283D9D">
            <w:pPr>
              <w:pStyle w:val="Default"/>
              <w:rPr>
                <w:color w:val="auto"/>
                <w:sz w:val="22"/>
                <w:szCs w:val="22"/>
                <w:lang w:eastAsia="es-MX"/>
              </w:rPr>
            </w:pPr>
            <w:r w:rsidRPr="00773BBF">
              <w:rPr>
                <w:color w:val="auto"/>
                <w:sz w:val="22"/>
                <w:szCs w:val="22"/>
                <w:lang w:eastAsia="es-MX"/>
              </w:rPr>
              <w:t>Gastos por consumo</w:t>
            </w:r>
            <w:r w:rsidR="00283D9D" w:rsidRPr="00773BBF">
              <w:rPr>
                <w:color w:val="auto"/>
                <w:sz w:val="22"/>
                <w:szCs w:val="22"/>
                <w:lang w:eastAsia="es-MX"/>
              </w:rPr>
              <w:t xml:space="preserve"> de bienes y servicios</w:t>
            </w:r>
          </w:p>
        </w:tc>
        <w:tc>
          <w:tcPr>
            <w:tcW w:w="1312" w:type="dxa"/>
            <w:shd w:val="clear" w:color="auto" w:fill="auto"/>
            <w:tcMar>
              <w:top w:w="15" w:type="dxa"/>
              <w:left w:w="15" w:type="dxa"/>
              <w:bottom w:w="0" w:type="dxa"/>
              <w:right w:w="15" w:type="dxa"/>
            </w:tcMar>
            <w:vAlign w:val="center"/>
          </w:tcPr>
          <w:p w14:paraId="4E32030F" w14:textId="77777777" w:rsidR="00283D9D" w:rsidRPr="00773BBF" w:rsidRDefault="00267F9D" w:rsidP="00283D9D">
            <w:pPr>
              <w:pStyle w:val="NormalWeb"/>
              <w:spacing w:before="0" w:beforeAutospacing="0" w:after="0" w:afterAutospacing="0"/>
              <w:jc w:val="center"/>
              <w:textAlignment w:val="bottom"/>
              <w:rPr>
                <w:rFonts w:ascii="Arial" w:hAnsi="Arial" w:cs="Arial"/>
                <w:sz w:val="22"/>
                <w:szCs w:val="22"/>
              </w:rPr>
            </w:pPr>
            <w:r w:rsidRPr="00773BBF">
              <w:rPr>
                <w:rFonts w:ascii="Arial" w:eastAsia="Helvetica Neue Medium" w:hAnsi="Arial" w:cs="Arial"/>
                <w:sz w:val="22"/>
                <w:szCs w:val="22"/>
              </w:rPr>
              <w:t>334</w:t>
            </w:r>
          </w:p>
        </w:tc>
        <w:tc>
          <w:tcPr>
            <w:tcW w:w="1078" w:type="dxa"/>
            <w:vAlign w:val="center"/>
          </w:tcPr>
          <w:p w14:paraId="6FAC41AB" w14:textId="77777777" w:rsidR="00283D9D" w:rsidRPr="00773BBF" w:rsidRDefault="00267F9D" w:rsidP="00283D9D">
            <w:pPr>
              <w:pStyle w:val="NormalWeb"/>
              <w:spacing w:before="0" w:beforeAutospacing="0" w:after="0" w:afterAutospacing="0"/>
              <w:jc w:val="center"/>
              <w:textAlignment w:val="bottom"/>
              <w:rPr>
                <w:rFonts w:ascii="Arial" w:eastAsia="Helvetica Neue Medium" w:hAnsi="Arial" w:cs="Arial"/>
                <w:sz w:val="22"/>
                <w:szCs w:val="22"/>
              </w:rPr>
            </w:pPr>
            <w:r w:rsidRPr="00773BBF">
              <w:rPr>
                <w:rFonts w:ascii="Arial" w:eastAsia="Helvetica Neue Medium" w:hAnsi="Arial" w:cs="Arial"/>
                <w:sz w:val="22"/>
                <w:szCs w:val="22"/>
              </w:rPr>
              <w:t>293</w:t>
            </w:r>
          </w:p>
        </w:tc>
        <w:tc>
          <w:tcPr>
            <w:tcW w:w="1146" w:type="dxa"/>
            <w:shd w:val="clear" w:color="auto" w:fill="auto"/>
            <w:tcMar>
              <w:top w:w="15" w:type="dxa"/>
              <w:left w:w="15" w:type="dxa"/>
              <w:bottom w:w="0" w:type="dxa"/>
              <w:right w:w="15" w:type="dxa"/>
            </w:tcMar>
            <w:vAlign w:val="center"/>
          </w:tcPr>
          <w:p w14:paraId="3E603A8D" w14:textId="77777777" w:rsidR="00283D9D" w:rsidRPr="00773BBF" w:rsidRDefault="00267F9D" w:rsidP="00283D9D">
            <w:pPr>
              <w:pStyle w:val="NormalWeb"/>
              <w:spacing w:before="0" w:beforeAutospacing="0" w:after="0" w:afterAutospacing="0"/>
              <w:jc w:val="center"/>
              <w:textAlignment w:val="bottom"/>
              <w:rPr>
                <w:rFonts w:ascii="Arial" w:hAnsi="Arial" w:cs="Arial"/>
                <w:sz w:val="22"/>
                <w:szCs w:val="22"/>
              </w:rPr>
            </w:pPr>
            <w:r w:rsidRPr="00773BBF">
              <w:rPr>
                <w:rFonts w:ascii="Arial" w:hAnsi="Arial" w:cs="Arial"/>
                <w:sz w:val="22"/>
                <w:szCs w:val="22"/>
              </w:rPr>
              <w:t>-12.</w:t>
            </w:r>
            <w:r w:rsidR="004352F9" w:rsidRPr="00773BBF">
              <w:rPr>
                <w:rFonts w:ascii="Arial" w:hAnsi="Arial" w:cs="Arial"/>
                <w:sz w:val="22"/>
                <w:szCs w:val="22"/>
              </w:rPr>
              <w:t>3</w:t>
            </w:r>
          </w:p>
        </w:tc>
      </w:tr>
      <w:tr w:rsidR="007F53F2" w:rsidRPr="003E6102" w14:paraId="3BF83586" w14:textId="77777777" w:rsidTr="003A575A">
        <w:trPr>
          <w:trHeight w:val="249"/>
          <w:jc w:val="center"/>
        </w:trPr>
        <w:tc>
          <w:tcPr>
            <w:tcW w:w="5253" w:type="dxa"/>
            <w:shd w:val="clear" w:color="auto" w:fill="auto"/>
            <w:tcMar>
              <w:top w:w="15" w:type="dxa"/>
              <w:left w:w="15" w:type="dxa"/>
              <w:bottom w:w="0" w:type="dxa"/>
              <w:right w:w="15" w:type="dxa"/>
            </w:tcMar>
            <w:vAlign w:val="center"/>
            <w:hideMark/>
          </w:tcPr>
          <w:p w14:paraId="4C706BD4" w14:textId="77777777" w:rsidR="00283D9D" w:rsidRPr="00773BBF" w:rsidRDefault="00283D9D" w:rsidP="00283D9D">
            <w:pPr>
              <w:pStyle w:val="Default"/>
              <w:rPr>
                <w:color w:val="auto"/>
                <w:sz w:val="22"/>
                <w:szCs w:val="22"/>
                <w:lang w:eastAsia="es-MX"/>
              </w:rPr>
            </w:pPr>
            <w:r w:rsidRPr="00773BBF">
              <w:rPr>
                <w:color w:val="auto"/>
                <w:sz w:val="22"/>
                <w:szCs w:val="22"/>
                <w:lang w:eastAsia="es-MX"/>
              </w:rPr>
              <w:t>Ingresos por suministro de bienes y servicios</w:t>
            </w:r>
          </w:p>
        </w:tc>
        <w:tc>
          <w:tcPr>
            <w:tcW w:w="1312" w:type="dxa"/>
            <w:shd w:val="clear" w:color="auto" w:fill="auto"/>
            <w:tcMar>
              <w:top w:w="15" w:type="dxa"/>
              <w:left w:w="15" w:type="dxa"/>
              <w:bottom w:w="0" w:type="dxa"/>
              <w:right w:w="15" w:type="dxa"/>
            </w:tcMar>
            <w:vAlign w:val="center"/>
          </w:tcPr>
          <w:p w14:paraId="0FE58281" w14:textId="77777777" w:rsidR="00283D9D" w:rsidRPr="00773BBF" w:rsidRDefault="004352F9" w:rsidP="00283D9D">
            <w:pPr>
              <w:pStyle w:val="NormalWeb"/>
              <w:spacing w:before="0" w:beforeAutospacing="0" w:after="0" w:afterAutospacing="0"/>
              <w:jc w:val="center"/>
              <w:textAlignment w:val="bottom"/>
              <w:rPr>
                <w:rFonts w:ascii="Arial" w:hAnsi="Arial" w:cs="Arial"/>
                <w:sz w:val="22"/>
                <w:szCs w:val="22"/>
              </w:rPr>
            </w:pPr>
            <w:r w:rsidRPr="00773BBF">
              <w:rPr>
                <w:rFonts w:ascii="Arial" w:eastAsia="Helvetica Neue Medium" w:hAnsi="Arial" w:cs="Arial"/>
                <w:sz w:val="22"/>
                <w:szCs w:val="22"/>
              </w:rPr>
              <w:t>603</w:t>
            </w:r>
          </w:p>
        </w:tc>
        <w:tc>
          <w:tcPr>
            <w:tcW w:w="1078" w:type="dxa"/>
            <w:vAlign w:val="center"/>
          </w:tcPr>
          <w:p w14:paraId="72CC4436" w14:textId="77777777" w:rsidR="00283D9D" w:rsidRPr="00773BBF" w:rsidRDefault="00267F9D" w:rsidP="00283D9D">
            <w:pPr>
              <w:pStyle w:val="NormalWeb"/>
              <w:spacing w:before="0" w:beforeAutospacing="0" w:after="0" w:afterAutospacing="0"/>
              <w:jc w:val="center"/>
              <w:textAlignment w:val="bottom"/>
              <w:rPr>
                <w:rFonts w:ascii="Arial" w:eastAsia="Helvetica Neue Medium" w:hAnsi="Arial" w:cs="Arial"/>
                <w:sz w:val="22"/>
                <w:szCs w:val="22"/>
              </w:rPr>
            </w:pPr>
            <w:r w:rsidRPr="00773BBF">
              <w:rPr>
                <w:rFonts w:ascii="Arial" w:eastAsia="Helvetica Neue Medium" w:hAnsi="Arial" w:cs="Arial"/>
                <w:sz w:val="22"/>
                <w:szCs w:val="22"/>
              </w:rPr>
              <w:t>53</w:t>
            </w:r>
            <w:r w:rsidR="004352F9" w:rsidRPr="00773BBF">
              <w:rPr>
                <w:rFonts w:ascii="Arial" w:eastAsia="Helvetica Neue Medium" w:hAnsi="Arial" w:cs="Arial"/>
                <w:sz w:val="22"/>
                <w:szCs w:val="22"/>
              </w:rPr>
              <w:t>8</w:t>
            </w:r>
          </w:p>
        </w:tc>
        <w:tc>
          <w:tcPr>
            <w:tcW w:w="1146" w:type="dxa"/>
            <w:shd w:val="clear" w:color="auto" w:fill="auto"/>
            <w:tcMar>
              <w:top w:w="15" w:type="dxa"/>
              <w:left w:w="15" w:type="dxa"/>
              <w:bottom w:w="0" w:type="dxa"/>
              <w:right w:w="15" w:type="dxa"/>
            </w:tcMar>
            <w:vAlign w:val="center"/>
          </w:tcPr>
          <w:p w14:paraId="2161B20C" w14:textId="77777777" w:rsidR="00283D9D" w:rsidRPr="00773BBF" w:rsidRDefault="00267F9D" w:rsidP="00283D9D">
            <w:pPr>
              <w:pStyle w:val="NormalWeb"/>
              <w:spacing w:before="0" w:beforeAutospacing="0" w:after="0" w:afterAutospacing="0"/>
              <w:jc w:val="center"/>
              <w:textAlignment w:val="bottom"/>
              <w:rPr>
                <w:rFonts w:ascii="Arial" w:hAnsi="Arial" w:cs="Arial"/>
                <w:sz w:val="22"/>
                <w:szCs w:val="22"/>
              </w:rPr>
            </w:pPr>
            <w:r w:rsidRPr="00773BBF">
              <w:rPr>
                <w:rFonts w:ascii="Arial" w:hAnsi="Arial" w:cs="Arial"/>
                <w:sz w:val="22"/>
                <w:szCs w:val="22"/>
              </w:rPr>
              <w:t>-10.8</w:t>
            </w:r>
          </w:p>
        </w:tc>
      </w:tr>
      <w:tr w:rsidR="007F53F2" w:rsidRPr="003E6102" w14:paraId="04989D88" w14:textId="77777777" w:rsidTr="003A575A">
        <w:trPr>
          <w:trHeight w:val="254"/>
          <w:jc w:val="center"/>
        </w:trPr>
        <w:tc>
          <w:tcPr>
            <w:tcW w:w="5253" w:type="dxa"/>
            <w:shd w:val="clear" w:color="auto" w:fill="auto"/>
            <w:tcMar>
              <w:top w:w="15" w:type="dxa"/>
              <w:left w:w="15" w:type="dxa"/>
              <w:bottom w:w="0" w:type="dxa"/>
              <w:right w:w="15" w:type="dxa"/>
            </w:tcMar>
            <w:vAlign w:val="center"/>
            <w:hideMark/>
          </w:tcPr>
          <w:p w14:paraId="3C2A343D" w14:textId="77777777" w:rsidR="00283D9D" w:rsidRPr="00773BBF" w:rsidRDefault="00283D9D" w:rsidP="00283D9D">
            <w:pPr>
              <w:pStyle w:val="Default"/>
              <w:rPr>
                <w:color w:val="auto"/>
                <w:sz w:val="22"/>
                <w:szCs w:val="22"/>
                <w:lang w:eastAsia="es-MX"/>
              </w:rPr>
            </w:pPr>
            <w:r w:rsidRPr="00773BBF">
              <w:rPr>
                <w:color w:val="auto"/>
                <w:sz w:val="22"/>
                <w:szCs w:val="22"/>
                <w:lang w:eastAsia="es-MX"/>
              </w:rPr>
              <w:t>Valor de activos fijos totales</w:t>
            </w:r>
          </w:p>
        </w:tc>
        <w:tc>
          <w:tcPr>
            <w:tcW w:w="1312" w:type="dxa"/>
            <w:shd w:val="clear" w:color="auto" w:fill="auto"/>
            <w:tcMar>
              <w:top w:w="15" w:type="dxa"/>
              <w:left w:w="15" w:type="dxa"/>
              <w:bottom w:w="0" w:type="dxa"/>
              <w:right w:w="15" w:type="dxa"/>
            </w:tcMar>
            <w:vAlign w:val="center"/>
          </w:tcPr>
          <w:p w14:paraId="3A22EAD7" w14:textId="77777777" w:rsidR="00283D9D" w:rsidRPr="00773BBF" w:rsidRDefault="00267F9D" w:rsidP="00283D9D">
            <w:pPr>
              <w:pStyle w:val="NormalWeb"/>
              <w:spacing w:before="0" w:beforeAutospacing="0" w:after="0" w:afterAutospacing="0"/>
              <w:jc w:val="center"/>
              <w:textAlignment w:val="bottom"/>
              <w:rPr>
                <w:rFonts w:ascii="Arial" w:hAnsi="Arial" w:cs="Arial"/>
                <w:sz w:val="22"/>
                <w:szCs w:val="22"/>
              </w:rPr>
            </w:pPr>
            <w:r w:rsidRPr="00773BBF">
              <w:rPr>
                <w:rFonts w:ascii="Arial" w:eastAsia="Helvetica Neue Medium" w:hAnsi="Arial" w:cs="Arial"/>
                <w:sz w:val="22"/>
                <w:szCs w:val="22"/>
              </w:rPr>
              <w:t>129</w:t>
            </w:r>
          </w:p>
        </w:tc>
        <w:tc>
          <w:tcPr>
            <w:tcW w:w="1078" w:type="dxa"/>
            <w:vAlign w:val="center"/>
          </w:tcPr>
          <w:p w14:paraId="68981C69" w14:textId="77777777" w:rsidR="00283D9D" w:rsidRPr="00773BBF" w:rsidRDefault="004352F9" w:rsidP="00283D9D">
            <w:pPr>
              <w:pStyle w:val="NormalWeb"/>
              <w:spacing w:before="0" w:beforeAutospacing="0" w:after="0" w:afterAutospacing="0"/>
              <w:jc w:val="center"/>
              <w:textAlignment w:val="bottom"/>
              <w:rPr>
                <w:rFonts w:ascii="Arial" w:eastAsia="Helvetica Neue Medium" w:hAnsi="Arial" w:cs="Arial"/>
                <w:sz w:val="22"/>
                <w:szCs w:val="22"/>
              </w:rPr>
            </w:pPr>
            <w:r w:rsidRPr="00773BBF">
              <w:rPr>
                <w:rFonts w:ascii="Arial" w:eastAsia="Helvetica Neue Medium" w:hAnsi="Arial" w:cs="Arial"/>
                <w:sz w:val="22"/>
                <w:szCs w:val="22"/>
              </w:rPr>
              <w:t>114</w:t>
            </w:r>
          </w:p>
        </w:tc>
        <w:tc>
          <w:tcPr>
            <w:tcW w:w="1146" w:type="dxa"/>
            <w:shd w:val="clear" w:color="auto" w:fill="auto"/>
            <w:tcMar>
              <w:top w:w="15" w:type="dxa"/>
              <w:left w:w="15" w:type="dxa"/>
              <w:bottom w:w="0" w:type="dxa"/>
              <w:right w:w="15" w:type="dxa"/>
            </w:tcMar>
            <w:vAlign w:val="center"/>
          </w:tcPr>
          <w:p w14:paraId="2E86CDF9" w14:textId="77777777" w:rsidR="00283D9D" w:rsidRPr="00773BBF" w:rsidRDefault="00267F9D" w:rsidP="00283D9D">
            <w:pPr>
              <w:pStyle w:val="NormalWeb"/>
              <w:spacing w:before="0" w:beforeAutospacing="0" w:after="0" w:afterAutospacing="0"/>
              <w:jc w:val="center"/>
              <w:textAlignment w:val="bottom"/>
              <w:rPr>
                <w:rFonts w:ascii="Arial" w:hAnsi="Arial" w:cs="Arial"/>
                <w:sz w:val="22"/>
                <w:szCs w:val="22"/>
              </w:rPr>
            </w:pPr>
            <w:r w:rsidRPr="00773BBF">
              <w:rPr>
                <w:rFonts w:ascii="Arial" w:hAnsi="Arial" w:cs="Arial"/>
                <w:sz w:val="22"/>
                <w:szCs w:val="22"/>
              </w:rPr>
              <w:t>-11.</w:t>
            </w:r>
            <w:r w:rsidR="004352F9" w:rsidRPr="00773BBF">
              <w:rPr>
                <w:rFonts w:ascii="Arial" w:hAnsi="Arial" w:cs="Arial"/>
                <w:sz w:val="22"/>
                <w:szCs w:val="22"/>
              </w:rPr>
              <w:t>6</w:t>
            </w:r>
          </w:p>
        </w:tc>
      </w:tr>
    </w:tbl>
    <w:p w14:paraId="6DE0163D" w14:textId="77777777" w:rsidR="00D009A4" w:rsidRPr="00B14B1C" w:rsidRDefault="00D009A4" w:rsidP="00D009A4">
      <w:pPr>
        <w:pStyle w:val="Default"/>
        <w:jc w:val="both"/>
        <w:rPr>
          <w:color w:val="auto"/>
          <w:sz w:val="16"/>
          <w:szCs w:val="16"/>
          <w:lang w:eastAsia="es-MX"/>
        </w:rPr>
      </w:pPr>
      <w:r w:rsidRPr="00B14B1C">
        <w:rPr>
          <w:color w:val="auto"/>
          <w:sz w:val="16"/>
          <w:szCs w:val="16"/>
          <w:vertAlign w:val="superscript"/>
          <w:lang w:eastAsia="es-MX"/>
        </w:rPr>
        <w:t>p/</w:t>
      </w:r>
      <w:r w:rsidR="00AD1DD3" w:rsidRPr="00B14B1C">
        <w:rPr>
          <w:color w:val="auto"/>
          <w:sz w:val="16"/>
          <w:szCs w:val="16"/>
          <w:vertAlign w:val="superscript"/>
          <w:lang w:eastAsia="es-MX"/>
        </w:rPr>
        <w:t xml:space="preserve"> </w:t>
      </w:r>
      <w:r w:rsidRPr="00B14B1C">
        <w:rPr>
          <w:color w:val="auto"/>
          <w:sz w:val="16"/>
          <w:szCs w:val="16"/>
          <w:lang w:eastAsia="es-MX"/>
        </w:rPr>
        <w:t>Cifras preliminares</w:t>
      </w:r>
      <w:r w:rsidR="00982528" w:rsidRPr="00B14B1C">
        <w:rPr>
          <w:color w:val="auto"/>
          <w:sz w:val="16"/>
          <w:szCs w:val="16"/>
          <w:lang w:eastAsia="es-MX"/>
        </w:rPr>
        <w:t>.</w:t>
      </w:r>
      <w:r w:rsidRPr="00B14B1C">
        <w:rPr>
          <w:color w:val="auto"/>
          <w:sz w:val="16"/>
          <w:szCs w:val="16"/>
          <w:lang w:eastAsia="es-MX"/>
        </w:rPr>
        <w:t xml:space="preserve"> </w:t>
      </w:r>
    </w:p>
    <w:p w14:paraId="48C205F7" w14:textId="77777777" w:rsidR="00D009A4" w:rsidRPr="00B14B1C" w:rsidRDefault="00D009A4" w:rsidP="00D009A4">
      <w:pPr>
        <w:pStyle w:val="Default"/>
        <w:jc w:val="both"/>
        <w:rPr>
          <w:b/>
          <w:color w:val="auto"/>
          <w:sz w:val="16"/>
          <w:szCs w:val="16"/>
          <w:lang w:eastAsia="es-MX"/>
        </w:rPr>
      </w:pPr>
      <w:r w:rsidRPr="00B14B1C">
        <w:rPr>
          <w:color w:val="auto"/>
          <w:sz w:val="16"/>
          <w:szCs w:val="16"/>
          <w:lang w:eastAsia="es-MX"/>
        </w:rPr>
        <w:t xml:space="preserve">Fuente: </w:t>
      </w:r>
      <w:r w:rsidRPr="00B14B1C">
        <w:rPr>
          <w:b/>
          <w:color w:val="auto"/>
          <w:sz w:val="16"/>
          <w:szCs w:val="16"/>
          <w:lang w:eastAsia="es-MX"/>
        </w:rPr>
        <w:t>INEGI.</w:t>
      </w:r>
    </w:p>
    <w:p w14:paraId="566BAC78" w14:textId="77777777" w:rsidR="0007762A" w:rsidRPr="005F52E0" w:rsidRDefault="0007762A" w:rsidP="0007762A">
      <w:pPr>
        <w:pStyle w:val="Default"/>
        <w:jc w:val="both"/>
        <w:rPr>
          <w:sz w:val="22"/>
          <w:szCs w:val="22"/>
          <w:lang w:eastAsia="es-MX"/>
        </w:rPr>
      </w:pPr>
      <w:r>
        <w:rPr>
          <w:sz w:val="22"/>
          <w:szCs w:val="22"/>
          <w:lang w:eastAsia="es-MX"/>
        </w:rPr>
        <w:lastRenderedPageBreak/>
        <w:t>En 2020</w:t>
      </w:r>
      <w:r w:rsidR="00CE7830">
        <w:rPr>
          <w:sz w:val="22"/>
          <w:szCs w:val="22"/>
          <w:lang w:eastAsia="es-MX"/>
        </w:rPr>
        <w:t>,</w:t>
      </w:r>
      <w:r>
        <w:rPr>
          <w:sz w:val="22"/>
          <w:szCs w:val="22"/>
          <w:lang w:eastAsia="es-MX"/>
        </w:rPr>
        <w:t xml:space="preserve"> el personal ocupado total </w:t>
      </w:r>
      <w:r w:rsidR="00EA5E7A">
        <w:rPr>
          <w:sz w:val="22"/>
          <w:szCs w:val="22"/>
          <w:lang w:eastAsia="es-MX"/>
        </w:rPr>
        <w:t>de</w:t>
      </w:r>
      <w:r>
        <w:rPr>
          <w:sz w:val="22"/>
          <w:szCs w:val="22"/>
          <w:lang w:eastAsia="es-MX"/>
        </w:rPr>
        <w:t xml:space="preserve"> las empresas constructoras registra una disminución</w:t>
      </w:r>
      <w:r w:rsidR="00EA5E7A">
        <w:rPr>
          <w:sz w:val="22"/>
          <w:szCs w:val="22"/>
          <w:lang w:eastAsia="es-MX"/>
        </w:rPr>
        <w:t xml:space="preserve"> en sus tres subsectores</w:t>
      </w:r>
      <w:r w:rsidR="009F1076">
        <w:rPr>
          <w:sz w:val="22"/>
          <w:szCs w:val="22"/>
          <w:lang w:eastAsia="es-MX"/>
        </w:rPr>
        <w:t>:</w:t>
      </w:r>
      <w:r>
        <w:rPr>
          <w:sz w:val="22"/>
          <w:szCs w:val="22"/>
          <w:lang w:eastAsia="es-MX"/>
        </w:rPr>
        <w:t xml:space="preserve"> </w:t>
      </w:r>
      <w:r w:rsidR="00EA5E7A">
        <w:rPr>
          <w:sz w:val="22"/>
          <w:szCs w:val="22"/>
          <w:lang w:eastAsia="es-MX"/>
        </w:rPr>
        <w:t>e</w:t>
      </w:r>
      <w:r>
        <w:rPr>
          <w:sz w:val="22"/>
          <w:szCs w:val="22"/>
          <w:lang w:eastAsia="es-MX"/>
        </w:rPr>
        <w:t xml:space="preserve">dificación </w:t>
      </w:r>
      <w:r w:rsidR="00EA5E7A">
        <w:rPr>
          <w:sz w:val="22"/>
          <w:szCs w:val="22"/>
          <w:lang w:eastAsia="es-MX"/>
        </w:rPr>
        <w:t>se contrae 12</w:t>
      </w:r>
      <w:r>
        <w:rPr>
          <w:sz w:val="22"/>
          <w:szCs w:val="22"/>
          <w:lang w:eastAsia="es-MX"/>
        </w:rPr>
        <w:t xml:space="preserve">%, </w:t>
      </w:r>
      <w:r w:rsidR="00EA5E7A">
        <w:rPr>
          <w:sz w:val="22"/>
          <w:szCs w:val="22"/>
          <w:lang w:eastAsia="es-MX"/>
        </w:rPr>
        <w:t>c</w:t>
      </w:r>
      <w:r w:rsidRPr="000042EB">
        <w:rPr>
          <w:sz w:val="22"/>
          <w:szCs w:val="22"/>
          <w:lang w:eastAsia="es-MX"/>
        </w:rPr>
        <w:t>onstrucción de obras de ingeniería civil</w:t>
      </w:r>
      <w:r>
        <w:rPr>
          <w:sz w:val="22"/>
          <w:szCs w:val="22"/>
          <w:lang w:eastAsia="es-MX"/>
        </w:rPr>
        <w:t xml:space="preserve"> 8.6% y </w:t>
      </w:r>
      <w:r w:rsidR="00EA5E7A">
        <w:rPr>
          <w:sz w:val="22"/>
          <w:szCs w:val="22"/>
          <w:lang w:eastAsia="es-MX"/>
        </w:rPr>
        <w:t>t</w:t>
      </w:r>
      <w:r w:rsidRPr="000042EB">
        <w:rPr>
          <w:sz w:val="22"/>
          <w:szCs w:val="22"/>
          <w:lang w:eastAsia="es-MX"/>
        </w:rPr>
        <w:t>rabajos especializados para la construcción</w:t>
      </w:r>
      <w:r>
        <w:rPr>
          <w:sz w:val="22"/>
          <w:szCs w:val="22"/>
          <w:lang w:eastAsia="es-MX"/>
        </w:rPr>
        <w:t xml:space="preserve"> 9.8 por ciento.</w:t>
      </w:r>
    </w:p>
    <w:p w14:paraId="7BC46C54" w14:textId="77777777" w:rsidR="005F38B2" w:rsidRDefault="005F38B2" w:rsidP="003A575A">
      <w:pPr>
        <w:pStyle w:val="Pa27"/>
        <w:spacing w:line="240" w:lineRule="auto"/>
        <w:jc w:val="both"/>
        <w:rPr>
          <w:rFonts w:ascii="Segoe UI" w:eastAsia="Times New Roman" w:hAnsi="Segoe UI" w:cs="Segoe UI"/>
          <w:color w:val="000000"/>
          <w:sz w:val="22"/>
          <w:szCs w:val="22"/>
          <w:lang w:val="es-MX" w:eastAsia="es-MX"/>
        </w:rPr>
      </w:pPr>
    </w:p>
    <w:p w14:paraId="397CD292" w14:textId="77777777" w:rsidR="005F38B2" w:rsidRDefault="005F38B2" w:rsidP="005F38B2">
      <w:pPr>
        <w:pStyle w:val="Default"/>
        <w:jc w:val="center"/>
        <w:rPr>
          <w:b/>
          <w:color w:val="auto"/>
          <w:sz w:val="22"/>
          <w:lang w:eastAsia="es-MX"/>
        </w:rPr>
      </w:pPr>
      <w:r w:rsidRPr="00234530">
        <w:rPr>
          <w:b/>
          <w:color w:val="auto"/>
          <w:sz w:val="22"/>
          <w:lang w:eastAsia="es-MX"/>
        </w:rPr>
        <w:t>Cuadro 2</w:t>
      </w:r>
      <w:r w:rsidRPr="005110B8">
        <w:rPr>
          <w:b/>
          <w:color w:val="auto"/>
          <w:sz w:val="22"/>
          <w:lang w:eastAsia="es-MX"/>
        </w:rPr>
        <w:t xml:space="preserve"> </w:t>
      </w:r>
    </w:p>
    <w:p w14:paraId="04A6EEDA" w14:textId="77777777" w:rsidR="003A575A" w:rsidRDefault="00FA691B" w:rsidP="00FA691B">
      <w:pPr>
        <w:pStyle w:val="Default"/>
        <w:jc w:val="center"/>
        <w:rPr>
          <w:b/>
          <w:color w:val="auto"/>
          <w:sz w:val="22"/>
          <w:lang w:eastAsia="es-MX"/>
        </w:rPr>
      </w:pPr>
      <w:r>
        <w:rPr>
          <w:b/>
          <w:color w:val="auto"/>
          <w:sz w:val="22"/>
          <w:lang w:eastAsia="es-MX"/>
        </w:rPr>
        <w:t>Personal ocupado total</w:t>
      </w:r>
      <w:r w:rsidR="002652BF">
        <w:rPr>
          <w:b/>
          <w:color w:val="auto"/>
          <w:sz w:val="22"/>
          <w:lang w:eastAsia="es-MX"/>
        </w:rPr>
        <w:t xml:space="preserve"> de las empresas constructoras</w:t>
      </w:r>
      <w:r w:rsidR="00EA5E7A">
        <w:rPr>
          <w:b/>
          <w:color w:val="auto"/>
          <w:sz w:val="22"/>
          <w:lang w:eastAsia="es-MX"/>
        </w:rPr>
        <w:t xml:space="preserve"> </w:t>
      </w:r>
      <w:r w:rsidR="00982528">
        <w:rPr>
          <w:b/>
          <w:color w:val="auto"/>
          <w:sz w:val="22"/>
          <w:lang w:eastAsia="es-MX"/>
        </w:rPr>
        <w:t>por</w:t>
      </w:r>
      <w:r>
        <w:rPr>
          <w:b/>
          <w:color w:val="auto"/>
          <w:sz w:val="22"/>
          <w:lang w:eastAsia="es-MX"/>
        </w:rPr>
        <w:t xml:space="preserve"> subsector</w:t>
      </w:r>
    </w:p>
    <w:p w14:paraId="1325E36F" w14:textId="77777777" w:rsidR="00956FF0" w:rsidRDefault="00956FF0" w:rsidP="00FA691B">
      <w:pPr>
        <w:pStyle w:val="Default"/>
        <w:jc w:val="center"/>
        <w:rPr>
          <w:b/>
          <w:color w:val="auto"/>
          <w:sz w:val="22"/>
          <w:lang w:eastAsia="es-MX"/>
        </w:rPr>
      </w:pPr>
      <w:r>
        <w:rPr>
          <w:b/>
          <w:color w:val="auto"/>
          <w:sz w:val="22"/>
          <w:lang w:eastAsia="es-MX"/>
        </w:rPr>
        <w:t>(Miles de personas)</w:t>
      </w:r>
    </w:p>
    <w:tbl>
      <w:tblPr>
        <w:tblW w:w="8086" w:type="dxa"/>
        <w:jc w:val="center"/>
        <w:tblCellMar>
          <w:left w:w="70" w:type="dxa"/>
          <w:right w:w="70" w:type="dxa"/>
        </w:tblCellMar>
        <w:tblLook w:val="04A0" w:firstRow="1" w:lastRow="0" w:firstColumn="1" w:lastColumn="0" w:noHBand="0" w:noVBand="1"/>
      </w:tblPr>
      <w:tblGrid>
        <w:gridCol w:w="4673"/>
        <w:gridCol w:w="1134"/>
        <w:gridCol w:w="1067"/>
        <w:gridCol w:w="1212"/>
      </w:tblGrid>
      <w:tr w:rsidR="00E01FB1" w:rsidRPr="00CF4417" w14:paraId="4F29A4CF" w14:textId="77777777" w:rsidTr="00EA5E7A">
        <w:trPr>
          <w:trHeight w:val="232"/>
          <w:jc w:val="center"/>
        </w:trPr>
        <w:tc>
          <w:tcPr>
            <w:tcW w:w="467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2F92E2AE" w14:textId="77777777" w:rsidR="00903A81" w:rsidRPr="00CF4417" w:rsidRDefault="00903A81" w:rsidP="00903A81">
            <w:pPr>
              <w:spacing w:after="0" w:line="240" w:lineRule="auto"/>
              <w:jc w:val="center"/>
              <w:rPr>
                <w:rFonts w:ascii="Arial" w:eastAsia="Times New Roman" w:hAnsi="Arial" w:cs="Arial"/>
                <w:b/>
                <w:bCs/>
                <w:sz w:val="20"/>
                <w:szCs w:val="20"/>
                <w:lang w:eastAsia="es-MX"/>
              </w:rPr>
            </w:pPr>
            <w:r w:rsidRPr="00CF4417">
              <w:rPr>
                <w:rFonts w:ascii="Arial" w:eastAsia="Times New Roman" w:hAnsi="Arial" w:cs="Arial"/>
                <w:b/>
                <w:bCs/>
                <w:sz w:val="20"/>
                <w:szCs w:val="20"/>
                <w:lang w:eastAsia="es-MX"/>
              </w:rPr>
              <w:t>Sector y subsector</w:t>
            </w:r>
          </w:p>
        </w:tc>
        <w:tc>
          <w:tcPr>
            <w:tcW w:w="1134"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14:paraId="310F0062" w14:textId="77777777" w:rsidR="00903A81" w:rsidRPr="00CF4417" w:rsidRDefault="00903A81" w:rsidP="00903A81">
            <w:pPr>
              <w:spacing w:after="0" w:line="240" w:lineRule="auto"/>
              <w:jc w:val="center"/>
              <w:rPr>
                <w:rFonts w:ascii="Arial" w:eastAsia="Times New Roman" w:hAnsi="Arial" w:cs="Arial"/>
                <w:b/>
                <w:bCs/>
                <w:sz w:val="20"/>
                <w:szCs w:val="20"/>
                <w:lang w:eastAsia="es-MX"/>
              </w:rPr>
            </w:pPr>
            <w:r w:rsidRPr="00CF4417">
              <w:rPr>
                <w:rFonts w:ascii="Arial" w:eastAsia="Times New Roman" w:hAnsi="Arial" w:cs="Arial"/>
                <w:b/>
                <w:bCs/>
                <w:sz w:val="20"/>
                <w:szCs w:val="20"/>
                <w:lang w:eastAsia="es-MX"/>
              </w:rPr>
              <w:t>2019</w:t>
            </w:r>
          </w:p>
        </w:tc>
        <w:tc>
          <w:tcPr>
            <w:tcW w:w="1067"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14:paraId="278E7AE8" w14:textId="77777777" w:rsidR="00903A81" w:rsidRPr="00CF4417" w:rsidRDefault="00903A81" w:rsidP="00FF5CF1">
            <w:pPr>
              <w:spacing w:after="0" w:line="240" w:lineRule="auto"/>
              <w:jc w:val="center"/>
              <w:rPr>
                <w:rFonts w:ascii="Arial" w:eastAsia="Times New Roman" w:hAnsi="Arial" w:cs="Arial"/>
                <w:b/>
                <w:bCs/>
                <w:sz w:val="20"/>
                <w:szCs w:val="20"/>
                <w:lang w:eastAsia="es-MX"/>
              </w:rPr>
            </w:pPr>
            <w:r w:rsidRPr="000042EB">
              <w:rPr>
                <w:rFonts w:ascii="Arial" w:hAnsi="Arial" w:cs="Arial"/>
                <w:b/>
                <w:bCs/>
                <w:sz w:val="20"/>
                <w:szCs w:val="20"/>
                <w:lang w:eastAsia="es-MX"/>
              </w:rPr>
              <w:t>2020</w:t>
            </w:r>
            <w:r w:rsidR="00FF5CF1">
              <w:rPr>
                <w:rFonts w:eastAsia="Times New Roman"/>
                <w:b/>
                <w:bCs/>
                <w:vertAlign w:val="superscript"/>
                <w:lang w:eastAsia="es-MX"/>
              </w:rPr>
              <w:t>p</w:t>
            </w:r>
            <w:r w:rsidRPr="00773BBF">
              <w:rPr>
                <w:rFonts w:eastAsia="Times New Roman"/>
                <w:b/>
                <w:bCs/>
                <w:vertAlign w:val="superscript"/>
                <w:lang w:eastAsia="es-MX"/>
              </w:rPr>
              <w:t>/</w:t>
            </w:r>
          </w:p>
        </w:tc>
        <w:tc>
          <w:tcPr>
            <w:tcW w:w="1212"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14:paraId="200DDED0" w14:textId="77777777" w:rsidR="00903A81" w:rsidRPr="00CF4417" w:rsidRDefault="00903A81" w:rsidP="00903A81">
            <w:pPr>
              <w:spacing w:after="0" w:line="240" w:lineRule="auto"/>
              <w:jc w:val="center"/>
              <w:rPr>
                <w:rFonts w:ascii="Arial" w:eastAsia="Times New Roman" w:hAnsi="Arial" w:cs="Arial"/>
                <w:b/>
                <w:bCs/>
                <w:sz w:val="20"/>
                <w:szCs w:val="20"/>
                <w:lang w:eastAsia="es-MX"/>
              </w:rPr>
            </w:pPr>
            <w:r w:rsidRPr="00CF4417">
              <w:rPr>
                <w:rFonts w:ascii="Arial" w:eastAsia="Times New Roman" w:hAnsi="Arial" w:cs="Arial"/>
                <w:b/>
                <w:bCs/>
                <w:sz w:val="20"/>
                <w:szCs w:val="20"/>
                <w:lang w:eastAsia="es-MX"/>
              </w:rPr>
              <w:t>Variación porcentual</w:t>
            </w:r>
          </w:p>
        </w:tc>
      </w:tr>
      <w:tr w:rsidR="00903A81" w:rsidRPr="00CF4417" w14:paraId="04AA4799" w14:textId="77777777" w:rsidTr="00EA5E7A">
        <w:trPr>
          <w:trHeight w:val="157"/>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BA46B79" w14:textId="77777777" w:rsidR="00903A81" w:rsidRPr="00CF4417" w:rsidRDefault="00903A81" w:rsidP="00903A81">
            <w:pPr>
              <w:spacing w:after="0" w:line="240" w:lineRule="auto"/>
              <w:rPr>
                <w:rFonts w:ascii="Arial" w:eastAsia="Times New Roman" w:hAnsi="Arial" w:cs="Arial"/>
                <w:b/>
                <w:bCs/>
                <w:sz w:val="20"/>
                <w:szCs w:val="20"/>
                <w:lang w:eastAsia="es-MX"/>
              </w:rPr>
            </w:pPr>
            <w:r w:rsidRPr="00CF4417">
              <w:rPr>
                <w:rFonts w:ascii="Arial" w:eastAsia="Times New Roman" w:hAnsi="Arial" w:cs="Arial"/>
                <w:b/>
                <w:bCs/>
                <w:sz w:val="20"/>
                <w:szCs w:val="20"/>
                <w:lang w:eastAsia="es-MX"/>
              </w:rPr>
              <w:t xml:space="preserve">23 </w:t>
            </w:r>
            <w:r w:rsidR="009F1076">
              <w:rPr>
                <w:rFonts w:ascii="Arial" w:eastAsia="Times New Roman" w:hAnsi="Arial" w:cs="Arial"/>
                <w:b/>
                <w:bCs/>
                <w:sz w:val="20"/>
                <w:szCs w:val="20"/>
                <w:lang w:eastAsia="es-MX"/>
              </w:rPr>
              <w:t xml:space="preserve">   </w:t>
            </w:r>
            <w:proofErr w:type="gramStart"/>
            <w:r w:rsidRPr="009F1076">
              <w:rPr>
                <w:rFonts w:ascii="Arial" w:eastAsia="Times New Roman" w:hAnsi="Arial" w:cs="Arial"/>
                <w:b/>
                <w:bCs/>
                <w:sz w:val="20"/>
                <w:szCs w:val="20"/>
                <w:lang w:eastAsia="es-MX"/>
              </w:rPr>
              <w:t>Construcción</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3DBBC55E" w14:textId="77777777" w:rsidR="00903A81" w:rsidRPr="00CF4417" w:rsidRDefault="00956FF0" w:rsidP="00903A81">
            <w:pPr>
              <w:spacing w:after="0" w:line="240"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606</w:t>
            </w:r>
          </w:p>
        </w:tc>
        <w:tc>
          <w:tcPr>
            <w:tcW w:w="1067" w:type="dxa"/>
            <w:tcBorders>
              <w:top w:val="nil"/>
              <w:left w:val="nil"/>
              <w:bottom w:val="single" w:sz="4" w:space="0" w:color="auto"/>
              <w:right w:val="single" w:sz="4" w:space="0" w:color="auto"/>
            </w:tcBorders>
            <w:shd w:val="clear" w:color="auto" w:fill="auto"/>
            <w:noWrap/>
            <w:vAlign w:val="center"/>
            <w:hideMark/>
          </w:tcPr>
          <w:p w14:paraId="678F7AC4" w14:textId="77777777" w:rsidR="00903A81" w:rsidRPr="00CF4417" w:rsidRDefault="00903A81" w:rsidP="00956FF0">
            <w:pPr>
              <w:spacing w:after="0" w:line="240" w:lineRule="auto"/>
              <w:jc w:val="center"/>
              <w:rPr>
                <w:rFonts w:ascii="Arial" w:eastAsia="Times New Roman" w:hAnsi="Arial" w:cs="Arial"/>
                <w:b/>
                <w:bCs/>
                <w:sz w:val="20"/>
                <w:szCs w:val="20"/>
                <w:lang w:eastAsia="es-MX"/>
              </w:rPr>
            </w:pPr>
            <w:r w:rsidRPr="00CF4417">
              <w:rPr>
                <w:rFonts w:ascii="Arial" w:eastAsia="Times New Roman" w:hAnsi="Arial" w:cs="Arial"/>
                <w:b/>
                <w:bCs/>
                <w:sz w:val="20"/>
                <w:szCs w:val="20"/>
                <w:lang w:eastAsia="es-MX"/>
              </w:rPr>
              <w:t>541</w:t>
            </w:r>
          </w:p>
        </w:tc>
        <w:tc>
          <w:tcPr>
            <w:tcW w:w="1212" w:type="dxa"/>
            <w:tcBorders>
              <w:top w:val="nil"/>
              <w:left w:val="nil"/>
              <w:bottom w:val="single" w:sz="4" w:space="0" w:color="auto"/>
              <w:right w:val="single" w:sz="4" w:space="0" w:color="auto"/>
            </w:tcBorders>
            <w:shd w:val="clear" w:color="auto" w:fill="auto"/>
            <w:noWrap/>
            <w:vAlign w:val="center"/>
            <w:hideMark/>
          </w:tcPr>
          <w:p w14:paraId="0665A652" w14:textId="77777777" w:rsidR="00903A81" w:rsidRPr="00CF4417" w:rsidRDefault="00903A81" w:rsidP="008615D3">
            <w:pPr>
              <w:spacing w:after="0" w:line="240" w:lineRule="auto"/>
              <w:jc w:val="center"/>
              <w:rPr>
                <w:rFonts w:ascii="Arial" w:eastAsia="Times New Roman" w:hAnsi="Arial" w:cs="Arial"/>
                <w:b/>
                <w:bCs/>
                <w:sz w:val="20"/>
                <w:szCs w:val="20"/>
                <w:lang w:eastAsia="es-MX"/>
              </w:rPr>
            </w:pPr>
            <w:r w:rsidRPr="00CF4417">
              <w:rPr>
                <w:rFonts w:ascii="Arial" w:eastAsia="Times New Roman" w:hAnsi="Arial" w:cs="Arial"/>
                <w:b/>
                <w:bCs/>
                <w:sz w:val="20"/>
                <w:szCs w:val="20"/>
                <w:lang w:eastAsia="es-MX"/>
              </w:rPr>
              <w:t>-10.</w:t>
            </w:r>
            <w:r w:rsidR="008615D3">
              <w:rPr>
                <w:rFonts w:ascii="Arial" w:eastAsia="Times New Roman" w:hAnsi="Arial" w:cs="Arial"/>
                <w:b/>
                <w:bCs/>
                <w:sz w:val="20"/>
                <w:szCs w:val="20"/>
                <w:lang w:eastAsia="es-MX"/>
              </w:rPr>
              <w:t>7</w:t>
            </w:r>
          </w:p>
        </w:tc>
      </w:tr>
      <w:tr w:rsidR="00903A81" w:rsidRPr="00CF4417" w14:paraId="4EEEC48B" w14:textId="77777777" w:rsidTr="00EA5E7A">
        <w:trPr>
          <w:trHeight w:val="202"/>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38967B7" w14:textId="77777777" w:rsidR="00903A81" w:rsidRPr="00CF4417" w:rsidRDefault="00903A81" w:rsidP="00903A81">
            <w:pPr>
              <w:spacing w:after="0" w:line="240" w:lineRule="auto"/>
              <w:ind w:left="61"/>
              <w:rPr>
                <w:rFonts w:ascii="Arial" w:eastAsia="Times New Roman" w:hAnsi="Arial" w:cs="Arial"/>
                <w:sz w:val="20"/>
                <w:szCs w:val="20"/>
                <w:lang w:eastAsia="es-MX"/>
              </w:rPr>
            </w:pPr>
            <w:r w:rsidRPr="00CF4417">
              <w:rPr>
                <w:rFonts w:ascii="Arial" w:eastAsia="Times New Roman" w:hAnsi="Arial" w:cs="Arial"/>
                <w:sz w:val="20"/>
                <w:szCs w:val="20"/>
                <w:lang w:eastAsia="es-MX"/>
              </w:rPr>
              <w:t xml:space="preserve">236 </w:t>
            </w:r>
            <w:proofErr w:type="gramStart"/>
            <w:r w:rsidRPr="00CF4417">
              <w:rPr>
                <w:rFonts w:ascii="Arial" w:eastAsia="Times New Roman" w:hAnsi="Arial" w:cs="Arial"/>
                <w:sz w:val="20"/>
                <w:szCs w:val="20"/>
                <w:lang w:eastAsia="es-MX"/>
              </w:rPr>
              <w:t>Edificación</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195C94A0" w14:textId="77777777" w:rsidR="00903A81" w:rsidRPr="00CF4417" w:rsidRDefault="00956FF0" w:rsidP="00903A81">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325</w:t>
            </w:r>
          </w:p>
        </w:tc>
        <w:tc>
          <w:tcPr>
            <w:tcW w:w="1067" w:type="dxa"/>
            <w:tcBorders>
              <w:top w:val="nil"/>
              <w:left w:val="nil"/>
              <w:bottom w:val="single" w:sz="4" w:space="0" w:color="auto"/>
              <w:right w:val="single" w:sz="4" w:space="0" w:color="auto"/>
            </w:tcBorders>
            <w:shd w:val="clear" w:color="auto" w:fill="auto"/>
            <w:noWrap/>
            <w:vAlign w:val="center"/>
            <w:hideMark/>
          </w:tcPr>
          <w:p w14:paraId="0FBE79FF" w14:textId="77777777" w:rsidR="00903A81" w:rsidRPr="00CF4417" w:rsidRDefault="00903A81" w:rsidP="00956FF0">
            <w:pPr>
              <w:spacing w:after="0" w:line="240" w:lineRule="auto"/>
              <w:jc w:val="center"/>
              <w:rPr>
                <w:rFonts w:ascii="Arial" w:eastAsia="Times New Roman" w:hAnsi="Arial" w:cs="Arial"/>
                <w:sz w:val="20"/>
                <w:szCs w:val="20"/>
                <w:lang w:eastAsia="es-MX"/>
              </w:rPr>
            </w:pPr>
            <w:r w:rsidRPr="00CF4417">
              <w:rPr>
                <w:rFonts w:ascii="Arial" w:eastAsia="Times New Roman" w:hAnsi="Arial" w:cs="Arial"/>
                <w:sz w:val="20"/>
                <w:szCs w:val="20"/>
                <w:lang w:eastAsia="es-MX"/>
              </w:rPr>
              <w:t>286</w:t>
            </w:r>
          </w:p>
        </w:tc>
        <w:tc>
          <w:tcPr>
            <w:tcW w:w="1212" w:type="dxa"/>
            <w:tcBorders>
              <w:top w:val="nil"/>
              <w:left w:val="nil"/>
              <w:bottom w:val="single" w:sz="4" w:space="0" w:color="auto"/>
              <w:right w:val="single" w:sz="4" w:space="0" w:color="auto"/>
            </w:tcBorders>
            <w:shd w:val="clear" w:color="auto" w:fill="auto"/>
            <w:noWrap/>
            <w:vAlign w:val="center"/>
            <w:hideMark/>
          </w:tcPr>
          <w:p w14:paraId="195AE423" w14:textId="77777777" w:rsidR="00903A81" w:rsidRPr="00CF4417" w:rsidRDefault="00956FF0" w:rsidP="00903A81">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-12.0</w:t>
            </w:r>
          </w:p>
        </w:tc>
      </w:tr>
      <w:tr w:rsidR="00903A81" w:rsidRPr="00CF4417" w14:paraId="377F6C2B" w14:textId="77777777" w:rsidTr="00EA5E7A">
        <w:trPr>
          <w:trHeight w:val="249"/>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8F6DA52" w14:textId="77777777" w:rsidR="00903A81" w:rsidRPr="00CF4417" w:rsidRDefault="00903A81" w:rsidP="00903A81">
            <w:pPr>
              <w:spacing w:after="0" w:line="240" w:lineRule="auto"/>
              <w:ind w:left="61"/>
              <w:rPr>
                <w:rFonts w:ascii="Arial" w:eastAsia="Times New Roman" w:hAnsi="Arial" w:cs="Arial"/>
                <w:sz w:val="20"/>
                <w:szCs w:val="20"/>
                <w:lang w:eastAsia="es-MX"/>
              </w:rPr>
            </w:pPr>
            <w:r w:rsidRPr="00CF4417">
              <w:rPr>
                <w:rFonts w:ascii="Arial" w:eastAsia="Times New Roman" w:hAnsi="Arial" w:cs="Arial"/>
                <w:sz w:val="20"/>
                <w:szCs w:val="20"/>
                <w:lang w:eastAsia="es-MX"/>
              </w:rPr>
              <w:t xml:space="preserve">237 </w:t>
            </w:r>
            <w:proofErr w:type="gramStart"/>
            <w:r w:rsidRPr="00CF4417">
              <w:rPr>
                <w:rFonts w:ascii="Arial" w:eastAsia="Times New Roman" w:hAnsi="Arial" w:cs="Arial"/>
                <w:sz w:val="20"/>
                <w:szCs w:val="20"/>
                <w:lang w:eastAsia="es-MX"/>
              </w:rPr>
              <w:t>Construcción</w:t>
            </w:r>
            <w:proofErr w:type="gramEnd"/>
            <w:r w:rsidRPr="00CF4417">
              <w:rPr>
                <w:rFonts w:ascii="Arial" w:eastAsia="Times New Roman" w:hAnsi="Arial" w:cs="Arial"/>
                <w:sz w:val="20"/>
                <w:szCs w:val="20"/>
                <w:lang w:eastAsia="es-MX"/>
              </w:rPr>
              <w:t xml:space="preserve"> de obras de ingeniería civil</w:t>
            </w:r>
          </w:p>
        </w:tc>
        <w:tc>
          <w:tcPr>
            <w:tcW w:w="1134" w:type="dxa"/>
            <w:tcBorders>
              <w:top w:val="nil"/>
              <w:left w:val="nil"/>
              <w:bottom w:val="single" w:sz="4" w:space="0" w:color="auto"/>
              <w:right w:val="single" w:sz="4" w:space="0" w:color="auto"/>
            </w:tcBorders>
            <w:shd w:val="clear" w:color="auto" w:fill="auto"/>
            <w:noWrap/>
            <w:vAlign w:val="center"/>
            <w:hideMark/>
          </w:tcPr>
          <w:p w14:paraId="71223CC0" w14:textId="77777777" w:rsidR="00903A81" w:rsidRPr="00CF4417" w:rsidRDefault="00956FF0" w:rsidP="00903A81">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198</w:t>
            </w:r>
          </w:p>
        </w:tc>
        <w:tc>
          <w:tcPr>
            <w:tcW w:w="1067" w:type="dxa"/>
            <w:tcBorders>
              <w:top w:val="nil"/>
              <w:left w:val="nil"/>
              <w:bottom w:val="single" w:sz="4" w:space="0" w:color="auto"/>
              <w:right w:val="single" w:sz="4" w:space="0" w:color="auto"/>
            </w:tcBorders>
            <w:shd w:val="clear" w:color="auto" w:fill="auto"/>
            <w:noWrap/>
            <w:vAlign w:val="center"/>
            <w:hideMark/>
          </w:tcPr>
          <w:p w14:paraId="49817E19" w14:textId="77777777" w:rsidR="00903A81" w:rsidRPr="00CF4417" w:rsidRDefault="00956FF0" w:rsidP="00903A81">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181</w:t>
            </w:r>
          </w:p>
        </w:tc>
        <w:tc>
          <w:tcPr>
            <w:tcW w:w="1212" w:type="dxa"/>
            <w:tcBorders>
              <w:top w:val="nil"/>
              <w:left w:val="nil"/>
              <w:bottom w:val="single" w:sz="4" w:space="0" w:color="auto"/>
              <w:right w:val="single" w:sz="4" w:space="0" w:color="auto"/>
            </w:tcBorders>
            <w:shd w:val="clear" w:color="auto" w:fill="auto"/>
            <w:noWrap/>
            <w:vAlign w:val="center"/>
            <w:hideMark/>
          </w:tcPr>
          <w:p w14:paraId="07CF51BD" w14:textId="77777777" w:rsidR="00903A81" w:rsidRPr="00CF4417" w:rsidRDefault="00956FF0" w:rsidP="00903A81">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-8.6</w:t>
            </w:r>
          </w:p>
        </w:tc>
      </w:tr>
      <w:tr w:rsidR="00903A81" w:rsidRPr="00CF4417" w14:paraId="2E8AF21C" w14:textId="77777777" w:rsidTr="00EA5E7A">
        <w:trPr>
          <w:trHeight w:val="221"/>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E65836A" w14:textId="77777777" w:rsidR="00903A81" w:rsidRPr="00CF4417" w:rsidRDefault="00903A81" w:rsidP="00903A81">
            <w:pPr>
              <w:spacing w:after="0" w:line="240" w:lineRule="auto"/>
              <w:ind w:left="61"/>
              <w:rPr>
                <w:rFonts w:ascii="Arial" w:eastAsia="Times New Roman" w:hAnsi="Arial" w:cs="Arial"/>
                <w:sz w:val="20"/>
                <w:szCs w:val="20"/>
                <w:lang w:eastAsia="es-MX"/>
              </w:rPr>
            </w:pPr>
            <w:r w:rsidRPr="00CF4417">
              <w:rPr>
                <w:rFonts w:ascii="Arial" w:eastAsia="Times New Roman" w:hAnsi="Arial" w:cs="Arial"/>
                <w:sz w:val="20"/>
                <w:szCs w:val="20"/>
                <w:lang w:eastAsia="es-MX"/>
              </w:rPr>
              <w:t xml:space="preserve">238 </w:t>
            </w:r>
            <w:proofErr w:type="gramStart"/>
            <w:r w:rsidRPr="00CF4417">
              <w:rPr>
                <w:rFonts w:ascii="Arial" w:eastAsia="Times New Roman" w:hAnsi="Arial" w:cs="Arial"/>
                <w:sz w:val="20"/>
                <w:szCs w:val="20"/>
                <w:lang w:eastAsia="es-MX"/>
              </w:rPr>
              <w:t>Trabajos</w:t>
            </w:r>
            <w:proofErr w:type="gramEnd"/>
            <w:r w:rsidRPr="00CF4417">
              <w:rPr>
                <w:rFonts w:ascii="Arial" w:eastAsia="Times New Roman" w:hAnsi="Arial" w:cs="Arial"/>
                <w:sz w:val="20"/>
                <w:szCs w:val="20"/>
                <w:lang w:eastAsia="es-MX"/>
              </w:rPr>
              <w:t xml:space="preserve"> especializados para la construcción</w:t>
            </w:r>
          </w:p>
        </w:tc>
        <w:tc>
          <w:tcPr>
            <w:tcW w:w="1134" w:type="dxa"/>
            <w:tcBorders>
              <w:top w:val="nil"/>
              <w:left w:val="nil"/>
              <w:bottom w:val="single" w:sz="4" w:space="0" w:color="auto"/>
              <w:right w:val="single" w:sz="4" w:space="0" w:color="auto"/>
            </w:tcBorders>
            <w:shd w:val="clear" w:color="auto" w:fill="auto"/>
            <w:noWrap/>
            <w:vAlign w:val="center"/>
            <w:hideMark/>
          </w:tcPr>
          <w:p w14:paraId="076F5287" w14:textId="77777777" w:rsidR="00903A81" w:rsidRPr="00CF4417" w:rsidRDefault="00956FF0" w:rsidP="00903A81">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82</w:t>
            </w:r>
          </w:p>
        </w:tc>
        <w:tc>
          <w:tcPr>
            <w:tcW w:w="1067" w:type="dxa"/>
            <w:tcBorders>
              <w:top w:val="nil"/>
              <w:left w:val="nil"/>
              <w:bottom w:val="single" w:sz="4" w:space="0" w:color="auto"/>
              <w:right w:val="single" w:sz="4" w:space="0" w:color="auto"/>
            </w:tcBorders>
            <w:shd w:val="clear" w:color="auto" w:fill="auto"/>
            <w:noWrap/>
            <w:vAlign w:val="center"/>
            <w:hideMark/>
          </w:tcPr>
          <w:p w14:paraId="54BDB06D" w14:textId="77777777" w:rsidR="00903A81" w:rsidRPr="00CF4417" w:rsidRDefault="00956FF0" w:rsidP="00903A81">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74</w:t>
            </w:r>
          </w:p>
        </w:tc>
        <w:tc>
          <w:tcPr>
            <w:tcW w:w="1212" w:type="dxa"/>
            <w:tcBorders>
              <w:top w:val="nil"/>
              <w:left w:val="nil"/>
              <w:bottom w:val="single" w:sz="4" w:space="0" w:color="auto"/>
              <w:right w:val="single" w:sz="4" w:space="0" w:color="auto"/>
            </w:tcBorders>
            <w:shd w:val="clear" w:color="auto" w:fill="auto"/>
            <w:noWrap/>
            <w:vAlign w:val="center"/>
            <w:hideMark/>
          </w:tcPr>
          <w:p w14:paraId="0C2625F5" w14:textId="77777777" w:rsidR="00903A81" w:rsidRPr="00CF4417" w:rsidRDefault="00956FF0" w:rsidP="00956FF0">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-9.8</w:t>
            </w:r>
          </w:p>
        </w:tc>
      </w:tr>
    </w:tbl>
    <w:p w14:paraId="2376E84D" w14:textId="77777777" w:rsidR="00BD35FE" w:rsidRDefault="00BD35FE" w:rsidP="00EA5E7A">
      <w:pPr>
        <w:pStyle w:val="Default"/>
        <w:tabs>
          <w:tab w:val="left" w:pos="2316"/>
          <w:tab w:val="left" w:pos="5148"/>
        </w:tabs>
        <w:ind w:left="426"/>
        <w:rPr>
          <w:color w:val="auto"/>
          <w:sz w:val="16"/>
          <w:lang w:eastAsia="es-MX"/>
        </w:rPr>
      </w:pPr>
      <w:r>
        <w:rPr>
          <w:color w:val="auto"/>
          <w:sz w:val="16"/>
          <w:vertAlign w:val="superscript"/>
          <w:lang w:eastAsia="es-MX"/>
        </w:rPr>
        <w:t xml:space="preserve">p/ </w:t>
      </w:r>
      <w:r>
        <w:rPr>
          <w:color w:val="auto"/>
          <w:sz w:val="16"/>
          <w:lang w:eastAsia="es-MX"/>
        </w:rPr>
        <w:t xml:space="preserve">Cifras preliminares. </w:t>
      </w:r>
      <w:r>
        <w:rPr>
          <w:color w:val="auto"/>
          <w:sz w:val="16"/>
          <w:lang w:eastAsia="es-MX"/>
        </w:rPr>
        <w:tab/>
      </w:r>
      <w:r>
        <w:rPr>
          <w:color w:val="auto"/>
          <w:sz w:val="16"/>
          <w:lang w:eastAsia="es-MX"/>
        </w:rPr>
        <w:tab/>
      </w:r>
    </w:p>
    <w:p w14:paraId="23BA9A6E" w14:textId="77777777" w:rsidR="0016478B" w:rsidRDefault="00BD35FE" w:rsidP="00EA5E7A">
      <w:pPr>
        <w:pStyle w:val="Default"/>
        <w:ind w:left="426"/>
        <w:rPr>
          <w:b/>
          <w:color w:val="auto"/>
          <w:sz w:val="22"/>
          <w:lang w:eastAsia="es-MX"/>
        </w:rPr>
      </w:pPr>
      <w:r>
        <w:rPr>
          <w:color w:val="auto"/>
          <w:sz w:val="16"/>
          <w:lang w:eastAsia="es-MX"/>
        </w:rPr>
        <w:t xml:space="preserve">Fuente: </w:t>
      </w:r>
      <w:r>
        <w:rPr>
          <w:b/>
          <w:color w:val="auto"/>
          <w:sz w:val="16"/>
          <w:lang w:eastAsia="es-MX"/>
        </w:rPr>
        <w:t>INEGI</w:t>
      </w:r>
      <w:r w:rsidR="00FB748F">
        <w:rPr>
          <w:b/>
          <w:color w:val="auto"/>
          <w:sz w:val="16"/>
          <w:lang w:eastAsia="es-MX"/>
        </w:rPr>
        <w:t>.</w:t>
      </w:r>
    </w:p>
    <w:p w14:paraId="48C33A3D" w14:textId="77777777" w:rsidR="0016478B" w:rsidRPr="005F52E0" w:rsidRDefault="0016478B" w:rsidP="002652BF">
      <w:pPr>
        <w:pStyle w:val="Default"/>
        <w:ind w:left="708"/>
        <w:rPr>
          <w:b/>
          <w:color w:val="auto"/>
          <w:sz w:val="22"/>
          <w:szCs w:val="22"/>
          <w:lang w:eastAsia="es-MX"/>
        </w:rPr>
      </w:pPr>
    </w:p>
    <w:p w14:paraId="049E0C8E" w14:textId="77777777" w:rsidR="0007762A" w:rsidRPr="005F52E0" w:rsidRDefault="0007762A" w:rsidP="0007762A">
      <w:pPr>
        <w:pStyle w:val="Pa27"/>
        <w:spacing w:line="240" w:lineRule="auto"/>
        <w:jc w:val="both"/>
        <w:rPr>
          <w:rFonts w:eastAsia="Times New Roman"/>
          <w:color w:val="000000"/>
          <w:sz w:val="22"/>
          <w:szCs w:val="22"/>
          <w:lang w:val="es-MX" w:eastAsia="es-MX"/>
        </w:rPr>
      </w:pPr>
      <w:r w:rsidRPr="005F52E0">
        <w:rPr>
          <w:rFonts w:eastAsia="Times New Roman"/>
          <w:color w:val="000000"/>
          <w:sz w:val="22"/>
          <w:szCs w:val="22"/>
          <w:lang w:val="es-MX" w:eastAsia="es-MX"/>
        </w:rPr>
        <w:t xml:space="preserve">La </w:t>
      </w:r>
      <w:r w:rsidR="00EA5E7A">
        <w:rPr>
          <w:rFonts w:eastAsia="Times New Roman"/>
          <w:color w:val="000000"/>
          <w:sz w:val="22"/>
          <w:szCs w:val="22"/>
          <w:lang w:val="es-MX" w:eastAsia="es-MX"/>
        </w:rPr>
        <w:t>e</w:t>
      </w:r>
      <w:r w:rsidRPr="005F52E0">
        <w:rPr>
          <w:rFonts w:eastAsia="Times New Roman"/>
          <w:color w:val="000000"/>
          <w:sz w:val="22"/>
          <w:szCs w:val="22"/>
          <w:lang w:val="es-MX" w:eastAsia="es-MX"/>
        </w:rPr>
        <w:t xml:space="preserve">dificación es el subsector que mayor participación tiene en el personal ocupado y representa 53% del total del sector en 2020; por su parte la </w:t>
      </w:r>
      <w:r w:rsidR="00EA5E7A">
        <w:rPr>
          <w:rFonts w:eastAsia="Times New Roman"/>
          <w:color w:val="000000"/>
          <w:sz w:val="22"/>
          <w:szCs w:val="22"/>
          <w:lang w:val="es-MX" w:eastAsia="es-MX"/>
        </w:rPr>
        <w:t>c</w:t>
      </w:r>
      <w:r w:rsidRPr="005F52E0">
        <w:rPr>
          <w:rFonts w:eastAsia="Times New Roman"/>
          <w:color w:val="000000"/>
          <w:sz w:val="22"/>
          <w:szCs w:val="22"/>
          <w:lang w:val="es-MX" w:eastAsia="es-MX"/>
        </w:rPr>
        <w:t xml:space="preserve">onstrucción de obras de ingeniería civil y los </w:t>
      </w:r>
      <w:r w:rsidR="00EA5E7A">
        <w:rPr>
          <w:rFonts w:eastAsia="Times New Roman"/>
          <w:color w:val="000000"/>
          <w:sz w:val="22"/>
          <w:szCs w:val="22"/>
          <w:lang w:val="es-MX" w:eastAsia="es-MX"/>
        </w:rPr>
        <w:t>t</w:t>
      </w:r>
      <w:r w:rsidRPr="005F52E0">
        <w:rPr>
          <w:rFonts w:eastAsia="Times New Roman"/>
          <w:color w:val="000000"/>
          <w:sz w:val="22"/>
          <w:szCs w:val="22"/>
          <w:lang w:val="es-MX" w:eastAsia="es-MX"/>
        </w:rPr>
        <w:t xml:space="preserve">rabajos especializados para la construcción </w:t>
      </w:r>
      <w:r w:rsidR="00EA5E7A">
        <w:rPr>
          <w:rFonts w:eastAsia="Times New Roman"/>
          <w:color w:val="000000"/>
          <w:sz w:val="22"/>
          <w:szCs w:val="22"/>
          <w:lang w:val="es-MX" w:eastAsia="es-MX"/>
        </w:rPr>
        <w:t>contribuyen con</w:t>
      </w:r>
      <w:r>
        <w:rPr>
          <w:rFonts w:eastAsia="Times New Roman"/>
          <w:color w:val="000000"/>
          <w:sz w:val="22"/>
          <w:szCs w:val="22"/>
          <w:lang w:val="es-MX" w:eastAsia="es-MX"/>
        </w:rPr>
        <w:t xml:space="preserve"> </w:t>
      </w:r>
      <w:r w:rsidRPr="005F52E0">
        <w:rPr>
          <w:rFonts w:eastAsia="Times New Roman"/>
          <w:color w:val="000000"/>
          <w:sz w:val="22"/>
          <w:szCs w:val="22"/>
          <w:lang w:val="es-MX" w:eastAsia="es-MX"/>
        </w:rPr>
        <w:t>33.4% y 13.6%, respectivamente.</w:t>
      </w:r>
    </w:p>
    <w:p w14:paraId="3E54679F" w14:textId="77777777" w:rsidR="00664CE3" w:rsidRDefault="00664CE3" w:rsidP="00000E6D">
      <w:pPr>
        <w:pStyle w:val="Default"/>
        <w:jc w:val="center"/>
        <w:rPr>
          <w:b/>
          <w:color w:val="auto"/>
          <w:sz w:val="22"/>
          <w:lang w:eastAsia="es-MX"/>
        </w:rPr>
      </w:pPr>
    </w:p>
    <w:p w14:paraId="471815E7" w14:textId="77777777" w:rsidR="00000E6D" w:rsidRDefault="00000E6D" w:rsidP="00000E6D">
      <w:pPr>
        <w:pStyle w:val="Default"/>
        <w:jc w:val="center"/>
        <w:rPr>
          <w:b/>
          <w:color w:val="auto"/>
          <w:sz w:val="22"/>
          <w:lang w:eastAsia="es-MX"/>
        </w:rPr>
      </w:pPr>
      <w:r w:rsidRPr="00A341C6">
        <w:rPr>
          <w:b/>
          <w:color w:val="auto"/>
          <w:sz w:val="22"/>
          <w:lang w:eastAsia="es-MX"/>
        </w:rPr>
        <w:t xml:space="preserve">Gráfica </w:t>
      </w:r>
      <w:r>
        <w:rPr>
          <w:b/>
          <w:color w:val="auto"/>
          <w:sz w:val="22"/>
          <w:lang w:eastAsia="es-MX"/>
        </w:rPr>
        <w:t>1</w:t>
      </w:r>
    </w:p>
    <w:p w14:paraId="020D2247" w14:textId="77777777" w:rsidR="00982528" w:rsidRDefault="00000E6D" w:rsidP="00000E6D">
      <w:pPr>
        <w:pStyle w:val="Default"/>
        <w:jc w:val="center"/>
        <w:rPr>
          <w:b/>
          <w:color w:val="auto"/>
          <w:sz w:val="22"/>
          <w:lang w:eastAsia="es-MX"/>
        </w:rPr>
      </w:pPr>
      <w:r w:rsidRPr="00A341C6">
        <w:rPr>
          <w:b/>
          <w:color w:val="auto"/>
          <w:sz w:val="22"/>
          <w:lang w:eastAsia="es-MX"/>
        </w:rPr>
        <w:t xml:space="preserve"> Participación del personal ocupado</w:t>
      </w:r>
      <w:r w:rsidR="002652BF">
        <w:rPr>
          <w:b/>
          <w:color w:val="auto"/>
          <w:sz w:val="22"/>
          <w:lang w:eastAsia="es-MX"/>
        </w:rPr>
        <w:t xml:space="preserve"> total </w:t>
      </w:r>
      <w:r>
        <w:rPr>
          <w:b/>
          <w:color w:val="auto"/>
          <w:sz w:val="22"/>
          <w:lang w:eastAsia="es-MX"/>
        </w:rPr>
        <w:t xml:space="preserve">de las </w:t>
      </w:r>
    </w:p>
    <w:p w14:paraId="4CE8ABB9" w14:textId="77777777" w:rsidR="00000E6D" w:rsidRDefault="002652BF" w:rsidP="00000E6D">
      <w:pPr>
        <w:pStyle w:val="Default"/>
        <w:jc w:val="center"/>
        <w:rPr>
          <w:b/>
          <w:color w:val="auto"/>
          <w:sz w:val="22"/>
          <w:lang w:eastAsia="es-MX"/>
        </w:rPr>
      </w:pPr>
      <w:r>
        <w:rPr>
          <w:b/>
          <w:color w:val="auto"/>
          <w:sz w:val="22"/>
          <w:lang w:eastAsia="es-MX"/>
        </w:rPr>
        <w:t xml:space="preserve">empresas constructoras </w:t>
      </w:r>
      <w:r w:rsidR="00982528">
        <w:rPr>
          <w:b/>
          <w:color w:val="auto"/>
          <w:sz w:val="22"/>
          <w:lang w:eastAsia="es-MX"/>
        </w:rPr>
        <w:t xml:space="preserve">por </w:t>
      </w:r>
      <w:r>
        <w:rPr>
          <w:b/>
          <w:color w:val="auto"/>
          <w:sz w:val="22"/>
          <w:lang w:eastAsia="es-MX"/>
        </w:rPr>
        <w:t>subsector</w:t>
      </w:r>
    </w:p>
    <w:p w14:paraId="1510BF50" w14:textId="77777777" w:rsidR="00982528" w:rsidRDefault="00982528" w:rsidP="00000E6D">
      <w:pPr>
        <w:pStyle w:val="Default"/>
        <w:jc w:val="center"/>
        <w:rPr>
          <w:b/>
          <w:color w:val="auto"/>
          <w:sz w:val="22"/>
          <w:lang w:eastAsia="es-MX"/>
        </w:rPr>
      </w:pPr>
      <w:r>
        <w:rPr>
          <w:b/>
          <w:color w:val="auto"/>
          <w:sz w:val="22"/>
          <w:lang w:eastAsia="es-MX"/>
        </w:rPr>
        <w:t>(Porcentaje)</w:t>
      </w:r>
    </w:p>
    <w:p w14:paraId="3E882825" w14:textId="77777777" w:rsidR="00000E6D" w:rsidRDefault="00000E6D" w:rsidP="00000E6D">
      <w:pPr>
        <w:pStyle w:val="Default"/>
        <w:rPr>
          <w:b/>
          <w:color w:val="auto"/>
          <w:sz w:val="22"/>
          <w:lang w:eastAsia="es-MX"/>
        </w:rPr>
      </w:pPr>
      <w:r w:rsidRPr="00DB12BF">
        <w:rPr>
          <w:noProof/>
          <w:sz w:val="20"/>
          <w:szCs w:val="20"/>
          <w:lang w:eastAsia="es-MX"/>
        </w:rPr>
        <w:drawing>
          <wp:inline distT="0" distB="0" distL="0" distR="0" wp14:anchorId="4140FF80" wp14:editId="7596A019">
            <wp:extent cx="2870791" cy="2040890"/>
            <wp:effectExtent l="0" t="0" r="6350" b="0"/>
            <wp:docPr id="1" name="Gráfico 1">
              <a:extLst xmlns:a="http://schemas.openxmlformats.org/drawingml/2006/main">
                <a:ext uri="{FF2B5EF4-FFF2-40B4-BE49-F238E27FC236}">
                  <a16:creationId xmlns:a16="http://schemas.microsoft.com/office/drawing/2014/main" id="{C061B4DE-5379-479B-AEEF-7F6FBB738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000E6D">
        <w:rPr>
          <w:noProof/>
        </w:rPr>
        <w:t xml:space="preserve"> </w:t>
      </w:r>
      <w:r>
        <w:rPr>
          <w:noProof/>
          <w:lang w:eastAsia="es-MX"/>
        </w:rPr>
        <w:drawing>
          <wp:inline distT="0" distB="0" distL="0" distR="0" wp14:anchorId="2E88CDAD" wp14:editId="51474395">
            <wp:extent cx="2583711" cy="2040890"/>
            <wp:effectExtent l="0" t="0" r="7620" b="0"/>
            <wp:docPr id="14" name="Gráfico 14">
              <a:extLst xmlns:a="http://schemas.openxmlformats.org/drawingml/2006/main">
                <a:ext uri="{FF2B5EF4-FFF2-40B4-BE49-F238E27FC236}">
                  <a16:creationId xmlns:a16="http://schemas.microsoft.com/office/drawing/2014/main" id="{7ABF33B4-6A1D-42EC-831E-B32E659020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878E33E" w14:textId="77777777" w:rsidR="00000E6D" w:rsidRDefault="001546DE" w:rsidP="00000E6D">
      <w:pPr>
        <w:pStyle w:val="Default"/>
        <w:jc w:val="center"/>
        <w:rPr>
          <w:b/>
          <w:color w:val="auto"/>
          <w:sz w:val="22"/>
          <w:lang w:eastAsia="es-MX"/>
        </w:rPr>
      </w:pPr>
      <w:r>
        <w:rPr>
          <w:noProof/>
          <w:lang w:eastAsia="es-MX"/>
        </w:rPr>
        <w:drawing>
          <wp:inline distT="0" distB="0" distL="0" distR="0" wp14:anchorId="35F88DE3" wp14:editId="1B680061">
            <wp:extent cx="2772771" cy="688769"/>
            <wp:effectExtent l="0" t="0" r="0" b="0"/>
            <wp:docPr id="15" name="Imagen 1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nterfaz de usuario gráfica, Aplicación&#10;&#10;Descripción generada automáticamente"/>
                    <pic:cNvPicPr/>
                  </pic:nvPicPr>
                  <pic:blipFill rotWithShape="1">
                    <a:blip r:embed="rId25"/>
                    <a:srcRect l="24764" t="67368" r="44560" b="19079"/>
                    <a:stretch/>
                  </pic:blipFill>
                  <pic:spPr bwMode="auto">
                    <a:xfrm>
                      <a:off x="0" y="0"/>
                      <a:ext cx="2806793" cy="697220"/>
                    </a:xfrm>
                    <a:prstGeom prst="rect">
                      <a:avLst/>
                    </a:prstGeom>
                    <a:ln>
                      <a:noFill/>
                    </a:ln>
                    <a:extLst>
                      <a:ext uri="{53640926-AAD7-44D8-BBD7-CCE9431645EC}">
                        <a14:shadowObscured xmlns:a14="http://schemas.microsoft.com/office/drawing/2010/main"/>
                      </a:ext>
                    </a:extLst>
                  </pic:spPr>
                </pic:pic>
              </a:graphicData>
            </a:graphic>
          </wp:inline>
        </w:drawing>
      </w:r>
    </w:p>
    <w:p w14:paraId="20B28629" w14:textId="77777777" w:rsidR="00664CE3" w:rsidRDefault="00664CE3" w:rsidP="00664CE3">
      <w:pPr>
        <w:pStyle w:val="Default"/>
        <w:jc w:val="both"/>
        <w:rPr>
          <w:color w:val="auto"/>
          <w:sz w:val="22"/>
          <w:lang w:eastAsia="es-MX"/>
        </w:rPr>
      </w:pPr>
    </w:p>
    <w:p w14:paraId="7BD1950E" w14:textId="77777777" w:rsidR="00FB748F" w:rsidRDefault="00FB748F" w:rsidP="00982528">
      <w:pPr>
        <w:pStyle w:val="Default"/>
        <w:tabs>
          <w:tab w:val="left" w:pos="2316"/>
          <w:tab w:val="left" w:pos="5148"/>
        </w:tabs>
        <w:ind w:left="1134"/>
        <w:rPr>
          <w:color w:val="auto"/>
          <w:sz w:val="16"/>
          <w:lang w:eastAsia="es-MX"/>
        </w:rPr>
      </w:pPr>
      <w:r>
        <w:rPr>
          <w:color w:val="auto"/>
          <w:sz w:val="16"/>
          <w:vertAlign w:val="superscript"/>
          <w:lang w:eastAsia="es-MX"/>
        </w:rPr>
        <w:t xml:space="preserve">p/ </w:t>
      </w:r>
      <w:r>
        <w:rPr>
          <w:color w:val="auto"/>
          <w:sz w:val="16"/>
          <w:lang w:eastAsia="es-MX"/>
        </w:rPr>
        <w:t xml:space="preserve">Cifras preliminares. </w:t>
      </w:r>
      <w:r>
        <w:rPr>
          <w:color w:val="auto"/>
          <w:sz w:val="16"/>
          <w:lang w:eastAsia="es-MX"/>
        </w:rPr>
        <w:tab/>
      </w:r>
      <w:r>
        <w:rPr>
          <w:color w:val="auto"/>
          <w:sz w:val="16"/>
          <w:lang w:eastAsia="es-MX"/>
        </w:rPr>
        <w:tab/>
      </w:r>
    </w:p>
    <w:p w14:paraId="325022D6" w14:textId="77777777" w:rsidR="00FB748F" w:rsidRDefault="00FB748F" w:rsidP="00982528">
      <w:pPr>
        <w:pStyle w:val="Default"/>
        <w:ind w:left="1134"/>
        <w:rPr>
          <w:b/>
          <w:color w:val="auto"/>
          <w:sz w:val="22"/>
          <w:lang w:eastAsia="es-MX"/>
        </w:rPr>
      </w:pPr>
      <w:r>
        <w:rPr>
          <w:color w:val="auto"/>
          <w:sz w:val="16"/>
          <w:lang w:eastAsia="es-MX"/>
        </w:rPr>
        <w:t xml:space="preserve">Fuente: </w:t>
      </w:r>
      <w:r>
        <w:rPr>
          <w:b/>
          <w:color w:val="auto"/>
          <w:sz w:val="16"/>
          <w:lang w:eastAsia="es-MX"/>
        </w:rPr>
        <w:t>INEGI.</w:t>
      </w:r>
    </w:p>
    <w:p w14:paraId="4755432F" w14:textId="77777777" w:rsidR="00664CE3" w:rsidRDefault="00664CE3" w:rsidP="00664CE3">
      <w:pPr>
        <w:pStyle w:val="Default"/>
        <w:jc w:val="center"/>
        <w:rPr>
          <w:b/>
          <w:color w:val="auto"/>
          <w:sz w:val="22"/>
          <w:lang w:eastAsia="es-MX"/>
        </w:rPr>
      </w:pPr>
    </w:p>
    <w:p w14:paraId="2CFF3AF1" w14:textId="77777777" w:rsidR="007D067F" w:rsidRDefault="00CE7830" w:rsidP="00CE7830">
      <w:pPr>
        <w:pStyle w:val="Pa27"/>
        <w:spacing w:line="240" w:lineRule="auto"/>
        <w:jc w:val="both"/>
        <w:rPr>
          <w:rFonts w:eastAsia="Times New Roman"/>
          <w:color w:val="000000"/>
          <w:sz w:val="22"/>
          <w:szCs w:val="22"/>
          <w:lang w:val="es-MX" w:eastAsia="es-MX"/>
        </w:rPr>
      </w:pPr>
      <w:r>
        <w:rPr>
          <w:rFonts w:eastAsia="Times New Roman"/>
          <w:color w:val="000000"/>
          <w:sz w:val="22"/>
          <w:szCs w:val="22"/>
          <w:lang w:val="es-MX" w:eastAsia="es-MX"/>
        </w:rPr>
        <w:t xml:space="preserve">Por tipo de contratación, el personal dependiente en las empresas constructoras </w:t>
      </w:r>
      <w:r w:rsidR="007D067F">
        <w:rPr>
          <w:rFonts w:eastAsia="Times New Roman"/>
          <w:color w:val="000000"/>
          <w:sz w:val="22"/>
          <w:szCs w:val="22"/>
          <w:lang w:val="es-MX" w:eastAsia="es-MX"/>
        </w:rPr>
        <w:t xml:space="preserve">presenta 83.3% y 84.4% en 2019 y 2020, respectivamente. </w:t>
      </w:r>
    </w:p>
    <w:p w14:paraId="5684F35C" w14:textId="77777777" w:rsidR="007D067F" w:rsidRDefault="007D067F" w:rsidP="00CE7830">
      <w:pPr>
        <w:pStyle w:val="Pa27"/>
        <w:spacing w:line="240" w:lineRule="auto"/>
        <w:jc w:val="both"/>
        <w:rPr>
          <w:rFonts w:eastAsia="Times New Roman"/>
          <w:color w:val="000000"/>
          <w:sz w:val="22"/>
          <w:szCs w:val="22"/>
          <w:lang w:val="es-MX" w:eastAsia="es-MX"/>
        </w:rPr>
      </w:pPr>
    </w:p>
    <w:p w14:paraId="4578F906" w14:textId="77777777" w:rsidR="009F1076" w:rsidRDefault="009F1076" w:rsidP="00CE7830">
      <w:pPr>
        <w:pStyle w:val="Pa27"/>
        <w:spacing w:line="240" w:lineRule="auto"/>
        <w:jc w:val="both"/>
        <w:rPr>
          <w:rFonts w:eastAsia="Times New Roman"/>
          <w:color w:val="000000"/>
          <w:sz w:val="22"/>
          <w:szCs w:val="22"/>
          <w:lang w:val="es-MX" w:eastAsia="es-MX"/>
        </w:rPr>
      </w:pPr>
    </w:p>
    <w:p w14:paraId="4CF62489" w14:textId="77777777" w:rsidR="009F1076" w:rsidRDefault="009F1076" w:rsidP="00CE7830">
      <w:pPr>
        <w:pStyle w:val="Pa27"/>
        <w:spacing w:line="240" w:lineRule="auto"/>
        <w:jc w:val="both"/>
        <w:rPr>
          <w:rFonts w:eastAsia="Times New Roman"/>
          <w:color w:val="000000"/>
          <w:sz w:val="22"/>
          <w:szCs w:val="22"/>
          <w:lang w:val="es-MX" w:eastAsia="es-MX"/>
        </w:rPr>
      </w:pPr>
    </w:p>
    <w:p w14:paraId="19E46EF1" w14:textId="77777777" w:rsidR="007D067F" w:rsidRDefault="00CB44B3" w:rsidP="00CE7830">
      <w:pPr>
        <w:pStyle w:val="Pa27"/>
        <w:spacing w:line="240" w:lineRule="auto"/>
        <w:jc w:val="both"/>
        <w:rPr>
          <w:rFonts w:eastAsia="Times New Roman"/>
          <w:color w:val="000000"/>
          <w:sz w:val="22"/>
          <w:szCs w:val="22"/>
          <w:lang w:val="es-MX" w:eastAsia="es-MX"/>
        </w:rPr>
      </w:pPr>
      <w:r>
        <w:rPr>
          <w:rFonts w:eastAsia="Times New Roman"/>
          <w:color w:val="000000"/>
          <w:sz w:val="22"/>
          <w:szCs w:val="22"/>
          <w:lang w:val="es-MX" w:eastAsia="es-MX"/>
        </w:rPr>
        <w:lastRenderedPageBreak/>
        <w:t>A nivel de los subsectores en dicho año</w:t>
      </w:r>
      <w:r w:rsidR="007D067F">
        <w:rPr>
          <w:rFonts w:eastAsia="Times New Roman"/>
          <w:color w:val="000000"/>
          <w:sz w:val="22"/>
          <w:szCs w:val="22"/>
          <w:lang w:val="es-MX" w:eastAsia="es-MX"/>
        </w:rPr>
        <w:t xml:space="preserve">, el personal dependiente participa con 85.4%, 80.7% y 89.6%, respectivamente </w:t>
      </w:r>
      <w:r>
        <w:rPr>
          <w:rFonts w:eastAsia="Times New Roman"/>
          <w:color w:val="000000"/>
          <w:sz w:val="22"/>
          <w:szCs w:val="22"/>
          <w:lang w:val="es-MX" w:eastAsia="es-MX"/>
        </w:rPr>
        <w:t xml:space="preserve">para </w:t>
      </w:r>
      <w:r w:rsidR="007D067F">
        <w:rPr>
          <w:rFonts w:eastAsia="Times New Roman"/>
          <w:color w:val="000000"/>
          <w:sz w:val="22"/>
          <w:szCs w:val="22"/>
          <w:lang w:val="es-MX" w:eastAsia="es-MX"/>
        </w:rPr>
        <w:t xml:space="preserve">edificación, construcción de obras de ingeniería civil y trabajos especializados para la construcción; por su parte, el personal subcontratado registra niveles de 14.6%, 19.3% y 10.4%, en forma respetiva. </w:t>
      </w:r>
    </w:p>
    <w:p w14:paraId="6B80DEDA" w14:textId="77777777" w:rsidR="007D067F" w:rsidRDefault="007D067F" w:rsidP="00CE7830">
      <w:pPr>
        <w:pStyle w:val="Pa27"/>
        <w:spacing w:line="240" w:lineRule="auto"/>
        <w:jc w:val="both"/>
        <w:rPr>
          <w:rFonts w:eastAsia="Times New Roman"/>
          <w:color w:val="000000"/>
          <w:sz w:val="22"/>
          <w:szCs w:val="22"/>
          <w:lang w:val="es-MX" w:eastAsia="es-MX"/>
        </w:rPr>
      </w:pPr>
    </w:p>
    <w:p w14:paraId="49F24017" w14:textId="77777777" w:rsidR="00CE7830" w:rsidRPr="005F52E0" w:rsidRDefault="007D067F" w:rsidP="00CE7830">
      <w:pPr>
        <w:pStyle w:val="Pa27"/>
        <w:spacing w:line="240" w:lineRule="auto"/>
        <w:jc w:val="both"/>
        <w:rPr>
          <w:rFonts w:eastAsia="Times New Roman"/>
          <w:color w:val="000000"/>
          <w:sz w:val="22"/>
          <w:szCs w:val="22"/>
          <w:lang w:val="es-MX" w:eastAsia="es-MX"/>
        </w:rPr>
      </w:pPr>
      <w:r>
        <w:rPr>
          <w:rFonts w:eastAsia="Times New Roman"/>
          <w:color w:val="000000"/>
          <w:sz w:val="22"/>
          <w:szCs w:val="22"/>
          <w:lang w:val="es-MX" w:eastAsia="es-MX"/>
        </w:rPr>
        <w:t xml:space="preserve">En </w:t>
      </w:r>
      <w:r w:rsidR="00CB44B3">
        <w:rPr>
          <w:rFonts w:eastAsia="Times New Roman"/>
          <w:color w:val="000000"/>
          <w:sz w:val="22"/>
          <w:szCs w:val="22"/>
          <w:lang w:val="es-MX" w:eastAsia="es-MX"/>
        </w:rPr>
        <w:t>2020</w:t>
      </w:r>
      <w:r w:rsidR="006E3ACE">
        <w:rPr>
          <w:rFonts w:eastAsia="Times New Roman"/>
          <w:color w:val="000000"/>
          <w:sz w:val="22"/>
          <w:szCs w:val="22"/>
          <w:lang w:val="es-MX" w:eastAsia="es-MX"/>
        </w:rPr>
        <w:t>, la participación del personal subcontratado disminuye 1.1 puntos porcentuales</w:t>
      </w:r>
      <w:r w:rsidR="00CB44B3">
        <w:rPr>
          <w:rFonts w:eastAsia="Times New Roman"/>
          <w:color w:val="000000"/>
          <w:sz w:val="22"/>
          <w:szCs w:val="22"/>
          <w:lang w:val="es-MX" w:eastAsia="es-MX"/>
        </w:rPr>
        <w:t xml:space="preserve"> en comparación con el año previo</w:t>
      </w:r>
      <w:r w:rsidR="006E3ACE">
        <w:rPr>
          <w:rFonts w:eastAsia="Times New Roman"/>
          <w:color w:val="000000"/>
          <w:sz w:val="22"/>
          <w:szCs w:val="22"/>
          <w:lang w:val="es-MX" w:eastAsia="es-MX"/>
        </w:rPr>
        <w:t>, siendo el que presenta la contracción más elevada el subsector de construcción de obras de ingeniería civil con 1.8 puntos porcentuales.</w:t>
      </w:r>
    </w:p>
    <w:p w14:paraId="6D918599" w14:textId="77777777" w:rsidR="00CE7830" w:rsidRDefault="00CE7830" w:rsidP="00664CE3">
      <w:pPr>
        <w:pStyle w:val="Default"/>
        <w:jc w:val="center"/>
        <w:rPr>
          <w:b/>
          <w:color w:val="auto"/>
          <w:sz w:val="22"/>
          <w:lang w:eastAsia="es-MX"/>
        </w:rPr>
      </w:pPr>
    </w:p>
    <w:p w14:paraId="02BF3738" w14:textId="77777777" w:rsidR="00BC06C5" w:rsidRDefault="00BC06C5" w:rsidP="00664CE3">
      <w:pPr>
        <w:pStyle w:val="Default"/>
        <w:jc w:val="center"/>
        <w:rPr>
          <w:b/>
          <w:color w:val="auto"/>
          <w:sz w:val="22"/>
          <w:lang w:eastAsia="es-MX"/>
        </w:rPr>
      </w:pPr>
      <w:r w:rsidRPr="0097351A">
        <w:rPr>
          <w:b/>
          <w:color w:val="auto"/>
          <w:sz w:val="22"/>
          <w:lang w:eastAsia="es-MX"/>
        </w:rPr>
        <w:t>Cuadro 3</w:t>
      </w:r>
      <w:r w:rsidR="00234530">
        <w:rPr>
          <w:b/>
          <w:color w:val="auto"/>
          <w:sz w:val="22"/>
          <w:lang w:eastAsia="es-MX"/>
        </w:rPr>
        <w:t xml:space="preserve"> </w:t>
      </w:r>
    </w:p>
    <w:p w14:paraId="7CB623E6" w14:textId="77777777" w:rsidR="00982528" w:rsidRDefault="002C2D13" w:rsidP="005A3C05">
      <w:pPr>
        <w:pStyle w:val="Default"/>
        <w:jc w:val="center"/>
        <w:rPr>
          <w:b/>
          <w:color w:val="auto"/>
          <w:sz w:val="22"/>
          <w:lang w:eastAsia="es-MX"/>
        </w:rPr>
      </w:pPr>
      <w:r>
        <w:rPr>
          <w:b/>
          <w:color w:val="auto"/>
          <w:sz w:val="22"/>
          <w:lang w:eastAsia="es-MX"/>
        </w:rPr>
        <w:t>Participación</w:t>
      </w:r>
      <w:r w:rsidR="00B8734A">
        <w:rPr>
          <w:b/>
          <w:color w:val="auto"/>
          <w:sz w:val="22"/>
          <w:lang w:eastAsia="es-MX"/>
        </w:rPr>
        <w:t xml:space="preserve"> del personal ocupado</w:t>
      </w:r>
      <w:r w:rsidR="00982528">
        <w:rPr>
          <w:b/>
          <w:color w:val="auto"/>
          <w:sz w:val="22"/>
          <w:lang w:eastAsia="es-MX"/>
        </w:rPr>
        <w:t xml:space="preserve"> de</w:t>
      </w:r>
      <w:r>
        <w:rPr>
          <w:b/>
          <w:color w:val="auto"/>
          <w:sz w:val="22"/>
          <w:lang w:eastAsia="es-MX"/>
        </w:rPr>
        <w:t xml:space="preserve"> l</w:t>
      </w:r>
      <w:r w:rsidR="00B8734A">
        <w:rPr>
          <w:b/>
          <w:color w:val="auto"/>
          <w:sz w:val="22"/>
          <w:lang w:eastAsia="es-MX"/>
        </w:rPr>
        <w:t>as empresas constructoras</w:t>
      </w:r>
    </w:p>
    <w:p w14:paraId="728C3679" w14:textId="77777777" w:rsidR="009A40C0" w:rsidRDefault="00982528" w:rsidP="005A3C05">
      <w:pPr>
        <w:pStyle w:val="Default"/>
        <w:jc w:val="center"/>
        <w:rPr>
          <w:b/>
          <w:color w:val="auto"/>
          <w:sz w:val="22"/>
          <w:lang w:eastAsia="es-MX"/>
        </w:rPr>
      </w:pPr>
      <w:r>
        <w:rPr>
          <w:b/>
          <w:color w:val="auto"/>
          <w:sz w:val="22"/>
          <w:lang w:eastAsia="es-MX"/>
        </w:rPr>
        <w:t>por tipo de contratación</w:t>
      </w:r>
      <w:r w:rsidR="00B8734A">
        <w:rPr>
          <w:b/>
          <w:color w:val="auto"/>
          <w:sz w:val="22"/>
          <w:lang w:eastAsia="es-MX"/>
        </w:rPr>
        <w:t xml:space="preserve"> y </w:t>
      </w:r>
      <w:r w:rsidR="002C2D13">
        <w:rPr>
          <w:b/>
          <w:color w:val="auto"/>
          <w:sz w:val="22"/>
          <w:lang w:eastAsia="es-MX"/>
        </w:rPr>
        <w:t>subsector</w:t>
      </w:r>
    </w:p>
    <w:p w14:paraId="0812C3E9" w14:textId="77777777" w:rsidR="002C2D13" w:rsidRDefault="00B8734A" w:rsidP="005A3C05">
      <w:pPr>
        <w:pStyle w:val="Default"/>
        <w:jc w:val="center"/>
        <w:rPr>
          <w:b/>
          <w:color w:val="auto"/>
          <w:sz w:val="22"/>
          <w:lang w:eastAsia="es-MX"/>
        </w:rPr>
      </w:pPr>
      <w:r>
        <w:rPr>
          <w:b/>
          <w:color w:val="auto"/>
          <w:sz w:val="22"/>
          <w:lang w:eastAsia="es-MX"/>
        </w:rPr>
        <w:t>(Porcentaje)</w:t>
      </w:r>
    </w:p>
    <w:tbl>
      <w:tblPr>
        <w:tblW w:w="8642" w:type="dxa"/>
        <w:jc w:val="center"/>
        <w:tblLayout w:type="fixed"/>
        <w:tblCellMar>
          <w:left w:w="70" w:type="dxa"/>
          <w:right w:w="70" w:type="dxa"/>
        </w:tblCellMar>
        <w:tblLook w:val="04A0" w:firstRow="1" w:lastRow="0" w:firstColumn="1" w:lastColumn="0" w:noHBand="0" w:noVBand="1"/>
      </w:tblPr>
      <w:tblGrid>
        <w:gridCol w:w="1413"/>
        <w:gridCol w:w="1134"/>
        <w:gridCol w:w="1276"/>
        <w:gridCol w:w="1134"/>
        <w:gridCol w:w="1275"/>
        <w:gridCol w:w="1134"/>
        <w:gridCol w:w="1276"/>
      </w:tblGrid>
      <w:tr w:rsidR="009731DF" w:rsidRPr="00161482" w14:paraId="4B4DDFA7" w14:textId="77777777" w:rsidTr="009C017E">
        <w:trPr>
          <w:trHeight w:val="184"/>
          <w:jc w:val="center"/>
        </w:trPr>
        <w:tc>
          <w:tcPr>
            <w:tcW w:w="1413" w:type="dxa"/>
            <w:vMerge w:val="restart"/>
            <w:tcBorders>
              <w:top w:val="single" w:sz="4" w:space="0" w:color="auto"/>
              <w:left w:val="single" w:sz="4" w:space="0" w:color="auto"/>
              <w:bottom w:val="nil"/>
              <w:right w:val="single" w:sz="4" w:space="0" w:color="auto"/>
            </w:tcBorders>
            <w:shd w:val="clear" w:color="auto" w:fill="FFD966" w:themeFill="accent4" w:themeFillTint="99"/>
            <w:vAlign w:val="center"/>
          </w:tcPr>
          <w:p w14:paraId="52F2702D" w14:textId="77777777" w:rsidR="009731DF" w:rsidRPr="005A3C05" w:rsidRDefault="009731DF" w:rsidP="00B8734A">
            <w:pPr>
              <w:spacing w:after="0" w:line="240" w:lineRule="auto"/>
              <w:jc w:val="center"/>
              <w:rPr>
                <w:rFonts w:ascii="Arial" w:eastAsia="Times New Roman" w:hAnsi="Arial" w:cs="Arial"/>
                <w:b/>
                <w:bCs/>
                <w:sz w:val="16"/>
                <w:szCs w:val="16"/>
                <w:lang w:eastAsia="es-MX"/>
              </w:rPr>
            </w:pPr>
            <w:r w:rsidRPr="005A3C05">
              <w:rPr>
                <w:rFonts w:ascii="Arial" w:eastAsia="Times New Roman" w:hAnsi="Arial" w:cs="Arial"/>
                <w:b/>
                <w:bCs/>
                <w:sz w:val="16"/>
                <w:szCs w:val="16"/>
                <w:lang w:eastAsia="es-MX"/>
              </w:rPr>
              <w:t>Sector y subsector</w:t>
            </w:r>
          </w:p>
        </w:tc>
        <w:tc>
          <w:tcPr>
            <w:tcW w:w="2410" w:type="dxa"/>
            <w:gridSpan w:val="2"/>
            <w:tcBorders>
              <w:top w:val="single" w:sz="4" w:space="0" w:color="auto"/>
              <w:left w:val="nil"/>
              <w:bottom w:val="single" w:sz="4" w:space="0" w:color="auto"/>
              <w:right w:val="single" w:sz="4" w:space="0" w:color="auto"/>
            </w:tcBorders>
            <w:shd w:val="clear" w:color="auto" w:fill="FFD966" w:themeFill="accent4" w:themeFillTint="99"/>
            <w:vAlign w:val="center"/>
          </w:tcPr>
          <w:p w14:paraId="39C64078" w14:textId="77777777" w:rsidR="009731DF" w:rsidRPr="005A3C05" w:rsidRDefault="009731DF" w:rsidP="005A3C05">
            <w:pPr>
              <w:spacing w:after="0" w:line="240" w:lineRule="auto"/>
              <w:jc w:val="center"/>
              <w:rPr>
                <w:rFonts w:ascii="Arial" w:eastAsia="Times New Roman" w:hAnsi="Arial" w:cs="Arial"/>
                <w:b/>
                <w:bCs/>
                <w:sz w:val="16"/>
                <w:szCs w:val="16"/>
                <w:lang w:eastAsia="es-MX"/>
              </w:rPr>
            </w:pPr>
            <w:r w:rsidRPr="005A3C05">
              <w:rPr>
                <w:rFonts w:ascii="Arial" w:eastAsia="Times New Roman" w:hAnsi="Arial" w:cs="Arial"/>
                <w:b/>
                <w:bCs/>
                <w:sz w:val="16"/>
                <w:szCs w:val="16"/>
                <w:lang w:eastAsia="es-MX"/>
              </w:rPr>
              <w:t>2019</w:t>
            </w:r>
          </w:p>
        </w:tc>
        <w:tc>
          <w:tcPr>
            <w:tcW w:w="2409" w:type="dxa"/>
            <w:gridSpan w:val="2"/>
            <w:tcBorders>
              <w:top w:val="single" w:sz="4" w:space="0" w:color="auto"/>
              <w:left w:val="nil"/>
              <w:bottom w:val="single" w:sz="4" w:space="0" w:color="auto"/>
              <w:right w:val="single" w:sz="4" w:space="0" w:color="auto"/>
            </w:tcBorders>
            <w:shd w:val="clear" w:color="auto" w:fill="FFD966" w:themeFill="accent4" w:themeFillTint="99"/>
            <w:vAlign w:val="center"/>
          </w:tcPr>
          <w:p w14:paraId="05A4186F" w14:textId="77777777" w:rsidR="009731DF" w:rsidRPr="005A3C05" w:rsidRDefault="009731DF" w:rsidP="00161482">
            <w:pPr>
              <w:spacing w:after="0" w:line="240" w:lineRule="auto"/>
              <w:jc w:val="center"/>
              <w:rPr>
                <w:rFonts w:ascii="Arial" w:eastAsia="Times New Roman" w:hAnsi="Arial" w:cs="Arial"/>
                <w:b/>
                <w:bCs/>
                <w:sz w:val="16"/>
                <w:szCs w:val="16"/>
                <w:lang w:eastAsia="es-MX"/>
              </w:rPr>
            </w:pPr>
            <w:r w:rsidRPr="005A3C05">
              <w:rPr>
                <w:rFonts w:ascii="Arial" w:eastAsia="Times New Roman" w:hAnsi="Arial" w:cs="Arial"/>
                <w:b/>
                <w:bCs/>
                <w:sz w:val="16"/>
                <w:szCs w:val="16"/>
                <w:lang w:eastAsia="es-MX"/>
              </w:rPr>
              <w:t>2020</w:t>
            </w:r>
            <w:r w:rsidR="004D30F8" w:rsidRPr="004D30F8">
              <w:rPr>
                <w:rFonts w:ascii="Arial" w:eastAsia="Times New Roman" w:hAnsi="Arial" w:cs="Arial"/>
                <w:b/>
                <w:bCs/>
                <w:sz w:val="16"/>
                <w:szCs w:val="16"/>
                <w:vertAlign w:val="superscript"/>
                <w:lang w:eastAsia="es-MX"/>
              </w:rPr>
              <w:t>p/</w:t>
            </w:r>
          </w:p>
        </w:tc>
        <w:tc>
          <w:tcPr>
            <w:tcW w:w="2410" w:type="dxa"/>
            <w:gridSpan w:val="2"/>
            <w:tcBorders>
              <w:top w:val="single" w:sz="4" w:space="0" w:color="auto"/>
              <w:left w:val="nil"/>
              <w:bottom w:val="single" w:sz="4" w:space="0" w:color="auto"/>
              <w:right w:val="single" w:sz="4" w:space="0" w:color="auto"/>
            </w:tcBorders>
            <w:shd w:val="clear" w:color="auto" w:fill="FFD966" w:themeFill="accent4" w:themeFillTint="99"/>
            <w:vAlign w:val="center"/>
          </w:tcPr>
          <w:p w14:paraId="034A0FD4" w14:textId="77777777" w:rsidR="009731DF" w:rsidRPr="005A3C05" w:rsidRDefault="009731DF" w:rsidP="00161482">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Diferencia</w:t>
            </w:r>
          </w:p>
        </w:tc>
      </w:tr>
      <w:tr w:rsidR="009731DF" w:rsidRPr="00903A81" w14:paraId="3A18CA07" w14:textId="77777777" w:rsidTr="009731DF">
        <w:trPr>
          <w:trHeight w:val="425"/>
          <w:jc w:val="center"/>
        </w:trPr>
        <w:tc>
          <w:tcPr>
            <w:tcW w:w="1413" w:type="dxa"/>
            <w:vMerge/>
            <w:tcBorders>
              <w:left w:val="single" w:sz="4" w:space="0" w:color="auto"/>
              <w:bottom w:val="single" w:sz="4" w:space="0" w:color="auto"/>
              <w:right w:val="single" w:sz="4" w:space="0" w:color="auto"/>
            </w:tcBorders>
            <w:shd w:val="clear" w:color="auto" w:fill="FFD966" w:themeFill="accent4" w:themeFillTint="99"/>
            <w:vAlign w:val="center"/>
            <w:hideMark/>
          </w:tcPr>
          <w:p w14:paraId="0589E6E3" w14:textId="77777777" w:rsidR="009731DF" w:rsidRPr="005A3C05" w:rsidRDefault="009731DF" w:rsidP="009731DF">
            <w:pPr>
              <w:spacing w:after="0" w:line="240" w:lineRule="auto"/>
              <w:rPr>
                <w:rFonts w:ascii="Arial" w:eastAsia="Times New Roman" w:hAnsi="Arial" w:cs="Arial"/>
                <w:b/>
                <w:bCs/>
                <w:sz w:val="16"/>
                <w:szCs w:val="16"/>
                <w:lang w:eastAsia="es-MX"/>
              </w:rPr>
            </w:pPr>
          </w:p>
        </w:tc>
        <w:tc>
          <w:tcPr>
            <w:tcW w:w="1134" w:type="dxa"/>
            <w:tcBorders>
              <w:top w:val="nil"/>
              <w:left w:val="nil"/>
              <w:bottom w:val="single" w:sz="4" w:space="0" w:color="auto"/>
              <w:right w:val="single" w:sz="4" w:space="0" w:color="auto"/>
            </w:tcBorders>
            <w:shd w:val="clear" w:color="auto" w:fill="FFD966" w:themeFill="accent4" w:themeFillTint="99"/>
            <w:vAlign w:val="center"/>
            <w:hideMark/>
          </w:tcPr>
          <w:p w14:paraId="166B3516" w14:textId="77777777" w:rsidR="009731DF" w:rsidRPr="005A3C05" w:rsidRDefault="009731DF" w:rsidP="009731DF">
            <w:pPr>
              <w:spacing w:after="0" w:line="240" w:lineRule="auto"/>
              <w:jc w:val="center"/>
              <w:rPr>
                <w:rFonts w:ascii="Arial" w:eastAsia="Times New Roman" w:hAnsi="Arial" w:cs="Arial"/>
                <w:b/>
                <w:bCs/>
                <w:sz w:val="16"/>
                <w:szCs w:val="16"/>
                <w:lang w:eastAsia="es-MX"/>
              </w:rPr>
            </w:pPr>
            <w:r w:rsidRPr="005A3C05">
              <w:rPr>
                <w:rFonts w:ascii="Arial" w:eastAsia="Times New Roman" w:hAnsi="Arial" w:cs="Arial"/>
                <w:b/>
                <w:bCs/>
                <w:sz w:val="16"/>
                <w:szCs w:val="16"/>
                <w:lang w:eastAsia="es-MX"/>
              </w:rPr>
              <w:t>Dependiente</w:t>
            </w:r>
          </w:p>
        </w:tc>
        <w:tc>
          <w:tcPr>
            <w:tcW w:w="1276" w:type="dxa"/>
            <w:tcBorders>
              <w:top w:val="nil"/>
              <w:left w:val="nil"/>
              <w:bottom w:val="single" w:sz="4" w:space="0" w:color="auto"/>
              <w:right w:val="single" w:sz="4" w:space="0" w:color="auto"/>
            </w:tcBorders>
            <w:shd w:val="clear" w:color="auto" w:fill="FFD966" w:themeFill="accent4" w:themeFillTint="99"/>
            <w:vAlign w:val="center"/>
            <w:hideMark/>
          </w:tcPr>
          <w:p w14:paraId="29E03D53" w14:textId="77777777" w:rsidR="009731DF" w:rsidRPr="005A3C05" w:rsidRDefault="009731DF" w:rsidP="009731DF">
            <w:pPr>
              <w:spacing w:after="0" w:line="240" w:lineRule="auto"/>
              <w:jc w:val="center"/>
              <w:rPr>
                <w:rFonts w:ascii="Arial" w:eastAsia="Times New Roman" w:hAnsi="Arial" w:cs="Arial"/>
                <w:b/>
                <w:bCs/>
                <w:sz w:val="16"/>
                <w:szCs w:val="16"/>
                <w:lang w:eastAsia="es-MX"/>
              </w:rPr>
            </w:pPr>
            <w:r w:rsidRPr="005A3C05">
              <w:rPr>
                <w:rFonts w:ascii="Arial" w:hAnsi="Arial" w:cs="Arial"/>
                <w:b/>
                <w:bCs/>
                <w:sz w:val="16"/>
                <w:szCs w:val="16"/>
                <w:lang w:eastAsia="es-MX"/>
              </w:rPr>
              <w:t>Subcontratado</w:t>
            </w:r>
          </w:p>
        </w:tc>
        <w:tc>
          <w:tcPr>
            <w:tcW w:w="1134" w:type="dxa"/>
            <w:tcBorders>
              <w:top w:val="nil"/>
              <w:left w:val="nil"/>
              <w:bottom w:val="single" w:sz="4" w:space="0" w:color="auto"/>
              <w:right w:val="single" w:sz="4" w:space="0" w:color="auto"/>
            </w:tcBorders>
            <w:shd w:val="clear" w:color="auto" w:fill="FFD966" w:themeFill="accent4" w:themeFillTint="99"/>
            <w:vAlign w:val="center"/>
          </w:tcPr>
          <w:p w14:paraId="1A9D52B3" w14:textId="77777777" w:rsidR="009731DF" w:rsidRPr="005A3C05" w:rsidRDefault="009731DF" w:rsidP="009731DF">
            <w:pPr>
              <w:spacing w:after="0" w:line="240" w:lineRule="auto"/>
              <w:jc w:val="center"/>
              <w:rPr>
                <w:rFonts w:ascii="Arial" w:eastAsia="Times New Roman" w:hAnsi="Arial" w:cs="Arial"/>
                <w:b/>
                <w:bCs/>
                <w:sz w:val="16"/>
                <w:szCs w:val="16"/>
                <w:lang w:eastAsia="es-MX"/>
              </w:rPr>
            </w:pPr>
            <w:r w:rsidRPr="005A3C05">
              <w:rPr>
                <w:rFonts w:ascii="Arial" w:eastAsia="Times New Roman" w:hAnsi="Arial" w:cs="Arial"/>
                <w:b/>
                <w:bCs/>
                <w:sz w:val="16"/>
                <w:szCs w:val="16"/>
                <w:lang w:eastAsia="es-MX"/>
              </w:rPr>
              <w:t>Dependiente</w:t>
            </w:r>
          </w:p>
        </w:tc>
        <w:tc>
          <w:tcPr>
            <w:tcW w:w="1275" w:type="dxa"/>
            <w:tcBorders>
              <w:top w:val="nil"/>
              <w:left w:val="nil"/>
              <w:bottom w:val="single" w:sz="4" w:space="0" w:color="auto"/>
              <w:right w:val="single" w:sz="4" w:space="0" w:color="auto"/>
            </w:tcBorders>
            <w:shd w:val="clear" w:color="auto" w:fill="FFD966" w:themeFill="accent4" w:themeFillTint="99"/>
            <w:vAlign w:val="center"/>
          </w:tcPr>
          <w:p w14:paraId="207A63B0" w14:textId="77777777" w:rsidR="009731DF" w:rsidRPr="005A3C05" w:rsidRDefault="009731DF" w:rsidP="009731DF">
            <w:pPr>
              <w:spacing w:after="0" w:line="240" w:lineRule="auto"/>
              <w:jc w:val="center"/>
              <w:rPr>
                <w:rFonts w:ascii="Arial" w:eastAsia="Times New Roman" w:hAnsi="Arial" w:cs="Arial"/>
                <w:b/>
                <w:bCs/>
                <w:sz w:val="16"/>
                <w:szCs w:val="16"/>
                <w:lang w:eastAsia="es-MX"/>
              </w:rPr>
            </w:pPr>
            <w:r w:rsidRPr="005A3C05">
              <w:rPr>
                <w:rFonts w:ascii="Arial" w:hAnsi="Arial" w:cs="Arial"/>
                <w:b/>
                <w:bCs/>
                <w:sz w:val="16"/>
                <w:szCs w:val="16"/>
                <w:lang w:eastAsia="es-MX"/>
              </w:rPr>
              <w:t>Subcontratado</w:t>
            </w:r>
          </w:p>
        </w:tc>
        <w:tc>
          <w:tcPr>
            <w:tcW w:w="1134" w:type="dxa"/>
            <w:tcBorders>
              <w:top w:val="single" w:sz="4" w:space="0" w:color="auto"/>
              <w:left w:val="nil"/>
              <w:bottom w:val="single" w:sz="4" w:space="0" w:color="auto"/>
              <w:right w:val="single" w:sz="4" w:space="0" w:color="auto"/>
            </w:tcBorders>
            <w:shd w:val="clear" w:color="auto" w:fill="FFD966" w:themeFill="accent4" w:themeFillTint="99"/>
            <w:vAlign w:val="center"/>
          </w:tcPr>
          <w:p w14:paraId="124F156E" w14:textId="77777777" w:rsidR="009731DF" w:rsidRPr="005A3C05" w:rsidRDefault="009731DF" w:rsidP="009731DF">
            <w:pPr>
              <w:spacing w:after="0" w:line="240" w:lineRule="auto"/>
              <w:rPr>
                <w:rFonts w:ascii="Arial" w:eastAsia="Times New Roman" w:hAnsi="Arial" w:cs="Arial"/>
                <w:b/>
                <w:bCs/>
                <w:sz w:val="16"/>
                <w:szCs w:val="16"/>
                <w:lang w:eastAsia="es-MX"/>
              </w:rPr>
            </w:pPr>
            <w:r w:rsidRPr="005A3C05">
              <w:rPr>
                <w:rFonts w:ascii="Arial" w:eastAsia="Times New Roman" w:hAnsi="Arial" w:cs="Arial"/>
                <w:b/>
                <w:bCs/>
                <w:sz w:val="16"/>
                <w:szCs w:val="16"/>
                <w:lang w:eastAsia="es-MX"/>
              </w:rPr>
              <w:t>Dependiente</w:t>
            </w:r>
          </w:p>
        </w:tc>
        <w:tc>
          <w:tcPr>
            <w:tcW w:w="1276" w:type="dxa"/>
            <w:tcBorders>
              <w:top w:val="single" w:sz="4" w:space="0" w:color="auto"/>
              <w:left w:val="nil"/>
              <w:bottom w:val="single" w:sz="4" w:space="0" w:color="auto"/>
              <w:right w:val="single" w:sz="4" w:space="0" w:color="auto"/>
            </w:tcBorders>
            <w:shd w:val="clear" w:color="auto" w:fill="FFD966" w:themeFill="accent4" w:themeFillTint="99"/>
            <w:vAlign w:val="center"/>
          </w:tcPr>
          <w:p w14:paraId="7EF5E32A" w14:textId="77777777" w:rsidR="009731DF" w:rsidRPr="005A3C05" w:rsidRDefault="009731DF" w:rsidP="009731DF">
            <w:pPr>
              <w:spacing w:after="0" w:line="240" w:lineRule="auto"/>
              <w:rPr>
                <w:rFonts w:ascii="Arial" w:eastAsia="Times New Roman" w:hAnsi="Arial" w:cs="Arial"/>
                <w:b/>
                <w:bCs/>
                <w:sz w:val="16"/>
                <w:szCs w:val="16"/>
                <w:lang w:eastAsia="es-MX"/>
              </w:rPr>
            </w:pPr>
            <w:r w:rsidRPr="005A3C05">
              <w:rPr>
                <w:rFonts w:ascii="Arial" w:hAnsi="Arial" w:cs="Arial"/>
                <w:b/>
                <w:bCs/>
                <w:sz w:val="16"/>
                <w:szCs w:val="16"/>
                <w:lang w:eastAsia="es-MX"/>
              </w:rPr>
              <w:t>Subcontratado</w:t>
            </w:r>
          </w:p>
        </w:tc>
      </w:tr>
      <w:tr w:rsidR="0097351A" w:rsidRPr="00903A81" w14:paraId="5D5D4A37" w14:textId="77777777" w:rsidTr="005A3C05">
        <w:trPr>
          <w:trHeight w:val="318"/>
          <w:jc w:val="center"/>
        </w:trPr>
        <w:tc>
          <w:tcPr>
            <w:tcW w:w="1413" w:type="dxa"/>
            <w:tcBorders>
              <w:top w:val="nil"/>
              <w:left w:val="single" w:sz="4" w:space="0" w:color="auto"/>
              <w:bottom w:val="single" w:sz="4" w:space="0" w:color="auto"/>
              <w:right w:val="single" w:sz="4" w:space="0" w:color="auto"/>
            </w:tcBorders>
            <w:shd w:val="clear" w:color="auto" w:fill="auto"/>
            <w:vAlign w:val="center"/>
          </w:tcPr>
          <w:p w14:paraId="640B4D7A" w14:textId="77777777" w:rsidR="0097351A" w:rsidRPr="0097351A" w:rsidRDefault="0097351A" w:rsidP="0097351A">
            <w:pPr>
              <w:spacing w:after="0" w:line="240" w:lineRule="auto"/>
              <w:rPr>
                <w:rFonts w:ascii="Arial" w:eastAsia="Times New Roman" w:hAnsi="Arial" w:cs="Arial"/>
                <w:b/>
                <w:sz w:val="16"/>
                <w:szCs w:val="16"/>
                <w:lang w:eastAsia="es-MX"/>
              </w:rPr>
            </w:pPr>
            <w:r w:rsidRPr="0097351A">
              <w:rPr>
                <w:rFonts w:ascii="Arial" w:eastAsia="Times New Roman" w:hAnsi="Arial" w:cs="Arial"/>
                <w:b/>
                <w:sz w:val="16"/>
                <w:szCs w:val="16"/>
                <w:lang w:eastAsia="es-MX"/>
              </w:rPr>
              <w:t xml:space="preserve">23 </w:t>
            </w:r>
            <w:proofErr w:type="gramStart"/>
            <w:r w:rsidRPr="0097351A">
              <w:rPr>
                <w:rFonts w:ascii="Arial" w:eastAsia="Times New Roman" w:hAnsi="Arial" w:cs="Arial"/>
                <w:b/>
                <w:sz w:val="16"/>
                <w:szCs w:val="16"/>
                <w:lang w:eastAsia="es-MX"/>
              </w:rPr>
              <w:t>Construcción</w:t>
            </w:r>
            <w:proofErr w:type="gramEnd"/>
          </w:p>
        </w:tc>
        <w:tc>
          <w:tcPr>
            <w:tcW w:w="1134" w:type="dxa"/>
            <w:tcBorders>
              <w:top w:val="nil"/>
              <w:left w:val="nil"/>
              <w:bottom w:val="single" w:sz="4" w:space="0" w:color="auto"/>
              <w:right w:val="single" w:sz="4" w:space="0" w:color="auto"/>
            </w:tcBorders>
            <w:shd w:val="clear" w:color="auto" w:fill="auto"/>
            <w:vAlign w:val="center"/>
          </w:tcPr>
          <w:p w14:paraId="20A8207B" w14:textId="77777777" w:rsidR="0097351A" w:rsidRPr="0097351A" w:rsidRDefault="0097351A" w:rsidP="0097351A">
            <w:pPr>
              <w:spacing w:after="0" w:line="240" w:lineRule="auto"/>
              <w:jc w:val="center"/>
              <w:rPr>
                <w:rFonts w:ascii="Arial" w:eastAsia="Times New Roman" w:hAnsi="Arial" w:cs="Arial"/>
                <w:b/>
                <w:sz w:val="18"/>
                <w:szCs w:val="18"/>
                <w:lang w:eastAsia="es-MX"/>
              </w:rPr>
            </w:pPr>
            <w:r w:rsidRPr="0097351A">
              <w:rPr>
                <w:rFonts w:ascii="Arial" w:eastAsia="Times New Roman" w:hAnsi="Arial" w:cs="Arial"/>
                <w:b/>
                <w:sz w:val="18"/>
                <w:szCs w:val="18"/>
                <w:lang w:eastAsia="es-MX"/>
              </w:rPr>
              <w:t>83.3</w:t>
            </w:r>
          </w:p>
        </w:tc>
        <w:tc>
          <w:tcPr>
            <w:tcW w:w="1276" w:type="dxa"/>
            <w:tcBorders>
              <w:top w:val="nil"/>
              <w:left w:val="nil"/>
              <w:bottom w:val="single" w:sz="4" w:space="0" w:color="auto"/>
              <w:right w:val="single" w:sz="4" w:space="0" w:color="auto"/>
            </w:tcBorders>
            <w:shd w:val="clear" w:color="auto" w:fill="auto"/>
            <w:vAlign w:val="center"/>
          </w:tcPr>
          <w:p w14:paraId="6CF2DC62" w14:textId="77777777" w:rsidR="0097351A" w:rsidRPr="0097351A" w:rsidRDefault="0097351A" w:rsidP="0097351A">
            <w:pPr>
              <w:spacing w:after="0" w:line="240" w:lineRule="auto"/>
              <w:jc w:val="center"/>
              <w:rPr>
                <w:rFonts w:ascii="Arial" w:eastAsia="Times New Roman" w:hAnsi="Arial" w:cs="Arial"/>
                <w:b/>
                <w:sz w:val="18"/>
                <w:szCs w:val="18"/>
                <w:lang w:eastAsia="es-MX"/>
              </w:rPr>
            </w:pPr>
            <w:r w:rsidRPr="0097351A">
              <w:rPr>
                <w:rFonts w:ascii="Arial" w:eastAsia="Times New Roman" w:hAnsi="Arial" w:cs="Arial"/>
                <w:b/>
                <w:sz w:val="18"/>
                <w:szCs w:val="18"/>
                <w:lang w:eastAsia="es-MX"/>
              </w:rPr>
              <w:t>16.7</w:t>
            </w:r>
          </w:p>
        </w:tc>
        <w:tc>
          <w:tcPr>
            <w:tcW w:w="1134" w:type="dxa"/>
            <w:tcBorders>
              <w:top w:val="nil"/>
              <w:left w:val="nil"/>
              <w:bottom w:val="single" w:sz="4" w:space="0" w:color="auto"/>
              <w:right w:val="single" w:sz="4" w:space="0" w:color="auto"/>
            </w:tcBorders>
            <w:shd w:val="clear" w:color="auto" w:fill="auto"/>
            <w:vAlign w:val="center"/>
          </w:tcPr>
          <w:p w14:paraId="3BFD834E" w14:textId="77777777" w:rsidR="0097351A" w:rsidRPr="0097351A" w:rsidRDefault="0097351A" w:rsidP="0097351A">
            <w:pPr>
              <w:spacing w:after="0" w:line="240" w:lineRule="auto"/>
              <w:jc w:val="center"/>
              <w:rPr>
                <w:rFonts w:ascii="Arial" w:eastAsia="Times New Roman" w:hAnsi="Arial" w:cs="Arial"/>
                <w:b/>
                <w:sz w:val="18"/>
                <w:szCs w:val="18"/>
                <w:lang w:eastAsia="es-MX"/>
              </w:rPr>
            </w:pPr>
            <w:r w:rsidRPr="0097351A">
              <w:rPr>
                <w:rFonts w:ascii="Arial" w:eastAsia="Times New Roman" w:hAnsi="Arial" w:cs="Arial"/>
                <w:b/>
                <w:sz w:val="18"/>
                <w:szCs w:val="18"/>
                <w:lang w:eastAsia="es-MX"/>
              </w:rPr>
              <w:t>84.4</w:t>
            </w:r>
          </w:p>
        </w:tc>
        <w:tc>
          <w:tcPr>
            <w:tcW w:w="1275" w:type="dxa"/>
            <w:tcBorders>
              <w:top w:val="nil"/>
              <w:left w:val="nil"/>
              <w:bottom w:val="single" w:sz="4" w:space="0" w:color="auto"/>
              <w:right w:val="single" w:sz="4" w:space="0" w:color="auto"/>
            </w:tcBorders>
            <w:shd w:val="clear" w:color="auto" w:fill="auto"/>
            <w:vAlign w:val="center"/>
          </w:tcPr>
          <w:p w14:paraId="07A309CD" w14:textId="77777777" w:rsidR="0097351A" w:rsidRPr="0097351A" w:rsidRDefault="0097351A" w:rsidP="0097351A">
            <w:pPr>
              <w:spacing w:after="0" w:line="240" w:lineRule="auto"/>
              <w:jc w:val="center"/>
              <w:rPr>
                <w:rFonts w:ascii="Arial" w:eastAsia="Times New Roman" w:hAnsi="Arial" w:cs="Arial"/>
                <w:b/>
                <w:sz w:val="18"/>
                <w:szCs w:val="18"/>
                <w:lang w:eastAsia="es-MX"/>
              </w:rPr>
            </w:pPr>
            <w:r w:rsidRPr="0097351A">
              <w:rPr>
                <w:rFonts w:ascii="Arial" w:eastAsia="Times New Roman" w:hAnsi="Arial" w:cs="Arial"/>
                <w:b/>
                <w:sz w:val="18"/>
                <w:szCs w:val="18"/>
                <w:lang w:eastAsia="es-MX"/>
              </w:rPr>
              <w:t>15.6</w:t>
            </w:r>
          </w:p>
        </w:tc>
        <w:tc>
          <w:tcPr>
            <w:tcW w:w="1134" w:type="dxa"/>
            <w:tcBorders>
              <w:top w:val="nil"/>
              <w:left w:val="nil"/>
              <w:bottom w:val="single" w:sz="4" w:space="0" w:color="auto"/>
              <w:right w:val="single" w:sz="4" w:space="0" w:color="auto"/>
            </w:tcBorders>
            <w:shd w:val="clear" w:color="auto" w:fill="auto"/>
            <w:vAlign w:val="center"/>
          </w:tcPr>
          <w:p w14:paraId="14BBB55F" w14:textId="77777777" w:rsidR="0097351A" w:rsidRPr="0097351A" w:rsidRDefault="0097351A" w:rsidP="0097351A">
            <w:pPr>
              <w:spacing w:after="0" w:line="240" w:lineRule="auto"/>
              <w:jc w:val="center"/>
              <w:rPr>
                <w:rFonts w:ascii="Arial" w:eastAsia="Times New Roman" w:hAnsi="Arial" w:cs="Arial"/>
                <w:b/>
                <w:sz w:val="18"/>
                <w:szCs w:val="18"/>
                <w:lang w:eastAsia="es-MX"/>
              </w:rPr>
            </w:pPr>
            <w:r w:rsidRPr="0097351A">
              <w:rPr>
                <w:rFonts w:ascii="Arial" w:eastAsia="Times New Roman" w:hAnsi="Arial" w:cs="Arial"/>
                <w:b/>
                <w:sz w:val="18"/>
                <w:szCs w:val="18"/>
                <w:lang w:eastAsia="es-MX"/>
              </w:rPr>
              <w:t>1.1</w:t>
            </w:r>
          </w:p>
        </w:tc>
        <w:tc>
          <w:tcPr>
            <w:tcW w:w="1276" w:type="dxa"/>
            <w:tcBorders>
              <w:top w:val="nil"/>
              <w:left w:val="nil"/>
              <w:bottom w:val="single" w:sz="4" w:space="0" w:color="auto"/>
              <w:right w:val="single" w:sz="4" w:space="0" w:color="auto"/>
            </w:tcBorders>
            <w:shd w:val="clear" w:color="auto" w:fill="auto"/>
            <w:vAlign w:val="center"/>
          </w:tcPr>
          <w:p w14:paraId="0029C453" w14:textId="77777777" w:rsidR="0097351A" w:rsidRPr="0097351A" w:rsidRDefault="0097351A" w:rsidP="0097351A">
            <w:pPr>
              <w:spacing w:after="0" w:line="240" w:lineRule="auto"/>
              <w:jc w:val="center"/>
              <w:rPr>
                <w:rFonts w:ascii="Arial" w:eastAsia="Times New Roman" w:hAnsi="Arial" w:cs="Arial"/>
                <w:b/>
                <w:sz w:val="18"/>
                <w:szCs w:val="18"/>
                <w:lang w:eastAsia="es-MX"/>
              </w:rPr>
            </w:pPr>
            <w:r w:rsidRPr="0097351A">
              <w:rPr>
                <w:rFonts w:ascii="Arial" w:eastAsia="Times New Roman" w:hAnsi="Arial" w:cs="Arial"/>
                <w:b/>
                <w:sz w:val="18"/>
                <w:szCs w:val="18"/>
                <w:lang w:eastAsia="es-MX"/>
              </w:rPr>
              <w:t>-1.1</w:t>
            </w:r>
          </w:p>
        </w:tc>
      </w:tr>
      <w:tr w:rsidR="0097351A" w:rsidRPr="00903A81" w14:paraId="2AE3FFE5" w14:textId="77777777" w:rsidTr="005A3C05">
        <w:trPr>
          <w:trHeight w:val="318"/>
          <w:jc w:val="center"/>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EF5044F" w14:textId="77777777" w:rsidR="0097351A" w:rsidRPr="005A3C05" w:rsidRDefault="0097351A" w:rsidP="0097351A">
            <w:pPr>
              <w:spacing w:after="0" w:line="240" w:lineRule="auto"/>
              <w:rPr>
                <w:rFonts w:ascii="Arial" w:eastAsia="Times New Roman" w:hAnsi="Arial" w:cs="Arial"/>
                <w:sz w:val="16"/>
                <w:szCs w:val="16"/>
                <w:lang w:eastAsia="es-MX"/>
              </w:rPr>
            </w:pPr>
            <w:r w:rsidRPr="005A3C05">
              <w:rPr>
                <w:rFonts w:ascii="Arial" w:eastAsia="Times New Roman" w:hAnsi="Arial" w:cs="Arial"/>
                <w:sz w:val="16"/>
                <w:szCs w:val="16"/>
                <w:lang w:eastAsia="es-MX"/>
              </w:rPr>
              <w:t xml:space="preserve">236 </w:t>
            </w:r>
            <w:proofErr w:type="gramStart"/>
            <w:r w:rsidRPr="005A3C05">
              <w:rPr>
                <w:rFonts w:ascii="Arial" w:eastAsia="Times New Roman" w:hAnsi="Arial" w:cs="Arial"/>
                <w:sz w:val="16"/>
                <w:szCs w:val="16"/>
                <w:lang w:eastAsia="es-MX"/>
              </w:rPr>
              <w:t>Edificación</w:t>
            </w:r>
            <w:proofErr w:type="gramEnd"/>
          </w:p>
        </w:tc>
        <w:tc>
          <w:tcPr>
            <w:tcW w:w="1134" w:type="dxa"/>
            <w:tcBorders>
              <w:top w:val="nil"/>
              <w:left w:val="nil"/>
              <w:bottom w:val="single" w:sz="4" w:space="0" w:color="auto"/>
              <w:right w:val="single" w:sz="4" w:space="0" w:color="auto"/>
            </w:tcBorders>
            <w:shd w:val="clear" w:color="auto" w:fill="auto"/>
            <w:vAlign w:val="center"/>
          </w:tcPr>
          <w:p w14:paraId="78B33B3D"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84.6</w:t>
            </w:r>
          </w:p>
        </w:tc>
        <w:tc>
          <w:tcPr>
            <w:tcW w:w="1276" w:type="dxa"/>
            <w:tcBorders>
              <w:top w:val="nil"/>
              <w:left w:val="nil"/>
              <w:bottom w:val="single" w:sz="4" w:space="0" w:color="auto"/>
              <w:right w:val="single" w:sz="4" w:space="0" w:color="auto"/>
            </w:tcBorders>
            <w:shd w:val="clear" w:color="auto" w:fill="auto"/>
            <w:vAlign w:val="center"/>
          </w:tcPr>
          <w:p w14:paraId="0EF48C9F"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15.4</w:t>
            </w:r>
          </w:p>
        </w:tc>
        <w:tc>
          <w:tcPr>
            <w:tcW w:w="1134" w:type="dxa"/>
            <w:tcBorders>
              <w:top w:val="nil"/>
              <w:left w:val="nil"/>
              <w:bottom w:val="single" w:sz="4" w:space="0" w:color="auto"/>
              <w:right w:val="single" w:sz="4" w:space="0" w:color="auto"/>
            </w:tcBorders>
            <w:shd w:val="clear" w:color="auto" w:fill="auto"/>
            <w:vAlign w:val="center"/>
          </w:tcPr>
          <w:p w14:paraId="56C3742C"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85.4</w:t>
            </w:r>
          </w:p>
        </w:tc>
        <w:tc>
          <w:tcPr>
            <w:tcW w:w="1275" w:type="dxa"/>
            <w:tcBorders>
              <w:top w:val="nil"/>
              <w:left w:val="nil"/>
              <w:bottom w:val="single" w:sz="4" w:space="0" w:color="auto"/>
              <w:right w:val="single" w:sz="4" w:space="0" w:color="auto"/>
            </w:tcBorders>
            <w:shd w:val="clear" w:color="auto" w:fill="auto"/>
            <w:vAlign w:val="center"/>
          </w:tcPr>
          <w:p w14:paraId="234C8F9B"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14.6</w:t>
            </w:r>
          </w:p>
        </w:tc>
        <w:tc>
          <w:tcPr>
            <w:tcW w:w="1134" w:type="dxa"/>
            <w:tcBorders>
              <w:top w:val="nil"/>
              <w:left w:val="nil"/>
              <w:bottom w:val="single" w:sz="4" w:space="0" w:color="auto"/>
              <w:right w:val="single" w:sz="4" w:space="0" w:color="auto"/>
            </w:tcBorders>
            <w:shd w:val="clear" w:color="auto" w:fill="auto"/>
            <w:vAlign w:val="center"/>
          </w:tcPr>
          <w:p w14:paraId="4B2DFC0F"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0.8</w:t>
            </w:r>
          </w:p>
        </w:tc>
        <w:tc>
          <w:tcPr>
            <w:tcW w:w="1276" w:type="dxa"/>
            <w:tcBorders>
              <w:top w:val="nil"/>
              <w:left w:val="nil"/>
              <w:bottom w:val="single" w:sz="4" w:space="0" w:color="auto"/>
              <w:right w:val="single" w:sz="4" w:space="0" w:color="auto"/>
            </w:tcBorders>
            <w:shd w:val="clear" w:color="auto" w:fill="auto"/>
            <w:vAlign w:val="center"/>
          </w:tcPr>
          <w:p w14:paraId="3E2BA19E"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-0.8</w:t>
            </w:r>
          </w:p>
        </w:tc>
      </w:tr>
      <w:tr w:rsidR="0097351A" w:rsidRPr="00903A81" w14:paraId="257A26B8" w14:textId="77777777" w:rsidTr="005A3C05">
        <w:trPr>
          <w:trHeight w:val="450"/>
          <w:jc w:val="center"/>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7DCB156" w14:textId="77777777" w:rsidR="0097351A" w:rsidRPr="005A3C05" w:rsidRDefault="0097351A" w:rsidP="0097351A">
            <w:pPr>
              <w:spacing w:after="0" w:line="240" w:lineRule="auto"/>
              <w:rPr>
                <w:rFonts w:ascii="Arial" w:eastAsia="Times New Roman" w:hAnsi="Arial" w:cs="Arial"/>
                <w:sz w:val="16"/>
                <w:szCs w:val="16"/>
                <w:lang w:eastAsia="es-MX"/>
              </w:rPr>
            </w:pPr>
            <w:r w:rsidRPr="005A3C05">
              <w:rPr>
                <w:rFonts w:ascii="Arial" w:eastAsia="Times New Roman" w:hAnsi="Arial" w:cs="Arial"/>
                <w:sz w:val="16"/>
                <w:szCs w:val="16"/>
                <w:lang w:eastAsia="es-MX"/>
              </w:rPr>
              <w:t xml:space="preserve">237 </w:t>
            </w:r>
            <w:proofErr w:type="gramStart"/>
            <w:r w:rsidRPr="005A3C05">
              <w:rPr>
                <w:rFonts w:ascii="Arial" w:eastAsia="Times New Roman" w:hAnsi="Arial" w:cs="Arial"/>
                <w:sz w:val="16"/>
                <w:szCs w:val="16"/>
                <w:lang w:eastAsia="es-MX"/>
              </w:rPr>
              <w:t>Construcción</w:t>
            </w:r>
            <w:proofErr w:type="gramEnd"/>
            <w:r w:rsidRPr="005A3C05">
              <w:rPr>
                <w:rFonts w:ascii="Arial" w:eastAsia="Times New Roman" w:hAnsi="Arial" w:cs="Arial"/>
                <w:sz w:val="16"/>
                <w:szCs w:val="16"/>
                <w:lang w:eastAsia="es-MX"/>
              </w:rPr>
              <w:t xml:space="preserve"> de obras de ingeniería civil</w:t>
            </w:r>
          </w:p>
        </w:tc>
        <w:tc>
          <w:tcPr>
            <w:tcW w:w="1134" w:type="dxa"/>
            <w:tcBorders>
              <w:top w:val="nil"/>
              <w:left w:val="nil"/>
              <w:bottom w:val="single" w:sz="4" w:space="0" w:color="auto"/>
              <w:right w:val="single" w:sz="4" w:space="0" w:color="auto"/>
            </w:tcBorders>
            <w:shd w:val="clear" w:color="auto" w:fill="auto"/>
            <w:vAlign w:val="center"/>
          </w:tcPr>
          <w:p w14:paraId="388BEC1C"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78.8</w:t>
            </w:r>
          </w:p>
        </w:tc>
        <w:tc>
          <w:tcPr>
            <w:tcW w:w="1276" w:type="dxa"/>
            <w:tcBorders>
              <w:top w:val="nil"/>
              <w:left w:val="nil"/>
              <w:bottom w:val="single" w:sz="4" w:space="0" w:color="auto"/>
              <w:right w:val="single" w:sz="4" w:space="0" w:color="auto"/>
            </w:tcBorders>
            <w:shd w:val="clear" w:color="auto" w:fill="auto"/>
            <w:vAlign w:val="center"/>
          </w:tcPr>
          <w:p w14:paraId="6AEDCD07"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21.2</w:t>
            </w:r>
          </w:p>
        </w:tc>
        <w:tc>
          <w:tcPr>
            <w:tcW w:w="1134" w:type="dxa"/>
            <w:tcBorders>
              <w:top w:val="nil"/>
              <w:left w:val="nil"/>
              <w:bottom w:val="single" w:sz="4" w:space="0" w:color="auto"/>
              <w:right w:val="single" w:sz="4" w:space="0" w:color="auto"/>
            </w:tcBorders>
            <w:shd w:val="clear" w:color="auto" w:fill="auto"/>
            <w:vAlign w:val="center"/>
          </w:tcPr>
          <w:p w14:paraId="3FDF8419"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80.7</w:t>
            </w:r>
          </w:p>
        </w:tc>
        <w:tc>
          <w:tcPr>
            <w:tcW w:w="1275" w:type="dxa"/>
            <w:tcBorders>
              <w:top w:val="nil"/>
              <w:left w:val="nil"/>
              <w:bottom w:val="single" w:sz="4" w:space="0" w:color="auto"/>
              <w:right w:val="single" w:sz="4" w:space="0" w:color="auto"/>
            </w:tcBorders>
            <w:shd w:val="clear" w:color="auto" w:fill="auto"/>
            <w:vAlign w:val="center"/>
          </w:tcPr>
          <w:p w14:paraId="7CDB84FA"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19.3</w:t>
            </w:r>
          </w:p>
        </w:tc>
        <w:tc>
          <w:tcPr>
            <w:tcW w:w="1134" w:type="dxa"/>
            <w:tcBorders>
              <w:top w:val="nil"/>
              <w:left w:val="nil"/>
              <w:bottom w:val="single" w:sz="4" w:space="0" w:color="auto"/>
              <w:right w:val="single" w:sz="4" w:space="0" w:color="auto"/>
            </w:tcBorders>
            <w:shd w:val="clear" w:color="auto" w:fill="auto"/>
            <w:vAlign w:val="center"/>
          </w:tcPr>
          <w:p w14:paraId="0C89591E"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1.8</w:t>
            </w:r>
          </w:p>
        </w:tc>
        <w:tc>
          <w:tcPr>
            <w:tcW w:w="1276" w:type="dxa"/>
            <w:tcBorders>
              <w:top w:val="nil"/>
              <w:left w:val="nil"/>
              <w:bottom w:val="single" w:sz="4" w:space="0" w:color="auto"/>
              <w:right w:val="single" w:sz="4" w:space="0" w:color="auto"/>
            </w:tcBorders>
            <w:shd w:val="clear" w:color="auto" w:fill="auto"/>
            <w:vAlign w:val="center"/>
          </w:tcPr>
          <w:p w14:paraId="0C2C95C4"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-1.8</w:t>
            </w:r>
          </w:p>
        </w:tc>
      </w:tr>
      <w:tr w:rsidR="0097351A" w:rsidRPr="00903A81" w14:paraId="2E36C9E8" w14:textId="77777777" w:rsidTr="005A3C05">
        <w:trPr>
          <w:trHeight w:val="779"/>
          <w:jc w:val="center"/>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A2C2241" w14:textId="77777777" w:rsidR="0097351A" w:rsidRPr="005A3C05" w:rsidRDefault="0097351A" w:rsidP="0097351A">
            <w:pPr>
              <w:spacing w:after="0" w:line="240" w:lineRule="auto"/>
              <w:rPr>
                <w:rFonts w:ascii="Arial" w:eastAsia="Times New Roman" w:hAnsi="Arial" w:cs="Arial"/>
                <w:sz w:val="16"/>
                <w:szCs w:val="16"/>
                <w:lang w:eastAsia="es-MX"/>
              </w:rPr>
            </w:pPr>
            <w:r w:rsidRPr="005A3C05">
              <w:rPr>
                <w:rFonts w:ascii="Arial" w:eastAsia="Times New Roman" w:hAnsi="Arial" w:cs="Arial"/>
                <w:sz w:val="16"/>
                <w:szCs w:val="16"/>
                <w:lang w:eastAsia="es-MX"/>
              </w:rPr>
              <w:t xml:space="preserve">238 </w:t>
            </w:r>
            <w:proofErr w:type="gramStart"/>
            <w:r w:rsidRPr="005A3C05">
              <w:rPr>
                <w:rFonts w:ascii="Arial" w:eastAsia="Times New Roman" w:hAnsi="Arial" w:cs="Arial"/>
                <w:sz w:val="16"/>
                <w:szCs w:val="16"/>
                <w:lang w:eastAsia="es-MX"/>
              </w:rPr>
              <w:t>Trabajos</w:t>
            </w:r>
            <w:proofErr w:type="gramEnd"/>
            <w:r w:rsidRPr="005A3C05">
              <w:rPr>
                <w:rFonts w:ascii="Arial" w:eastAsia="Times New Roman" w:hAnsi="Arial" w:cs="Arial"/>
                <w:sz w:val="16"/>
                <w:szCs w:val="16"/>
                <w:lang w:eastAsia="es-MX"/>
              </w:rPr>
              <w:t xml:space="preserve"> especializados para la construcción</w:t>
            </w:r>
          </w:p>
        </w:tc>
        <w:tc>
          <w:tcPr>
            <w:tcW w:w="1134" w:type="dxa"/>
            <w:tcBorders>
              <w:top w:val="nil"/>
              <w:left w:val="nil"/>
              <w:bottom w:val="single" w:sz="4" w:space="0" w:color="auto"/>
              <w:right w:val="single" w:sz="4" w:space="0" w:color="auto"/>
            </w:tcBorders>
            <w:shd w:val="clear" w:color="auto" w:fill="auto"/>
            <w:vAlign w:val="center"/>
          </w:tcPr>
          <w:p w14:paraId="6A2B0767"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89.0</w:t>
            </w:r>
          </w:p>
        </w:tc>
        <w:tc>
          <w:tcPr>
            <w:tcW w:w="1276" w:type="dxa"/>
            <w:tcBorders>
              <w:top w:val="nil"/>
              <w:left w:val="nil"/>
              <w:bottom w:val="single" w:sz="4" w:space="0" w:color="auto"/>
              <w:right w:val="single" w:sz="4" w:space="0" w:color="auto"/>
            </w:tcBorders>
            <w:shd w:val="clear" w:color="auto" w:fill="auto"/>
            <w:vAlign w:val="center"/>
          </w:tcPr>
          <w:p w14:paraId="0FC7FAEC"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11.0</w:t>
            </w:r>
          </w:p>
        </w:tc>
        <w:tc>
          <w:tcPr>
            <w:tcW w:w="1134" w:type="dxa"/>
            <w:tcBorders>
              <w:top w:val="nil"/>
              <w:left w:val="nil"/>
              <w:bottom w:val="single" w:sz="4" w:space="0" w:color="auto"/>
              <w:right w:val="single" w:sz="4" w:space="0" w:color="auto"/>
            </w:tcBorders>
            <w:shd w:val="clear" w:color="auto" w:fill="auto"/>
            <w:vAlign w:val="center"/>
          </w:tcPr>
          <w:p w14:paraId="05F1F6EC"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89.6</w:t>
            </w:r>
          </w:p>
        </w:tc>
        <w:tc>
          <w:tcPr>
            <w:tcW w:w="1275" w:type="dxa"/>
            <w:tcBorders>
              <w:top w:val="nil"/>
              <w:left w:val="nil"/>
              <w:bottom w:val="single" w:sz="4" w:space="0" w:color="auto"/>
              <w:right w:val="single" w:sz="4" w:space="0" w:color="auto"/>
            </w:tcBorders>
            <w:shd w:val="clear" w:color="auto" w:fill="auto"/>
            <w:vAlign w:val="center"/>
          </w:tcPr>
          <w:p w14:paraId="2E9A5E47"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10.4</w:t>
            </w:r>
          </w:p>
        </w:tc>
        <w:tc>
          <w:tcPr>
            <w:tcW w:w="1134" w:type="dxa"/>
            <w:tcBorders>
              <w:top w:val="nil"/>
              <w:left w:val="nil"/>
              <w:bottom w:val="single" w:sz="4" w:space="0" w:color="auto"/>
              <w:right w:val="single" w:sz="4" w:space="0" w:color="auto"/>
            </w:tcBorders>
            <w:shd w:val="clear" w:color="auto" w:fill="auto"/>
            <w:vAlign w:val="center"/>
          </w:tcPr>
          <w:p w14:paraId="731F9984"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0.6</w:t>
            </w:r>
          </w:p>
        </w:tc>
        <w:tc>
          <w:tcPr>
            <w:tcW w:w="1276" w:type="dxa"/>
            <w:tcBorders>
              <w:top w:val="nil"/>
              <w:left w:val="nil"/>
              <w:bottom w:val="single" w:sz="4" w:space="0" w:color="auto"/>
              <w:right w:val="single" w:sz="4" w:space="0" w:color="auto"/>
            </w:tcBorders>
            <w:shd w:val="clear" w:color="auto" w:fill="auto"/>
            <w:vAlign w:val="center"/>
          </w:tcPr>
          <w:p w14:paraId="1E5140FC" w14:textId="77777777" w:rsidR="0097351A" w:rsidRPr="00FB53B7" w:rsidRDefault="0097351A" w:rsidP="0097351A">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-0.6</w:t>
            </w:r>
          </w:p>
        </w:tc>
      </w:tr>
    </w:tbl>
    <w:p w14:paraId="06EC9244" w14:textId="77777777" w:rsidR="00903A81" w:rsidRDefault="00B14B1C" w:rsidP="005A3C05">
      <w:pPr>
        <w:pStyle w:val="Default"/>
        <w:ind w:left="284" w:hanging="142"/>
        <w:jc w:val="both"/>
        <w:rPr>
          <w:color w:val="auto"/>
          <w:sz w:val="16"/>
          <w:lang w:eastAsia="es-MX"/>
        </w:rPr>
      </w:pPr>
      <w:r>
        <w:rPr>
          <w:color w:val="auto"/>
          <w:sz w:val="16"/>
          <w:vertAlign w:val="superscript"/>
          <w:lang w:eastAsia="es-MX"/>
        </w:rPr>
        <w:t>p</w:t>
      </w:r>
      <w:r w:rsidR="00903A81">
        <w:rPr>
          <w:color w:val="auto"/>
          <w:sz w:val="16"/>
          <w:vertAlign w:val="superscript"/>
          <w:lang w:eastAsia="es-MX"/>
        </w:rPr>
        <w:t xml:space="preserve">/ </w:t>
      </w:r>
      <w:r w:rsidR="00903A81">
        <w:rPr>
          <w:color w:val="auto"/>
          <w:sz w:val="16"/>
          <w:lang w:eastAsia="es-MX"/>
        </w:rPr>
        <w:t>Cifras preliminares</w:t>
      </w:r>
      <w:r w:rsidR="00FF5CF1">
        <w:rPr>
          <w:color w:val="auto"/>
          <w:sz w:val="16"/>
          <w:lang w:eastAsia="es-MX"/>
        </w:rPr>
        <w:t>.</w:t>
      </w:r>
      <w:r w:rsidR="00903A81">
        <w:rPr>
          <w:color w:val="auto"/>
          <w:sz w:val="16"/>
          <w:lang w:eastAsia="es-MX"/>
        </w:rPr>
        <w:t xml:space="preserve"> </w:t>
      </w:r>
    </w:p>
    <w:p w14:paraId="3CB3EB08" w14:textId="77777777" w:rsidR="00903A81" w:rsidRDefault="00903A81" w:rsidP="005A3C05">
      <w:pPr>
        <w:pStyle w:val="Default"/>
        <w:ind w:left="284" w:hanging="142"/>
        <w:jc w:val="both"/>
        <w:rPr>
          <w:b/>
          <w:color w:val="auto"/>
          <w:sz w:val="16"/>
          <w:lang w:eastAsia="es-MX"/>
        </w:rPr>
      </w:pPr>
      <w:r w:rsidRPr="00BF15FB">
        <w:rPr>
          <w:color w:val="auto"/>
          <w:sz w:val="16"/>
          <w:lang w:eastAsia="es-MX"/>
        </w:rPr>
        <w:t xml:space="preserve">Fuente: </w:t>
      </w:r>
      <w:r w:rsidRPr="00BF15FB">
        <w:rPr>
          <w:b/>
          <w:color w:val="auto"/>
          <w:sz w:val="16"/>
          <w:lang w:eastAsia="es-MX"/>
        </w:rPr>
        <w:t>INEGI</w:t>
      </w:r>
      <w:r>
        <w:rPr>
          <w:b/>
          <w:color w:val="auto"/>
          <w:sz w:val="16"/>
          <w:lang w:eastAsia="es-MX"/>
        </w:rPr>
        <w:t>.</w:t>
      </w:r>
    </w:p>
    <w:p w14:paraId="5D4C71D0" w14:textId="77777777" w:rsidR="006E3ACE" w:rsidRDefault="006E3ACE" w:rsidP="002C2D13">
      <w:pPr>
        <w:pStyle w:val="Default"/>
        <w:jc w:val="both"/>
        <w:rPr>
          <w:bCs/>
          <w:color w:val="auto"/>
          <w:sz w:val="22"/>
          <w:szCs w:val="22"/>
          <w:lang w:eastAsia="es-MX"/>
        </w:rPr>
      </w:pPr>
    </w:p>
    <w:p w14:paraId="58B72595" w14:textId="77777777" w:rsidR="002C2D13" w:rsidRPr="005F52E0" w:rsidRDefault="002C2D13" w:rsidP="002C2D13">
      <w:pPr>
        <w:pStyle w:val="Default"/>
        <w:jc w:val="both"/>
        <w:rPr>
          <w:bCs/>
          <w:color w:val="auto"/>
          <w:sz w:val="22"/>
          <w:szCs w:val="22"/>
          <w:lang w:eastAsia="es-MX"/>
        </w:rPr>
      </w:pPr>
      <w:r w:rsidRPr="005F52E0">
        <w:rPr>
          <w:bCs/>
          <w:color w:val="auto"/>
          <w:sz w:val="22"/>
          <w:szCs w:val="22"/>
          <w:lang w:eastAsia="es-MX"/>
        </w:rPr>
        <w:t xml:space="preserve">A nivel de las empresas constructoras, la composición del personal ocupado entre hombres y mujeres se mantiene en el periodo </w:t>
      </w:r>
      <w:r w:rsidRPr="001A3D39">
        <w:rPr>
          <w:bCs/>
          <w:color w:val="auto"/>
          <w:sz w:val="22"/>
          <w:szCs w:val="22"/>
          <w:lang w:eastAsia="es-MX"/>
        </w:rPr>
        <w:t>2019-2020</w:t>
      </w:r>
      <w:r w:rsidRPr="005F52E0">
        <w:rPr>
          <w:bCs/>
          <w:color w:val="auto"/>
          <w:sz w:val="22"/>
          <w:szCs w:val="22"/>
          <w:lang w:eastAsia="es-MX"/>
        </w:rPr>
        <w:t>, participando las mujeres aproximadamente con 12% del total.</w:t>
      </w:r>
    </w:p>
    <w:p w14:paraId="0529A9FC" w14:textId="77777777" w:rsidR="002652BF" w:rsidRDefault="002652BF" w:rsidP="00664CE3">
      <w:pPr>
        <w:pStyle w:val="Default"/>
        <w:jc w:val="center"/>
        <w:rPr>
          <w:b/>
          <w:color w:val="auto"/>
          <w:sz w:val="22"/>
          <w:lang w:eastAsia="es-MX"/>
        </w:rPr>
      </w:pPr>
    </w:p>
    <w:p w14:paraId="2A6AEEC2" w14:textId="77777777" w:rsidR="00664CE3" w:rsidRDefault="00664CE3" w:rsidP="00664CE3">
      <w:pPr>
        <w:pStyle w:val="Default"/>
        <w:jc w:val="center"/>
        <w:rPr>
          <w:b/>
          <w:color w:val="auto"/>
          <w:sz w:val="22"/>
          <w:lang w:eastAsia="es-MX"/>
        </w:rPr>
      </w:pPr>
      <w:r w:rsidRPr="005110B8">
        <w:rPr>
          <w:b/>
          <w:color w:val="auto"/>
          <w:sz w:val="22"/>
          <w:lang w:eastAsia="es-MX"/>
        </w:rPr>
        <w:t xml:space="preserve">Gráfica </w:t>
      </w:r>
      <w:r>
        <w:rPr>
          <w:b/>
          <w:color w:val="auto"/>
          <w:sz w:val="22"/>
          <w:lang w:eastAsia="es-MX"/>
        </w:rPr>
        <w:t>2</w:t>
      </w:r>
    </w:p>
    <w:p w14:paraId="63564385" w14:textId="77777777" w:rsidR="00664CE3" w:rsidRDefault="00664CE3" w:rsidP="00664CE3">
      <w:pPr>
        <w:pStyle w:val="Default"/>
        <w:jc w:val="center"/>
        <w:rPr>
          <w:b/>
          <w:color w:val="auto"/>
          <w:sz w:val="22"/>
          <w:lang w:eastAsia="es-MX"/>
        </w:rPr>
      </w:pPr>
      <w:r w:rsidRPr="005110B8">
        <w:rPr>
          <w:b/>
          <w:color w:val="auto"/>
          <w:sz w:val="22"/>
          <w:lang w:eastAsia="es-MX"/>
        </w:rPr>
        <w:t xml:space="preserve"> </w:t>
      </w:r>
      <w:r>
        <w:rPr>
          <w:b/>
          <w:color w:val="auto"/>
          <w:sz w:val="22"/>
          <w:lang w:eastAsia="es-MX"/>
        </w:rPr>
        <w:t xml:space="preserve">Participación del </w:t>
      </w:r>
      <w:r w:rsidR="002652BF">
        <w:rPr>
          <w:b/>
          <w:color w:val="auto"/>
          <w:sz w:val="22"/>
          <w:lang w:eastAsia="es-MX"/>
        </w:rPr>
        <w:t xml:space="preserve">personal </w:t>
      </w:r>
      <w:r w:rsidRPr="005110B8">
        <w:rPr>
          <w:b/>
          <w:color w:val="auto"/>
          <w:sz w:val="22"/>
          <w:lang w:eastAsia="es-MX"/>
        </w:rPr>
        <w:t>ocupado total</w:t>
      </w:r>
      <w:r>
        <w:rPr>
          <w:b/>
          <w:color w:val="auto"/>
          <w:sz w:val="22"/>
          <w:lang w:eastAsia="es-MX"/>
        </w:rPr>
        <w:t xml:space="preserve"> de las </w:t>
      </w:r>
      <w:r w:rsidR="002652BF">
        <w:rPr>
          <w:b/>
          <w:color w:val="auto"/>
          <w:sz w:val="22"/>
          <w:lang w:eastAsia="es-MX"/>
        </w:rPr>
        <w:t>e</w:t>
      </w:r>
      <w:r>
        <w:rPr>
          <w:b/>
          <w:color w:val="auto"/>
          <w:sz w:val="22"/>
          <w:lang w:eastAsia="es-MX"/>
        </w:rPr>
        <w:t xml:space="preserve">mpresas constructoras </w:t>
      </w:r>
      <w:r w:rsidRPr="005110B8">
        <w:rPr>
          <w:b/>
          <w:color w:val="auto"/>
          <w:sz w:val="22"/>
          <w:lang w:eastAsia="es-MX"/>
        </w:rPr>
        <w:t>por sexo</w:t>
      </w:r>
    </w:p>
    <w:p w14:paraId="7F69243F" w14:textId="77777777" w:rsidR="00982528" w:rsidRDefault="00982528" w:rsidP="00664CE3">
      <w:pPr>
        <w:pStyle w:val="Default"/>
        <w:jc w:val="center"/>
        <w:rPr>
          <w:b/>
          <w:color w:val="auto"/>
          <w:sz w:val="22"/>
          <w:lang w:eastAsia="es-MX"/>
        </w:rPr>
      </w:pPr>
      <w:r>
        <w:rPr>
          <w:b/>
          <w:color w:val="auto"/>
          <w:sz w:val="22"/>
          <w:lang w:eastAsia="es-MX"/>
        </w:rPr>
        <w:t>(Porcentaje)</w:t>
      </w:r>
    </w:p>
    <w:p w14:paraId="7FA08A68" w14:textId="77777777" w:rsidR="00664CE3" w:rsidRDefault="00664CE3" w:rsidP="00664CE3">
      <w:pPr>
        <w:pStyle w:val="Default"/>
        <w:ind w:left="426"/>
        <w:jc w:val="both"/>
        <w:rPr>
          <w:sz w:val="22"/>
          <w:lang w:eastAsia="es-MX"/>
        </w:rPr>
      </w:pPr>
    </w:p>
    <w:p w14:paraId="4CEAABFF" w14:textId="77777777" w:rsidR="00664CE3" w:rsidRDefault="00664CE3" w:rsidP="00664CE3">
      <w:pPr>
        <w:pStyle w:val="Default"/>
        <w:ind w:left="426" w:hanging="142"/>
        <w:jc w:val="both"/>
        <w:rPr>
          <w:sz w:val="22"/>
          <w:lang w:eastAsia="es-MX"/>
        </w:rPr>
      </w:pPr>
      <w:r w:rsidRPr="005525E5">
        <w:rPr>
          <w:noProof/>
          <w:color w:val="000000" w:themeColor="text1"/>
          <w:lang w:eastAsia="es-MX"/>
        </w:rPr>
        <w:drawing>
          <wp:inline distT="0" distB="0" distL="0" distR="0" wp14:anchorId="7FE34494" wp14:editId="4CCADC93">
            <wp:extent cx="2472055" cy="2038350"/>
            <wp:effectExtent l="0" t="0" r="4445" b="0"/>
            <wp:docPr id="10" name="Gráfico 10">
              <a:extLst xmlns:a="http://schemas.openxmlformats.org/drawingml/2006/main">
                <a:ext uri="{FF2B5EF4-FFF2-40B4-BE49-F238E27FC236}">
                  <a16:creationId xmlns:a16="http://schemas.microsoft.com/office/drawing/2014/main" id="{00000000-0008-0000-0000-000025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B70CDD">
        <w:rPr>
          <w:noProof/>
        </w:rPr>
        <w:t xml:space="preserve"> </w:t>
      </w:r>
      <w:r w:rsidRPr="005525E5">
        <w:rPr>
          <w:noProof/>
          <w:color w:val="000000" w:themeColor="text1"/>
          <w:lang w:eastAsia="es-MX"/>
        </w:rPr>
        <w:drawing>
          <wp:inline distT="0" distB="0" distL="0" distR="0" wp14:anchorId="1D7CC228" wp14:editId="56312856">
            <wp:extent cx="2472055" cy="2038350"/>
            <wp:effectExtent l="0" t="0" r="4445" b="0"/>
            <wp:docPr id="8" name="Gráfico 8">
              <a:extLst xmlns:a="http://schemas.openxmlformats.org/drawingml/2006/main">
                <a:ext uri="{FF2B5EF4-FFF2-40B4-BE49-F238E27FC236}">
                  <a16:creationId xmlns:a16="http://schemas.microsoft.com/office/drawing/2014/main" id="{00000000-0008-0000-0000-00002508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1D524FC" w14:textId="77777777" w:rsidR="00664CE3" w:rsidRDefault="00664CE3" w:rsidP="00664CE3">
      <w:pPr>
        <w:pStyle w:val="Default"/>
        <w:ind w:left="3261"/>
        <w:jc w:val="both"/>
        <w:rPr>
          <w:color w:val="auto"/>
          <w:sz w:val="16"/>
          <w:vertAlign w:val="superscript"/>
          <w:lang w:eastAsia="es-MX"/>
        </w:rPr>
      </w:pPr>
      <w:r>
        <w:rPr>
          <w:noProof/>
          <w:lang w:eastAsia="es-MX"/>
        </w:rPr>
        <w:drawing>
          <wp:inline distT="0" distB="0" distL="0" distR="0" wp14:anchorId="36E540BC" wp14:editId="13F14FCE">
            <wp:extent cx="1385529" cy="180975"/>
            <wp:effectExtent l="0" t="0" r="5715" b="0"/>
            <wp:docPr id="16" name="Imagen 1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Interfaz de usuario gráfica, Aplicación&#10;&#10;Descripción generada automáticamente"/>
                    <pic:cNvPicPr/>
                  </pic:nvPicPr>
                  <pic:blipFill rotWithShape="1">
                    <a:blip r:embed="rId28"/>
                    <a:srcRect l="35726" t="51179" r="42208" b="43695"/>
                    <a:stretch/>
                  </pic:blipFill>
                  <pic:spPr bwMode="auto">
                    <a:xfrm>
                      <a:off x="0" y="0"/>
                      <a:ext cx="1392652" cy="181905"/>
                    </a:xfrm>
                    <a:prstGeom prst="rect">
                      <a:avLst/>
                    </a:prstGeom>
                    <a:ln>
                      <a:noFill/>
                    </a:ln>
                    <a:extLst>
                      <a:ext uri="{53640926-AAD7-44D8-BBD7-CCE9431645EC}">
                        <a14:shadowObscured xmlns:a14="http://schemas.microsoft.com/office/drawing/2010/main"/>
                      </a:ext>
                    </a:extLst>
                  </pic:spPr>
                </pic:pic>
              </a:graphicData>
            </a:graphic>
          </wp:inline>
        </w:drawing>
      </w:r>
    </w:p>
    <w:p w14:paraId="48F8BF19" w14:textId="77777777" w:rsidR="00664CE3" w:rsidRDefault="00664CE3" w:rsidP="00664CE3">
      <w:pPr>
        <w:pStyle w:val="Default"/>
        <w:ind w:left="3544"/>
        <w:jc w:val="both"/>
        <w:rPr>
          <w:color w:val="auto"/>
          <w:sz w:val="16"/>
          <w:vertAlign w:val="superscript"/>
          <w:lang w:eastAsia="es-MX"/>
        </w:rPr>
      </w:pPr>
    </w:p>
    <w:p w14:paraId="09C7FCF9" w14:textId="77777777" w:rsidR="00664CE3" w:rsidRDefault="00B14B1C" w:rsidP="00581849">
      <w:pPr>
        <w:pStyle w:val="Default"/>
        <w:ind w:left="284"/>
        <w:jc w:val="both"/>
        <w:rPr>
          <w:color w:val="auto"/>
          <w:sz w:val="16"/>
          <w:lang w:eastAsia="es-MX"/>
        </w:rPr>
      </w:pPr>
      <w:r>
        <w:rPr>
          <w:color w:val="auto"/>
          <w:sz w:val="16"/>
          <w:vertAlign w:val="superscript"/>
          <w:lang w:eastAsia="es-MX"/>
        </w:rPr>
        <w:t>p</w:t>
      </w:r>
      <w:r w:rsidR="00664CE3">
        <w:rPr>
          <w:color w:val="auto"/>
          <w:sz w:val="16"/>
          <w:vertAlign w:val="superscript"/>
          <w:lang w:eastAsia="es-MX"/>
        </w:rPr>
        <w:t xml:space="preserve">/ </w:t>
      </w:r>
      <w:r w:rsidR="00664CE3">
        <w:rPr>
          <w:color w:val="auto"/>
          <w:sz w:val="16"/>
          <w:lang w:eastAsia="es-MX"/>
        </w:rPr>
        <w:t xml:space="preserve">Cifras preliminares </w:t>
      </w:r>
    </w:p>
    <w:p w14:paraId="58409C98" w14:textId="77777777" w:rsidR="00664CE3" w:rsidRPr="00BF15FB" w:rsidRDefault="00664CE3" w:rsidP="00581849">
      <w:pPr>
        <w:pStyle w:val="Default"/>
        <w:ind w:left="284"/>
        <w:jc w:val="both"/>
        <w:rPr>
          <w:color w:val="auto"/>
          <w:sz w:val="16"/>
          <w:lang w:eastAsia="es-MX"/>
        </w:rPr>
      </w:pPr>
      <w:r w:rsidRPr="00BF15FB">
        <w:rPr>
          <w:color w:val="auto"/>
          <w:sz w:val="16"/>
          <w:lang w:eastAsia="es-MX"/>
        </w:rPr>
        <w:t xml:space="preserve">Fuente: </w:t>
      </w:r>
      <w:r w:rsidRPr="00BF15FB">
        <w:rPr>
          <w:b/>
          <w:color w:val="auto"/>
          <w:sz w:val="16"/>
          <w:lang w:eastAsia="es-MX"/>
        </w:rPr>
        <w:t>INEGI</w:t>
      </w:r>
      <w:r w:rsidR="00FB748F">
        <w:rPr>
          <w:b/>
          <w:color w:val="auto"/>
          <w:sz w:val="16"/>
          <w:lang w:eastAsia="es-MX"/>
        </w:rPr>
        <w:t>.</w:t>
      </w:r>
    </w:p>
    <w:p w14:paraId="41C45FA4" w14:textId="77777777" w:rsidR="00000E6D" w:rsidRDefault="00000E6D" w:rsidP="00881304">
      <w:pPr>
        <w:pStyle w:val="Default"/>
        <w:jc w:val="both"/>
        <w:rPr>
          <w:color w:val="auto"/>
          <w:sz w:val="22"/>
          <w:lang w:eastAsia="es-MX"/>
        </w:rPr>
      </w:pPr>
    </w:p>
    <w:p w14:paraId="2595EA0D" w14:textId="77777777" w:rsidR="00881304" w:rsidRDefault="00881304" w:rsidP="0016478B">
      <w:pPr>
        <w:pStyle w:val="Default"/>
        <w:jc w:val="center"/>
        <w:rPr>
          <w:b/>
          <w:color w:val="auto"/>
          <w:sz w:val="22"/>
          <w:lang w:eastAsia="es-MX"/>
        </w:rPr>
      </w:pPr>
    </w:p>
    <w:p w14:paraId="0340B58A" w14:textId="77777777" w:rsidR="00B70CDD" w:rsidRPr="005F52E0" w:rsidRDefault="00581849" w:rsidP="00C92D0F">
      <w:pPr>
        <w:pStyle w:val="Default"/>
        <w:jc w:val="both"/>
        <w:rPr>
          <w:sz w:val="22"/>
          <w:szCs w:val="22"/>
          <w:lang w:eastAsia="es-MX"/>
        </w:rPr>
      </w:pPr>
      <w:r>
        <w:rPr>
          <w:sz w:val="22"/>
          <w:szCs w:val="22"/>
          <w:lang w:eastAsia="es-MX"/>
        </w:rPr>
        <w:t>Las</w:t>
      </w:r>
      <w:r w:rsidR="003024B3">
        <w:rPr>
          <w:sz w:val="22"/>
          <w:szCs w:val="22"/>
          <w:lang w:eastAsia="es-MX"/>
        </w:rPr>
        <w:t xml:space="preserve"> mujeres </w:t>
      </w:r>
      <w:r>
        <w:rPr>
          <w:sz w:val="22"/>
          <w:szCs w:val="22"/>
          <w:lang w:eastAsia="es-MX"/>
        </w:rPr>
        <w:t xml:space="preserve">ocupadas </w:t>
      </w:r>
      <w:r w:rsidR="003024B3">
        <w:rPr>
          <w:sz w:val="22"/>
          <w:szCs w:val="22"/>
          <w:lang w:eastAsia="es-MX"/>
        </w:rPr>
        <w:t>representan</w:t>
      </w:r>
      <w:r w:rsidR="009F1076">
        <w:rPr>
          <w:sz w:val="22"/>
          <w:szCs w:val="22"/>
          <w:lang w:eastAsia="es-MX"/>
        </w:rPr>
        <w:t xml:space="preserve"> </w:t>
      </w:r>
      <w:r w:rsidR="003024B3">
        <w:rPr>
          <w:sz w:val="22"/>
          <w:szCs w:val="22"/>
          <w:lang w:eastAsia="es-MX"/>
        </w:rPr>
        <w:t xml:space="preserve">11.8% del total del personal </w:t>
      </w:r>
      <w:r w:rsidR="006E3ACE">
        <w:rPr>
          <w:sz w:val="22"/>
          <w:szCs w:val="22"/>
          <w:lang w:eastAsia="es-MX"/>
        </w:rPr>
        <w:t>de las empresas constructoras</w:t>
      </w:r>
      <w:r>
        <w:rPr>
          <w:sz w:val="22"/>
          <w:szCs w:val="22"/>
          <w:lang w:eastAsia="es-MX"/>
        </w:rPr>
        <w:t xml:space="preserve"> </w:t>
      </w:r>
      <w:r w:rsidR="009F1076">
        <w:rPr>
          <w:sz w:val="22"/>
          <w:szCs w:val="22"/>
          <w:lang w:eastAsia="es-MX"/>
        </w:rPr>
        <w:t>en</w:t>
      </w:r>
      <w:r>
        <w:rPr>
          <w:sz w:val="22"/>
          <w:szCs w:val="22"/>
          <w:lang w:eastAsia="es-MX"/>
        </w:rPr>
        <w:t xml:space="preserve"> 2020</w:t>
      </w:r>
      <w:r w:rsidR="006E3ACE">
        <w:rPr>
          <w:sz w:val="22"/>
          <w:szCs w:val="22"/>
          <w:lang w:eastAsia="es-MX"/>
        </w:rPr>
        <w:t>;</w:t>
      </w:r>
      <w:r w:rsidR="003024B3">
        <w:rPr>
          <w:sz w:val="22"/>
          <w:szCs w:val="22"/>
          <w:lang w:eastAsia="es-MX"/>
        </w:rPr>
        <w:t xml:space="preserve"> el </w:t>
      </w:r>
      <w:r w:rsidR="0044483C" w:rsidRPr="005F52E0">
        <w:rPr>
          <w:sz w:val="22"/>
          <w:szCs w:val="22"/>
          <w:lang w:eastAsia="es-MX"/>
        </w:rPr>
        <w:t xml:space="preserve">subsector económico </w:t>
      </w:r>
      <w:r w:rsidR="002016C5" w:rsidRPr="005F52E0">
        <w:rPr>
          <w:sz w:val="22"/>
          <w:szCs w:val="22"/>
          <w:lang w:eastAsia="es-MX"/>
        </w:rPr>
        <w:t xml:space="preserve">con mayor participación de </w:t>
      </w:r>
      <w:r w:rsidR="0044483C" w:rsidRPr="005F52E0">
        <w:rPr>
          <w:sz w:val="22"/>
          <w:szCs w:val="22"/>
          <w:lang w:eastAsia="es-MX"/>
        </w:rPr>
        <w:t xml:space="preserve">mujeres </w:t>
      </w:r>
      <w:r w:rsidR="003132B4" w:rsidRPr="005F52E0">
        <w:rPr>
          <w:sz w:val="22"/>
          <w:szCs w:val="22"/>
          <w:lang w:eastAsia="es-MX"/>
        </w:rPr>
        <w:t>es el de</w:t>
      </w:r>
      <w:r w:rsidR="002016C5" w:rsidRPr="005F52E0">
        <w:rPr>
          <w:sz w:val="22"/>
          <w:szCs w:val="22"/>
          <w:lang w:eastAsia="es-MX"/>
        </w:rPr>
        <w:t xml:space="preserve"> </w:t>
      </w:r>
      <w:r w:rsidR="006E3ACE">
        <w:rPr>
          <w:sz w:val="22"/>
          <w:szCs w:val="22"/>
          <w:lang w:eastAsia="es-MX"/>
        </w:rPr>
        <w:t>t</w:t>
      </w:r>
      <w:r w:rsidR="0044483C" w:rsidRPr="005F52E0">
        <w:rPr>
          <w:sz w:val="22"/>
          <w:szCs w:val="22"/>
          <w:lang w:eastAsia="es-MX"/>
        </w:rPr>
        <w:t>rabajos especializados para la construcción con</w:t>
      </w:r>
      <w:r w:rsidR="009F1076">
        <w:rPr>
          <w:sz w:val="22"/>
          <w:szCs w:val="22"/>
          <w:lang w:eastAsia="es-MX"/>
        </w:rPr>
        <w:t xml:space="preserve"> </w:t>
      </w:r>
      <w:r w:rsidR="0044483C" w:rsidRPr="005F52E0">
        <w:rPr>
          <w:sz w:val="22"/>
          <w:szCs w:val="22"/>
          <w:lang w:eastAsia="es-MX"/>
        </w:rPr>
        <w:t>13.7%</w:t>
      </w:r>
      <w:r w:rsidR="00773BBF" w:rsidRPr="005F52E0">
        <w:rPr>
          <w:sz w:val="22"/>
          <w:szCs w:val="22"/>
          <w:lang w:eastAsia="es-MX"/>
        </w:rPr>
        <w:t>,</w:t>
      </w:r>
      <w:r w:rsidR="002E57DB" w:rsidRPr="005F52E0">
        <w:rPr>
          <w:sz w:val="22"/>
          <w:szCs w:val="22"/>
          <w:lang w:eastAsia="es-MX"/>
        </w:rPr>
        <w:t xml:space="preserve"> seguido de</w:t>
      </w:r>
      <w:r w:rsidR="00CB2543" w:rsidRPr="005F52E0">
        <w:rPr>
          <w:sz w:val="22"/>
          <w:szCs w:val="22"/>
          <w:lang w:eastAsia="es-MX"/>
        </w:rPr>
        <w:t xml:space="preserve"> </w:t>
      </w:r>
      <w:r w:rsidR="006E3ACE">
        <w:rPr>
          <w:sz w:val="22"/>
          <w:szCs w:val="22"/>
          <w:lang w:eastAsia="es-MX"/>
        </w:rPr>
        <w:t>e</w:t>
      </w:r>
      <w:r w:rsidR="002E57DB" w:rsidRPr="005F52E0">
        <w:rPr>
          <w:sz w:val="22"/>
          <w:szCs w:val="22"/>
          <w:lang w:eastAsia="es-MX"/>
        </w:rPr>
        <w:t>dificación</w:t>
      </w:r>
      <w:r w:rsidR="003132B4" w:rsidRPr="005F52E0">
        <w:rPr>
          <w:sz w:val="22"/>
          <w:szCs w:val="22"/>
          <w:lang w:eastAsia="es-MX"/>
        </w:rPr>
        <w:t xml:space="preserve"> </w:t>
      </w:r>
      <w:r w:rsidR="009F1076">
        <w:rPr>
          <w:sz w:val="22"/>
          <w:szCs w:val="22"/>
          <w:lang w:eastAsia="es-MX"/>
        </w:rPr>
        <w:t xml:space="preserve">con </w:t>
      </w:r>
      <w:r w:rsidR="003132B4" w:rsidRPr="005F52E0">
        <w:rPr>
          <w:sz w:val="22"/>
          <w:szCs w:val="22"/>
          <w:lang w:eastAsia="es-MX"/>
        </w:rPr>
        <w:t>1</w:t>
      </w:r>
      <w:r w:rsidR="002016C5" w:rsidRPr="005F52E0">
        <w:rPr>
          <w:sz w:val="22"/>
          <w:szCs w:val="22"/>
          <w:lang w:eastAsia="es-MX"/>
        </w:rPr>
        <w:t>2.3</w:t>
      </w:r>
      <w:r w:rsidR="009E3FBB" w:rsidRPr="005F52E0">
        <w:rPr>
          <w:sz w:val="22"/>
          <w:szCs w:val="22"/>
          <w:lang w:eastAsia="es-MX"/>
        </w:rPr>
        <w:t xml:space="preserve">% y la </w:t>
      </w:r>
      <w:r w:rsidR="006E3ACE">
        <w:rPr>
          <w:sz w:val="22"/>
          <w:szCs w:val="22"/>
          <w:lang w:eastAsia="es-MX"/>
        </w:rPr>
        <w:t>c</w:t>
      </w:r>
      <w:r w:rsidR="009E3FBB" w:rsidRPr="005F52E0">
        <w:rPr>
          <w:sz w:val="22"/>
          <w:szCs w:val="22"/>
          <w:lang w:eastAsia="es-MX"/>
        </w:rPr>
        <w:t>onstrucción de ingeniería civil que representa</w:t>
      </w:r>
      <w:r w:rsidR="003132B4" w:rsidRPr="005F52E0">
        <w:rPr>
          <w:sz w:val="22"/>
          <w:szCs w:val="22"/>
          <w:lang w:eastAsia="es-MX"/>
        </w:rPr>
        <w:t xml:space="preserve"> </w:t>
      </w:r>
      <w:r w:rsidR="009E3FBB" w:rsidRPr="005F52E0">
        <w:rPr>
          <w:sz w:val="22"/>
          <w:szCs w:val="22"/>
          <w:lang w:eastAsia="es-MX"/>
        </w:rPr>
        <w:t>10.2</w:t>
      </w:r>
      <w:r w:rsidR="00CD1A4E" w:rsidRPr="005F52E0">
        <w:rPr>
          <w:sz w:val="22"/>
          <w:szCs w:val="22"/>
          <w:lang w:eastAsia="es-MX"/>
        </w:rPr>
        <w:t xml:space="preserve"> por ciento</w:t>
      </w:r>
      <w:r w:rsidR="002E57DB" w:rsidRPr="005F52E0">
        <w:rPr>
          <w:sz w:val="22"/>
          <w:szCs w:val="22"/>
          <w:lang w:eastAsia="es-MX"/>
        </w:rPr>
        <w:t>.</w:t>
      </w:r>
    </w:p>
    <w:p w14:paraId="6481272D" w14:textId="77777777" w:rsidR="00566C76" w:rsidRDefault="00566C76" w:rsidP="00C92D0F">
      <w:pPr>
        <w:pStyle w:val="Default"/>
        <w:jc w:val="both"/>
        <w:rPr>
          <w:b/>
          <w:color w:val="auto"/>
          <w:sz w:val="22"/>
          <w:szCs w:val="22"/>
          <w:lang w:eastAsia="es-MX"/>
        </w:rPr>
      </w:pPr>
    </w:p>
    <w:p w14:paraId="49C8E475" w14:textId="77777777" w:rsidR="005B6881" w:rsidRPr="00A44F59" w:rsidRDefault="00195DA0" w:rsidP="00B70CDD">
      <w:pPr>
        <w:pStyle w:val="Default"/>
        <w:rPr>
          <w:b/>
          <w:color w:val="auto"/>
          <w:sz w:val="22"/>
          <w:szCs w:val="22"/>
          <w:lang w:eastAsia="es-MX"/>
        </w:rPr>
      </w:pPr>
      <w:r>
        <w:rPr>
          <w:b/>
          <w:color w:val="auto"/>
          <w:sz w:val="22"/>
          <w:szCs w:val="22"/>
          <w:lang w:eastAsia="es-MX"/>
        </w:rPr>
        <w:t xml:space="preserve">                                                            </w:t>
      </w:r>
      <w:r w:rsidR="00B70CDD">
        <w:rPr>
          <w:b/>
          <w:color w:val="auto"/>
          <w:sz w:val="22"/>
          <w:szCs w:val="22"/>
          <w:lang w:eastAsia="es-MX"/>
        </w:rPr>
        <w:t xml:space="preserve">  </w:t>
      </w:r>
      <w:r w:rsidR="005B6881" w:rsidRPr="00A44F59">
        <w:rPr>
          <w:b/>
          <w:color w:val="auto"/>
          <w:sz w:val="22"/>
          <w:szCs w:val="22"/>
          <w:lang w:eastAsia="es-MX"/>
        </w:rPr>
        <w:t>Gráfic</w:t>
      </w:r>
      <w:r w:rsidR="00F562A2">
        <w:rPr>
          <w:b/>
          <w:color w:val="auto"/>
          <w:sz w:val="22"/>
          <w:szCs w:val="22"/>
          <w:lang w:eastAsia="es-MX"/>
        </w:rPr>
        <w:t>a</w:t>
      </w:r>
      <w:r w:rsidR="005B6881" w:rsidRPr="00A44F59">
        <w:rPr>
          <w:b/>
          <w:color w:val="auto"/>
          <w:sz w:val="22"/>
          <w:szCs w:val="22"/>
          <w:lang w:eastAsia="es-MX"/>
        </w:rPr>
        <w:t xml:space="preserve"> </w:t>
      </w:r>
      <w:r w:rsidR="00113322">
        <w:rPr>
          <w:b/>
          <w:color w:val="auto"/>
          <w:sz w:val="22"/>
          <w:szCs w:val="22"/>
          <w:lang w:eastAsia="es-MX"/>
        </w:rPr>
        <w:t>3</w:t>
      </w:r>
      <w:r w:rsidR="00D47598">
        <w:rPr>
          <w:b/>
          <w:color w:val="auto"/>
          <w:sz w:val="22"/>
          <w:szCs w:val="22"/>
          <w:lang w:eastAsia="es-MX"/>
        </w:rPr>
        <w:t xml:space="preserve"> </w:t>
      </w:r>
    </w:p>
    <w:p w14:paraId="3AF137B1" w14:textId="77777777" w:rsidR="00982528" w:rsidRDefault="003268FC" w:rsidP="005B6881">
      <w:pPr>
        <w:pStyle w:val="Default"/>
        <w:jc w:val="center"/>
        <w:rPr>
          <w:b/>
          <w:color w:val="auto"/>
          <w:sz w:val="22"/>
          <w:lang w:eastAsia="es-MX"/>
        </w:rPr>
      </w:pPr>
      <w:r>
        <w:rPr>
          <w:b/>
          <w:color w:val="auto"/>
          <w:sz w:val="22"/>
          <w:lang w:eastAsia="es-MX"/>
        </w:rPr>
        <w:t>Participación</w:t>
      </w:r>
      <w:r w:rsidR="005B6881" w:rsidRPr="005110B8">
        <w:rPr>
          <w:b/>
          <w:color w:val="auto"/>
          <w:sz w:val="22"/>
          <w:lang w:eastAsia="es-MX"/>
        </w:rPr>
        <w:t xml:space="preserve"> del personal ocupado total</w:t>
      </w:r>
      <w:r w:rsidR="005B6881">
        <w:rPr>
          <w:b/>
          <w:color w:val="auto"/>
          <w:sz w:val="22"/>
          <w:lang w:eastAsia="es-MX"/>
        </w:rPr>
        <w:t xml:space="preserve"> </w:t>
      </w:r>
      <w:r w:rsidR="003132B4">
        <w:rPr>
          <w:b/>
          <w:color w:val="auto"/>
          <w:sz w:val="22"/>
          <w:lang w:eastAsia="es-MX"/>
        </w:rPr>
        <w:t>de</w:t>
      </w:r>
      <w:r w:rsidR="00B70CDD">
        <w:rPr>
          <w:b/>
          <w:color w:val="auto"/>
          <w:sz w:val="22"/>
          <w:lang w:eastAsia="es-MX"/>
        </w:rPr>
        <w:t xml:space="preserve"> la</w:t>
      </w:r>
      <w:r>
        <w:rPr>
          <w:b/>
          <w:color w:val="auto"/>
          <w:sz w:val="22"/>
          <w:lang w:eastAsia="es-MX"/>
        </w:rPr>
        <w:t>s</w:t>
      </w:r>
      <w:r w:rsidR="00B70CDD">
        <w:rPr>
          <w:b/>
          <w:color w:val="auto"/>
          <w:sz w:val="22"/>
          <w:lang w:eastAsia="es-MX"/>
        </w:rPr>
        <w:t xml:space="preserve"> </w:t>
      </w:r>
      <w:r w:rsidR="003132B4">
        <w:rPr>
          <w:b/>
          <w:color w:val="auto"/>
          <w:sz w:val="22"/>
          <w:lang w:eastAsia="es-MX"/>
        </w:rPr>
        <w:t>e</w:t>
      </w:r>
      <w:r>
        <w:rPr>
          <w:b/>
          <w:color w:val="auto"/>
          <w:sz w:val="22"/>
          <w:lang w:eastAsia="es-MX"/>
        </w:rPr>
        <w:t>mpresas constructoras</w:t>
      </w:r>
      <w:r w:rsidR="005B6881">
        <w:rPr>
          <w:b/>
          <w:color w:val="auto"/>
          <w:sz w:val="22"/>
          <w:lang w:eastAsia="es-MX"/>
        </w:rPr>
        <w:t xml:space="preserve"> </w:t>
      </w:r>
    </w:p>
    <w:p w14:paraId="52F25D50" w14:textId="77777777" w:rsidR="005B6881" w:rsidRDefault="00982528" w:rsidP="005B6881">
      <w:pPr>
        <w:pStyle w:val="Default"/>
        <w:jc w:val="center"/>
        <w:rPr>
          <w:b/>
          <w:color w:val="auto"/>
          <w:sz w:val="22"/>
          <w:vertAlign w:val="superscript"/>
          <w:lang w:eastAsia="es-MX"/>
        </w:rPr>
      </w:pPr>
      <w:r>
        <w:rPr>
          <w:b/>
          <w:color w:val="auto"/>
          <w:sz w:val="22"/>
          <w:lang w:eastAsia="es-MX"/>
        </w:rPr>
        <w:t>por</w:t>
      </w:r>
      <w:r w:rsidR="005B6881">
        <w:rPr>
          <w:b/>
          <w:color w:val="auto"/>
          <w:sz w:val="22"/>
          <w:lang w:eastAsia="es-MX"/>
        </w:rPr>
        <w:t xml:space="preserve"> </w:t>
      </w:r>
      <w:r w:rsidR="005B6881" w:rsidRPr="005110B8">
        <w:rPr>
          <w:b/>
          <w:color w:val="auto"/>
          <w:sz w:val="22"/>
          <w:lang w:eastAsia="es-MX"/>
        </w:rPr>
        <w:t>sexo</w:t>
      </w:r>
      <w:r>
        <w:rPr>
          <w:b/>
          <w:color w:val="auto"/>
          <w:sz w:val="22"/>
          <w:lang w:eastAsia="es-MX"/>
        </w:rPr>
        <w:t xml:space="preserve"> y subsector, </w:t>
      </w:r>
      <w:r w:rsidR="005B6881">
        <w:rPr>
          <w:b/>
          <w:color w:val="auto"/>
          <w:sz w:val="22"/>
          <w:lang w:eastAsia="es-MX"/>
        </w:rPr>
        <w:t>2020</w:t>
      </w:r>
      <w:r w:rsidR="005B6881">
        <w:rPr>
          <w:b/>
          <w:color w:val="auto"/>
          <w:sz w:val="22"/>
          <w:vertAlign w:val="superscript"/>
          <w:lang w:eastAsia="es-MX"/>
        </w:rPr>
        <w:t>p/</w:t>
      </w:r>
    </w:p>
    <w:p w14:paraId="36F2A200" w14:textId="77777777" w:rsidR="00AF6C56" w:rsidRDefault="00AF6C56" w:rsidP="005B6881">
      <w:pPr>
        <w:pStyle w:val="Default"/>
        <w:jc w:val="center"/>
        <w:rPr>
          <w:b/>
          <w:color w:val="auto"/>
          <w:sz w:val="22"/>
          <w:lang w:eastAsia="es-MX"/>
        </w:rPr>
      </w:pPr>
      <w:r>
        <w:rPr>
          <w:b/>
          <w:color w:val="auto"/>
          <w:sz w:val="22"/>
          <w:lang w:eastAsia="es-MX"/>
        </w:rPr>
        <w:t>(P</w:t>
      </w:r>
      <w:r w:rsidRPr="00AF6C56">
        <w:rPr>
          <w:b/>
          <w:color w:val="auto"/>
          <w:sz w:val="22"/>
          <w:lang w:eastAsia="es-MX"/>
        </w:rPr>
        <w:t>orcentaje)</w:t>
      </w:r>
    </w:p>
    <w:p w14:paraId="153DAEF9" w14:textId="77777777" w:rsidR="005B6881" w:rsidRDefault="00351F4E" w:rsidP="009C09D4">
      <w:pPr>
        <w:pStyle w:val="Default"/>
        <w:jc w:val="center"/>
        <w:rPr>
          <w:noProof/>
          <w:lang w:eastAsia="es-MX"/>
        </w:rPr>
      </w:pPr>
      <w:r>
        <w:rPr>
          <w:noProof/>
          <w:lang w:eastAsia="es-MX"/>
        </w:rPr>
        <w:drawing>
          <wp:inline distT="0" distB="0" distL="0" distR="0" wp14:anchorId="2B8F4DB5" wp14:editId="33A4D140">
            <wp:extent cx="5612130" cy="2823210"/>
            <wp:effectExtent l="0" t="0" r="7620" b="0"/>
            <wp:docPr id="7" name="Gráfico 7">
              <a:extLst xmlns:a="http://schemas.openxmlformats.org/drawingml/2006/main">
                <a:ext uri="{FF2B5EF4-FFF2-40B4-BE49-F238E27FC236}">
                  <a16:creationId xmlns:a16="http://schemas.microsoft.com/office/drawing/2014/main" id="{2FB2CC28-70D9-47E3-8FCC-639C9301E3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A6E392E" w14:textId="77777777" w:rsidR="005B6881" w:rsidRDefault="005B6881" w:rsidP="00581849">
      <w:pPr>
        <w:pStyle w:val="Default"/>
        <w:ind w:left="709"/>
        <w:jc w:val="both"/>
        <w:rPr>
          <w:color w:val="auto"/>
          <w:sz w:val="16"/>
          <w:lang w:eastAsia="es-MX"/>
        </w:rPr>
      </w:pPr>
      <w:r>
        <w:rPr>
          <w:color w:val="auto"/>
          <w:sz w:val="16"/>
          <w:vertAlign w:val="superscript"/>
          <w:lang w:eastAsia="es-MX"/>
        </w:rPr>
        <w:t>p/</w:t>
      </w:r>
      <w:r w:rsidR="00AD1DD3">
        <w:rPr>
          <w:color w:val="auto"/>
          <w:sz w:val="16"/>
          <w:vertAlign w:val="superscript"/>
          <w:lang w:eastAsia="es-MX"/>
        </w:rPr>
        <w:t xml:space="preserve"> </w:t>
      </w:r>
      <w:r>
        <w:rPr>
          <w:color w:val="auto"/>
          <w:sz w:val="16"/>
          <w:lang w:eastAsia="es-MX"/>
        </w:rPr>
        <w:t>Cifras preliminares</w:t>
      </w:r>
      <w:r w:rsidR="00B14B1C">
        <w:rPr>
          <w:color w:val="auto"/>
          <w:sz w:val="16"/>
          <w:lang w:eastAsia="es-MX"/>
        </w:rPr>
        <w:t>.</w:t>
      </w:r>
      <w:r>
        <w:rPr>
          <w:color w:val="auto"/>
          <w:sz w:val="16"/>
          <w:lang w:eastAsia="es-MX"/>
        </w:rPr>
        <w:t xml:space="preserve"> </w:t>
      </w:r>
    </w:p>
    <w:p w14:paraId="719498C9" w14:textId="77777777" w:rsidR="005B6881" w:rsidRDefault="005B6881" w:rsidP="00581849">
      <w:pPr>
        <w:pStyle w:val="Default"/>
        <w:ind w:left="709"/>
        <w:jc w:val="both"/>
        <w:rPr>
          <w:b/>
          <w:color w:val="auto"/>
          <w:sz w:val="16"/>
          <w:lang w:eastAsia="es-MX"/>
        </w:rPr>
      </w:pPr>
      <w:r w:rsidRPr="00BF15FB">
        <w:rPr>
          <w:color w:val="auto"/>
          <w:sz w:val="16"/>
          <w:lang w:eastAsia="es-MX"/>
        </w:rPr>
        <w:t xml:space="preserve">Fuente: </w:t>
      </w:r>
      <w:r w:rsidRPr="00BF15FB">
        <w:rPr>
          <w:b/>
          <w:color w:val="auto"/>
          <w:sz w:val="16"/>
          <w:lang w:eastAsia="es-MX"/>
        </w:rPr>
        <w:t>INEGI</w:t>
      </w:r>
      <w:r w:rsidR="00B164D0">
        <w:rPr>
          <w:b/>
          <w:color w:val="auto"/>
          <w:sz w:val="16"/>
          <w:lang w:eastAsia="es-MX"/>
        </w:rPr>
        <w:t>.</w:t>
      </w:r>
    </w:p>
    <w:p w14:paraId="6CB6599E" w14:textId="77777777" w:rsidR="00D47598" w:rsidRDefault="00D47598" w:rsidP="00DC71A6">
      <w:pPr>
        <w:pStyle w:val="Default"/>
        <w:jc w:val="both"/>
        <w:rPr>
          <w:color w:val="auto"/>
          <w:sz w:val="22"/>
          <w:lang w:eastAsia="es-MX"/>
        </w:rPr>
      </w:pPr>
    </w:p>
    <w:p w14:paraId="2A98F351" w14:textId="77777777" w:rsidR="00D241C8" w:rsidRDefault="00D241C8" w:rsidP="00DC71A6">
      <w:pPr>
        <w:pStyle w:val="Default"/>
        <w:jc w:val="both"/>
        <w:rPr>
          <w:bCs/>
          <w:color w:val="auto"/>
          <w:sz w:val="22"/>
          <w:lang w:eastAsia="es-MX"/>
        </w:rPr>
      </w:pPr>
      <w:r>
        <w:rPr>
          <w:color w:val="auto"/>
          <w:sz w:val="22"/>
          <w:lang w:eastAsia="es-MX"/>
        </w:rPr>
        <w:t>La</w:t>
      </w:r>
      <w:r w:rsidR="00351F4E">
        <w:rPr>
          <w:color w:val="auto"/>
          <w:sz w:val="22"/>
          <w:lang w:eastAsia="es-MX"/>
        </w:rPr>
        <w:t>s</w:t>
      </w:r>
      <w:r>
        <w:rPr>
          <w:color w:val="auto"/>
          <w:sz w:val="22"/>
          <w:lang w:eastAsia="es-MX"/>
        </w:rPr>
        <w:t xml:space="preserve"> remuneraci</w:t>
      </w:r>
      <w:r w:rsidR="00351F4E">
        <w:rPr>
          <w:color w:val="auto"/>
          <w:sz w:val="22"/>
          <w:lang w:eastAsia="es-MX"/>
        </w:rPr>
        <w:t>ones</w:t>
      </w:r>
      <w:r w:rsidR="0040250E">
        <w:rPr>
          <w:color w:val="auto"/>
          <w:sz w:val="22"/>
          <w:lang w:eastAsia="es-MX"/>
        </w:rPr>
        <w:t xml:space="preserve"> media</w:t>
      </w:r>
      <w:r w:rsidR="00351F4E">
        <w:rPr>
          <w:color w:val="auto"/>
          <w:sz w:val="22"/>
          <w:lang w:eastAsia="es-MX"/>
        </w:rPr>
        <w:t>s anuales</w:t>
      </w:r>
      <w:r>
        <w:rPr>
          <w:color w:val="auto"/>
          <w:sz w:val="22"/>
          <w:lang w:eastAsia="es-MX"/>
        </w:rPr>
        <w:t xml:space="preserve"> aumenta</w:t>
      </w:r>
      <w:r w:rsidR="00351F4E">
        <w:rPr>
          <w:color w:val="auto"/>
          <w:sz w:val="22"/>
          <w:lang w:eastAsia="es-MX"/>
        </w:rPr>
        <w:t>n</w:t>
      </w:r>
      <w:r>
        <w:rPr>
          <w:color w:val="auto"/>
          <w:sz w:val="22"/>
          <w:lang w:eastAsia="es-MX"/>
        </w:rPr>
        <w:t xml:space="preserve"> 7.5% en </w:t>
      </w:r>
      <w:r w:rsidR="006E3ACE">
        <w:rPr>
          <w:color w:val="auto"/>
          <w:sz w:val="22"/>
          <w:lang w:eastAsia="es-MX"/>
        </w:rPr>
        <w:t>las empresas constructoras</w:t>
      </w:r>
      <w:r>
        <w:rPr>
          <w:color w:val="auto"/>
          <w:sz w:val="22"/>
          <w:lang w:eastAsia="es-MX"/>
        </w:rPr>
        <w:t xml:space="preserve"> durante 2020</w:t>
      </w:r>
      <w:r w:rsidR="006E3ACE">
        <w:rPr>
          <w:color w:val="auto"/>
          <w:sz w:val="22"/>
          <w:lang w:eastAsia="es-MX"/>
        </w:rPr>
        <w:t>;</w:t>
      </w:r>
      <w:r>
        <w:rPr>
          <w:color w:val="auto"/>
          <w:sz w:val="22"/>
          <w:lang w:eastAsia="es-MX"/>
        </w:rPr>
        <w:t xml:space="preserve"> el mayor </w:t>
      </w:r>
      <w:r w:rsidR="00111772">
        <w:rPr>
          <w:color w:val="auto"/>
          <w:sz w:val="22"/>
          <w:lang w:eastAsia="es-MX"/>
        </w:rPr>
        <w:t>incremento</w:t>
      </w:r>
      <w:r>
        <w:rPr>
          <w:color w:val="auto"/>
          <w:sz w:val="22"/>
          <w:lang w:eastAsia="es-MX"/>
        </w:rPr>
        <w:t xml:space="preserve"> se dio en </w:t>
      </w:r>
      <w:r w:rsidR="00111772">
        <w:rPr>
          <w:color w:val="auto"/>
          <w:sz w:val="22"/>
          <w:lang w:eastAsia="es-MX"/>
        </w:rPr>
        <w:t xml:space="preserve">el subsector </w:t>
      </w:r>
      <w:r w:rsidR="006E3ACE">
        <w:rPr>
          <w:bCs/>
          <w:color w:val="auto"/>
          <w:sz w:val="22"/>
          <w:lang w:eastAsia="es-MX"/>
        </w:rPr>
        <w:t>c</w:t>
      </w:r>
      <w:r w:rsidRPr="00D241C8">
        <w:rPr>
          <w:bCs/>
          <w:color w:val="auto"/>
          <w:sz w:val="22"/>
          <w:lang w:eastAsia="es-MX"/>
        </w:rPr>
        <w:t>onstrucción de obras de ingeniería civil</w:t>
      </w:r>
      <w:r>
        <w:rPr>
          <w:bCs/>
          <w:color w:val="auto"/>
          <w:sz w:val="22"/>
          <w:lang w:eastAsia="es-MX"/>
        </w:rPr>
        <w:t xml:space="preserve"> con 14.3 por ciento.</w:t>
      </w:r>
    </w:p>
    <w:p w14:paraId="48BB3A13" w14:textId="77777777" w:rsidR="0098408D" w:rsidRDefault="0098408D" w:rsidP="00DC71A6">
      <w:pPr>
        <w:pStyle w:val="Default"/>
        <w:jc w:val="both"/>
        <w:rPr>
          <w:color w:val="auto"/>
          <w:sz w:val="22"/>
          <w:lang w:eastAsia="es-MX"/>
        </w:rPr>
      </w:pPr>
    </w:p>
    <w:p w14:paraId="51AFC7F6" w14:textId="77777777" w:rsidR="00BC06C5" w:rsidRDefault="00BC06C5" w:rsidP="00BC06C5">
      <w:pPr>
        <w:pStyle w:val="Default"/>
        <w:jc w:val="center"/>
        <w:rPr>
          <w:color w:val="auto"/>
          <w:sz w:val="22"/>
          <w:lang w:eastAsia="es-MX"/>
        </w:rPr>
      </w:pPr>
      <w:r w:rsidRPr="005110B8">
        <w:rPr>
          <w:b/>
          <w:color w:val="auto"/>
          <w:sz w:val="22"/>
          <w:lang w:eastAsia="es-MX"/>
        </w:rPr>
        <w:t>Cuadro</w:t>
      </w:r>
      <w:r>
        <w:rPr>
          <w:b/>
          <w:color w:val="auto"/>
          <w:sz w:val="22"/>
          <w:lang w:eastAsia="es-MX"/>
        </w:rPr>
        <w:t xml:space="preserve"> 4</w:t>
      </w:r>
    </w:p>
    <w:p w14:paraId="5F971922" w14:textId="77777777" w:rsidR="004E37D0" w:rsidRDefault="0040250E" w:rsidP="004E37D0">
      <w:pPr>
        <w:pStyle w:val="Default"/>
        <w:jc w:val="center"/>
        <w:rPr>
          <w:b/>
          <w:color w:val="auto"/>
          <w:sz w:val="22"/>
          <w:lang w:eastAsia="es-MX"/>
        </w:rPr>
      </w:pPr>
      <w:r>
        <w:rPr>
          <w:b/>
          <w:color w:val="auto"/>
          <w:sz w:val="22"/>
          <w:lang w:eastAsia="es-MX"/>
        </w:rPr>
        <w:t xml:space="preserve">Remuneraciones medias </w:t>
      </w:r>
      <w:r w:rsidR="009731DF">
        <w:rPr>
          <w:b/>
          <w:color w:val="auto"/>
          <w:sz w:val="22"/>
          <w:lang w:eastAsia="es-MX"/>
        </w:rPr>
        <w:t xml:space="preserve">anuales por persona </w:t>
      </w:r>
      <w:r>
        <w:rPr>
          <w:b/>
          <w:color w:val="auto"/>
          <w:sz w:val="22"/>
          <w:lang w:eastAsia="es-MX"/>
        </w:rPr>
        <w:t>de</w:t>
      </w:r>
      <w:r w:rsidR="00BC06C5" w:rsidRPr="00BC06C5">
        <w:rPr>
          <w:b/>
          <w:color w:val="auto"/>
          <w:sz w:val="22"/>
          <w:lang w:eastAsia="es-MX"/>
        </w:rPr>
        <w:t xml:space="preserve"> las empresas constructoras</w:t>
      </w:r>
    </w:p>
    <w:p w14:paraId="42AC155A" w14:textId="77777777" w:rsidR="00903A81" w:rsidRDefault="00BC06C5" w:rsidP="004E37D0">
      <w:pPr>
        <w:pStyle w:val="Default"/>
        <w:jc w:val="center"/>
        <w:rPr>
          <w:b/>
          <w:color w:val="auto"/>
          <w:sz w:val="22"/>
          <w:lang w:eastAsia="es-MX"/>
        </w:rPr>
      </w:pPr>
      <w:r w:rsidRPr="00BC06C5">
        <w:rPr>
          <w:b/>
          <w:color w:val="auto"/>
          <w:sz w:val="22"/>
          <w:lang w:eastAsia="es-MX"/>
        </w:rPr>
        <w:t>por subsector</w:t>
      </w:r>
    </w:p>
    <w:p w14:paraId="5EBBFC07" w14:textId="77777777" w:rsidR="009A40C0" w:rsidRPr="00BC06C5" w:rsidRDefault="009A40C0" w:rsidP="004E37D0">
      <w:pPr>
        <w:pStyle w:val="Default"/>
        <w:jc w:val="center"/>
        <w:rPr>
          <w:b/>
          <w:color w:val="auto"/>
          <w:sz w:val="22"/>
          <w:lang w:eastAsia="es-MX"/>
        </w:rPr>
      </w:pPr>
      <w:r>
        <w:rPr>
          <w:b/>
          <w:color w:val="auto"/>
          <w:sz w:val="22"/>
          <w:lang w:eastAsia="es-MX"/>
        </w:rPr>
        <w:t>(Pesos corrientes)</w:t>
      </w:r>
    </w:p>
    <w:tbl>
      <w:tblPr>
        <w:tblW w:w="8215" w:type="dxa"/>
        <w:jc w:val="center"/>
        <w:tblCellMar>
          <w:left w:w="70" w:type="dxa"/>
          <w:right w:w="70" w:type="dxa"/>
        </w:tblCellMar>
        <w:tblLook w:val="04A0" w:firstRow="1" w:lastRow="0" w:firstColumn="1" w:lastColumn="0" w:noHBand="0" w:noVBand="1"/>
      </w:tblPr>
      <w:tblGrid>
        <w:gridCol w:w="4664"/>
        <w:gridCol w:w="1313"/>
        <w:gridCol w:w="1167"/>
        <w:gridCol w:w="1071"/>
      </w:tblGrid>
      <w:tr w:rsidR="00BC06C5" w:rsidRPr="00903A81" w14:paraId="0984D31E" w14:textId="77777777" w:rsidTr="0098408D">
        <w:trPr>
          <w:trHeight w:val="841"/>
          <w:jc w:val="center"/>
        </w:trPr>
        <w:tc>
          <w:tcPr>
            <w:tcW w:w="4664"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hideMark/>
          </w:tcPr>
          <w:p w14:paraId="6CC08CAE" w14:textId="77777777" w:rsidR="00903A81" w:rsidRPr="00903A81" w:rsidRDefault="004E37D0" w:rsidP="004E37D0">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Sector y s</w:t>
            </w:r>
            <w:r w:rsidR="00903A81" w:rsidRPr="00903A81">
              <w:rPr>
                <w:rFonts w:ascii="Arial" w:eastAsia="Times New Roman" w:hAnsi="Arial" w:cs="Arial"/>
                <w:b/>
                <w:bCs/>
                <w:color w:val="000000"/>
                <w:sz w:val="20"/>
                <w:szCs w:val="20"/>
                <w:lang w:eastAsia="es-MX"/>
              </w:rPr>
              <w:t>ubsector</w:t>
            </w:r>
          </w:p>
        </w:tc>
        <w:tc>
          <w:tcPr>
            <w:tcW w:w="1313" w:type="dxa"/>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31E1DDE2" w14:textId="77777777" w:rsidR="00903A81" w:rsidRPr="00903A81" w:rsidRDefault="00903A81" w:rsidP="00903A81">
            <w:pPr>
              <w:spacing w:after="0" w:line="240" w:lineRule="auto"/>
              <w:jc w:val="center"/>
              <w:rPr>
                <w:rFonts w:ascii="Arial" w:eastAsia="Times New Roman" w:hAnsi="Arial" w:cs="Arial"/>
                <w:b/>
                <w:bCs/>
                <w:sz w:val="20"/>
                <w:szCs w:val="20"/>
                <w:lang w:eastAsia="es-MX"/>
              </w:rPr>
            </w:pPr>
            <w:r w:rsidRPr="00903A81">
              <w:rPr>
                <w:rFonts w:ascii="Arial" w:eastAsia="Times New Roman" w:hAnsi="Arial" w:cs="Arial"/>
                <w:b/>
                <w:bCs/>
                <w:sz w:val="20"/>
                <w:szCs w:val="20"/>
                <w:lang w:eastAsia="es-MX"/>
              </w:rPr>
              <w:t>2019</w:t>
            </w:r>
          </w:p>
        </w:tc>
        <w:tc>
          <w:tcPr>
            <w:tcW w:w="1167" w:type="dxa"/>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4109E584" w14:textId="77777777" w:rsidR="00903A81" w:rsidRPr="00903A81" w:rsidRDefault="00903A81" w:rsidP="0040250E">
            <w:pPr>
              <w:spacing w:after="0" w:line="240" w:lineRule="auto"/>
              <w:jc w:val="center"/>
              <w:rPr>
                <w:rFonts w:ascii="Arial" w:eastAsia="Times New Roman" w:hAnsi="Arial" w:cs="Arial"/>
                <w:b/>
                <w:bCs/>
                <w:sz w:val="20"/>
                <w:szCs w:val="20"/>
                <w:lang w:eastAsia="es-MX"/>
              </w:rPr>
            </w:pPr>
            <w:r w:rsidRPr="00903A81">
              <w:rPr>
                <w:rFonts w:ascii="Arial" w:eastAsia="Times New Roman" w:hAnsi="Arial" w:cs="Arial"/>
                <w:b/>
                <w:bCs/>
                <w:sz w:val="20"/>
                <w:szCs w:val="20"/>
                <w:lang w:eastAsia="es-MX"/>
              </w:rPr>
              <w:t>2020</w:t>
            </w:r>
            <w:r w:rsidR="0040250E">
              <w:rPr>
                <w:rFonts w:ascii="Arial" w:eastAsia="Times New Roman" w:hAnsi="Arial" w:cs="Arial"/>
                <w:b/>
                <w:bCs/>
                <w:sz w:val="20"/>
                <w:szCs w:val="20"/>
                <w:vertAlign w:val="superscript"/>
                <w:lang w:eastAsia="es-MX"/>
              </w:rPr>
              <w:t>p</w:t>
            </w:r>
            <w:r w:rsidRPr="00903A81">
              <w:rPr>
                <w:rFonts w:ascii="Arial" w:eastAsia="Times New Roman" w:hAnsi="Arial" w:cs="Arial"/>
                <w:b/>
                <w:bCs/>
                <w:sz w:val="20"/>
                <w:szCs w:val="20"/>
                <w:vertAlign w:val="superscript"/>
                <w:lang w:eastAsia="es-MX"/>
              </w:rPr>
              <w:t>/</w:t>
            </w:r>
          </w:p>
        </w:tc>
        <w:tc>
          <w:tcPr>
            <w:tcW w:w="1071"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14:paraId="33B6DE8F" w14:textId="77777777" w:rsidR="00903A81" w:rsidRPr="00903A81" w:rsidRDefault="00903A81" w:rsidP="00903A81">
            <w:pPr>
              <w:spacing w:after="0" w:line="240" w:lineRule="auto"/>
              <w:jc w:val="center"/>
              <w:rPr>
                <w:rFonts w:ascii="Arial" w:eastAsia="Times New Roman" w:hAnsi="Arial" w:cs="Arial"/>
                <w:b/>
                <w:bCs/>
                <w:sz w:val="20"/>
                <w:szCs w:val="20"/>
                <w:lang w:eastAsia="es-MX"/>
              </w:rPr>
            </w:pPr>
            <w:r w:rsidRPr="00903A81">
              <w:rPr>
                <w:rFonts w:ascii="Arial" w:eastAsia="Times New Roman" w:hAnsi="Arial" w:cs="Arial"/>
                <w:b/>
                <w:bCs/>
                <w:sz w:val="20"/>
                <w:szCs w:val="20"/>
                <w:lang w:eastAsia="es-MX"/>
              </w:rPr>
              <w:t>Variación anual</w:t>
            </w:r>
            <w:r w:rsidRPr="00903A81">
              <w:rPr>
                <w:rFonts w:ascii="Arial" w:eastAsia="Times New Roman" w:hAnsi="Arial" w:cs="Arial"/>
                <w:b/>
                <w:bCs/>
                <w:sz w:val="20"/>
                <w:szCs w:val="20"/>
                <w:lang w:eastAsia="es-MX"/>
              </w:rPr>
              <w:br/>
              <w:t xml:space="preserve"> (%)</w:t>
            </w:r>
          </w:p>
        </w:tc>
      </w:tr>
      <w:tr w:rsidR="00BC06C5" w:rsidRPr="00903A81" w14:paraId="07236653" w14:textId="77777777" w:rsidTr="0098408D">
        <w:trPr>
          <w:trHeight w:val="305"/>
          <w:jc w:val="center"/>
        </w:trPr>
        <w:tc>
          <w:tcPr>
            <w:tcW w:w="4664" w:type="dxa"/>
            <w:tcBorders>
              <w:top w:val="nil"/>
              <w:left w:val="single" w:sz="4" w:space="0" w:color="auto"/>
              <w:bottom w:val="single" w:sz="4" w:space="0" w:color="auto"/>
              <w:right w:val="single" w:sz="4" w:space="0" w:color="auto"/>
            </w:tcBorders>
            <w:shd w:val="clear" w:color="auto" w:fill="auto"/>
            <w:noWrap/>
            <w:vAlign w:val="center"/>
            <w:hideMark/>
          </w:tcPr>
          <w:p w14:paraId="47A3DE18" w14:textId="77777777" w:rsidR="00903A81" w:rsidRPr="00903A81" w:rsidRDefault="00903A81" w:rsidP="00DE5673">
            <w:pPr>
              <w:spacing w:after="0" w:line="240" w:lineRule="auto"/>
              <w:jc w:val="both"/>
              <w:rPr>
                <w:rFonts w:ascii="Arial" w:eastAsia="Times New Roman" w:hAnsi="Arial" w:cs="Arial"/>
                <w:b/>
                <w:bCs/>
                <w:sz w:val="20"/>
                <w:szCs w:val="20"/>
                <w:lang w:eastAsia="es-MX"/>
              </w:rPr>
            </w:pPr>
            <w:r w:rsidRPr="00903A81">
              <w:rPr>
                <w:rFonts w:ascii="Arial" w:eastAsia="Times New Roman" w:hAnsi="Arial" w:cs="Arial"/>
                <w:b/>
                <w:bCs/>
                <w:sz w:val="20"/>
                <w:szCs w:val="20"/>
                <w:lang w:eastAsia="es-MX"/>
              </w:rPr>
              <w:t xml:space="preserve">23 </w:t>
            </w:r>
            <w:proofErr w:type="gramStart"/>
            <w:r w:rsidRPr="00903A81">
              <w:rPr>
                <w:rFonts w:ascii="Arial" w:eastAsia="Times New Roman" w:hAnsi="Arial" w:cs="Arial"/>
                <w:b/>
                <w:bCs/>
                <w:sz w:val="20"/>
                <w:szCs w:val="20"/>
                <w:lang w:eastAsia="es-MX"/>
              </w:rPr>
              <w:t>Construcción</w:t>
            </w:r>
            <w:proofErr w:type="gramEnd"/>
          </w:p>
        </w:tc>
        <w:tc>
          <w:tcPr>
            <w:tcW w:w="1313" w:type="dxa"/>
            <w:tcBorders>
              <w:top w:val="nil"/>
              <w:left w:val="nil"/>
              <w:bottom w:val="single" w:sz="4" w:space="0" w:color="auto"/>
              <w:right w:val="single" w:sz="4" w:space="0" w:color="auto"/>
            </w:tcBorders>
            <w:shd w:val="clear" w:color="auto" w:fill="auto"/>
            <w:noWrap/>
            <w:vAlign w:val="center"/>
            <w:hideMark/>
          </w:tcPr>
          <w:p w14:paraId="748C2165" w14:textId="77777777" w:rsidR="00903A81" w:rsidRPr="00903A81" w:rsidRDefault="00903A81" w:rsidP="00DE5673">
            <w:pPr>
              <w:spacing w:after="0" w:line="240" w:lineRule="auto"/>
              <w:jc w:val="right"/>
              <w:rPr>
                <w:rFonts w:ascii="Arial" w:eastAsia="Times New Roman" w:hAnsi="Arial" w:cs="Arial"/>
                <w:b/>
                <w:bCs/>
                <w:sz w:val="20"/>
                <w:szCs w:val="20"/>
                <w:lang w:eastAsia="es-MX"/>
              </w:rPr>
            </w:pPr>
            <w:r w:rsidRPr="00903A81">
              <w:rPr>
                <w:rFonts w:ascii="Arial" w:eastAsia="Times New Roman" w:hAnsi="Arial" w:cs="Arial"/>
                <w:b/>
                <w:bCs/>
                <w:sz w:val="20"/>
                <w:szCs w:val="20"/>
                <w:lang w:eastAsia="es-MX"/>
              </w:rPr>
              <w:t>107</w:t>
            </w:r>
            <w:r w:rsidR="009F1076">
              <w:rPr>
                <w:rFonts w:ascii="Arial" w:eastAsia="Times New Roman" w:hAnsi="Arial" w:cs="Arial"/>
                <w:b/>
                <w:bCs/>
                <w:sz w:val="20"/>
                <w:szCs w:val="20"/>
                <w:lang w:eastAsia="es-MX"/>
              </w:rPr>
              <w:t xml:space="preserve"> </w:t>
            </w:r>
            <w:r w:rsidRPr="00903A81">
              <w:rPr>
                <w:rFonts w:ascii="Arial" w:eastAsia="Times New Roman" w:hAnsi="Arial" w:cs="Arial"/>
                <w:b/>
                <w:bCs/>
                <w:sz w:val="20"/>
                <w:szCs w:val="20"/>
                <w:lang w:eastAsia="es-MX"/>
              </w:rPr>
              <w:t>601</w:t>
            </w:r>
          </w:p>
        </w:tc>
        <w:tc>
          <w:tcPr>
            <w:tcW w:w="1167" w:type="dxa"/>
            <w:tcBorders>
              <w:top w:val="nil"/>
              <w:left w:val="nil"/>
              <w:bottom w:val="single" w:sz="4" w:space="0" w:color="auto"/>
              <w:right w:val="single" w:sz="4" w:space="0" w:color="auto"/>
            </w:tcBorders>
            <w:shd w:val="clear" w:color="auto" w:fill="auto"/>
            <w:noWrap/>
            <w:vAlign w:val="center"/>
            <w:hideMark/>
          </w:tcPr>
          <w:p w14:paraId="3EEA285C" w14:textId="77777777" w:rsidR="00903A81" w:rsidRPr="00903A81" w:rsidRDefault="00903A81" w:rsidP="00DE5673">
            <w:pPr>
              <w:spacing w:after="0" w:line="240" w:lineRule="auto"/>
              <w:jc w:val="right"/>
              <w:rPr>
                <w:rFonts w:ascii="Arial" w:eastAsia="Times New Roman" w:hAnsi="Arial" w:cs="Arial"/>
                <w:b/>
                <w:bCs/>
                <w:sz w:val="20"/>
                <w:szCs w:val="20"/>
                <w:lang w:eastAsia="es-MX"/>
              </w:rPr>
            </w:pPr>
            <w:r w:rsidRPr="00903A81">
              <w:rPr>
                <w:rFonts w:ascii="Arial" w:eastAsia="Times New Roman" w:hAnsi="Arial" w:cs="Arial"/>
                <w:b/>
                <w:bCs/>
                <w:sz w:val="20"/>
                <w:szCs w:val="20"/>
                <w:lang w:eastAsia="es-MX"/>
              </w:rPr>
              <w:t>115</w:t>
            </w:r>
            <w:r w:rsidR="009F1076">
              <w:rPr>
                <w:rFonts w:ascii="Arial" w:eastAsia="Times New Roman" w:hAnsi="Arial" w:cs="Arial"/>
                <w:b/>
                <w:bCs/>
                <w:sz w:val="20"/>
                <w:szCs w:val="20"/>
                <w:lang w:eastAsia="es-MX"/>
              </w:rPr>
              <w:t xml:space="preserve"> </w:t>
            </w:r>
            <w:r w:rsidRPr="00903A81">
              <w:rPr>
                <w:rFonts w:ascii="Arial" w:eastAsia="Times New Roman" w:hAnsi="Arial" w:cs="Arial"/>
                <w:b/>
                <w:bCs/>
                <w:sz w:val="20"/>
                <w:szCs w:val="20"/>
                <w:lang w:eastAsia="es-MX"/>
              </w:rPr>
              <w:t>719</w:t>
            </w:r>
          </w:p>
        </w:tc>
        <w:tc>
          <w:tcPr>
            <w:tcW w:w="1071" w:type="dxa"/>
            <w:tcBorders>
              <w:top w:val="nil"/>
              <w:left w:val="nil"/>
              <w:bottom w:val="single" w:sz="4" w:space="0" w:color="auto"/>
              <w:right w:val="single" w:sz="4" w:space="0" w:color="auto"/>
            </w:tcBorders>
            <w:shd w:val="clear" w:color="auto" w:fill="auto"/>
            <w:noWrap/>
            <w:vAlign w:val="center"/>
            <w:hideMark/>
          </w:tcPr>
          <w:p w14:paraId="381B3740" w14:textId="77777777" w:rsidR="00903A81" w:rsidRPr="00903A81" w:rsidRDefault="00903A81" w:rsidP="00DE5673">
            <w:pPr>
              <w:spacing w:after="0" w:line="240" w:lineRule="auto"/>
              <w:jc w:val="right"/>
              <w:rPr>
                <w:rFonts w:ascii="Arial" w:eastAsia="Times New Roman" w:hAnsi="Arial" w:cs="Arial"/>
                <w:b/>
                <w:bCs/>
                <w:sz w:val="20"/>
                <w:szCs w:val="20"/>
                <w:lang w:eastAsia="es-MX"/>
              </w:rPr>
            </w:pPr>
            <w:r w:rsidRPr="00903A81">
              <w:rPr>
                <w:rFonts w:ascii="Arial" w:eastAsia="Times New Roman" w:hAnsi="Arial" w:cs="Arial"/>
                <w:b/>
                <w:bCs/>
                <w:sz w:val="20"/>
                <w:szCs w:val="20"/>
                <w:lang w:eastAsia="es-MX"/>
              </w:rPr>
              <w:t>7.5</w:t>
            </w:r>
          </w:p>
        </w:tc>
      </w:tr>
      <w:tr w:rsidR="00BC06C5" w:rsidRPr="00903A81" w14:paraId="0467CA81" w14:textId="77777777" w:rsidTr="0098408D">
        <w:trPr>
          <w:trHeight w:val="255"/>
          <w:jc w:val="center"/>
        </w:trPr>
        <w:tc>
          <w:tcPr>
            <w:tcW w:w="4664" w:type="dxa"/>
            <w:tcBorders>
              <w:top w:val="nil"/>
              <w:left w:val="single" w:sz="4" w:space="0" w:color="auto"/>
              <w:bottom w:val="single" w:sz="4" w:space="0" w:color="auto"/>
              <w:right w:val="single" w:sz="4" w:space="0" w:color="auto"/>
            </w:tcBorders>
            <w:shd w:val="clear" w:color="auto" w:fill="auto"/>
            <w:noWrap/>
            <w:vAlign w:val="center"/>
            <w:hideMark/>
          </w:tcPr>
          <w:p w14:paraId="741929FC" w14:textId="77777777" w:rsidR="00903A81" w:rsidRPr="004E37D0" w:rsidRDefault="00903A81" w:rsidP="00DE5673">
            <w:pPr>
              <w:spacing w:after="0" w:line="240" w:lineRule="auto"/>
              <w:jc w:val="both"/>
              <w:rPr>
                <w:rFonts w:ascii="Arial" w:eastAsia="Times New Roman" w:hAnsi="Arial" w:cs="Arial"/>
                <w:bCs/>
                <w:color w:val="000000"/>
                <w:sz w:val="20"/>
                <w:szCs w:val="20"/>
                <w:lang w:eastAsia="es-MX"/>
              </w:rPr>
            </w:pPr>
            <w:r w:rsidRPr="004E37D0">
              <w:rPr>
                <w:rFonts w:ascii="Arial" w:eastAsia="Times New Roman" w:hAnsi="Arial" w:cs="Arial"/>
                <w:bCs/>
                <w:color w:val="000000"/>
                <w:sz w:val="20"/>
                <w:szCs w:val="20"/>
                <w:lang w:eastAsia="es-MX"/>
              </w:rPr>
              <w:t xml:space="preserve">236 </w:t>
            </w:r>
            <w:proofErr w:type="gramStart"/>
            <w:r w:rsidRPr="004E37D0">
              <w:rPr>
                <w:rFonts w:ascii="Arial" w:eastAsia="Times New Roman" w:hAnsi="Arial" w:cs="Arial"/>
                <w:bCs/>
                <w:color w:val="000000"/>
                <w:sz w:val="20"/>
                <w:szCs w:val="20"/>
                <w:lang w:eastAsia="es-MX"/>
              </w:rPr>
              <w:t>Edificación</w:t>
            </w:r>
            <w:proofErr w:type="gramEnd"/>
          </w:p>
        </w:tc>
        <w:tc>
          <w:tcPr>
            <w:tcW w:w="1313" w:type="dxa"/>
            <w:tcBorders>
              <w:top w:val="nil"/>
              <w:left w:val="nil"/>
              <w:bottom w:val="single" w:sz="4" w:space="0" w:color="auto"/>
              <w:right w:val="single" w:sz="4" w:space="0" w:color="auto"/>
            </w:tcBorders>
            <w:shd w:val="clear" w:color="auto" w:fill="auto"/>
            <w:noWrap/>
            <w:vAlign w:val="center"/>
            <w:hideMark/>
          </w:tcPr>
          <w:p w14:paraId="046C8C5B" w14:textId="77777777" w:rsidR="00903A81" w:rsidRPr="00903A81" w:rsidRDefault="00903A81" w:rsidP="00DE5673">
            <w:pPr>
              <w:spacing w:after="0" w:line="240" w:lineRule="auto"/>
              <w:jc w:val="right"/>
              <w:rPr>
                <w:rFonts w:ascii="Arial" w:eastAsia="Times New Roman" w:hAnsi="Arial" w:cs="Arial"/>
                <w:sz w:val="20"/>
                <w:szCs w:val="20"/>
                <w:lang w:eastAsia="es-MX"/>
              </w:rPr>
            </w:pPr>
            <w:r w:rsidRPr="00903A81">
              <w:rPr>
                <w:rFonts w:ascii="Arial" w:eastAsia="Times New Roman" w:hAnsi="Arial" w:cs="Arial"/>
                <w:sz w:val="20"/>
                <w:szCs w:val="20"/>
                <w:lang w:eastAsia="es-MX"/>
              </w:rPr>
              <w:t>99</w:t>
            </w:r>
            <w:r w:rsidR="009F1076">
              <w:rPr>
                <w:rFonts w:ascii="Arial" w:eastAsia="Times New Roman" w:hAnsi="Arial" w:cs="Arial"/>
                <w:sz w:val="20"/>
                <w:szCs w:val="20"/>
                <w:lang w:eastAsia="es-MX"/>
              </w:rPr>
              <w:t xml:space="preserve"> </w:t>
            </w:r>
            <w:r w:rsidRPr="00903A81">
              <w:rPr>
                <w:rFonts w:ascii="Arial" w:eastAsia="Times New Roman" w:hAnsi="Arial" w:cs="Arial"/>
                <w:sz w:val="20"/>
                <w:szCs w:val="20"/>
                <w:lang w:eastAsia="es-MX"/>
              </w:rPr>
              <w:t>046</w:t>
            </w:r>
          </w:p>
        </w:tc>
        <w:tc>
          <w:tcPr>
            <w:tcW w:w="1167" w:type="dxa"/>
            <w:tcBorders>
              <w:top w:val="nil"/>
              <w:left w:val="nil"/>
              <w:bottom w:val="single" w:sz="4" w:space="0" w:color="auto"/>
              <w:right w:val="single" w:sz="4" w:space="0" w:color="auto"/>
            </w:tcBorders>
            <w:shd w:val="clear" w:color="auto" w:fill="auto"/>
            <w:noWrap/>
            <w:vAlign w:val="center"/>
            <w:hideMark/>
          </w:tcPr>
          <w:p w14:paraId="5351306F" w14:textId="77777777" w:rsidR="00903A81" w:rsidRPr="00903A81" w:rsidRDefault="00903A81" w:rsidP="00DE5673">
            <w:pPr>
              <w:spacing w:after="0" w:line="240" w:lineRule="auto"/>
              <w:jc w:val="right"/>
              <w:rPr>
                <w:rFonts w:ascii="Arial" w:eastAsia="Times New Roman" w:hAnsi="Arial" w:cs="Arial"/>
                <w:sz w:val="20"/>
                <w:szCs w:val="20"/>
                <w:lang w:eastAsia="es-MX"/>
              </w:rPr>
            </w:pPr>
            <w:r w:rsidRPr="00903A81">
              <w:rPr>
                <w:rFonts w:ascii="Arial" w:eastAsia="Times New Roman" w:hAnsi="Arial" w:cs="Arial"/>
                <w:sz w:val="20"/>
                <w:szCs w:val="20"/>
                <w:lang w:eastAsia="es-MX"/>
              </w:rPr>
              <w:t>102</w:t>
            </w:r>
            <w:r w:rsidR="009F1076">
              <w:rPr>
                <w:rFonts w:ascii="Arial" w:eastAsia="Times New Roman" w:hAnsi="Arial" w:cs="Arial"/>
                <w:sz w:val="20"/>
                <w:szCs w:val="20"/>
                <w:lang w:eastAsia="es-MX"/>
              </w:rPr>
              <w:t xml:space="preserve"> </w:t>
            </w:r>
            <w:r w:rsidRPr="00903A81">
              <w:rPr>
                <w:rFonts w:ascii="Arial" w:eastAsia="Times New Roman" w:hAnsi="Arial" w:cs="Arial"/>
                <w:sz w:val="20"/>
                <w:szCs w:val="20"/>
                <w:lang w:eastAsia="es-MX"/>
              </w:rPr>
              <w:t>476</w:t>
            </w:r>
          </w:p>
        </w:tc>
        <w:tc>
          <w:tcPr>
            <w:tcW w:w="1071" w:type="dxa"/>
            <w:tcBorders>
              <w:top w:val="nil"/>
              <w:left w:val="nil"/>
              <w:bottom w:val="single" w:sz="4" w:space="0" w:color="auto"/>
              <w:right w:val="single" w:sz="4" w:space="0" w:color="auto"/>
            </w:tcBorders>
            <w:shd w:val="clear" w:color="auto" w:fill="auto"/>
            <w:noWrap/>
            <w:vAlign w:val="center"/>
            <w:hideMark/>
          </w:tcPr>
          <w:p w14:paraId="6CBC070F" w14:textId="77777777" w:rsidR="00903A81" w:rsidRPr="00903A81" w:rsidRDefault="00903A81" w:rsidP="00DE5673">
            <w:pPr>
              <w:spacing w:after="0" w:line="240" w:lineRule="auto"/>
              <w:jc w:val="right"/>
              <w:rPr>
                <w:rFonts w:ascii="Arial" w:eastAsia="Times New Roman" w:hAnsi="Arial" w:cs="Arial"/>
                <w:sz w:val="20"/>
                <w:szCs w:val="20"/>
                <w:lang w:eastAsia="es-MX"/>
              </w:rPr>
            </w:pPr>
            <w:r w:rsidRPr="00903A81">
              <w:rPr>
                <w:rFonts w:ascii="Arial" w:eastAsia="Times New Roman" w:hAnsi="Arial" w:cs="Arial"/>
                <w:sz w:val="20"/>
                <w:szCs w:val="20"/>
                <w:lang w:eastAsia="es-MX"/>
              </w:rPr>
              <w:t>3.5</w:t>
            </w:r>
          </w:p>
        </w:tc>
      </w:tr>
      <w:tr w:rsidR="00BC06C5" w:rsidRPr="00903A81" w14:paraId="449B872B" w14:textId="77777777" w:rsidTr="0098408D">
        <w:trPr>
          <w:trHeight w:val="274"/>
          <w:jc w:val="center"/>
        </w:trPr>
        <w:tc>
          <w:tcPr>
            <w:tcW w:w="4664" w:type="dxa"/>
            <w:tcBorders>
              <w:top w:val="nil"/>
              <w:left w:val="single" w:sz="4" w:space="0" w:color="auto"/>
              <w:bottom w:val="single" w:sz="4" w:space="0" w:color="auto"/>
              <w:right w:val="single" w:sz="4" w:space="0" w:color="auto"/>
            </w:tcBorders>
            <w:shd w:val="clear" w:color="auto" w:fill="auto"/>
            <w:noWrap/>
            <w:vAlign w:val="center"/>
            <w:hideMark/>
          </w:tcPr>
          <w:p w14:paraId="1CD07AAD" w14:textId="77777777" w:rsidR="00903A81" w:rsidRPr="004E37D0" w:rsidRDefault="00903A81" w:rsidP="00DE5673">
            <w:pPr>
              <w:spacing w:after="0" w:line="240" w:lineRule="auto"/>
              <w:jc w:val="both"/>
              <w:rPr>
                <w:rFonts w:ascii="Arial" w:eastAsia="Times New Roman" w:hAnsi="Arial" w:cs="Arial"/>
                <w:bCs/>
                <w:color w:val="000000"/>
                <w:sz w:val="20"/>
                <w:szCs w:val="20"/>
                <w:lang w:eastAsia="es-MX"/>
              </w:rPr>
            </w:pPr>
            <w:r w:rsidRPr="004E37D0">
              <w:rPr>
                <w:rFonts w:ascii="Arial" w:eastAsia="Times New Roman" w:hAnsi="Arial" w:cs="Arial"/>
                <w:bCs/>
                <w:color w:val="000000"/>
                <w:sz w:val="20"/>
                <w:szCs w:val="20"/>
                <w:lang w:eastAsia="es-MX"/>
              </w:rPr>
              <w:t xml:space="preserve">237 </w:t>
            </w:r>
            <w:proofErr w:type="gramStart"/>
            <w:r w:rsidRPr="004E37D0">
              <w:rPr>
                <w:rFonts w:ascii="Arial" w:eastAsia="Times New Roman" w:hAnsi="Arial" w:cs="Arial"/>
                <w:bCs/>
                <w:color w:val="000000"/>
                <w:sz w:val="20"/>
                <w:szCs w:val="20"/>
                <w:lang w:eastAsia="es-MX"/>
              </w:rPr>
              <w:t>Construcción</w:t>
            </w:r>
            <w:proofErr w:type="gramEnd"/>
            <w:r w:rsidRPr="004E37D0">
              <w:rPr>
                <w:rFonts w:ascii="Arial" w:eastAsia="Times New Roman" w:hAnsi="Arial" w:cs="Arial"/>
                <w:bCs/>
                <w:color w:val="000000"/>
                <w:sz w:val="20"/>
                <w:szCs w:val="20"/>
                <w:lang w:eastAsia="es-MX"/>
              </w:rPr>
              <w:t xml:space="preserve"> de obras de ingeniería civil</w:t>
            </w:r>
          </w:p>
        </w:tc>
        <w:tc>
          <w:tcPr>
            <w:tcW w:w="1313" w:type="dxa"/>
            <w:tcBorders>
              <w:top w:val="nil"/>
              <w:left w:val="nil"/>
              <w:bottom w:val="single" w:sz="4" w:space="0" w:color="auto"/>
              <w:right w:val="single" w:sz="4" w:space="0" w:color="auto"/>
            </w:tcBorders>
            <w:shd w:val="clear" w:color="auto" w:fill="auto"/>
            <w:noWrap/>
            <w:vAlign w:val="center"/>
            <w:hideMark/>
          </w:tcPr>
          <w:p w14:paraId="04FF0117" w14:textId="77777777" w:rsidR="00903A81" w:rsidRPr="00903A81" w:rsidRDefault="00903A81" w:rsidP="00DE5673">
            <w:pPr>
              <w:spacing w:after="0" w:line="240" w:lineRule="auto"/>
              <w:jc w:val="right"/>
              <w:rPr>
                <w:rFonts w:ascii="Arial" w:eastAsia="Times New Roman" w:hAnsi="Arial" w:cs="Arial"/>
                <w:sz w:val="20"/>
                <w:szCs w:val="20"/>
                <w:lang w:eastAsia="es-MX"/>
              </w:rPr>
            </w:pPr>
            <w:r w:rsidRPr="00903A81">
              <w:rPr>
                <w:rFonts w:ascii="Arial" w:eastAsia="Times New Roman" w:hAnsi="Arial" w:cs="Arial"/>
                <w:sz w:val="20"/>
                <w:szCs w:val="20"/>
                <w:lang w:eastAsia="es-MX"/>
              </w:rPr>
              <w:t>123</w:t>
            </w:r>
            <w:r w:rsidR="009F1076">
              <w:rPr>
                <w:rFonts w:ascii="Arial" w:eastAsia="Times New Roman" w:hAnsi="Arial" w:cs="Arial"/>
                <w:sz w:val="20"/>
                <w:szCs w:val="20"/>
                <w:lang w:eastAsia="es-MX"/>
              </w:rPr>
              <w:t xml:space="preserve"> </w:t>
            </w:r>
            <w:r w:rsidRPr="00903A81">
              <w:rPr>
                <w:rFonts w:ascii="Arial" w:eastAsia="Times New Roman" w:hAnsi="Arial" w:cs="Arial"/>
                <w:sz w:val="20"/>
                <w:szCs w:val="20"/>
                <w:lang w:eastAsia="es-MX"/>
              </w:rPr>
              <w:t>343</w:t>
            </w:r>
          </w:p>
        </w:tc>
        <w:tc>
          <w:tcPr>
            <w:tcW w:w="1167" w:type="dxa"/>
            <w:tcBorders>
              <w:top w:val="nil"/>
              <w:left w:val="nil"/>
              <w:bottom w:val="single" w:sz="4" w:space="0" w:color="auto"/>
              <w:right w:val="single" w:sz="4" w:space="0" w:color="auto"/>
            </w:tcBorders>
            <w:shd w:val="clear" w:color="auto" w:fill="auto"/>
            <w:noWrap/>
            <w:vAlign w:val="center"/>
            <w:hideMark/>
          </w:tcPr>
          <w:p w14:paraId="45D97259" w14:textId="77777777" w:rsidR="00903A81" w:rsidRPr="00903A81" w:rsidRDefault="00903A81" w:rsidP="00DE5673">
            <w:pPr>
              <w:spacing w:after="0" w:line="240" w:lineRule="auto"/>
              <w:jc w:val="right"/>
              <w:rPr>
                <w:rFonts w:ascii="Arial" w:eastAsia="Times New Roman" w:hAnsi="Arial" w:cs="Arial"/>
                <w:sz w:val="20"/>
                <w:szCs w:val="20"/>
                <w:lang w:eastAsia="es-MX"/>
              </w:rPr>
            </w:pPr>
            <w:r w:rsidRPr="00903A81">
              <w:rPr>
                <w:rFonts w:ascii="Arial" w:eastAsia="Times New Roman" w:hAnsi="Arial" w:cs="Arial"/>
                <w:sz w:val="20"/>
                <w:szCs w:val="20"/>
                <w:lang w:eastAsia="es-MX"/>
              </w:rPr>
              <w:t>140</w:t>
            </w:r>
            <w:r w:rsidR="009F1076">
              <w:rPr>
                <w:rFonts w:ascii="Arial" w:eastAsia="Times New Roman" w:hAnsi="Arial" w:cs="Arial"/>
                <w:sz w:val="20"/>
                <w:szCs w:val="20"/>
                <w:lang w:eastAsia="es-MX"/>
              </w:rPr>
              <w:t xml:space="preserve"> </w:t>
            </w:r>
            <w:r w:rsidRPr="00903A81">
              <w:rPr>
                <w:rFonts w:ascii="Arial" w:eastAsia="Times New Roman" w:hAnsi="Arial" w:cs="Arial"/>
                <w:sz w:val="20"/>
                <w:szCs w:val="20"/>
                <w:lang w:eastAsia="es-MX"/>
              </w:rPr>
              <w:t>940</w:t>
            </w:r>
          </w:p>
        </w:tc>
        <w:tc>
          <w:tcPr>
            <w:tcW w:w="1071" w:type="dxa"/>
            <w:tcBorders>
              <w:top w:val="nil"/>
              <w:left w:val="nil"/>
              <w:bottom w:val="single" w:sz="4" w:space="0" w:color="auto"/>
              <w:right w:val="single" w:sz="4" w:space="0" w:color="auto"/>
            </w:tcBorders>
            <w:shd w:val="clear" w:color="auto" w:fill="auto"/>
            <w:noWrap/>
            <w:vAlign w:val="center"/>
            <w:hideMark/>
          </w:tcPr>
          <w:p w14:paraId="42049381" w14:textId="77777777" w:rsidR="00903A81" w:rsidRPr="00903A81" w:rsidRDefault="00903A81" w:rsidP="00DE5673">
            <w:pPr>
              <w:spacing w:after="0" w:line="240" w:lineRule="auto"/>
              <w:jc w:val="right"/>
              <w:rPr>
                <w:rFonts w:ascii="Arial" w:eastAsia="Times New Roman" w:hAnsi="Arial" w:cs="Arial"/>
                <w:sz w:val="20"/>
                <w:szCs w:val="20"/>
                <w:lang w:eastAsia="es-MX"/>
              </w:rPr>
            </w:pPr>
            <w:r w:rsidRPr="00903A81">
              <w:rPr>
                <w:rFonts w:ascii="Arial" w:eastAsia="Times New Roman" w:hAnsi="Arial" w:cs="Arial"/>
                <w:sz w:val="20"/>
                <w:szCs w:val="20"/>
                <w:lang w:eastAsia="es-MX"/>
              </w:rPr>
              <w:t>14.3</w:t>
            </w:r>
          </w:p>
        </w:tc>
      </w:tr>
      <w:tr w:rsidR="00BC06C5" w:rsidRPr="00903A81" w14:paraId="3A2F08CC" w14:textId="77777777" w:rsidTr="0098408D">
        <w:trPr>
          <w:trHeight w:val="264"/>
          <w:jc w:val="center"/>
        </w:trPr>
        <w:tc>
          <w:tcPr>
            <w:tcW w:w="4664" w:type="dxa"/>
            <w:tcBorders>
              <w:top w:val="nil"/>
              <w:left w:val="single" w:sz="4" w:space="0" w:color="auto"/>
              <w:bottom w:val="single" w:sz="4" w:space="0" w:color="auto"/>
              <w:right w:val="single" w:sz="4" w:space="0" w:color="auto"/>
            </w:tcBorders>
            <w:shd w:val="clear" w:color="auto" w:fill="auto"/>
            <w:noWrap/>
            <w:vAlign w:val="center"/>
            <w:hideMark/>
          </w:tcPr>
          <w:p w14:paraId="1D9D4527" w14:textId="77777777" w:rsidR="00903A81" w:rsidRPr="004E37D0" w:rsidRDefault="00903A81" w:rsidP="00DE5673">
            <w:pPr>
              <w:spacing w:after="0" w:line="240" w:lineRule="auto"/>
              <w:jc w:val="both"/>
              <w:rPr>
                <w:rFonts w:ascii="Arial" w:eastAsia="Times New Roman" w:hAnsi="Arial" w:cs="Arial"/>
                <w:bCs/>
                <w:color w:val="000000"/>
                <w:sz w:val="20"/>
                <w:szCs w:val="20"/>
                <w:lang w:eastAsia="es-MX"/>
              </w:rPr>
            </w:pPr>
            <w:r w:rsidRPr="004E37D0">
              <w:rPr>
                <w:rFonts w:ascii="Arial" w:eastAsia="Times New Roman" w:hAnsi="Arial" w:cs="Arial"/>
                <w:bCs/>
                <w:color w:val="000000"/>
                <w:sz w:val="20"/>
                <w:szCs w:val="20"/>
                <w:lang w:eastAsia="es-MX"/>
              </w:rPr>
              <w:t xml:space="preserve">238 </w:t>
            </w:r>
            <w:proofErr w:type="gramStart"/>
            <w:r w:rsidRPr="004E37D0">
              <w:rPr>
                <w:rFonts w:ascii="Arial" w:eastAsia="Times New Roman" w:hAnsi="Arial" w:cs="Arial"/>
                <w:bCs/>
                <w:color w:val="000000"/>
                <w:sz w:val="20"/>
                <w:szCs w:val="20"/>
                <w:lang w:eastAsia="es-MX"/>
              </w:rPr>
              <w:t>Trabajos</w:t>
            </w:r>
            <w:proofErr w:type="gramEnd"/>
            <w:r w:rsidRPr="004E37D0">
              <w:rPr>
                <w:rFonts w:ascii="Arial" w:eastAsia="Times New Roman" w:hAnsi="Arial" w:cs="Arial"/>
                <w:bCs/>
                <w:color w:val="000000"/>
                <w:sz w:val="20"/>
                <w:szCs w:val="20"/>
                <w:lang w:eastAsia="es-MX"/>
              </w:rPr>
              <w:t xml:space="preserve"> especializados para la construcción</w:t>
            </w:r>
          </w:p>
        </w:tc>
        <w:tc>
          <w:tcPr>
            <w:tcW w:w="1313" w:type="dxa"/>
            <w:tcBorders>
              <w:top w:val="nil"/>
              <w:left w:val="nil"/>
              <w:bottom w:val="single" w:sz="4" w:space="0" w:color="auto"/>
              <w:right w:val="single" w:sz="4" w:space="0" w:color="auto"/>
            </w:tcBorders>
            <w:shd w:val="clear" w:color="auto" w:fill="auto"/>
            <w:noWrap/>
            <w:vAlign w:val="center"/>
            <w:hideMark/>
          </w:tcPr>
          <w:p w14:paraId="3572BC6A" w14:textId="77777777" w:rsidR="00903A81" w:rsidRPr="00903A81" w:rsidRDefault="00903A81" w:rsidP="00DE5673">
            <w:pPr>
              <w:spacing w:after="0" w:line="240" w:lineRule="auto"/>
              <w:jc w:val="right"/>
              <w:rPr>
                <w:rFonts w:ascii="Arial" w:eastAsia="Times New Roman" w:hAnsi="Arial" w:cs="Arial"/>
                <w:sz w:val="20"/>
                <w:szCs w:val="20"/>
                <w:lang w:eastAsia="es-MX"/>
              </w:rPr>
            </w:pPr>
            <w:r w:rsidRPr="00903A81">
              <w:rPr>
                <w:rFonts w:ascii="Arial" w:eastAsia="Times New Roman" w:hAnsi="Arial" w:cs="Arial"/>
                <w:sz w:val="20"/>
                <w:szCs w:val="20"/>
                <w:lang w:eastAsia="es-MX"/>
              </w:rPr>
              <w:t>106</w:t>
            </w:r>
            <w:r w:rsidR="009F1076">
              <w:rPr>
                <w:rFonts w:ascii="Arial" w:eastAsia="Times New Roman" w:hAnsi="Arial" w:cs="Arial"/>
                <w:sz w:val="20"/>
                <w:szCs w:val="20"/>
                <w:lang w:eastAsia="es-MX"/>
              </w:rPr>
              <w:t xml:space="preserve"> </w:t>
            </w:r>
            <w:r w:rsidRPr="00903A81">
              <w:rPr>
                <w:rFonts w:ascii="Arial" w:eastAsia="Times New Roman" w:hAnsi="Arial" w:cs="Arial"/>
                <w:sz w:val="20"/>
                <w:szCs w:val="20"/>
                <w:lang w:eastAsia="es-MX"/>
              </w:rPr>
              <w:t>161</w:t>
            </w:r>
          </w:p>
        </w:tc>
        <w:tc>
          <w:tcPr>
            <w:tcW w:w="1167" w:type="dxa"/>
            <w:tcBorders>
              <w:top w:val="nil"/>
              <w:left w:val="nil"/>
              <w:bottom w:val="single" w:sz="4" w:space="0" w:color="auto"/>
              <w:right w:val="single" w:sz="4" w:space="0" w:color="auto"/>
            </w:tcBorders>
            <w:shd w:val="clear" w:color="auto" w:fill="auto"/>
            <w:noWrap/>
            <w:vAlign w:val="center"/>
            <w:hideMark/>
          </w:tcPr>
          <w:p w14:paraId="0DB300C8" w14:textId="77777777" w:rsidR="00903A81" w:rsidRPr="00903A81" w:rsidRDefault="00903A81" w:rsidP="00DE5673">
            <w:pPr>
              <w:spacing w:after="0" w:line="240" w:lineRule="auto"/>
              <w:jc w:val="right"/>
              <w:rPr>
                <w:rFonts w:ascii="Arial" w:eastAsia="Times New Roman" w:hAnsi="Arial" w:cs="Arial"/>
                <w:sz w:val="20"/>
                <w:szCs w:val="20"/>
                <w:lang w:eastAsia="es-MX"/>
              </w:rPr>
            </w:pPr>
            <w:r w:rsidRPr="00903A81">
              <w:rPr>
                <w:rFonts w:ascii="Arial" w:eastAsia="Times New Roman" w:hAnsi="Arial" w:cs="Arial"/>
                <w:sz w:val="20"/>
                <w:szCs w:val="20"/>
                <w:lang w:eastAsia="es-MX"/>
              </w:rPr>
              <w:t>108</w:t>
            </w:r>
            <w:r w:rsidR="009F1076">
              <w:rPr>
                <w:rFonts w:ascii="Arial" w:eastAsia="Times New Roman" w:hAnsi="Arial" w:cs="Arial"/>
                <w:sz w:val="20"/>
                <w:szCs w:val="20"/>
                <w:lang w:eastAsia="es-MX"/>
              </w:rPr>
              <w:t xml:space="preserve"> </w:t>
            </w:r>
            <w:r w:rsidRPr="00903A81">
              <w:rPr>
                <w:rFonts w:ascii="Arial" w:eastAsia="Times New Roman" w:hAnsi="Arial" w:cs="Arial"/>
                <w:sz w:val="20"/>
                <w:szCs w:val="20"/>
                <w:lang w:eastAsia="es-MX"/>
              </w:rPr>
              <w:t>867</w:t>
            </w:r>
          </w:p>
        </w:tc>
        <w:tc>
          <w:tcPr>
            <w:tcW w:w="1071" w:type="dxa"/>
            <w:tcBorders>
              <w:top w:val="nil"/>
              <w:left w:val="nil"/>
              <w:bottom w:val="single" w:sz="4" w:space="0" w:color="auto"/>
              <w:right w:val="single" w:sz="4" w:space="0" w:color="auto"/>
            </w:tcBorders>
            <w:shd w:val="clear" w:color="auto" w:fill="auto"/>
            <w:noWrap/>
            <w:vAlign w:val="center"/>
            <w:hideMark/>
          </w:tcPr>
          <w:p w14:paraId="2731BD11" w14:textId="77777777" w:rsidR="00903A81" w:rsidRPr="00903A81" w:rsidRDefault="00903A81" w:rsidP="00DE5673">
            <w:pPr>
              <w:spacing w:after="0" w:line="240" w:lineRule="auto"/>
              <w:jc w:val="right"/>
              <w:rPr>
                <w:rFonts w:ascii="Arial" w:eastAsia="Times New Roman" w:hAnsi="Arial" w:cs="Arial"/>
                <w:sz w:val="20"/>
                <w:szCs w:val="20"/>
                <w:lang w:eastAsia="es-MX"/>
              </w:rPr>
            </w:pPr>
            <w:r w:rsidRPr="00903A81">
              <w:rPr>
                <w:rFonts w:ascii="Arial" w:eastAsia="Times New Roman" w:hAnsi="Arial" w:cs="Arial"/>
                <w:sz w:val="20"/>
                <w:szCs w:val="20"/>
                <w:lang w:eastAsia="es-MX"/>
              </w:rPr>
              <w:t>2.5</w:t>
            </w:r>
          </w:p>
        </w:tc>
      </w:tr>
    </w:tbl>
    <w:p w14:paraId="397148DC" w14:textId="77777777" w:rsidR="002C2D13" w:rsidRDefault="00DE5673" w:rsidP="00037E53">
      <w:pPr>
        <w:pStyle w:val="Default"/>
        <w:ind w:left="426" w:hanging="142"/>
        <w:jc w:val="both"/>
        <w:rPr>
          <w:color w:val="auto"/>
          <w:sz w:val="16"/>
          <w:lang w:eastAsia="es-MX"/>
        </w:rPr>
      </w:pPr>
      <w:r>
        <w:rPr>
          <w:color w:val="auto"/>
          <w:sz w:val="16"/>
          <w:vertAlign w:val="superscript"/>
          <w:lang w:eastAsia="es-MX"/>
        </w:rPr>
        <w:t>P</w:t>
      </w:r>
      <w:r w:rsidR="002C2D13">
        <w:rPr>
          <w:color w:val="auto"/>
          <w:sz w:val="16"/>
          <w:vertAlign w:val="superscript"/>
          <w:lang w:eastAsia="es-MX"/>
        </w:rPr>
        <w:t xml:space="preserve">/ </w:t>
      </w:r>
      <w:r w:rsidR="002C2D13">
        <w:rPr>
          <w:color w:val="auto"/>
          <w:sz w:val="16"/>
          <w:lang w:eastAsia="es-MX"/>
        </w:rPr>
        <w:t>Cifras preliminares</w:t>
      </w:r>
      <w:r w:rsidR="0040250E">
        <w:rPr>
          <w:color w:val="auto"/>
          <w:sz w:val="16"/>
          <w:lang w:eastAsia="es-MX"/>
        </w:rPr>
        <w:t>.</w:t>
      </w:r>
      <w:r w:rsidR="002C2D13">
        <w:rPr>
          <w:color w:val="auto"/>
          <w:sz w:val="16"/>
          <w:lang w:eastAsia="es-MX"/>
        </w:rPr>
        <w:t xml:space="preserve"> </w:t>
      </w:r>
    </w:p>
    <w:p w14:paraId="4A04F617" w14:textId="77777777" w:rsidR="002C2D13" w:rsidRDefault="002C2D13" w:rsidP="00037E53">
      <w:pPr>
        <w:pStyle w:val="Default"/>
        <w:ind w:left="426" w:hanging="142"/>
        <w:jc w:val="both"/>
        <w:rPr>
          <w:b/>
          <w:color w:val="auto"/>
          <w:sz w:val="16"/>
          <w:lang w:eastAsia="es-MX"/>
        </w:rPr>
      </w:pPr>
      <w:r w:rsidRPr="00BF15FB">
        <w:rPr>
          <w:color w:val="auto"/>
          <w:sz w:val="16"/>
          <w:lang w:eastAsia="es-MX"/>
        </w:rPr>
        <w:t xml:space="preserve">Fuente: </w:t>
      </w:r>
      <w:r w:rsidRPr="00BF15FB">
        <w:rPr>
          <w:b/>
          <w:color w:val="auto"/>
          <w:sz w:val="16"/>
          <w:lang w:eastAsia="es-MX"/>
        </w:rPr>
        <w:t>INEGI</w:t>
      </w:r>
      <w:r>
        <w:rPr>
          <w:b/>
          <w:color w:val="auto"/>
          <w:sz w:val="16"/>
          <w:lang w:eastAsia="es-MX"/>
        </w:rPr>
        <w:t>.</w:t>
      </w:r>
    </w:p>
    <w:p w14:paraId="3B61A5D9" w14:textId="77777777" w:rsidR="00834215" w:rsidRDefault="00834215" w:rsidP="00037E53">
      <w:pPr>
        <w:pStyle w:val="Default"/>
        <w:ind w:left="426" w:hanging="142"/>
        <w:jc w:val="both"/>
        <w:rPr>
          <w:color w:val="auto"/>
          <w:sz w:val="22"/>
          <w:lang w:eastAsia="es-MX"/>
        </w:rPr>
      </w:pPr>
    </w:p>
    <w:p w14:paraId="2C245957" w14:textId="77777777" w:rsidR="0098408D" w:rsidRDefault="0098408D" w:rsidP="00037E53">
      <w:pPr>
        <w:pStyle w:val="Default"/>
        <w:ind w:left="426" w:hanging="142"/>
        <w:jc w:val="both"/>
        <w:rPr>
          <w:color w:val="auto"/>
          <w:sz w:val="22"/>
          <w:lang w:eastAsia="es-MX"/>
        </w:rPr>
      </w:pPr>
    </w:p>
    <w:p w14:paraId="09841A7A" w14:textId="77777777" w:rsidR="009F1076" w:rsidRDefault="009F1076" w:rsidP="004D69B4">
      <w:pPr>
        <w:pStyle w:val="Default"/>
        <w:jc w:val="both"/>
        <w:rPr>
          <w:color w:val="auto"/>
          <w:sz w:val="22"/>
          <w:lang w:eastAsia="es-MX"/>
        </w:rPr>
      </w:pPr>
    </w:p>
    <w:p w14:paraId="2BF872D1" w14:textId="77777777" w:rsidR="004D69B4" w:rsidRDefault="004D69B4" w:rsidP="004D69B4">
      <w:pPr>
        <w:pStyle w:val="Default"/>
        <w:jc w:val="both"/>
        <w:rPr>
          <w:color w:val="auto"/>
          <w:sz w:val="22"/>
          <w:lang w:eastAsia="es-MX"/>
        </w:rPr>
      </w:pPr>
      <w:r w:rsidRPr="00E86EC0">
        <w:rPr>
          <w:color w:val="auto"/>
          <w:sz w:val="22"/>
          <w:lang w:eastAsia="es-MX"/>
        </w:rPr>
        <w:lastRenderedPageBreak/>
        <w:t xml:space="preserve">Respecto al valor de </w:t>
      </w:r>
      <w:r>
        <w:rPr>
          <w:color w:val="auto"/>
          <w:sz w:val="22"/>
          <w:lang w:eastAsia="es-MX"/>
        </w:rPr>
        <w:t xml:space="preserve">la </w:t>
      </w:r>
      <w:r w:rsidRPr="00E86EC0">
        <w:rPr>
          <w:color w:val="auto"/>
          <w:sz w:val="22"/>
          <w:lang w:eastAsia="es-MX"/>
        </w:rPr>
        <w:t xml:space="preserve">producción </w:t>
      </w:r>
      <w:r>
        <w:rPr>
          <w:color w:val="auto"/>
          <w:sz w:val="22"/>
          <w:lang w:eastAsia="es-MX"/>
        </w:rPr>
        <w:t>realizado por las empresas constructoras</w:t>
      </w:r>
      <w:r w:rsidR="001A3D39">
        <w:rPr>
          <w:color w:val="auto"/>
          <w:sz w:val="22"/>
          <w:lang w:eastAsia="es-MX"/>
        </w:rPr>
        <w:t xml:space="preserve"> en 2020</w:t>
      </w:r>
      <w:r>
        <w:rPr>
          <w:color w:val="auto"/>
          <w:sz w:val="22"/>
          <w:lang w:eastAsia="es-MX"/>
        </w:rPr>
        <w:t xml:space="preserve">, el subsector </w:t>
      </w:r>
      <w:r w:rsidR="00350BEA">
        <w:rPr>
          <w:color w:val="auto"/>
          <w:sz w:val="22"/>
          <w:lang w:eastAsia="es-MX"/>
        </w:rPr>
        <w:t>e</w:t>
      </w:r>
      <w:r>
        <w:rPr>
          <w:color w:val="auto"/>
          <w:sz w:val="22"/>
          <w:lang w:eastAsia="es-MX"/>
        </w:rPr>
        <w:t>dificación es el que mayor participación</w:t>
      </w:r>
      <w:r w:rsidRPr="00E86EC0">
        <w:rPr>
          <w:color w:val="auto"/>
          <w:sz w:val="22"/>
          <w:lang w:eastAsia="es-MX"/>
        </w:rPr>
        <w:t xml:space="preserve"> </w:t>
      </w:r>
      <w:r>
        <w:rPr>
          <w:color w:val="auto"/>
          <w:sz w:val="22"/>
          <w:lang w:eastAsia="es-MX"/>
        </w:rPr>
        <w:t xml:space="preserve">tiene con 45.8%, los subsectores </w:t>
      </w:r>
      <w:r w:rsidR="00350BEA">
        <w:rPr>
          <w:color w:val="auto"/>
          <w:sz w:val="22"/>
          <w:lang w:eastAsia="es-MX"/>
        </w:rPr>
        <w:t>c</w:t>
      </w:r>
      <w:r>
        <w:rPr>
          <w:color w:val="auto"/>
          <w:sz w:val="22"/>
          <w:lang w:eastAsia="es-MX"/>
        </w:rPr>
        <w:t xml:space="preserve">onstrucción de obras de ingeniería civil y </w:t>
      </w:r>
      <w:r w:rsidR="00350BEA">
        <w:rPr>
          <w:color w:val="auto"/>
          <w:sz w:val="22"/>
          <w:lang w:eastAsia="es-MX"/>
        </w:rPr>
        <w:t>t</w:t>
      </w:r>
      <w:r>
        <w:rPr>
          <w:color w:val="auto"/>
          <w:sz w:val="22"/>
          <w:lang w:eastAsia="es-MX"/>
        </w:rPr>
        <w:t>rabajos especializados para la construcción representa</w:t>
      </w:r>
      <w:r w:rsidR="001A3D39">
        <w:rPr>
          <w:color w:val="auto"/>
          <w:sz w:val="22"/>
          <w:lang w:eastAsia="es-MX"/>
        </w:rPr>
        <w:t>n 44.5% y 9.7</w:t>
      </w:r>
      <w:r w:rsidR="0091411F">
        <w:rPr>
          <w:color w:val="auto"/>
          <w:sz w:val="22"/>
          <w:lang w:eastAsia="es-MX"/>
        </w:rPr>
        <w:t xml:space="preserve"> por ciento.</w:t>
      </w:r>
    </w:p>
    <w:p w14:paraId="7559941D" w14:textId="77777777" w:rsidR="002C2D13" w:rsidRDefault="002C2D13" w:rsidP="00834215">
      <w:pPr>
        <w:pStyle w:val="Default"/>
        <w:jc w:val="both"/>
        <w:rPr>
          <w:color w:val="auto"/>
          <w:sz w:val="22"/>
          <w:lang w:eastAsia="es-MX"/>
        </w:rPr>
      </w:pPr>
    </w:p>
    <w:p w14:paraId="089414B9" w14:textId="77777777" w:rsidR="000161B1" w:rsidRPr="005A3C05" w:rsidRDefault="000161B1" w:rsidP="0040250E">
      <w:pPr>
        <w:pStyle w:val="Default"/>
        <w:jc w:val="center"/>
        <w:rPr>
          <w:b/>
          <w:color w:val="auto"/>
          <w:sz w:val="22"/>
          <w:lang w:eastAsia="es-MX"/>
        </w:rPr>
      </w:pPr>
      <w:r w:rsidRPr="005A3C05">
        <w:rPr>
          <w:b/>
          <w:color w:val="auto"/>
          <w:sz w:val="22"/>
          <w:lang w:eastAsia="es-MX"/>
        </w:rPr>
        <w:t xml:space="preserve">Gráfica </w:t>
      </w:r>
      <w:r w:rsidR="004D69B4" w:rsidRPr="005A3C05">
        <w:rPr>
          <w:b/>
          <w:color w:val="auto"/>
          <w:sz w:val="22"/>
          <w:lang w:eastAsia="es-MX"/>
        </w:rPr>
        <w:t>4</w:t>
      </w:r>
    </w:p>
    <w:p w14:paraId="33EBBE2C" w14:textId="77777777" w:rsidR="003D4661" w:rsidRDefault="000161B1" w:rsidP="0040250E">
      <w:pPr>
        <w:pStyle w:val="Default"/>
        <w:jc w:val="center"/>
        <w:rPr>
          <w:b/>
          <w:color w:val="auto"/>
          <w:sz w:val="22"/>
          <w:lang w:eastAsia="es-MX"/>
        </w:rPr>
      </w:pPr>
      <w:r w:rsidRPr="005A3C05">
        <w:rPr>
          <w:b/>
          <w:color w:val="auto"/>
          <w:sz w:val="22"/>
          <w:lang w:eastAsia="es-MX"/>
        </w:rPr>
        <w:t xml:space="preserve">Participación </w:t>
      </w:r>
      <w:r w:rsidR="0034223C" w:rsidRPr="005A3C05">
        <w:rPr>
          <w:b/>
          <w:color w:val="auto"/>
          <w:sz w:val="22"/>
          <w:lang w:eastAsia="es-MX"/>
        </w:rPr>
        <w:t>del</w:t>
      </w:r>
      <w:r w:rsidRPr="005A3C05">
        <w:rPr>
          <w:b/>
          <w:color w:val="auto"/>
          <w:sz w:val="22"/>
          <w:lang w:eastAsia="es-MX"/>
        </w:rPr>
        <w:t xml:space="preserve"> valor de </w:t>
      </w:r>
      <w:r w:rsidR="00EF33A8" w:rsidRPr="005A3C05">
        <w:rPr>
          <w:b/>
          <w:color w:val="auto"/>
          <w:sz w:val="22"/>
          <w:lang w:eastAsia="es-MX"/>
        </w:rPr>
        <w:t xml:space="preserve">la </w:t>
      </w:r>
      <w:r w:rsidRPr="005A3C05">
        <w:rPr>
          <w:b/>
          <w:color w:val="auto"/>
          <w:sz w:val="22"/>
          <w:lang w:eastAsia="es-MX"/>
        </w:rPr>
        <w:t>producción</w:t>
      </w:r>
      <w:r w:rsidR="00EF33A8" w:rsidRPr="005A3C05">
        <w:rPr>
          <w:b/>
          <w:color w:val="auto"/>
          <w:sz w:val="22"/>
          <w:lang w:eastAsia="es-MX"/>
        </w:rPr>
        <w:t xml:space="preserve"> </w:t>
      </w:r>
      <w:r w:rsidR="00D47085" w:rsidRPr="005A3C05">
        <w:rPr>
          <w:b/>
          <w:color w:val="auto"/>
          <w:sz w:val="22"/>
          <w:lang w:eastAsia="es-MX"/>
        </w:rPr>
        <w:t>de</w:t>
      </w:r>
      <w:r w:rsidR="00EF33A8" w:rsidRPr="005A3C05">
        <w:rPr>
          <w:b/>
          <w:color w:val="auto"/>
          <w:sz w:val="22"/>
          <w:lang w:eastAsia="es-MX"/>
        </w:rPr>
        <w:t xml:space="preserve"> las </w:t>
      </w:r>
      <w:r w:rsidR="00D47085" w:rsidRPr="005A3C05">
        <w:rPr>
          <w:b/>
          <w:color w:val="auto"/>
          <w:sz w:val="22"/>
          <w:lang w:eastAsia="es-MX"/>
        </w:rPr>
        <w:t>e</w:t>
      </w:r>
      <w:r w:rsidR="00EF33A8" w:rsidRPr="005A3C05">
        <w:rPr>
          <w:b/>
          <w:color w:val="auto"/>
          <w:sz w:val="22"/>
          <w:lang w:eastAsia="es-MX"/>
        </w:rPr>
        <w:t>mpresas constructoras</w:t>
      </w:r>
      <w:r w:rsidRPr="005A3C05">
        <w:rPr>
          <w:b/>
          <w:color w:val="auto"/>
          <w:sz w:val="22"/>
          <w:lang w:eastAsia="es-MX"/>
        </w:rPr>
        <w:t xml:space="preserve"> </w:t>
      </w:r>
      <w:r w:rsidR="0040250E" w:rsidRPr="005A3C05">
        <w:rPr>
          <w:b/>
          <w:color w:val="auto"/>
          <w:sz w:val="22"/>
          <w:lang w:eastAsia="es-MX"/>
        </w:rPr>
        <w:t xml:space="preserve">por </w:t>
      </w:r>
      <w:r w:rsidRPr="005A3C05">
        <w:rPr>
          <w:b/>
          <w:color w:val="auto"/>
          <w:sz w:val="22"/>
          <w:lang w:eastAsia="es-MX"/>
        </w:rPr>
        <w:t>subsector</w:t>
      </w:r>
      <w:r w:rsidR="005A3C05">
        <w:rPr>
          <w:b/>
          <w:color w:val="auto"/>
          <w:sz w:val="22"/>
          <w:lang w:eastAsia="es-MX"/>
        </w:rPr>
        <w:t xml:space="preserve"> </w:t>
      </w:r>
    </w:p>
    <w:p w14:paraId="75EB63F7" w14:textId="77777777" w:rsidR="00113322" w:rsidRDefault="00113322" w:rsidP="00673FAE">
      <w:pPr>
        <w:pStyle w:val="Default"/>
        <w:jc w:val="center"/>
        <w:rPr>
          <w:b/>
          <w:color w:val="auto"/>
          <w:sz w:val="22"/>
          <w:lang w:eastAsia="es-MX"/>
        </w:rPr>
      </w:pPr>
      <w:r w:rsidRPr="00A341C6">
        <w:rPr>
          <w:b/>
          <w:color w:val="auto"/>
          <w:sz w:val="22"/>
          <w:lang w:eastAsia="es-MX"/>
        </w:rPr>
        <w:t>(Porcentaje)</w:t>
      </w:r>
    </w:p>
    <w:p w14:paraId="6266ED98" w14:textId="77777777" w:rsidR="0085526B" w:rsidRDefault="0098408D" w:rsidP="00673FAE">
      <w:pPr>
        <w:pStyle w:val="Default"/>
        <w:jc w:val="center"/>
        <w:rPr>
          <w:b/>
          <w:color w:val="auto"/>
          <w:sz w:val="22"/>
          <w:lang w:eastAsia="es-MX"/>
        </w:rPr>
      </w:pPr>
      <w:r>
        <w:rPr>
          <w:noProof/>
          <w:lang w:eastAsia="es-MX"/>
        </w:rPr>
        <w:drawing>
          <wp:inline distT="0" distB="0" distL="0" distR="0" wp14:anchorId="54FC5C71" wp14:editId="70732CDF">
            <wp:extent cx="5600700" cy="1960685"/>
            <wp:effectExtent l="0" t="0" r="0" b="1905"/>
            <wp:docPr id="12" name="Gráfico 12">
              <a:extLst xmlns:a="http://schemas.openxmlformats.org/drawingml/2006/main">
                <a:ext uri="{FF2B5EF4-FFF2-40B4-BE49-F238E27FC236}">
                  <a16:creationId xmlns:a16="http://schemas.microsoft.com/office/drawing/2014/main" id="{6B548F22-C0C6-4269-91A6-7CAF6C862C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1B5CB98" w14:textId="77777777" w:rsidR="00A857BE" w:rsidRDefault="00DE5673" w:rsidP="00D47085">
      <w:pPr>
        <w:pStyle w:val="Default"/>
        <w:ind w:left="426"/>
        <w:jc w:val="both"/>
        <w:rPr>
          <w:color w:val="auto"/>
          <w:sz w:val="16"/>
          <w:lang w:eastAsia="es-MX"/>
        </w:rPr>
      </w:pPr>
      <w:r>
        <w:rPr>
          <w:color w:val="auto"/>
          <w:sz w:val="16"/>
          <w:vertAlign w:val="superscript"/>
          <w:lang w:eastAsia="es-MX"/>
        </w:rPr>
        <w:t>P</w:t>
      </w:r>
      <w:r w:rsidR="00A857BE">
        <w:rPr>
          <w:color w:val="auto"/>
          <w:sz w:val="16"/>
          <w:vertAlign w:val="superscript"/>
          <w:lang w:eastAsia="es-MX"/>
        </w:rPr>
        <w:t>/</w:t>
      </w:r>
      <w:r w:rsidR="00AD1DD3">
        <w:rPr>
          <w:color w:val="auto"/>
          <w:sz w:val="16"/>
          <w:vertAlign w:val="superscript"/>
          <w:lang w:eastAsia="es-MX"/>
        </w:rPr>
        <w:t xml:space="preserve"> </w:t>
      </w:r>
      <w:r w:rsidR="00A857BE">
        <w:rPr>
          <w:color w:val="auto"/>
          <w:sz w:val="16"/>
          <w:lang w:eastAsia="es-MX"/>
        </w:rPr>
        <w:t>Cifras preliminares</w:t>
      </w:r>
      <w:r w:rsidR="00B14B1C">
        <w:rPr>
          <w:color w:val="auto"/>
          <w:sz w:val="16"/>
          <w:lang w:eastAsia="es-MX"/>
        </w:rPr>
        <w:t>.</w:t>
      </w:r>
      <w:r w:rsidR="00A857BE">
        <w:rPr>
          <w:color w:val="auto"/>
          <w:sz w:val="16"/>
          <w:lang w:eastAsia="es-MX"/>
        </w:rPr>
        <w:t xml:space="preserve"> </w:t>
      </w:r>
    </w:p>
    <w:p w14:paraId="565044DC" w14:textId="77777777" w:rsidR="00A857BE" w:rsidRDefault="00A857BE" w:rsidP="00D47085">
      <w:pPr>
        <w:pStyle w:val="Default"/>
        <w:ind w:left="426"/>
        <w:jc w:val="both"/>
        <w:rPr>
          <w:b/>
          <w:color w:val="auto"/>
          <w:sz w:val="16"/>
          <w:lang w:eastAsia="es-MX"/>
        </w:rPr>
      </w:pPr>
      <w:r w:rsidRPr="00BF15FB">
        <w:rPr>
          <w:color w:val="auto"/>
          <w:sz w:val="16"/>
          <w:lang w:eastAsia="es-MX"/>
        </w:rPr>
        <w:t xml:space="preserve">Fuente: </w:t>
      </w:r>
      <w:r w:rsidRPr="00BF15FB">
        <w:rPr>
          <w:b/>
          <w:color w:val="auto"/>
          <w:sz w:val="16"/>
          <w:lang w:eastAsia="es-MX"/>
        </w:rPr>
        <w:t>INEGI</w:t>
      </w:r>
      <w:r w:rsidR="00B164D0">
        <w:rPr>
          <w:b/>
          <w:color w:val="auto"/>
          <w:sz w:val="16"/>
          <w:lang w:eastAsia="es-MX"/>
        </w:rPr>
        <w:t>.</w:t>
      </w:r>
    </w:p>
    <w:p w14:paraId="606E8011" w14:textId="77777777" w:rsidR="00D47085" w:rsidRPr="00D47085" w:rsidRDefault="00D47085" w:rsidP="00A857BE">
      <w:pPr>
        <w:pStyle w:val="Default"/>
        <w:jc w:val="both"/>
        <w:rPr>
          <w:color w:val="auto"/>
          <w:sz w:val="22"/>
          <w:szCs w:val="22"/>
          <w:lang w:eastAsia="es-MX"/>
        </w:rPr>
      </w:pPr>
    </w:p>
    <w:p w14:paraId="0A33E558" w14:textId="77777777" w:rsidR="00CB50C5" w:rsidRDefault="00CB50C5" w:rsidP="00CB50C5">
      <w:pPr>
        <w:pStyle w:val="Default"/>
        <w:jc w:val="both"/>
        <w:rPr>
          <w:sz w:val="22"/>
          <w:lang w:eastAsia="es-MX"/>
        </w:rPr>
      </w:pPr>
      <w:r w:rsidRPr="005F52E0">
        <w:rPr>
          <w:sz w:val="22"/>
          <w:szCs w:val="22"/>
          <w:lang w:eastAsia="es-MX"/>
        </w:rPr>
        <w:t xml:space="preserve">En 2020, los materiales para la construcción consumidos como contratista principal representan el principal rubro del consumo de bienes y servicios al contribuir con 51.6% del total del sector, seguido por </w:t>
      </w:r>
      <w:r w:rsidR="002A2645" w:rsidRPr="005F52E0">
        <w:rPr>
          <w:sz w:val="22"/>
          <w:szCs w:val="22"/>
          <w:lang w:eastAsia="es-MX"/>
        </w:rPr>
        <w:t xml:space="preserve">los </w:t>
      </w:r>
      <w:r w:rsidRPr="005F52E0">
        <w:rPr>
          <w:sz w:val="22"/>
          <w:szCs w:val="22"/>
          <w:lang w:eastAsia="es-MX"/>
        </w:rPr>
        <w:t>pagos a subcontratistas</w:t>
      </w:r>
      <w:r w:rsidR="009F1076">
        <w:rPr>
          <w:sz w:val="22"/>
          <w:szCs w:val="22"/>
          <w:lang w:eastAsia="es-MX"/>
        </w:rPr>
        <w:t xml:space="preserve"> con</w:t>
      </w:r>
      <w:r w:rsidRPr="005F52E0">
        <w:rPr>
          <w:sz w:val="22"/>
          <w:szCs w:val="22"/>
          <w:lang w:eastAsia="es-MX"/>
        </w:rPr>
        <w:t xml:space="preserve"> 22.1%, resto de consumos</w:t>
      </w:r>
      <w:r w:rsidR="00D47085">
        <w:rPr>
          <w:sz w:val="22"/>
          <w:lang w:eastAsia="es-MX"/>
        </w:rPr>
        <w:t xml:space="preserve"> (servicios de comunicación, publicidad, reparaciones y mantenimiento y otros consumos)</w:t>
      </w:r>
      <w:r w:rsidR="009F1076">
        <w:rPr>
          <w:sz w:val="22"/>
          <w:lang w:eastAsia="es-MX"/>
        </w:rPr>
        <w:t xml:space="preserve"> con</w:t>
      </w:r>
      <w:r w:rsidR="00D47085">
        <w:rPr>
          <w:sz w:val="22"/>
          <w:lang w:eastAsia="es-MX"/>
        </w:rPr>
        <w:t xml:space="preserve"> </w:t>
      </w:r>
      <w:r>
        <w:rPr>
          <w:sz w:val="22"/>
          <w:lang w:eastAsia="es-MX"/>
        </w:rPr>
        <w:t>19.8%</w:t>
      </w:r>
      <w:r w:rsidR="002A2645">
        <w:rPr>
          <w:sz w:val="22"/>
          <w:lang w:eastAsia="es-MX"/>
        </w:rPr>
        <w:t xml:space="preserve"> y</w:t>
      </w:r>
      <w:r>
        <w:rPr>
          <w:sz w:val="22"/>
          <w:lang w:eastAsia="es-MX"/>
        </w:rPr>
        <w:t xml:space="preserve"> </w:t>
      </w:r>
      <w:r w:rsidR="002A2645">
        <w:rPr>
          <w:sz w:val="22"/>
          <w:lang w:eastAsia="es-MX"/>
        </w:rPr>
        <w:t>m</w:t>
      </w:r>
      <w:r w:rsidR="002A2645" w:rsidRPr="00C23B19">
        <w:rPr>
          <w:sz w:val="22"/>
          <w:lang w:eastAsia="es-MX"/>
        </w:rPr>
        <w:t>ateriales para la construcción consumidos como subcontratista</w:t>
      </w:r>
      <w:r w:rsidR="002A2645">
        <w:rPr>
          <w:sz w:val="22"/>
          <w:lang w:eastAsia="es-MX"/>
        </w:rPr>
        <w:t xml:space="preserve"> </w:t>
      </w:r>
      <w:r w:rsidR="009F1076">
        <w:rPr>
          <w:sz w:val="22"/>
          <w:lang w:eastAsia="es-MX"/>
        </w:rPr>
        <w:t xml:space="preserve">con </w:t>
      </w:r>
      <w:r w:rsidR="002A2645">
        <w:rPr>
          <w:sz w:val="22"/>
          <w:lang w:eastAsia="es-MX"/>
        </w:rPr>
        <w:t>6.5 por ciento</w:t>
      </w:r>
      <w:r w:rsidRPr="00A57743">
        <w:rPr>
          <w:sz w:val="22"/>
          <w:lang w:eastAsia="es-MX"/>
        </w:rPr>
        <w:t>.</w:t>
      </w:r>
    </w:p>
    <w:p w14:paraId="03F21A4B" w14:textId="77777777" w:rsidR="008C0D4F" w:rsidRPr="002A49B4" w:rsidRDefault="008C0D4F" w:rsidP="008C0D4F">
      <w:pPr>
        <w:pStyle w:val="Default"/>
        <w:jc w:val="both"/>
        <w:rPr>
          <w:color w:val="auto"/>
          <w:sz w:val="22"/>
          <w:lang w:eastAsia="es-MX"/>
        </w:rPr>
      </w:pPr>
    </w:p>
    <w:p w14:paraId="79E760FF" w14:textId="77777777" w:rsidR="008C0D4F" w:rsidRDefault="008C0D4F" w:rsidP="008C0D4F">
      <w:pPr>
        <w:pStyle w:val="Default"/>
        <w:jc w:val="center"/>
        <w:rPr>
          <w:b/>
          <w:color w:val="auto"/>
          <w:sz w:val="22"/>
          <w:lang w:eastAsia="es-MX"/>
        </w:rPr>
      </w:pPr>
      <w:r w:rsidRPr="005110B8">
        <w:rPr>
          <w:b/>
          <w:color w:val="auto"/>
          <w:sz w:val="22"/>
          <w:lang w:eastAsia="es-MX"/>
        </w:rPr>
        <w:t xml:space="preserve">Cuadro </w:t>
      </w:r>
      <w:r w:rsidR="00BC06C5">
        <w:rPr>
          <w:b/>
          <w:color w:val="auto"/>
          <w:sz w:val="22"/>
          <w:lang w:eastAsia="es-MX"/>
        </w:rPr>
        <w:t>5</w:t>
      </w:r>
    </w:p>
    <w:p w14:paraId="3C8107DB" w14:textId="77777777" w:rsidR="00FF5CF1" w:rsidRPr="00FF5CF1" w:rsidRDefault="00FF5CF1" w:rsidP="00FF5CF1">
      <w:pPr>
        <w:pStyle w:val="NormalWeb"/>
        <w:shd w:val="clear" w:color="auto" w:fill="FFFFFF"/>
        <w:spacing w:before="0" w:beforeAutospacing="0" w:after="0" w:afterAutospacing="0"/>
        <w:jc w:val="center"/>
        <w:rPr>
          <w:rFonts w:ascii="Arial" w:hAnsi="Arial" w:cs="Arial"/>
          <w:color w:val="242424"/>
          <w:sz w:val="21"/>
          <w:szCs w:val="21"/>
        </w:rPr>
      </w:pPr>
      <w:r w:rsidRPr="00FF5CF1">
        <w:rPr>
          <w:rFonts w:ascii="Arial" w:hAnsi="Arial" w:cs="Arial"/>
          <w:b/>
          <w:bCs/>
          <w:color w:val="242424"/>
          <w:sz w:val="22"/>
          <w:szCs w:val="22"/>
        </w:rPr>
        <w:t>Participación porcentual del consumo de bienes y servicios</w:t>
      </w:r>
      <w:r w:rsidR="00350BEA">
        <w:rPr>
          <w:rFonts w:ascii="Arial" w:hAnsi="Arial" w:cs="Arial"/>
          <w:b/>
          <w:bCs/>
          <w:color w:val="242424"/>
          <w:sz w:val="22"/>
          <w:szCs w:val="22"/>
        </w:rPr>
        <w:t xml:space="preserve"> </w:t>
      </w:r>
      <w:r w:rsidRPr="00FF5CF1">
        <w:rPr>
          <w:rFonts w:ascii="Arial" w:hAnsi="Arial" w:cs="Arial"/>
          <w:b/>
          <w:bCs/>
          <w:color w:val="242424"/>
          <w:sz w:val="22"/>
          <w:szCs w:val="22"/>
        </w:rPr>
        <w:t xml:space="preserve">de las </w:t>
      </w:r>
      <w:r>
        <w:rPr>
          <w:rFonts w:ascii="Arial" w:hAnsi="Arial" w:cs="Arial"/>
          <w:b/>
          <w:bCs/>
          <w:color w:val="242424"/>
          <w:sz w:val="22"/>
          <w:szCs w:val="22"/>
        </w:rPr>
        <w:t>empresas constructoras por concepto</w:t>
      </w:r>
      <w:r w:rsidRPr="00FF5CF1">
        <w:rPr>
          <w:rFonts w:ascii="Arial" w:hAnsi="Arial" w:cs="Arial"/>
          <w:b/>
          <w:bCs/>
          <w:color w:val="242424"/>
          <w:sz w:val="22"/>
          <w:szCs w:val="22"/>
        </w:rPr>
        <w:t xml:space="preserve"> y subsector, 2020</w:t>
      </w:r>
      <w:r w:rsidRPr="00FF5CF1">
        <w:rPr>
          <w:rFonts w:ascii="Arial" w:hAnsi="Arial" w:cs="Arial"/>
          <w:b/>
          <w:bCs/>
          <w:color w:val="242424"/>
          <w:sz w:val="17"/>
          <w:szCs w:val="17"/>
          <w:vertAlign w:val="superscript"/>
        </w:rPr>
        <w:t>p/</w:t>
      </w:r>
    </w:p>
    <w:p w14:paraId="3D1721B8" w14:textId="77777777" w:rsidR="0040250E" w:rsidRPr="00FF5CF1" w:rsidRDefault="0040250E" w:rsidP="0040250E">
      <w:pPr>
        <w:pStyle w:val="Default"/>
        <w:jc w:val="center"/>
        <w:rPr>
          <w:b/>
          <w:color w:val="auto"/>
          <w:sz w:val="22"/>
          <w:lang w:eastAsia="es-MX"/>
        </w:rPr>
      </w:pPr>
      <w:r w:rsidRPr="00FF5CF1">
        <w:rPr>
          <w:b/>
          <w:color w:val="auto"/>
          <w:sz w:val="22"/>
          <w:lang w:eastAsia="es-MX"/>
        </w:rPr>
        <w:t>(Porcentaje)</w:t>
      </w:r>
    </w:p>
    <w:tbl>
      <w:tblPr>
        <w:tblW w:w="8828" w:type="dxa"/>
        <w:tblCellMar>
          <w:left w:w="70" w:type="dxa"/>
          <w:right w:w="70" w:type="dxa"/>
        </w:tblCellMar>
        <w:tblLook w:val="04A0" w:firstRow="1" w:lastRow="0" w:firstColumn="1" w:lastColumn="0" w:noHBand="0" w:noVBand="1"/>
      </w:tblPr>
      <w:tblGrid>
        <w:gridCol w:w="2175"/>
        <w:gridCol w:w="1253"/>
        <w:gridCol w:w="1077"/>
        <w:gridCol w:w="1020"/>
        <w:gridCol w:w="1271"/>
        <w:gridCol w:w="1191"/>
        <w:gridCol w:w="841"/>
      </w:tblGrid>
      <w:tr w:rsidR="009B3F1E" w:rsidRPr="00C23B19" w14:paraId="39EC83A1" w14:textId="77777777" w:rsidTr="00D47085">
        <w:trPr>
          <w:trHeight w:val="255"/>
        </w:trPr>
        <w:tc>
          <w:tcPr>
            <w:tcW w:w="2175" w:type="dxa"/>
            <w:vMerge w:val="restar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3B755C6C" w14:textId="77777777" w:rsidR="00C23B19" w:rsidRPr="00C23B19" w:rsidRDefault="00C23B19" w:rsidP="00C23B19">
            <w:pPr>
              <w:spacing w:after="0" w:line="240" w:lineRule="auto"/>
              <w:jc w:val="center"/>
              <w:rPr>
                <w:rFonts w:ascii="Arial" w:eastAsia="Times New Roman" w:hAnsi="Arial" w:cs="Arial"/>
                <w:b/>
                <w:bCs/>
                <w:sz w:val="20"/>
                <w:szCs w:val="20"/>
                <w:lang w:eastAsia="es-MX"/>
              </w:rPr>
            </w:pPr>
            <w:r w:rsidRPr="00C23B19">
              <w:rPr>
                <w:rFonts w:ascii="Arial" w:eastAsia="Times New Roman" w:hAnsi="Arial" w:cs="Arial"/>
                <w:b/>
                <w:bCs/>
                <w:sz w:val="20"/>
                <w:szCs w:val="20"/>
                <w:lang w:eastAsia="es-MX"/>
              </w:rPr>
              <w:t>Sector y subsector</w:t>
            </w:r>
          </w:p>
        </w:tc>
        <w:tc>
          <w:tcPr>
            <w:tcW w:w="6653" w:type="dxa"/>
            <w:gridSpan w:val="6"/>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20676724" w14:textId="77777777" w:rsidR="00C23B19" w:rsidRPr="00C23B19" w:rsidRDefault="00C23B19" w:rsidP="00C23B19">
            <w:pPr>
              <w:spacing w:after="0" w:line="240" w:lineRule="auto"/>
              <w:jc w:val="center"/>
              <w:rPr>
                <w:rFonts w:ascii="Arial" w:eastAsia="Times New Roman" w:hAnsi="Arial" w:cs="Arial"/>
                <w:b/>
                <w:bCs/>
                <w:sz w:val="20"/>
                <w:szCs w:val="20"/>
                <w:lang w:eastAsia="es-MX"/>
              </w:rPr>
            </w:pPr>
            <w:r w:rsidRPr="00C23B19">
              <w:rPr>
                <w:rFonts w:ascii="Arial" w:eastAsia="Times New Roman" w:hAnsi="Arial" w:cs="Arial"/>
                <w:b/>
                <w:bCs/>
                <w:sz w:val="20"/>
                <w:szCs w:val="20"/>
                <w:lang w:eastAsia="es-MX"/>
              </w:rPr>
              <w:t>Gastos por consumo de bienes y servicios</w:t>
            </w:r>
          </w:p>
        </w:tc>
      </w:tr>
      <w:tr w:rsidR="009B3F1E" w:rsidRPr="00C23B19" w14:paraId="6ED84A5F" w14:textId="77777777" w:rsidTr="00D47085">
        <w:trPr>
          <w:trHeight w:val="314"/>
        </w:trPr>
        <w:tc>
          <w:tcPr>
            <w:tcW w:w="2175" w:type="dxa"/>
            <w:vMerge/>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41829021" w14:textId="77777777" w:rsidR="00C23B19" w:rsidRPr="00C23B19" w:rsidRDefault="00C23B19" w:rsidP="00C23B19">
            <w:pPr>
              <w:spacing w:after="0" w:line="240" w:lineRule="auto"/>
              <w:jc w:val="center"/>
              <w:rPr>
                <w:rFonts w:ascii="Arial" w:eastAsia="Times New Roman" w:hAnsi="Arial" w:cs="Arial"/>
                <w:b/>
                <w:bCs/>
                <w:sz w:val="20"/>
                <w:szCs w:val="20"/>
                <w:lang w:eastAsia="es-MX"/>
              </w:rPr>
            </w:pPr>
          </w:p>
        </w:tc>
        <w:tc>
          <w:tcPr>
            <w:tcW w:w="1253" w:type="dxa"/>
            <w:vMerge w:val="restart"/>
            <w:tcBorders>
              <w:top w:val="nil"/>
              <w:left w:val="single" w:sz="4" w:space="0" w:color="auto"/>
              <w:bottom w:val="single" w:sz="4" w:space="0" w:color="auto"/>
              <w:right w:val="single" w:sz="4" w:space="0" w:color="auto"/>
            </w:tcBorders>
            <w:shd w:val="clear" w:color="auto" w:fill="FFD966" w:themeFill="accent4" w:themeFillTint="99"/>
            <w:vAlign w:val="center"/>
            <w:hideMark/>
          </w:tcPr>
          <w:p w14:paraId="48E01742" w14:textId="77777777" w:rsidR="00C23B19" w:rsidRPr="00C23B19" w:rsidRDefault="00C23B19" w:rsidP="00C23B19">
            <w:pPr>
              <w:spacing w:after="0" w:line="240" w:lineRule="auto"/>
              <w:jc w:val="center"/>
              <w:rPr>
                <w:rFonts w:ascii="Arial" w:eastAsia="Times New Roman" w:hAnsi="Arial" w:cs="Arial"/>
                <w:b/>
                <w:bCs/>
                <w:sz w:val="14"/>
                <w:szCs w:val="14"/>
                <w:lang w:eastAsia="es-MX"/>
              </w:rPr>
            </w:pPr>
            <w:r w:rsidRPr="00C23B19">
              <w:rPr>
                <w:rFonts w:ascii="Arial" w:eastAsia="Times New Roman" w:hAnsi="Arial" w:cs="Arial"/>
                <w:b/>
                <w:bCs/>
                <w:sz w:val="14"/>
                <w:szCs w:val="14"/>
                <w:lang w:eastAsia="es-MX"/>
              </w:rPr>
              <w:t>Miles de pesos corrientes</w:t>
            </w:r>
          </w:p>
        </w:tc>
        <w:tc>
          <w:tcPr>
            <w:tcW w:w="1077" w:type="dxa"/>
            <w:vMerge w:val="restart"/>
            <w:tcBorders>
              <w:top w:val="nil"/>
              <w:left w:val="nil"/>
              <w:right w:val="single" w:sz="4" w:space="0" w:color="auto"/>
            </w:tcBorders>
            <w:shd w:val="clear" w:color="auto" w:fill="FFD966" w:themeFill="accent4" w:themeFillTint="99"/>
            <w:noWrap/>
            <w:vAlign w:val="center"/>
            <w:hideMark/>
          </w:tcPr>
          <w:p w14:paraId="57E90D93" w14:textId="77777777" w:rsidR="00C23B19" w:rsidRPr="00C23B19" w:rsidRDefault="00C23B19" w:rsidP="00C23B19">
            <w:pPr>
              <w:spacing w:after="0" w:line="240" w:lineRule="auto"/>
              <w:jc w:val="center"/>
              <w:rPr>
                <w:rFonts w:ascii="Arial" w:eastAsia="Times New Roman" w:hAnsi="Arial" w:cs="Arial"/>
                <w:b/>
                <w:bCs/>
                <w:sz w:val="14"/>
                <w:szCs w:val="14"/>
                <w:lang w:eastAsia="es-MX"/>
              </w:rPr>
            </w:pPr>
            <w:r w:rsidRPr="00C23B19">
              <w:rPr>
                <w:rFonts w:ascii="Arial" w:eastAsia="Times New Roman" w:hAnsi="Arial" w:cs="Arial"/>
                <w:b/>
                <w:bCs/>
                <w:sz w:val="14"/>
                <w:szCs w:val="14"/>
                <w:lang w:eastAsia="es-MX"/>
              </w:rPr>
              <w:t>Participación porcentual</w:t>
            </w:r>
          </w:p>
        </w:tc>
        <w:tc>
          <w:tcPr>
            <w:tcW w:w="4323" w:type="dxa"/>
            <w:gridSpan w:val="4"/>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22BAAF00" w14:textId="77777777" w:rsidR="00C23B19" w:rsidRPr="00C23B19" w:rsidRDefault="00C23B19" w:rsidP="00C23B19">
            <w:pPr>
              <w:spacing w:after="0" w:line="240" w:lineRule="auto"/>
              <w:jc w:val="center"/>
              <w:rPr>
                <w:rFonts w:ascii="Arial" w:eastAsia="Times New Roman" w:hAnsi="Arial" w:cs="Arial"/>
                <w:b/>
                <w:bCs/>
                <w:color w:val="000000"/>
                <w:sz w:val="20"/>
                <w:szCs w:val="20"/>
                <w:lang w:eastAsia="es-MX"/>
              </w:rPr>
            </w:pPr>
            <w:r w:rsidRPr="00C23B19">
              <w:rPr>
                <w:rFonts w:ascii="Arial" w:eastAsia="Times New Roman" w:hAnsi="Arial" w:cs="Arial"/>
                <w:b/>
                <w:bCs/>
                <w:color w:val="000000"/>
                <w:sz w:val="20"/>
                <w:szCs w:val="20"/>
                <w:lang w:eastAsia="es-MX"/>
              </w:rPr>
              <w:t>Distribución porcentual</w:t>
            </w:r>
          </w:p>
        </w:tc>
      </w:tr>
      <w:tr w:rsidR="009B3F1E" w:rsidRPr="00C23B19" w14:paraId="1DF71843" w14:textId="77777777" w:rsidTr="0098408D">
        <w:trPr>
          <w:trHeight w:val="868"/>
        </w:trPr>
        <w:tc>
          <w:tcPr>
            <w:tcW w:w="2175" w:type="dxa"/>
            <w:vMerge/>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7AAA0144" w14:textId="77777777" w:rsidR="00C23B19" w:rsidRPr="00C23B19" w:rsidRDefault="00C23B19" w:rsidP="00C23B19">
            <w:pPr>
              <w:spacing w:after="0" w:line="240" w:lineRule="auto"/>
              <w:jc w:val="center"/>
              <w:rPr>
                <w:rFonts w:ascii="Arial" w:eastAsia="Times New Roman" w:hAnsi="Arial" w:cs="Arial"/>
                <w:b/>
                <w:bCs/>
                <w:sz w:val="20"/>
                <w:szCs w:val="20"/>
                <w:lang w:eastAsia="es-MX"/>
              </w:rPr>
            </w:pPr>
          </w:p>
        </w:tc>
        <w:tc>
          <w:tcPr>
            <w:tcW w:w="1253" w:type="dxa"/>
            <w:vMerge/>
            <w:tcBorders>
              <w:top w:val="nil"/>
              <w:left w:val="single" w:sz="4" w:space="0" w:color="auto"/>
              <w:bottom w:val="single" w:sz="4" w:space="0" w:color="auto"/>
              <w:right w:val="single" w:sz="4" w:space="0" w:color="auto"/>
            </w:tcBorders>
            <w:shd w:val="clear" w:color="auto" w:fill="FFD966" w:themeFill="accent4" w:themeFillTint="99"/>
            <w:vAlign w:val="center"/>
            <w:hideMark/>
          </w:tcPr>
          <w:p w14:paraId="66FF7720" w14:textId="77777777" w:rsidR="00C23B19" w:rsidRPr="00C23B19" w:rsidRDefault="00C23B19" w:rsidP="00C23B19">
            <w:pPr>
              <w:spacing w:after="0" w:line="240" w:lineRule="auto"/>
              <w:jc w:val="center"/>
              <w:rPr>
                <w:rFonts w:ascii="Arial" w:eastAsia="Times New Roman" w:hAnsi="Arial" w:cs="Arial"/>
                <w:b/>
                <w:bCs/>
                <w:sz w:val="14"/>
                <w:szCs w:val="14"/>
                <w:lang w:eastAsia="es-MX"/>
              </w:rPr>
            </w:pPr>
          </w:p>
        </w:tc>
        <w:tc>
          <w:tcPr>
            <w:tcW w:w="1077" w:type="dxa"/>
            <w:vMerge/>
            <w:tcBorders>
              <w:left w:val="nil"/>
              <w:bottom w:val="single" w:sz="4" w:space="0" w:color="auto"/>
              <w:right w:val="single" w:sz="4" w:space="0" w:color="auto"/>
            </w:tcBorders>
            <w:shd w:val="clear" w:color="auto" w:fill="FFD966" w:themeFill="accent4" w:themeFillTint="99"/>
            <w:vAlign w:val="center"/>
            <w:hideMark/>
          </w:tcPr>
          <w:p w14:paraId="7189F657" w14:textId="77777777" w:rsidR="00C23B19" w:rsidRPr="00C23B19" w:rsidRDefault="00C23B19" w:rsidP="00C23B19">
            <w:pPr>
              <w:spacing w:after="0" w:line="240" w:lineRule="auto"/>
              <w:jc w:val="center"/>
              <w:rPr>
                <w:rFonts w:ascii="Arial" w:eastAsia="Times New Roman" w:hAnsi="Arial" w:cs="Arial"/>
                <w:b/>
                <w:bCs/>
                <w:sz w:val="14"/>
                <w:szCs w:val="14"/>
                <w:lang w:eastAsia="es-MX"/>
              </w:rPr>
            </w:pPr>
          </w:p>
        </w:tc>
        <w:tc>
          <w:tcPr>
            <w:tcW w:w="1020" w:type="dxa"/>
            <w:tcBorders>
              <w:top w:val="nil"/>
              <w:left w:val="nil"/>
              <w:bottom w:val="single" w:sz="4" w:space="0" w:color="auto"/>
              <w:right w:val="single" w:sz="4" w:space="0" w:color="auto"/>
            </w:tcBorders>
            <w:shd w:val="clear" w:color="auto" w:fill="FFD966" w:themeFill="accent4" w:themeFillTint="99"/>
            <w:vAlign w:val="center"/>
            <w:hideMark/>
          </w:tcPr>
          <w:p w14:paraId="54BC6123" w14:textId="77777777" w:rsidR="00C23B19" w:rsidRPr="00C23B19" w:rsidRDefault="00C23B19" w:rsidP="00C23B19">
            <w:pPr>
              <w:spacing w:after="0" w:line="240" w:lineRule="auto"/>
              <w:jc w:val="center"/>
              <w:rPr>
                <w:rFonts w:ascii="Arial" w:eastAsia="Times New Roman" w:hAnsi="Arial" w:cs="Arial"/>
                <w:b/>
                <w:bCs/>
                <w:sz w:val="14"/>
                <w:szCs w:val="14"/>
                <w:lang w:eastAsia="es-MX"/>
              </w:rPr>
            </w:pPr>
            <w:r w:rsidRPr="00C23B19">
              <w:rPr>
                <w:rFonts w:ascii="Arial" w:eastAsia="Times New Roman" w:hAnsi="Arial" w:cs="Arial"/>
                <w:b/>
                <w:bCs/>
                <w:sz w:val="14"/>
                <w:szCs w:val="14"/>
                <w:lang w:eastAsia="es-MX"/>
              </w:rPr>
              <w:t>Materiales para la construcción consumidos como contratista principal</w:t>
            </w:r>
          </w:p>
        </w:tc>
        <w:tc>
          <w:tcPr>
            <w:tcW w:w="1271" w:type="dxa"/>
            <w:tcBorders>
              <w:top w:val="nil"/>
              <w:left w:val="nil"/>
              <w:bottom w:val="single" w:sz="4" w:space="0" w:color="auto"/>
              <w:right w:val="single" w:sz="4" w:space="0" w:color="auto"/>
            </w:tcBorders>
            <w:shd w:val="clear" w:color="auto" w:fill="FFD966" w:themeFill="accent4" w:themeFillTint="99"/>
            <w:vAlign w:val="center"/>
            <w:hideMark/>
          </w:tcPr>
          <w:p w14:paraId="59E76D88" w14:textId="77777777" w:rsidR="00C23B19" w:rsidRPr="00C23B19" w:rsidRDefault="00C23B19" w:rsidP="00C23B19">
            <w:pPr>
              <w:spacing w:after="0" w:line="240" w:lineRule="auto"/>
              <w:jc w:val="center"/>
              <w:rPr>
                <w:rFonts w:ascii="Arial" w:eastAsia="Times New Roman" w:hAnsi="Arial" w:cs="Arial"/>
                <w:b/>
                <w:bCs/>
                <w:sz w:val="14"/>
                <w:szCs w:val="14"/>
                <w:lang w:eastAsia="es-MX"/>
              </w:rPr>
            </w:pPr>
            <w:r w:rsidRPr="00C23B19">
              <w:rPr>
                <w:rFonts w:ascii="Arial" w:eastAsia="Times New Roman" w:hAnsi="Arial" w:cs="Arial"/>
                <w:b/>
                <w:bCs/>
                <w:sz w:val="14"/>
                <w:szCs w:val="14"/>
                <w:lang w:eastAsia="es-MX"/>
              </w:rPr>
              <w:t>Materiales para la construcción consumidos como subcontratista</w:t>
            </w:r>
          </w:p>
        </w:tc>
        <w:tc>
          <w:tcPr>
            <w:tcW w:w="1191" w:type="dxa"/>
            <w:tcBorders>
              <w:top w:val="nil"/>
              <w:left w:val="nil"/>
              <w:bottom w:val="single" w:sz="4" w:space="0" w:color="auto"/>
              <w:right w:val="single" w:sz="4" w:space="0" w:color="auto"/>
            </w:tcBorders>
            <w:shd w:val="clear" w:color="auto" w:fill="FFD966" w:themeFill="accent4" w:themeFillTint="99"/>
            <w:vAlign w:val="center"/>
            <w:hideMark/>
          </w:tcPr>
          <w:p w14:paraId="1E61D0E0" w14:textId="77777777" w:rsidR="00C23B19" w:rsidRPr="00C23B19" w:rsidRDefault="00C23B19" w:rsidP="00C23B19">
            <w:pPr>
              <w:spacing w:after="0" w:line="240" w:lineRule="auto"/>
              <w:jc w:val="center"/>
              <w:rPr>
                <w:rFonts w:ascii="Arial" w:eastAsia="Times New Roman" w:hAnsi="Arial" w:cs="Arial"/>
                <w:b/>
                <w:bCs/>
                <w:sz w:val="14"/>
                <w:szCs w:val="14"/>
                <w:lang w:eastAsia="es-MX"/>
              </w:rPr>
            </w:pPr>
            <w:r w:rsidRPr="00C23B19">
              <w:rPr>
                <w:rFonts w:ascii="Arial" w:eastAsia="Times New Roman" w:hAnsi="Arial" w:cs="Arial"/>
                <w:b/>
                <w:bCs/>
                <w:sz w:val="14"/>
                <w:szCs w:val="14"/>
                <w:lang w:eastAsia="es-MX"/>
              </w:rPr>
              <w:t>Pagos a subcontratistas</w:t>
            </w:r>
          </w:p>
        </w:tc>
        <w:tc>
          <w:tcPr>
            <w:tcW w:w="841" w:type="dxa"/>
            <w:tcBorders>
              <w:top w:val="nil"/>
              <w:left w:val="nil"/>
              <w:bottom w:val="single" w:sz="4" w:space="0" w:color="auto"/>
              <w:right w:val="single" w:sz="4" w:space="0" w:color="auto"/>
            </w:tcBorders>
            <w:shd w:val="clear" w:color="auto" w:fill="FFD966" w:themeFill="accent4" w:themeFillTint="99"/>
            <w:vAlign w:val="center"/>
            <w:hideMark/>
          </w:tcPr>
          <w:p w14:paraId="2996EC61" w14:textId="77777777" w:rsidR="00C23B19" w:rsidRPr="00C23B19" w:rsidRDefault="009B3F1E" w:rsidP="00C23B19">
            <w:pPr>
              <w:spacing w:after="0" w:line="240" w:lineRule="auto"/>
              <w:jc w:val="center"/>
              <w:rPr>
                <w:rFonts w:ascii="Arial" w:eastAsia="Times New Roman" w:hAnsi="Arial" w:cs="Arial"/>
                <w:b/>
                <w:bCs/>
                <w:sz w:val="14"/>
                <w:szCs w:val="14"/>
                <w:lang w:eastAsia="es-MX"/>
              </w:rPr>
            </w:pPr>
            <w:r>
              <w:rPr>
                <w:rFonts w:ascii="Arial" w:eastAsia="Times New Roman" w:hAnsi="Arial" w:cs="Arial"/>
                <w:b/>
                <w:bCs/>
                <w:sz w:val="14"/>
                <w:szCs w:val="14"/>
                <w:lang w:eastAsia="es-MX"/>
              </w:rPr>
              <w:t xml:space="preserve">Resto de </w:t>
            </w:r>
            <w:r w:rsidRPr="00C23B19">
              <w:rPr>
                <w:rFonts w:ascii="Arial" w:eastAsia="Times New Roman" w:hAnsi="Arial" w:cs="Arial"/>
                <w:b/>
                <w:bCs/>
                <w:sz w:val="14"/>
                <w:szCs w:val="14"/>
                <w:lang w:eastAsia="es-MX"/>
              </w:rPr>
              <w:t>consumos</w:t>
            </w:r>
            <w:r w:rsidR="00C23B19" w:rsidRPr="00C23B19">
              <w:rPr>
                <w:rFonts w:ascii="Arial" w:eastAsia="Times New Roman" w:hAnsi="Arial" w:cs="Arial"/>
                <w:b/>
                <w:bCs/>
                <w:sz w:val="14"/>
                <w:szCs w:val="14"/>
                <w:lang w:eastAsia="es-MX"/>
              </w:rPr>
              <w:t xml:space="preserve"> </w:t>
            </w:r>
          </w:p>
        </w:tc>
      </w:tr>
      <w:tr w:rsidR="009B3F1E" w:rsidRPr="00C23B19" w14:paraId="47E2EA4A" w14:textId="77777777" w:rsidTr="00D47085">
        <w:trPr>
          <w:trHeight w:val="255"/>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14:paraId="2B6A7FB5" w14:textId="77777777" w:rsidR="00C23B19" w:rsidRPr="00C23B19" w:rsidRDefault="00C23B19" w:rsidP="00C23B19">
            <w:pPr>
              <w:spacing w:after="0" w:line="240" w:lineRule="auto"/>
              <w:rPr>
                <w:rFonts w:ascii="Arial" w:eastAsia="Times New Roman" w:hAnsi="Arial" w:cs="Arial"/>
                <w:b/>
                <w:bCs/>
                <w:sz w:val="20"/>
                <w:szCs w:val="20"/>
                <w:lang w:eastAsia="es-MX"/>
              </w:rPr>
            </w:pPr>
            <w:r w:rsidRPr="00C23B19">
              <w:rPr>
                <w:rFonts w:ascii="Arial" w:eastAsia="Times New Roman" w:hAnsi="Arial" w:cs="Arial"/>
                <w:b/>
                <w:bCs/>
                <w:sz w:val="20"/>
                <w:szCs w:val="20"/>
                <w:lang w:eastAsia="es-MX"/>
              </w:rPr>
              <w:t>23</w:t>
            </w:r>
            <w:r w:rsidR="009B3F1E" w:rsidRPr="009B3F1E">
              <w:rPr>
                <w:rFonts w:ascii="Arial" w:eastAsia="Times New Roman" w:hAnsi="Arial" w:cs="Arial"/>
                <w:b/>
                <w:bCs/>
                <w:sz w:val="20"/>
                <w:szCs w:val="20"/>
                <w:lang w:eastAsia="es-MX"/>
              </w:rPr>
              <w:t xml:space="preserve"> </w:t>
            </w:r>
            <w:proofErr w:type="gramStart"/>
            <w:r w:rsidRPr="00C23B19">
              <w:rPr>
                <w:rFonts w:ascii="Arial" w:eastAsia="Times New Roman" w:hAnsi="Arial" w:cs="Arial"/>
                <w:b/>
                <w:bCs/>
                <w:sz w:val="20"/>
                <w:szCs w:val="20"/>
                <w:lang w:eastAsia="es-MX"/>
              </w:rPr>
              <w:t>Construcción</w:t>
            </w:r>
            <w:proofErr w:type="gramEnd"/>
          </w:p>
        </w:tc>
        <w:tc>
          <w:tcPr>
            <w:tcW w:w="1253" w:type="dxa"/>
            <w:tcBorders>
              <w:top w:val="nil"/>
              <w:left w:val="nil"/>
              <w:bottom w:val="single" w:sz="4" w:space="0" w:color="auto"/>
              <w:right w:val="single" w:sz="4" w:space="0" w:color="auto"/>
            </w:tcBorders>
            <w:shd w:val="clear" w:color="auto" w:fill="auto"/>
            <w:noWrap/>
            <w:vAlign w:val="center"/>
            <w:hideMark/>
          </w:tcPr>
          <w:p w14:paraId="2FB21387" w14:textId="77777777" w:rsidR="00C23B19" w:rsidRPr="00C23B19" w:rsidRDefault="00C23B19" w:rsidP="009B3F1E">
            <w:pPr>
              <w:spacing w:after="0" w:line="240" w:lineRule="auto"/>
              <w:jc w:val="center"/>
              <w:rPr>
                <w:rFonts w:ascii="Arial" w:eastAsia="Times New Roman" w:hAnsi="Arial" w:cs="Arial"/>
                <w:b/>
                <w:bCs/>
                <w:sz w:val="20"/>
                <w:szCs w:val="20"/>
                <w:lang w:eastAsia="es-MX"/>
              </w:rPr>
            </w:pPr>
            <w:r w:rsidRPr="00C23B19">
              <w:rPr>
                <w:rFonts w:ascii="Arial" w:eastAsia="Times New Roman" w:hAnsi="Arial" w:cs="Arial"/>
                <w:b/>
                <w:bCs/>
                <w:sz w:val="20"/>
                <w:szCs w:val="20"/>
                <w:lang w:eastAsia="es-MX"/>
              </w:rPr>
              <w:t>293</w:t>
            </w:r>
            <w:r w:rsidR="009F1076">
              <w:rPr>
                <w:rFonts w:ascii="Arial" w:eastAsia="Times New Roman" w:hAnsi="Arial" w:cs="Arial"/>
                <w:b/>
                <w:bCs/>
                <w:sz w:val="20"/>
                <w:szCs w:val="20"/>
                <w:lang w:eastAsia="es-MX"/>
              </w:rPr>
              <w:t xml:space="preserve"> </w:t>
            </w:r>
            <w:r w:rsidRPr="00C23B19">
              <w:rPr>
                <w:rFonts w:ascii="Arial" w:eastAsia="Times New Roman" w:hAnsi="Arial" w:cs="Arial"/>
                <w:b/>
                <w:bCs/>
                <w:sz w:val="20"/>
                <w:szCs w:val="20"/>
                <w:lang w:eastAsia="es-MX"/>
              </w:rPr>
              <w:t>362</w:t>
            </w:r>
            <w:r w:rsidR="009F1076">
              <w:rPr>
                <w:rFonts w:ascii="Arial" w:eastAsia="Times New Roman" w:hAnsi="Arial" w:cs="Arial"/>
                <w:b/>
                <w:bCs/>
                <w:sz w:val="20"/>
                <w:szCs w:val="20"/>
                <w:lang w:eastAsia="es-MX"/>
              </w:rPr>
              <w:t xml:space="preserve"> </w:t>
            </w:r>
            <w:r w:rsidRPr="00C23B19">
              <w:rPr>
                <w:rFonts w:ascii="Arial" w:eastAsia="Times New Roman" w:hAnsi="Arial" w:cs="Arial"/>
                <w:b/>
                <w:bCs/>
                <w:sz w:val="20"/>
                <w:szCs w:val="20"/>
                <w:lang w:eastAsia="es-MX"/>
              </w:rPr>
              <w:t>579</w:t>
            </w:r>
          </w:p>
        </w:tc>
        <w:tc>
          <w:tcPr>
            <w:tcW w:w="1077" w:type="dxa"/>
            <w:tcBorders>
              <w:top w:val="nil"/>
              <w:left w:val="nil"/>
              <w:bottom w:val="single" w:sz="4" w:space="0" w:color="auto"/>
              <w:right w:val="single" w:sz="4" w:space="0" w:color="auto"/>
            </w:tcBorders>
            <w:shd w:val="clear" w:color="auto" w:fill="auto"/>
            <w:noWrap/>
            <w:vAlign w:val="center"/>
            <w:hideMark/>
          </w:tcPr>
          <w:p w14:paraId="5DA3F48A" w14:textId="77777777" w:rsidR="00C23B19" w:rsidRPr="00C23B19" w:rsidRDefault="00C23B19" w:rsidP="009B3F1E">
            <w:pPr>
              <w:spacing w:after="0" w:line="240" w:lineRule="auto"/>
              <w:jc w:val="center"/>
              <w:rPr>
                <w:rFonts w:ascii="Arial" w:eastAsia="Times New Roman" w:hAnsi="Arial" w:cs="Arial"/>
                <w:b/>
                <w:bCs/>
                <w:sz w:val="20"/>
                <w:szCs w:val="20"/>
                <w:lang w:eastAsia="es-MX"/>
              </w:rPr>
            </w:pPr>
            <w:r w:rsidRPr="00C23B19">
              <w:rPr>
                <w:rFonts w:ascii="Arial" w:eastAsia="Times New Roman" w:hAnsi="Arial" w:cs="Arial"/>
                <w:b/>
                <w:bCs/>
                <w:sz w:val="20"/>
                <w:szCs w:val="20"/>
                <w:lang w:eastAsia="es-MX"/>
              </w:rPr>
              <w:t>100.0</w:t>
            </w:r>
          </w:p>
        </w:tc>
        <w:tc>
          <w:tcPr>
            <w:tcW w:w="1020" w:type="dxa"/>
            <w:tcBorders>
              <w:top w:val="nil"/>
              <w:left w:val="nil"/>
              <w:bottom w:val="single" w:sz="4" w:space="0" w:color="auto"/>
              <w:right w:val="single" w:sz="4" w:space="0" w:color="auto"/>
            </w:tcBorders>
            <w:shd w:val="clear" w:color="auto" w:fill="auto"/>
            <w:noWrap/>
            <w:vAlign w:val="center"/>
            <w:hideMark/>
          </w:tcPr>
          <w:p w14:paraId="75E92B72" w14:textId="77777777" w:rsidR="00C23B19" w:rsidRPr="00C23B19" w:rsidRDefault="00C23B19" w:rsidP="009B3F1E">
            <w:pPr>
              <w:spacing w:after="0" w:line="240" w:lineRule="auto"/>
              <w:jc w:val="center"/>
              <w:rPr>
                <w:rFonts w:ascii="Arial" w:eastAsia="Times New Roman" w:hAnsi="Arial" w:cs="Arial"/>
                <w:b/>
                <w:bCs/>
                <w:sz w:val="20"/>
                <w:szCs w:val="20"/>
                <w:lang w:eastAsia="es-MX"/>
              </w:rPr>
            </w:pPr>
            <w:r w:rsidRPr="00C23B19">
              <w:rPr>
                <w:rFonts w:ascii="Arial" w:eastAsia="Times New Roman" w:hAnsi="Arial" w:cs="Arial"/>
                <w:b/>
                <w:bCs/>
                <w:sz w:val="20"/>
                <w:szCs w:val="20"/>
                <w:lang w:eastAsia="es-MX"/>
              </w:rPr>
              <w:t>51.6</w:t>
            </w:r>
          </w:p>
        </w:tc>
        <w:tc>
          <w:tcPr>
            <w:tcW w:w="1271" w:type="dxa"/>
            <w:tcBorders>
              <w:top w:val="nil"/>
              <w:left w:val="nil"/>
              <w:bottom w:val="single" w:sz="4" w:space="0" w:color="auto"/>
              <w:right w:val="single" w:sz="4" w:space="0" w:color="auto"/>
            </w:tcBorders>
            <w:shd w:val="clear" w:color="auto" w:fill="auto"/>
            <w:noWrap/>
            <w:vAlign w:val="center"/>
            <w:hideMark/>
          </w:tcPr>
          <w:p w14:paraId="0D34A20A" w14:textId="77777777" w:rsidR="00C23B19" w:rsidRPr="00C23B19" w:rsidRDefault="00C23B19" w:rsidP="009B3F1E">
            <w:pPr>
              <w:spacing w:after="0" w:line="240" w:lineRule="auto"/>
              <w:jc w:val="center"/>
              <w:rPr>
                <w:rFonts w:ascii="Arial" w:eastAsia="Times New Roman" w:hAnsi="Arial" w:cs="Arial"/>
                <w:b/>
                <w:bCs/>
                <w:sz w:val="20"/>
                <w:szCs w:val="20"/>
                <w:lang w:eastAsia="es-MX"/>
              </w:rPr>
            </w:pPr>
            <w:r w:rsidRPr="00C23B19">
              <w:rPr>
                <w:rFonts w:ascii="Arial" w:eastAsia="Times New Roman" w:hAnsi="Arial" w:cs="Arial"/>
                <w:b/>
                <w:bCs/>
                <w:sz w:val="20"/>
                <w:szCs w:val="20"/>
                <w:lang w:eastAsia="es-MX"/>
              </w:rPr>
              <w:t>6.5</w:t>
            </w:r>
          </w:p>
        </w:tc>
        <w:tc>
          <w:tcPr>
            <w:tcW w:w="1191" w:type="dxa"/>
            <w:tcBorders>
              <w:top w:val="nil"/>
              <w:left w:val="nil"/>
              <w:bottom w:val="single" w:sz="4" w:space="0" w:color="auto"/>
              <w:right w:val="single" w:sz="4" w:space="0" w:color="auto"/>
            </w:tcBorders>
            <w:shd w:val="clear" w:color="auto" w:fill="auto"/>
            <w:noWrap/>
            <w:vAlign w:val="center"/>
            <w:hideMark/>
          </w:tcPr>
          <w:p w14:paraId="37390338" w14:textId="77777777" w:rsidR="00C23B19" w:rsidRPr="00C23B19" w:rsidRDefault="00C23B19" w:rsidP="009B3F1E">
            <w:pPr>
              <w:spacing w:after="0" w:line="240" w:lineRule="auto"/>
              <w:jc w:val="center"/>
              <w:rPr>
                <w:rFonts w:ascii="Arial" w:eastAsia="Times New Roman" w:hAnsi="Arial" w:cs="Arial"/>
                <w:b/>
                <w:bCs/>
                <w:sz w:val="20"/>
                <w:szCs w:val="20"/>
                <w:lang w:eastAsia="es-MX"/>
              </w:rPr>
            </w:pPr>
            <w:r w:rsidRPr="00C23B19">
              <w:rPr>
                <w:rFonts w:ascii="Arial" w:eastAsia="Times New Roman" w:hAnsi="Arial" w:cs="Arial"/>
                <w:b/>
                <w:bCs/>
                <w:sz w:val="20"/>
                <w:szCs w:val="20"/>
                <w:lang w:eastAsia="es-MX"/>
              </w:rPr>
              <w:t>22.1</w:t>
            </w:r>
          </w:p>
        </w:tc>
        <w:tc>
          <w:tcPr>
            <w:tcW w:w="841" w:type="dxa"/>
            <w:tcBorders>
              <w:top w:val="nil"/>
              <w:left w:val="nil"/>
              <w:bottom w:val="single" w:sz="4" w:space="0" w:color="auto"/>
              <w:right w:val="single" w:sz="4" w:space="0" w:color="auto"/>
            </w:tcBorders>
            <w:shd w:val="clear" w:color="auto" w:fill="auto"/>
            <w:noWrap/>
            <w:vAlign w:val="center"/>
            <w:hideMark/>
          </w:tcPr>
          <w:p w14:paraId="213D4DEB" w14:textId="77777777" w:rsidR="00C23B19" w:rsidRPr="00C23B19" w:rsidRDefault="00C23B19" w:rsidP="009B3F1E">
            <w:pPr>
              <w:spacing w:after="0" w:line="240" w:lineRule="auto"/>
              <w:jc w:val="center"/>
              <w:rPr>
                <w:rFonts w:ascii="Arial" w:eastAsia="Times New Roman" w:hAnsi="Arial" w:cs="Arial"/>
                <w:b/>
                <w:bCs/>
                <w:sz w:val="20"/>
                <w:szCs w:val="20"/>
                <w:lang w:eastAsia="es-MX"/>
              </w:rPr>
            </w:pPr>
            <w:r w:rsidRPr="00C23B19">
              <w:rPr>
                <w:rFonts w:ascii="Arial" w:eastAsia="Times New Roman" w:hAnsi="Arial" w:cs="Arial"/>
                <w:b/>
                <w:bCs/>
                <w:sz w:val="20"/>
                <w:szCs w:val="20"/>
                <w:lang w:eastAsia="es-MX"/>
              </w:rPr>
              <w:t>19.8</w:t>
            </w:r>
          </w:p>
        </w:tc>
      </w:tr>
      <w:tr w:rsidR="009B3F1E" w:rsidRPr="00C23B19" w14:paraId="40A15A83" w14:textId="77777777" w:rsidTr="00D47085">
        <w:trPr>
          <w:trHeight w:val="255"/>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14:paraId="67430261" w14:textId="77777777" w:rsidR="00C23B19" w:rsidRPr="00C23B19" w:rsidRDefault="00C23B19" w:rsidP="00D47085">
            <w:pPr>
              <w:spacing w:after="0" w:line="240" w:lineRule="auto"/>
              <w:rPr>
                <w:rFonts w:ascii="Arial" w:eastAsia="Times New Roman" w:hAnsi="Arial" w:cs="Arial"/>
                <w:sz w:val="20"/>
                <w:szCs w:val="20"/>
                <w:lang w:eastAsia="es-MX"/>
              </w:rPr>
            </w:pPr>
            <w:r w:rsidRPr="00C23B19">
              <w:rPr>
                <w:rFonts w:ascii="Arial" w:eastAsia="Times New Roman" w:hAnsi="Arial" w:cs="Arial"/>
                <w:sz w:val="20"/>
                <w:szCs w:val="20"/>
                <w:lang w:eastAsia="es-MX"/>
              </w:rPr>
              <w:t xml:space="preserve">236 </w:t>
            </w:r>
            <w:proofErr w:type="gramStart"/>
            <w:r w:rsidR="00CB50C5">
              <w:rPr>
                <w:rFonts w:ascii="Arial" w:eastAsia="Times New Roman" w:hAnsi="Arial" w:cs="Arial"/>
                <w:sz w:val="20"/>
                <w:szCs w:val="20"/>
                <w:lang w:eastAsia="es-MX"/>
              </w:rPr>
              <w:t>E</w:t>
            </w:r>
            <w:r w:rsidR="009B3F1E" w:rsidRPr="00C23B19">
              <w:rPr>
                <w:rFonts w:ascii="Arial" w:eastAsia="Times New Roman" w:hAnsi="Arial" w:cs="Arial"/>
                <w:sz w:val="20"/>
                <w:szCs w:val="20"/>
                <w:lang w:eastAsia="es-MX"/>
              </w:rPr>
              <w:t>dificación</w:t>
            </w:r>
            <w:proofErr w:type="gramEnd"/>
          </w:p>
        </w:tc>
        <w:tc>
          <w:tcPr>
            <w:tcW w:w="1253" w:type="dxa"/>
            <w:tcBorders>
              <w:top w:val="nil"/>
              <w:left w:val="nil"/>
              <w:bottom w:val="single" w:sz="4" w:space="0" w:color="auto"/>
              <w:right w:val="single" w:sz="4" w:space="0" w:color="auto"/>
            </w:tcBorders>
            <w:shd w:val="clear" w:color="auto" w:fill="auto"/>
            <w:noWrap/>
            <w:vAlign w:val="center"/>
            <w:hideMark/>
          </w:tcPr>
          <w:p w14:paraId="10BF39DA"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137</w:t>
            </w:r>
            <w:r w:rsidR="009F1076">
              <w:rPr>
                <w:rFonts w:ascii="Arial" w:eastAsia="Times New Roman" w:hAnsi="Arial" w:cs="Arial"/>
                <w:sz w:val="20"/>
                <w:szCs w:val="20"/>
                <w:lang w:eastAsia="es-MX"/>
              </w:rPr>
              <w:t xml:space="preserve"> </w:t>
            </w:r>
            <w:r w:rsidRPr="00C23B19">
              <w:rPr>
                <w:rFonts w:ascii="Arial" w:eastAsia="Times New Roman" w:hAnsi="Arial" w:cs="Arial"/>
                <w:sz w:val="20"/>
                <w:szCs w:val="20"/>
                <w:lang w:eastAsia="es-MX"/>
              </w:rPr>
              <w:t>068</w:t>
            </w:r>
            <w:r w:rsidR="009F1076">
              <w:rPr>
                <w:rFonts w:ascii="Arial" w:eastAsia="Times New Roman" w:hAnsi="Arial" w:cs="Arial"/>
                <w:sz w:val="20"/>
                <w:szCs w:val="20"/>
                <w:lang w:eastAsia="es-MX"/>
              </w:rPr>
              <w:t xml:space="preserve"> </w:t>
            </w:r>
            <w:r w:rsidRPr="00C23B19">
              <w:rPr>
                <w:rFonts w:ascii="Arial" w:eastAsia="Times New Roman" w:hAnsi="Arial" w:cs="Arial"/>
                <w:sz w:val="20"/>
                <w:szCs w:val="20"/>
                <w:lang w:eastAsia="es-MX"/>
              </w:rPr>
              <w:t>149</w:t>
            </w:r>
          </w:p>
        </w:tc>
        <w:tc>
          <w:tcPr>
            <w:tcW w:w="1077" w:type="dxa"/>
            <w:tcBorders>
              <w:top w:val="nil"/>
              <w:left w:val="nil"/>
              <w:bottom w:val="single" w:sz="4" w:space="0" w:color="auto"/>
              <w:right w:val="single" w:sz="4" w:space="0" w:color="auto"/>
            </w:tcBorders>
            <w:shd w:val="clear" w:color="auto" w:fill="auto"/>
            <w:noWrap/>
            <w:vAlign w:val="center"/>
            <w:hideMark/>
          </w:tcPr>
          <w:p w14:paraId="131B2848"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46.7</w:t>
            </w:r>
          </w:p>
        </w:tc>
        <w:tc>
          <w:tcPr>
            <w:tcW w:w="1020" w:type="dxa"/>
            <w:tcBorders>
              <w:top w:val="nil"/>
              <w:left w:val="nil"/>
              <w:bottom w:val="single" w:sz="4" w:space="0" w:color="auto"/>
              <w:right w:val="single" w:sz="4" w:space="0" w:color="auto"/>
            </w:tcBorders>
            <w:shd w:val="clear" w:color="auto" w:fill="auto"/>
            <w:noWrap/>
            <w:vAlign w:val="center"/>
            <w:hideMark/>
          </w:tcPr>
          <w:p w14:paraId="13E4FB98"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48.6</w:t>
            </w:r>
          </w:p>
        </w:tc>
        <w:tc>
          <w:tcPr>
            <w:tcW w:w="1271" w:type="dxa"/>
            <w:tcBorders>
              <w:top w:val="nil"/>
              <w:left w:val="nil"/>
              <w:bottom w:val="single" w:sz="4" w:space="0" w:color="auto"/>
              <w:right w:val="single" w:sz="4" w:space="0" w:color="auto"/>
            </w:tcBorders>
            <w:shd w:val="clear" w:color="auto" w:fill="auto"/>
            <w:noWrap/>
            <w:vAlign w:val="center"/>
            <w:hideMark/>
          </w:tcPr>
          <w:p w14:paraId="5294BADA"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4.5</w:t>
            </w:r>
          </w:p>
        </w:tc>
        <w:tc>
          <w:tcPr>
            <w:tcW w:w="1191" w:type="dxa"/>
            <w:tcBorders>
              <w:top w:val="nil"/>
              <w:left w:val="nil"/>
              <w:bottom w:val="single" w:sz="4" w:space="0" w:color="auto"/>
              <w:right w:val="single" w:sz="4" w:space="0" w:color="auto"/>
            </w:tcBorders>
            <w:shd w:val="clear" w:color="auto" w:fill="auto"/>
            <w:noWrap/>
            <w:vAlign w:val="center"/>
            <w:hideMark/>
          </w:tcPr>
          <w:p w14:paraId="2ED125B9"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31.3</w:t>
            </w:r>
          </w:p>
        </w:tc>
        <w:tc>
          <w:tcPr>
            <w:tcW w:w="841" w:type="dxa"/>
            <w:tcBorders>
              <w:top w:val="nil"/>
              <w:left w:val="nil"/>
              <w:bottom w:val="single" w:sz="4" w:space="0" w:color="auto"/>
              <w:right w:val="single" w:sz="4" w:space="0" w:color="auto"/>
            </w:tcBorders>
            <w:shd w:val="clear" w:color="auto" w:fill="auto"/>
            <w:noWrap/>
            <w:vAlign w:val="center"/>
            <w:hideMark/>
          </w:tcPr>
          <w:p w14:paraId="28A0EC98"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15.6</w:t>
            </w:r>
          </w:p>
        </w:tc>
      </w:tr>
      <w:tr w:rsidR="009B3F1E" w:rsidRPr="00C23B19" w14:paraId="2AA4A9E2" w14:textId="77777777" w:rsidTr="00D47085">
        <w:trPr>
          <w:trHeight w:val="450"/>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14:paraId="091A1E86" w14:textId="77777777" w:rsidR="00C23B19" w:rsidRPr="00C23B19" w:rsidRDefault="00C23B19" w:rsidP="00D47085">
            <w:pPr>
              <w:spacing w:after="0" w:line="240" w:lineRule="auto"/>
              <w:rPr>
                <w:rFonts w:ascii="Arial" w:eastAsia="Times New Roman" w:hAnsi="Arial" w:cs="Arial"/>
                <w:sz w:val="20"/>
                <w:szCs w:val="20"/>
                <w:lang w:eastAsia="es-MX"/>
              </w:rPr>
            </w:pPr>
            <w:r w:rsidRPr="00C23B19">
              <w:rPr>
                <w:rFonts w:ascii="Arial" w:eastAsia="Times New Roman" w:hAnsi="Arial" w:cs="Arial"/>
                <w:sz w:val="20"/>
                <w:szCs w:val="20"/>
                <w:lang w:eastAsia="es-MX"/>
              </w:rPr>
              <w:t xml:space="preserve">237 </w:t>
            </w:r>
            <w:proofErr w:type="gramStart"/>
            <w:r w:rsidRPr="00C23B19">
              <w:rPr>
                <w:rFonts w:ascii="Arial" w:eastAsia="Times New Roman" w:hAnsi="Arial" w:cs="Arial"/>
                <w:sz w:val="20"/>
                <w:szCs w:val="20"/>
                <w:lang w:eastAsia="es-MX"/>
              </w:rPr>
              <w:t>Construcción</w:t>
            </w:r>
            <w:proofErr w:type="gramEnd"/>
            <w:r w:rsidRPr="00C23B19">
              <w:rPr>
                <w:rFonts w:ascii="Arial" w:eastAsia="Times New Roman" w:hAnsi="Arial" w:cs="Arial"/>
                <w:sz w:val="20"/>
                <w:szCs w:val="20"/>
                <w:lang w:eastAsia="es-MX"/>
              </w:rPr>
              <w:t xml:space="preserve"> de obras de ingeniería civil                         </w:t>
            </w:r>
          </w:p>
        </w:tc>
        <w:tc>
          <w:tcPr>
            <w:tcW w:w="1253" w:type="dxa"/>
            <w:tcBorders>
              <w:top w:val="nil"/>
              <w:left w:val="nil"/>
              <w:bottom w:val="single" w:sz="4" w:space="0" w:color="auto"/>
              <w:right w:val="single" w:sz="4" w:space="0" w:color="auto"/>
            </w:tcBorders>
            <w:shd w:val="clear" w:color="auto" w:fill="auto"/>
            <w:noWrap/>
            <w:vAlign w:val="center"/>
            <w:hideMark/>
          </w:tcPr>
          <w:p w14:paraId="4A11A05E"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115</w:t>
            </w:r>
            <w:r w:rsidR="009F1076">
              <w:rPr>
                <w:rFonts w:ascii="Arial" w:eastAsia="Times New Roman" w:hAnsi="Arial" w:cs="Arial"/>
                <w:sz w:val="20"/>
                <w:szCs w:val="20"/>
                <w:lang w:eastAsia="es-MX"/>
              </w:rPr>
              <w:t xml:space="preserve"> </w:t>
            </w:r>
            <w:r w:rsidRPr="00C23B19">
              <w:rPr>
                <w:rFonts w:ascii="Arial" w:eastAsia="Times New Roman" w:hAnsi="Arial" w:cs="Arial"/>
                <w:sz w:val="20"/>
                <w:szCs w:val="20"/>
                <w:lang w:eastAsia="es-MX"/>
              </w:rPr>
              <w:t>608</w:t>
            </w:r>
            <w:r w:rsidR="009F1076">
              <w:rPr>
                <w:rFonts w:ascii="Arial" w:eastAsia="Times New Roman" w:hAnsi="Arial" w:cs="Arial"/>
                <w:sz w:val="20"/>
                <w:szCs w:val="20"/>
                <w:lang w:eastAsia="es-MX"/>
              </w:rPr>
              <w:t xml:space="preserve"> </w:t>
            </w:r>
            <w:r w:rsidRPr="00C23B19">
              <w:rPr>
                <w:rFonts w:ascii="Arial" w:eastAsia="Times New Roman" w:hAnsi="Arial" w:cs="Arial"/>
                <w:sz w:val="20"/>
                <w:szCs w:val="20"/>
                <w:lang w:eastAsia="es-MX"/>
              </w:rPr>
              <w:t>646</w:t>
            </w:r>
          </w:p>
        </w:tc>
        <w:tc>
          <w:tcPr>
            <w:tcW w:w="1077" w:type="dxa"/>
            <w:tcBorders>
              <w:top w:val="nil"/>
              <w:left w:val="nil"/>
              <w:bottom w:val="single" w:sz="4" w:space="0" w:color="auto"/>
              <w:right w:val="single" w:sz="4" w:space="0" w:color="auto"/>
            </w:tcBorders>
            <w:shd w:val="clear" w:color="auto" w:fill="auto"/>
            <w:noWrap/>
            <w:vAlign w:val="center"/>
            <w:hideMark/>
          </w:tcPr>
          <w:p w14:paraId="21421E00"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39.4</w:t>
            </w:r>
          </w:p>
        </w:tc>
        <w:tc>
          <w:tcPr>
            <w:tcW w:w="1020" w:type="dxa"/>
            <w:tcBorders>
              <w:top w:val="nil"/>
              <w:left w:val="nil"/>
              <w:bottom w:val="single" w:sz="4" w:space="0" w:color="auto"/>
              <w:right w:val="single" w:sz="4" w:space="0" w:color="auto"/>
            </w:tcBorders>
            <w:shd w:val="clear" w:color="auto" w:fill="auto"/>
            <w:noWrap/>
            <w:vAlign w:val="center"/>
            <w:hideMark/>
          </w:tcPr>
          <w:p w14:paraId="0085B667"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59.7</w:t>
            </w:r>
          </w:p>
        </w:tc>
        <w:tc>
          <w:tcPr>
            <w:tcW w:w="1271" w:type="dxa"/>
            <w:tcBorders>
              <w:top w:val="nil"/>
              <w:left w:val="nil"/>
              <w:bottom w:val="single" w:sz="4" w:space="0" w:color="auto"/>
              <w:right w:val="single" w:sz="4" w:space="0" w:color="auto"/>
            </w:tcBorders>
            <w:shd w:val="clear" w:color="auto" w:fill="auto"/>
            <w:noWrap/>
            <w:vAlign w:val="center"/>
            <w:hideMark/>
          </w:tcPr>
          <w:p w14:paraId="24B33D13"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3.5</w:t>
            </w:r>
          </w:p>
        </w:tc>
        <w:tc>
          <w:tcPr>
            <w:tcW w:w="1191" w:type="dxa"/>
            <w:tcBorders>
              <w:top w:val="nil"/>
              <w:left w:val="nil"/>
              <w:bottom w:val="single" w:sz="4" w:space="0" w:color="auto"/>
              <w:right w:val="single" w:sz="4" w:space="0" w:color="auto"/>
            </w:tcBorders>
            <w:shd w:val="clear" w:color="auto" w:fill="auto"/>
            <w:noWrap/>
            <w:vAlign w:val="center"/>
            <w:hideMark/>
          </w:tcPr>
          <w:p w14:paraId="0B3AC977"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10.9</w:t>
            </w:r>
          </w:p>
        </w:tc>
        <w:tc>
          <w:tcPr>
            <w:tcW w:w="841" w:type="dxa"/>
            <w:tcBorders>
              <w:top w:val="nil"/>
              <w:left w:val="nil"/>
              <w:bottom w:val="single" w:sz="4" w:space="0" w:color="auto"/>
              <w:right w:val="single" w:sz="4" w:space="0" w:color="auto"/>
            </w:tcBorders>
            <w:shd w:val="clear" w:color="auto" w:fill="auto"/>
            <w:noWrap/>
            <w:vAlign w:val="center"/>
            <w:hideMark/>
          </w:tcPr>
          <w:p w14:paraId="694F84C0"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25.9</w:t>
            </w:r>
          </w:p>
        </w:tc>
      </w:tr>
      <w:tr w:rsidR="009B3F1E" w:rsidRPr="00C23B19" w14:paraId="6A0EF8B5" w14:textId="77777777" w:rsidTr="00D47085">
        <w:trPr>
          <w:trHeight w:val="510"/>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14:paraId="0A160318" w14:textId="77777777" w:rsidR="00C23B19" w:rsidRPr="00C23B19" w:rsidRDefault="00C23B19" w:rsidP="00D47085">
            <w:pPr>
              <w:spacing w:after="0" w:line="240" w:lineRule="auto"/>
              <w:rPr>
                <w:rFonts w:ascii="Arial" w:eastAsia="Times New Roman" w:hAnsi="Arial" w:cs="Arial"/>
                <w:sz w:val="20"/>
                <w:szCs w:val="20"/>
                <w:lang w:eastAsia="es-MX"/>
              </w:rPr>
            </w:pPr>
            <w:r w:rsidRPr="00C23B19">
              <w:rPr>
                <w:rFonts w:ascii="Arial" w:eastAsia="Times New Roman" w:hAnsi="Arial" w:cs="Arial"/>
                <w:sz w:val="20"/>
                <w:szCs w:val="20"/>
                <w:lang w:eastAsia="es-MX"/>
              </w:rPr>
              <w:t>238</w:t>
            </w:r>
            <w:r w:rsidR="009F1076">
              <w:rPr>
                <w:rFonts w:ascii="Arial" w:eastAsia="Times New Roman" w:hAnsi="Arial" w:cs="Arial"/>
                <w:sz w:val="20"/>
                <w:szCs w:val="20"/>
                <w:lang w:eastAsia="es-MX"/>
              </w:rPr>
              <w:t xml:space="preserve"> </w:t>
            </w:r>
            <w:proofErr w:type="gramStart"/>
            <w:r w:rsidRPr="00C23B19">
              <w:rPr>
                <w:rFonts w:ascii="Arial" w:eastAsia="Times New Roman" w:hAnsi="Arial" w:cs="Arial"/>
                <w:sz w:val="20"/>
                <w:szCs w:val="20"/>
                <w:lang w:eastAsia="es-MX"/>
              </w:rPr>
              <w:t>Trabajos</w:t>
            </w:r>
            <w:proofErr w:type="gramEnd"/>
            <w:r w:rsidRPr="00C23B19">
              <w:rPr>
                <w:rFonts w:ascii="Arial" w:eastAsia="Times New Roman" w:hAnsi="Arial" w:cs="Arial"/>
                <w:sz w:val="20"/>
                <w:szCs w:val="20"/>
                <w:lang w:eastAsia="es-MX"/>
              </w:rPr>
              <w:t xml:space="preserve"> especializados para la construcción</w:t>
            </w:r>
          </w:p>
        </w:tc>
        <w:tc>
          <w:tcPr>
            <w:tcW w:w="1253" w:type="dxa"/>
            <w:tcBorders>
              <w:top w:val="nil"/>
              <w:left w:val="nil"/>
              <w:bottom w:val="single" w:sz="4" w:space="0" w:color="auto"/>
              <w:right w:val="single" w:sz="4" w:space="0" w:color="auto"/>
            </w:tcBorders>
            <w:shd w:val="clear" w:color="auto" w:fill="auto"/>
            <w:noWrap/>
            <w:vAlign w:val="center"/>
            <w:hideMark/>
          </w:tcPr>
          <w:p w14:paraId="098167D8"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40</w:t>
            </w:r>
            <w:r w:rsidR="009F1076">
              <w:rPr>
                <w:rFonts w:ascii="Arial" w:eastAsia="Times New Roman" w:hAnsi="Arial" w:cs="Arial"/>
                <w:sz w:val="20"/>
                <w:szCs w:val="20"/>
                <w:lang w:eastAsia="es-MX"/>
              </w:rPr>
              <w:t xml:space="preserve"> </w:t>
            </w:r>
            <w:r w:rsidRPr="00C23B19">
              <w:rPr>
                <w:rFonts w:ascii="Arial" w:eastAsia="Times New Roman" w:hAnsi="Arial" w:cs="Arial"/>
                <w:sz w:val="20"/>
                <w:szCs w:val="20"/>
                <w:lang w:eastAsia="es-MX"/>
              </w:rPr>
              <w:t>685</w:t>
            </w:r>
            <w:r w:rsidR="009F1076">
              <w:rPr>
                <w:rFonts w:ascii="Arial" w:eastAsia="Times New Roman" w:hAnsi="Arial" w:cs="Arial"/>
                <w:sz w:val="20"/>
                <w:szCs w:val="20"/>
                <w:lang w:eastAsia="es-MX"/>
              </w:rPr>
              <w:t xml:space="preserve"> </w:t>
            </w:r>
            <w:r w:rsidRPr="00C23B19">
              <w:rPr>
                <w:rFonts w:ascii="Arial" w:eastAsia="Times New Roman" w:hAnsi="Arial" w:cs="Arial"/>
                <w:sz w:val="20"/>
                <w:szCs w:val="20"/>
                <w:lang w:eastAsia="es-MX"/>
              </w:rPr>
              <w:t>784</w:t>
            </w:r>
          </w:p>
        </w:tc>
        <w:tc>
          <w:tcPr>
            <w:tcW w:w="1077" w:type="dxa"/>
            <w:tcBorders>
              <w:top w:val="nil"/>
              <w:left w:val="nil"/>
              <w:bottom w:val="single" w:sz="4" w:space="0" w:color="auto"/>
              <w:right w:val="single" w:sz="4" w:space="0" w:color="auto"/>
            </w:tcBorders>
            <w:shd w:val="clear" w:color="auto" w:fill="auto"/>
            <w:noWrap/>
            <w:vAlign w:val="center"/>
            <w:hideMark/>
          </w:tcPr>
          <w:p w14:paraId="44797ED1"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13.9</w:t>
            </w:r>
          </w:p>
        </w:tc>
        <w:tc>
          <w:tcPr>
            <w:tcW w:w="1020" w:type="dxa"/>
            <w:tcBorders>
              <w:top w:val="nil"/>
              <w:left w:val="nil"/>
              <w:bottom w:val="single" w:sz="4" w:space="0" w:color="auto"/>
              <w:right w:val="single" w:sz="4" w:space="0" w:color="auto"/>
            </w:tcBorders>
            <w:shd w:val="clear" w:color="auto" w:fill="auto"/>
            <w:noWrap/>
            <w:vAlign w:val="center"/>
            <w:hideMark/>
          </w:tcPr>
          <w:p w14:paraId="0402FE5B"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38.4</w:t>
            </w:r>
          </w:p>
        </w:tc>
        <w:tc>
          <w:tcPr>
            <w:tcW w:w="1271" w:type="dxa"/>
            <w:tcBorders>
              <w:top w:val="nil"/>
              <w:left w:val="nil"/>
              <w:bottom w:val="single" w:sz="4" w:space="0" w:color="auto"/>
              <w:right w:val="single" w:sz="4" w:space="0" w:color="auto"/>
            </w:tcBorders>
            <w:shd w:val="clear" w:color="auto" w:fill="auto"/>
            <w:noWrap/>
            <w:vAlign w:val="center"/>
            <w:hideMark/>
          </w:tcPr>
          <w:p w14:paraId="01E4A827"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21.9</w:t>
            </w:r>
          </w:p>
        </w:tc>
        <w:tc>
          <w:tcPr>
            <w:tcW w:w="1191" w:type="dxa"/>
            <w:tcBorders>
              <w:top w:val="nil"/>
              <w:left w:val="nil"/>
              <w:bottom w:val="single" w:sz="4" w:space="0" w:color="auto"/>
              <w:right w:val="single" w:sz="4" w:space="0" w:color="auto"/>
            </w:tcBorders>
            <w:shd w:val="clear" w:color="auto" w:fill="auto"/>
            <w:noWrap/>
            <w:vAlign w:val="center"/>
            <w:hideMark/>
          </w:tcPr>
          <w:p w14:paraId="3C139165"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22.8</w:t>
            </w:r>
          </w:p>
        </w:tc>
        <w:tc>
          <w:tcPr>
            <w:tcW w:w="841" w:type="dxa"/>
            <w:tcBorders>
              <w:top w:val="nil"/>
              <w:left w:val="nil"/>
              <w:bottom w:val="single" w:sz="4" w:space="0" w:color="auto"/>
              <w:right w:val="single" w:sz="4" w:space="0" w:color="auto"/>
            </w:tcBorders>
            <w:shd w:val="clear" w:color="auto" w:fill="auto"/>
            <w:noWrap/>
            <w:vAlign w:val="center"/>
            <w:hideMark/>
          </w:tcPr>
          <w:p w14:paraId="55BDB67F" w14:textId="77777777" w:rsidR="00C23B19" w:rsidRPr="00C23B19" w:rsidRDefault="00C23B19" w:rsidP="009B3F1E">
            <w:pPr>
              <w:spacing w:after="0" w:line="240" w:lineRule="auto"/>
              <w:jc w:val="center"/>
              <w:rPr>
                <w:rFonts w:ascii="Arial" w:eastAsia="Times New Roman" w:hAnsi="Arial" w:cs="Arial"/>
                <w:sz w:val="20"/>
                <w:szCs w:val="20"/>
                <w:lang w:eastAsia="es-MX"/>
              </w:rPr>
            </w:pPr>
            <w:r w:rsidRPr="00C23B19">
              <w:rPr>
                <w:rFonts w:ascii="Arial" w:eastAsia="Times New Roman" w:hAnsi="Arial" w:cs="Arial"/>
                <w:sz w:val="20"/>
                <w:szCs w:val="20"/>
                <w:lang w:eastAsia="es-MX"/>
              </w:rPr>
              <w:t>16.8</w:t>
            </w:r>
          </w:p>
        </w:tc>
      </w:tr>
    </w:tbl>
    <w:p w14:paraId="5B681809" w14:textId="77777777" w:rsidR="00B40A26" w:rsidRPr="00045EDC" w:rsidRDefault="00B40A26" w:rsidP="00B40A26">
      <w:pPr>
        <w:pStyle w:val="Default"/>
        <w:jc w:val="both"/>
        <w:rPr>
          <w:color w:val="auto"/>
          <w:sz w:val="16"/>
          <w:lang w:eastAsia="es-MX"/>
        </w:rPr>
      </w:pPr>
      <w:r w:rsidRPr="00045EDC">
        <w:rPr>
          <w:color w:val="auto"/>
          <w:sz w:val="16"/>
          <w:vertAlign w:val="superscript"/>
          <w:lang w:eastAsia="es-MX"/>
        </w:rPr>
        <w:t xml:space="preserve">p/ </w:t>
      </w:r>
      <w:r w:rsidRPr="00045EDC">
        <w:rPr>
          <w:color w:val="auto"/>
          <w:sz w:val="16"/>
          <w:lang w:eastAsia="es-MX"/>
        </w:rPr>
        <w:t>Cifras preliminares</w:t>
      </w:r>
      <w:r w:rsidR="00B14B1C">
        <w:rPr>
          <w:color w:val="auto"/>
          <w:sz w:val="16"/>
          <w:lang w:eastAsia="es-MX"/>
        </w:rPr>
        <w:t>.</w:t>
      </w:r>
      <w:r w:rsidRPr="00045EDC">
        <w:rPr>
          <w:color w:val="auto"/>
          <w:sz w:val="16"/>
          <w:lang w:eastAsia="es-MX"/>
        </w:rPr>
        <w:t xml:space="preserve"> </w:t>
      </w:r>
    </w:p>
    <w:p w14:paraId="436EFAC5" w14:textId="77777777" w:rsidR="00B40A26" w:rsidRPr="00045EDC" w:rsidRDefault="00B40A26" w:rsidP="00B40A26">
      <w:pPr>
        <w:pStyle w:val="Default"/>
        <w:jc w:val="both"/>
        <w:rPr>
          <w:color w:val="auto"/>
          <w:sz w:val="16"/>
          <w:lang w:eastAsia="es-MX"/>
        </w:rPr>
      </w:pPr>
      <w:r w:rsidRPr="00045EDC">
        <w:rPr>
          <w:color w:val="auto"/>
          <w:sz w:val="16"/>
          <w:lang w:eastAsia="es-MX"/>
        </w:rPr>
        <w:t xml:space="preserve">Fuente: </w:t>
      </w:r>
      <w:r w:rsidRPr="00045EDC">
        <w:rPr>
          <w:b/>
          <w:color w:val="auto"/>
          <w:sz w:val="16"/>
          <w:lang w:eastAsia="es-MX"/>
        </w:rPr>
        <w:t>INEGI</w:t>
      </w:r>
      <w:r w:rsidR="00B164D0">
        <w:rPr>
          <w:b/>
          <w:color w:val="auto"/>
          <w:sz w:val="16"/>
          <w:lang w:eastAsia="es-MX"/>
        </w:rPr>
        <w:t>.</w:t>
      </w:r>
    </w:p>
    <w:p w14:paraId="139727D1" w14:textId="77777777" w:rsidR="008D3D3C" w:rsidRPr="000956B9" w:rsidRDefault="008D3D3C" w:rsidP="008D3D3C">
      <w:pPr>
        <w:pStyle w:val="Default"/>
        <w:jc w:val="both"/>
        <w:rPr>
          <w:sz w:val="22"/>
          <w:szCs w:val="22"/>
          <w:lang w:eastAsia="es-MX"/>
        </w:rPr>
      </w:pPr>
      <w:r w:rsidRPr="000956B9">
        <w:rPr>
          <w:sz w:val="22"/>
          <w:szCs w:val="22"/>
          <w:lang w:eastAsia="es-MX"/>
        </w:rPr>
        <w:lastRenderedPageBreak/>
        <w:t xml:space="preserve">La </w:t>
      </w:r>
      <w:r w:rsidR="00350BEA">
        <w:rPr>
          <w:sz w:val="22"/>
          <w:szCs w:val="22"/>
          <w:lang w:eastAsia="es-MX"/>
        </w:rPr>
        <w:t>e</w:t>
      </w:r>
      <w:r w:rsidRPr="000956B9">
        <w:rPr>
          <w:sz w:val="22"/>
          <w:szCs w:val="22"/>
          <w:lang w:eastAsia="es-MX"/>
        </w:rPr>
        <w:t xml:space="preserve">dificación es el subsector que más aporta al consumo de bienes y servicios </w:t>
      </w:r>
      <w:r w:rsidR="00C50FDC">
        <w:rPr>
          <w:sz w:val="22"/>
          <w:szCs w:val="22"/>
          <w:lang w:eastAsia="es-MX"/>
        </w:rPr>
        <w:t xml:space="preserve">a nivel del </w:t>
      </w:r>
      <w:r w:rsidRPr="000956B9">
        <w:rPr>
          <w:sz w:val="22"/>
          <w:szCs w:val="22"/>
          <w:lang w:eastAsia="es-MX"/>
        </w:rPr>
        <w:t xml:space="preserve">sector con 46.7%, </w:t>
      </w:r>
      <w:r w:rsidR="00C50FDC">
        <w:rPr>
          <w:sz w:val="22"/>
          <w:szCs w:val="22"/>
          <w:lang w:eastAsia="es-MX"/>
        </w:rPr>
        <w:t>la</w:t>
      </w:r>
      <w:r w:rsidRPr="000956B9">
        <w:rPr>
          <w:sz w:val="22"/>
          <w:szCs w:val="22"/>
          <w:lang w:eastAsia="es-MX"/>
        </w:rPr>
        <w:t xml:space="preserve"> </w:t>
      </w:r>
      <w:r w:rsidR="00350BEA">
        <w:rPr>
          <w:sz w:val="22"/>
          <w:szCs w:val="22"/>
          <w:lang w:eastAsia="es-MX"/>
        </w:rPr>
        <w:t>c</w:t>
      </w:r>
      <w:r w:rsidRPr="000956B9">
        <w:rPr>
          <w:sz w:val="22"/>
          <w:szCs w:val="22"/>
          <w:lang w:eastAsia="es-MX"/>
        </w:rPr>
        <w:t xml:space="preserve">onstrucción de obras de ingeniería civil </w:t>
      </w:r>
      <w:r w:rsidR="00C50FDC">
        <w:rPr>
          <w:sz w:val="22"/>
          <w:szCs w:val="22"/>
          <w:lang w:eastAsia="es-MX"/>
        </w:rPr>
        <w:t xml:space="preserve">aporta 39.4%, en tanto que el de </w:t>
      </w:r>
      <w:r w:rsidR="00350BEA">
        <w:rPr>
          <w:rFonts w:eastAsia="Times New Roman"/>
          <w:sz w:val="22"/>
          <w:szCs w:val="22"/>
          <w:lang w:eastAsia="es-MX"/>
        </w:rPr>
        <w:t>t</w:t>
      </w:r>
      <w:r w:rsidRPr="000956B9">
        <w:rPr>
          <w:rFonts w:eastAsia="Times New Roman"/>
          <w:sz w:val="22"/>
          <w:szCs w:val="22"/>
          <w:lang w:eastAsia="es-MX"/>
        </w:rPr>
        <w:t>rabajos especia</w:t>
      </w:r>
      <w:r w:rsidR="00C50FDC">
        <w:rPr>
          <w:rFonts w:eastAsia="Times New Roman"/>
          <w:sz w:val="22"/>
          <w:szCs w:val="22"/>
          <w:lang w:eastAsia="es-MX"/>
        </w:rPr>
        <w:t>lizados para la construcción</w:t>
      </w:r>
      <w:r w:rsidRPr="000956B9">
        <w:rPr>
          <w:rFonts w:eastAsia="Times New Roman"/>
          <w:sz w:val="22"/>
          <w:szCs w:val="22"/>
          <w:lang w:eastAsia="es-MX"/>
        </w:rPr>
        <w:t xml:space="preserve"> representa 13.9</w:t>
      </w:r>
      <w:r w:rsidRPr="000956B9">
        <w:rPr>
          <w:sz w:val="22"/>
          <w:szCs w:val="22"/>
          <w:lang w:eastAsia="es-MX"/>
        </w:rPr>
        <w:t xml:space="preserve"> por ciento.</w:t>
      </w:r>
    </w:p>
    <w:p w14:paraId="28DF4502" w14:textId="77777777" w:rsidR="008D3D3C" w:rsidRDefault="008D3D3C" w:rsidP="00045EDC">
      <w:pPr>
        <w:pStyle w:val="Pa27"/>
        <w:spacing w:line="240" w:lineRule="auto"/>
        <w:jc w:val="both"/>
        <w:rPr>
          <w:sz w:val="22"/>
          <w:lang w:val="es-MX" w:eastAsia="es-MX"/>
        </w:rPr>
      </w:pPr>
    </w:p>
    <w:p w14:paraId="18672D87" w14:textId="77777777" w:rsidR="00664DB4" w:rsidRDefault="00664DB4" w:rsidP="00664DB4">
      <w:pPr>
        <w:pStyle w:val="Default"/>
        <w:jc w:val="both"/>
        <w:rPr>
          <w:sz w:val="22"/>
          <w:lang w:eastAsia="es-MX"/>
        </w:rPr>
      </w:pPr>
      <w:r>
        <w:rPr>
          <w:sz w:val="22"/>
          <w:lang w:eastAsia="es-MX"/>
        </w:rPr>
        <w:t>Por otra</w:t>
      </w:r>
      <w:r w:rsidR="00D13BBC">
        <w:rPr>
          <w:sz w:val="22"/>
          <w:lang w:eastAsia="es-MX"/>
        </w:rPr>
        <w:t xml:space="preserve"> parte, durante 2020 </w:t>
      </w:r>
      <w:r>
        <w:rPr>
          <w:sz w:val="22"/>
          <w:lang w:eastAsia="es-MX"/>
        </w:rPr>
        <w:t xml:space="preserve">los ingresos obtenidos por </w:t>
      </w:r>
      <w:r w:rsidRPr="00664DB4">
        <w:rPr>
          <w:sz w:val="22"/>
          <w:lang w:eastAsia="es-MX"/>
        </w:rPr>
        <w:t xml:space="preserve">la </w:t>
      </w:r>
      <w:r w:rsidR="009B5ADE">
        <w:rPr>
          <w:sz w:val="22"/>
          <w:lang w:eastAsia="es-MX"/>
        </w:rPr>
        <w:t>e</w:t>
      </w:r>
      <w:r w:rsidRPr="0040640C">
        <w:rPr>
          <w:sz w:val="22"/>
          <w:lang w:eastAsia="es-MX"/>
        </w:rPr>
        <w:t>jecución de obras como contratista principal</w:t>
      </w:r>
      <w:r w:rsidR="00D13BBC">
        <w:rPr>
          <w:sz w:val="22"/>
          <w:lang w:eastAsia="es-MX"/>
        </w:rPr>
        <w:t>,</w:t>
      </w:r>
      <w:r w:rsidRPr="00664DB4">
        <w:rPr>
          <w:sz w:val="22"/>
          <w:lang w:eastAsia="es-MX"/>
        </w:rPr>
        <w:t xml:space="preserve"> representan</w:t>
      </w:r>
      <w:r w:rsidRPr="00A57743">
        <w:rPr>
          <w:sz w:val="22"/>
          <w:lang w:eastAsia="es-MX"/>
        </w:rPr>
        <w:t xml:space="preserve"> el </w:t>
      </w:r>
      <w:r w:rsidR="00D13BBC">
        <w:rPr>
          <w:sz w:val="22"/>
          <w:lang w:eastAsia="es-MX"/>
        </w:rPr>
        <w:t>principal rubro en los i</w:t>
      </w:r>
      <w:r>
        <w:rPr>
          <w:sz w:val="22"/>
          <w:lang w:eastAsia="es-MX"/>
        </w:rPr>
        <w:t>ngresos por suministro de bienes y servicios</w:t>
      </w:r>
      <w:r w:rsidR="00D13BBC">
        <w:rPr>
          <w:sz w:val="22"/>
          <w:lang w:eastAsia="es-MX"/>
        </w:rPr>
        <w:t xml:space="preserve"> de las empresas constructoras</w:t>
      </w:r>
      <w:r>
        <w:rPr>
          <w:sz w:val="22"/>
          <w:lang w:eastAsia="es-MX"/>
        </w:rPr>
        <w:t xml:space="preserve"> </w:t>
      </w:r>
      <w:r w:rsidRPr="00A57743">
        <w:rPr>
          <w:sz w:val="22"/>
          <w:lang w:eastAsia="es-MX"/>
        </w:rPr>
        <w:t xml:space="preserve">al contribuir con </w:t>
      </w:r>
      <w:r>
        <w:rPr>
          <w:sz w:val="22"/>
          <w:lang w:eastAsia="es-MX"/>
        </w:rPr>
        <w:t>75.8</w:t>
      </w:r>
      <w:r w:rsidRPr="00A57743">
        <w:rPr>
          <w:sz w:val="22"/>
          <w:lang w:eastAsia="es-MX"/>
        </w:rPr>
        <w:t>%</w:t>
      </w:r>
      <w:r>
        <w:rPr>
          <w:sz w:val="22"/>
          <w:lang w:eastAsia="es-MX"/>
        </w:rPr>
        <w:t xml:space="preserve"> del total</w:t>
      </w:r>
      <w:r w:rsidR="00D13BBC">
        <w:rPr>
          <w:sz w:val="22"/>
          <w:lang w:eastAsia="es-MX"/>
        </w:rPr>
        <w:t>;</w:t>
      </w:r>
      <w:r w:rsidRPr="00A57743">
        <w:rPr>
          <w:sz w:val="22"/>
          <w:lang w:eastAsia="es-MX"/>
        </w:rPr>
        <w:t xml:space="preserve"> </w:t>
      </w:r>
      <w:r>
        <w:rPr>
          <w:sz w:val="22"/>
          <w:lang w:eastAsia="es-MX"/>
        </w:rPr>
        <w:t xml:space="preserve">en segundo lugar, se tiene el </w:t>
      </w:r>
      <w:r w:rsidR="009B5ADE">
        <w:rPr>
          <w:sz w:val="22"/>
          <w:lang w:eastAsia="es-MX"/>
        </w:rPr>
        <w:t>ingreso por la e</w:t>
      </w:r>
      <w:r w:rsidR="009B5ADE" w:rsidRPr="0040640C">
        <w:rPr>
          <w:sz w:val="22"/>
          <w:lang w:eastAsia="es-MX"/>
        </w:rPr>
        <w:t>jecución de obras como subcontratista</w:t>
      </w:r>
      <w:r w:rsidR="009B5ADE">
        <w:rPr>
          <w:sz w:val="22"/>
          <w:lang w:eastAsia="es-MX"/>
        </w:rPr>
        <w:t xml:space="preserve"> </w:t>
      </w:r>
      <w:r>
        <w:rPr>
          <w:sz w:val="22"/>
          <w:lang w:eastAsia="es-MX"/>
        </w:rPr>
        <w:t>con</w:t>
      </w:r>
      <w:r w:rsidR="00D13BBC">
        <w:rPr>
          <w:sz w:val="22"/>
          <w:lang w:eastAsia="es-MX"/>
        </w:rPr>
        <w:t xml:space="preserve"> </w:t>
      </w:r>
      <w:r w:rsidR="009B5ADE">
        <w:rPr>
          <w:sz w:val="22"/>
          <w:lang w:eastAsia="es-MX"/>
        </w:rPr>
        <w:t>15.1</w:t>
      </w:r>
      <w:r>
        <w:rPr>
          <w:sz w:val="22"/>
          <w:lang w:eastAsia="es-MX"/>
        </w:rPr>
        <w:t xml:space="preserve"> por ciento.</w:t>
      </w:r>
    </w:p>
    <w:p w14:paraId="494A58AD" w14:textId="77777777" w:rsidR="00664DB4" w:rsidRDefault="00664DB4" w:rsidP="00D13BBC">
      <w:pPr>
        <w:pStyle w:val="Default"/>
        <w:jc w:val="both"/>
        <w:rPr>
          <w:sz w:val="22"/>
          <w:lang w:eastAsia="es-MX"/>
        </w:rPr>
      </w:pPr>
      <w:r>
        <w:rPr>
          <w:sz w:val="22"/>
          <w:lang w:eastAsia="es-MX"/>
        </w:rPr>
        <w:t xml:space="preserve">El subsector </w:t>
      </w:r>
      <w:r w:rsidR="009F1076">
        <w:rPr>
          <w:sz w:val="22"/>
          <w:lang w:eastAsia="es-MX"/>
        </w:rPr>
        <w:t>e</w:t>
      </w:r>
      <w:r w:rsidR="009B5ADE">
        <w:rPr>
          <w:sz w:val="22"/>
          <w:lang w:eastAsia="es-MX"/>
        </w:rPr>
        <w:t>dificación es el que más aportación tiene en el total del sector con 47.9%</w:t>
      </w:r>
      <w:r w:rsidR="00D13BBC">
        <w:rPr>
          <w:sz w:val="22"/>
          <w:lang w:eastAsia="es-MX"/>
        </w:rPr>
        <w:t>,</w:t>
      </w:r>
      <w:r w:rsidR="009B5ADE">
        <w:rPr>
          <w:sz w:val="22"/>
          <w:lang w:eastAsia="es-MX"/>
        </w:rPr>
        <w:t xml:space="preserve"> seguido por la </w:t>
      </w:r>
      <w:r w:rsidR="009F1076">
        <w:rPr>
          <w:sz w:val="22"/>
          <w:lang w:eastAsia="es-MX"/>
        </w:rPr>
        <w:t>c</w:t>
      </w:r>
      <w:r w:rsidR="009B5ADE" w:rsidRPr="0040640C">
        <w:rPr>
          <w:sz w:val="22"/>
          <w:lang w:eastAsia="es-MX"/>
        </w:rPr>
        <w:t>onstrucción de obras de ingeniería civil</w:t>
      </w:r>
      <w:r w:rsidR="009B5ADE">
        <w:rPr>
          <w:sz w:val="22"/>
          <w:lang w:eastAsia="es-MX"/>
        </w:rPr>
        <w:t xml:space="preserve"> </w:t>
      </w:r>
      <w:r w:rsidR="009F1076">
        <w:rPr>
          <w:sz w:val="22"/>
          <w:lang w:eastAsia="es-MX"/>
        </w:rPr>
        <w:t xml:space="preserve">con </w:t>
      </w:r>
      <w:r w:rsidR="001236F4">
        <w:rPr>
          <w:sz w:val="22"/>
          <w:lang w:eastAsia="es-MX"/>
        </w:rPr>
        <w:t>39.4</w:t>
      </w:r>
      <w:r>
        <w:rPr>
          <w:sz w:val="22"/>
          <w:lang w:eastAsia="es-MX"/>
        </w:rPr>
        <w:t>%</w:t>
      </w:r>
      <w:r w:rsidRPr="00A57743">
        <w:rPr>
          <w:sz w:val="22"/>
          <w:lang w:eastAsia="es-MX"/>
        </w:rPr>
        <w:t xml:space="preserve"> y l</w:t>
      </w:r>
      <w:r w:rsidR="001236F4">
        <w:rPr>
          <w:sz w:val="22"/>
          <w:lang w:eastAsia="es-MX"/>
        </w:rPr>
        <w:t>os</w:t>
      </w:r>
      <w:r w:rsidRPr="00A57743">
        <w:rPr>
          <w:sz w:val="22"/>
          <w:lang w:eastAsia="es-MX"/>
        </w:rPr>
        <w:t xml:space="preserve"> </w:t>
      </w:r>
      <w:r w:rsidR="009F1076">
        <w:rPr>
          <w:sz w:val="22"/>
          <w:lang w:eastAsia="es-MX"/>
        </w:rPr>
        <w:t>t</w:t>
      </w:r>
      <w:r w:rsidR="001236F4" w:rsidRPr="0040640C">
        <w:rPr>
          <w:sz w:val="22"/>
          <w:lang w:eastAsia="es-MX"/>
        </w:rPr>
        <w:t>rabajos especializados para la construcción</w:t>
      </w:r>
      <w:r>
        <w:rPr>
          <w:sz w:val="22"/>
          <w:lang w:eastAsia="es-MX"/>
        </w:rPr>
        <w:t xml:space="preserve"> </w:t>
      </w:r>
      <w:r w:rsidR="009F1076">
        <w:rPr>
          <w:sz w:val="22"/>
          <w:lang w:eastAsia="es-MX"/>
        </w:rPr>
        <w:t xml:space="preserve">con </w:t>
      </w:r>
      <w:r w:rsidR="00D13BBC">
        <w:rPr>
          <w:sz w:val="22"/>
          <w:lang w:eastAsia="es-MX"/>
        </w:rPr>
        <w:t>1</w:t>
      </w:r>
      <w:r w:rsidR="001236F4">
        <w:rPr>
          <w:sz w:val="22"/>
          <w:lang w:eastAsia="es-MX"/>
        </w:rPr>
        <w:t>2.7</w:t>
      </w:r>
      <w:r>
        <w:rPr>
          <w:sz w:val="22"/>
          <w:lang w:eastAsia="es-MX"/>
        </w:rPr>
        <w:t xml:space="preserve"> por ciento.</w:t>
      </w:r>
    </w:p>
    <w:p w14:paraId="4438CD5F" w14:textId="77777777" w:rsidR="00D13BBC" w:rsidRDefault="00D13BBC" w:rsidP="00D13BBC">
      <w:pPr>
        <w:pStyle w:val="Default"/>
        <w:jc w:val="both"/>
        <w:rPr>
          <w:b/>
          <w:color w:val="auto"/>
          <w:sz w:val="22"/>
          <w:lang w:eastAsia="es-MX"/>
        </w:rPr>
      </w:pPr>
    </w:p>
    <w:p w14:paraId="522B9E43" w14:textId="77777777" w:rsidR="00B40A26" w:rsidRDefault="00B40A26" w:rsidP="00B40A26">
      <w:pPr>
        <w:pStyle w:val="Default"/>
        <w:jc w:val="center"/>
        <w:rPr>
          <w:b/>
          <w:color w:val="auto"/>
          <w:sz w:val="22"/>
          <w:lang w:eastAsia="es-MX"/>
        </w:rPr>
      </w:pPr>
      <w:r w:rsidRPr="005110B8">
        <w:rPr>
          <w:b/>
          <w:color w:val="auto"/>
          <w:sz w:val="22"/>
          <w:lang w:eastAsia="es-MX"/>
        </w:rPr>
        <w:t xml:space="preserve">Cuadro </w:t>
      </w:r>
      <w:r w:rsidR="00BC06C5">
        <w:rPr>
          <w:b/>
          <w:color w:val="auto"/>
          <w:sz w:val="22"/>
          <w:lang w:eastAsia="es-MX"/>
        </w:rPr>
        <w:t>6</w:t>
      </w:r>
    </w:p>
    <w:p w14:paraId="6E6347A1" w14:textId="77777777" w:rsidR="00FF5CF1" w:rsidRPr="00FF5CF1" w:rsidRDefault="00FF5CF1" w:rsidP="00FF5CF1">
      <w:pPr>
        <w:pStyle w:val="NormalWeb"/>
        <w:shd w:val="clear" w:color="auto" w:fill="FFFFFF"/>
        <w:spacing w:before="0" w:beforeAutospacing="0" w:after="0" w:afterAutospacing="0"/>
        <w:jc w:val="center"/>
        <w:rPr>
          <w:rFonts w:ascii="Arial" w:hAnsi="Arial" w:cs="Arial"/>
          <w:color w:val="242424"/>
          <w:sz w:val="21"/>
          <w:szCs w:val="21"/>
        </w:rPr>
      </w:pPr>
      <w:r w:rsidRPr="00FF5CF1">
        <w:rPr>
          <w:rFonts w:ascii="Arial" w:hAnsi="Arial" w:cs="Arial"/>
          <w:b/>
          <w:bCs/>
          <w:color w:val="242424"/>
          <w:sz w:val="22"/>
          <w:szCs w:val="22"/>
        </w:rPr>
        <w:t>Part</w:t>
      </w:r>
      <w:r>
        <w:rPr>
          <w:rFonts w:ascii="Arial" w:hAnsi="Arial" w:cs="Arial"/>
          <w:b/>
          <w:bCs/>
          <w:color w:val="242424"/>
          <w:sz w:val="22"/>
          <w:szCs w:val="22"/>
        </w:rPr>
        <w:t>icipación porcentual de los ingresos por suministro</w:t>
      </w:r>
      <w:r w:rsidRPr="00FF5CF1">
        <w:rPr>
          <w:rFonts w:ascii="Arial" w:hAnsi="Arial" w:cs="Arial"/>
          <w:b/>
          <w:bCs/>
          <w:color w:val="242424"/>
          <w:sz w:val="22"/>
          <w:szCs w:val="22"/>
        </w:rPr>
        <w:t xml:space="preserve"> de bienes y servicios</w:t>
      </w:r>
    </w:p>
    <w:p w14:paraId="71BFDCC7" w14:textId="77777777" w:rsidR="00FF5CF1" w:rsidRPr="00FF5CF1" w:rsidRDefault="00FF5CF1" w:rsidP="00FF5CF1">
      <w:pPr>
        <w:pStyle w:val="NormalWeb"/>
        <w:shd w:val="clear" w:color="auto" w:fill="FFFFFF"/>
        <w:spacing w:before="0" w:beforeAutospacing="0" w:after="0" w:afterAutospacing="0"/>
        <w:jc w:val="center"/>
        <w:rPr>
          <w:rFonts w:ascii="Arial" w:hAnsi="Arial" w:cs="Arial"/>
          <w:color w:val="242424"/>
          <w:sz w:val="21"/>
          <w:szCs w:val="21"/>
        </w:rPr>
      </w:pPr>
      <w:r w:rsidRPr="00FF5CF1">
        <w:rPr>
          <w:rFonts w:ascii="Arial" w:hAnsi="Arial" w:cs="Arial"/>
          <w:b/>
          <w:bCs/>
          <w:color w:val="242424"/>
          <w:sz w:val="22"/>
          <w:szCs w:val="22"/>
        </w:rPr>
        <w:t xml:space="preserve"> de las </w:t>
      </w:r>
      <w:r>
        <w:rPr>
          <w:rFonts w:ascii="Arial" w:hAnsi="Arial" w:cs="Arial"/>
          <w:b/>
          <w:bCs/>
          <w:color w:val="242424"/>
          <w:sz w:val="22"/>
          <w:szCs w:val="22"/>
        </w:rPr>
        <w:t>empresas constructoras por concepto</w:t>
      </w:r>
      <w:r w:rsidRPr="00FF5CF1">
        <w:rPr>
          <w:rFonts w:ascii="Arial" w:hAnsi="Arial" w:cs="Arial"/>
          <w:b/>
          <w:bCs/>
          <w:color w:val="242424"/>
          <w:sz w:val="22"/>
          <w:szCs w:val="22"/>
        </w:rPr>
        <w:t xml:space="preserve"> y subsector, 2020</w:t>
      </w:r>
      <w:r w:rsidRPr="00FF5CF1">
        <w:rPr>
          <w:rFonts w:ascii="Arial" w:hAnsi="Arial" w:cs="Arial"/>
          <w:b/>
          <w:bCs/>
          <w:color w:val="242424"/>
          <w:sz w:val="17"/>
          <w:szCs w:val="17"/>
          <w:vertAlign w:val="superscript"/>
        </w:rPr>
        <w:t>p/</w:t>
      </w:r>
    </w:p>
    <w:p w14:paraId="6885B0B5" w14:textId="77777777" w:rsidR="00FF5CF1" w:rsidRPr="00FF5CF1" w:rsidRDefault="00FF5CF1" w:rsidP="00FF5CF1">
      <w:pPr>
        <w:pStyle w:val="Default"/>
        <w:jc w:val="center"/>
        <w:rPr>
          <w:b/>
          <w:color w:val="auto"/>
          <w:sz w:val="22"/>
          <w:lang w:eastAsia="es-MX"/>
        </w:rPr>
      </w:pPr>
      <w:r w:rsidRPr="00FF5CF1">
        <w:rPr>
          <w:b/>
          <w:color w:val="auto"/>
          <w:sz w:val="22"/>
          <w:lang w:eastAsia="es-MX"/>
        </w:rPr>
        <w:t>(Porcentaje)</w:t>
      </w:r>
    </w:p>
    <w:tbl>
      <w:tblPr>
        <w:tblW w:w="8849" w:type="dxa"/>
        <w:tblCellMar>
          <w:left w:w="70" w:type="dxa"/>
          <w:right w:w="70" w:type="dxa"/>
        </w:tblCellMar>
        <w:tblLook w:val="04A0" w:firstRow="1" w:lastRow="0" w:firstColumn="1" w:lastColumn="0" w:noHBand="0" w:noVBand="1"/>
      </w:tblPr>
      <w:tblGrid>
        <w:gridCol w:w="2577"/>
        <w:gridCol w:w="1420"/>
        <w:gridCol w:w="1271"/>
        <w:gridCol w:w="1291"/>
        <w:gridCol w:w="1383"/>
        <w:gridCol w:w="907"/>
      </w:tblGrid>
      <w:tr w:rsidR="0040640C" w:rsidRPr="0040640C" w14:paraId="63B6F0CF" w14:textId="77777777" w:rsidTr="00D13BBC">
        <w:trPr>
          <w:trHeight w:val="291"/>
        </w:trPr>
        <w:tc>
          <w:tcPr>
            <w:tcW w:w="2577" w:type="dxa"/>
            <w:vMerge w:val="restart"/>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6BD8F7AD"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r w:rsidRPr="00D13BBC">
              <w:rPr>
                <w:rFonts w:ascii="Arial" w:eastAsia="Times New Roman" w:hAnsi="Arial" w:cs="Arial"/>
                <w:b/>
                <w:bCs/>
                <w:sz w:val="18"/>
                <w:szCs w:val="20"/>
                <w:lang w:eastAsia="es-MX"/>
              </w:rPr>
              <w:t>Sector y subsector</w:t>
            </w:r>
          </w:p>
        </w:tc>
        <w:tc>
          <w:tcPr>
            <w:tcW w:w="6272" w:type="dxa"/>
            <w:gridSpan w:val="5"/>
            <w:tcBorders>
              <w:top w:val="single" w:sz="4" w:space="0" w:color="auto"/>
              <w:left w:val="nil"/>
              <w:bottom w:val="single" w:sz="4" w:space="0" w:color="auto"/>
              <w:right w:val="single" w:sz="4" w:space="0" w:color="000000"/>
            </w:tcBorders>
            <w:shd w:val="clear" w:color="auto" w:fill="FFD966" w:themeFill="accent4" w:themeFillTint="99"/>
            <w:noWrap/>
            <w:vAlign w:val="center"/>
            <w:hideMark/>
          </w:tcPr>
          <w:p w14:paraId="7DA2A593"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r w:rsidRPr="00D13BBC">
              <w:rPr>
                <w:rFonts w:ascii="Arial" w:eastAsia="Times New Roman" w:hAnsi="Arial" w:cs="Arial"/>
                <w:b/>
                <w:bCs/>
                <w:sz w:val="18"/>
                <w:szCs w:val="20"/>
                <w:lang w:eastAsia="es-MX"/>
              </w:rPr>
              <w:t>Ingresos por suministro de bienes y servicios</w:t>
            </w:r>
          </w:p>
        </w:tc>
      </w:tr>
      <w:tr w:rsidR="0040640C" w:rsidRPr="0040640C" w14:paraId="5A514D53" w14:textId="77777777" w:rsidTr="00FF5CF1">
        <w:trPr>
          <w:trHeight w:val="409"/>
        </w:trPr>
        <w:tc>
          <w:tcPr>
            <w:tcW w:w="2577" w:type="dxa"/>
            <w:vMerge/>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7C413180"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p>
        </w:tc>
        <w:tc>
          <w:tcPr>
            <w:tcW w:w="1420" w:type="dxa"/>
            <w:vMerge w:val="restart"/>
            <w:tcBorders>
              <w:top w:val="nil"/>
              <w:left w:val="single" w:sz="4" w:space="0" w:color="auto"/>
              <w:bottom w:val="single" w:sz="4" w:space="0" w:color="auto"/>
              <w:right w:val="single" w:sz="4" w:space="0" w:color="auto"/>
            </w:tcBorders>
            <w:shd w:val="clear" w:color="auto" w:fill="FFD966" w:themeFill="accent4" w:themeFillTint="99"/>
            <w:vAlign w:val="center"/>
            <w:hideMark/>
          </w:tcPr>
          <w:p w14:paraId="6C1508D0"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r w:rsidRPr="00D13BBC">
              <w:rPr>
                <w:rFonts w:ascii="Arial" w:eastAsia="Times New Roman" w:hAnsi="Arial" w:cs="Arial"/>
                <w:b/>
                <w:bCs/>
                <w:sz w:val="18"/>
                <w:szCs w:val="20"/>
                <w:lang w:eastAsia="es-MX"/>
              </w:rPr>
              <w:t>Miles de pesos corrientes</w:t>
            </w:r>
          </w:p>
        </w:tc>
        <w:tc>
          <w:tcPr>
            <w:tcW w:w="1271" w:type="dxa"/>
            <w:vMerge w:val="restart"/>
            <w:tcBorders>
              <w:top w:val="single" w:sz="4" w:space="0" w:color="auto"/>
              <w:left w:val="nil"/>
              <w:right w:val="single" w:sz="4" w:space="0" w:color="auto"/>
            </w:tcBorders>
            <w:shd w:val="clear" w:color="auto" w:fill="FFD966" w:themeFill="accent4" w:themeFillTint="99"/>
            <w:noWrap/>
            <w:vAlign w:val="center"/>
            <w:hideMark/>
          </w:tcPr>
          <w:p w14:paraId="7E000394"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r w:rsidRPr="00D13BBC">
              <w:rPr>
                <w:rFonts w:ascii="Arial" w:eastAsia="Times New Roman" w:hAnsi="Arial" w:cs="Arial"/>
                <w:b/>
                <w:bCs/>
                <w:sz w:val="18"/>
                <w:szCs w:val="20"/>
                <w:lang w:eastAsia="es-MX"/>
              </w:rPr>
              <w:t>Participación porcentual</w:t>
            </w:r>
          </w:p>
        </w:tc>
        <w:tc>
          <w:tcPr>
            <w:tcW w:w="3581" w:type="dxa"/>
            <w:gridSpan w:val="3"/>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619633E2" w14:textId="77777777" w:rsidR="0040640C" w:rsidRPr="00D13BBC" w:rsidRDefault="0040640C" w:rsidP="0040640C">
            <w:pPr>
              <w:spacing w:after="0" w:line="240" w:lineRule="auto"/>
              <w:jc w:val="center"/>
              <w:rPr>
                <w:rFonts w:ascii="Arial" w:eastAsia="Times New Roman" w:hAnsi="Arial" w:cs="Arial"/>
                <w:b/>
                <w:bCs/>
                <w:color w:val="000000"/>
                <w:sz w:val="18"/>
                <w:szCs w:val="20"/>
                <w:lang w:eastAsia="es-MX"/>
              </w:rPr>
            </w:pPr>
            <w:r w:rsidRPr="00D13BBC">
              <w:rPr>
                <w:rFonts w:ascii="Arial" w:eastAsia="Times New Roman" w:hAnsi="Arial" w:cs="Arial"/>
                <w:b/>
                <w:bCs/>
                <w:color w:val="000000"/>
                <w:sz w:val="18"/>
                <w:szCs w:val="20"/>
                <w:lang w:eastAsia="es-MX"/>
              </w:rPr>
              <w:t>Distribución porcentual</w:t>
            </w:r>
          </w:p>
        </w:tc>
      </w:tr>
      <w:tr w:rsidR="0040640C" w:rsidRPr="0040640C" w14:paraId="38EC1EA7" w14:textId="77777777" w:rsidTr="00FF5CF1">
        <w:trPr>
          <w:trHeight w:val="685"/>
        </w:trPr>
        <w:tc>
          <w:tcPr>
            <w:tcW w:w="2577" w:type="dxa"/>
            <w:vMerge/>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7C105C64"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p>
        </w:tc>
        <w:tc>
          <w:tcPr>
            <w:tcW w:w="1420" w:type="dxa"/>
            <w:vMerge/>
            <w:tcBorders>
              <w:top w:val="nil"/>
              <w:left w:val="single" w:sz="4" w:space="0" w:color="auto"/>
              <w:bottom w:val="single" w:sz="4" w:space="0" w:color="auto"/>
              <w:right w:val="single" w:sz="4" w:space="0" w:color="auto"/>
            </w:tcBorders>
            <w:shd w:val="clear" w:color="auto" w:fill="FFD966" w:themeFill="accent4" w:themeFillTint="99"/>
            <w:vAlign w:val="center"/>
            <w:hideMark/>
          </w:tcPr>
          <w:p w14:paraId="1AB5501B"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p>
        </w:tc>
        <w:tc>
          <w:tcPr>
            <w:tcW w:w="1271" w:type="dxa"/>
            <w:vMerge/>
            <w:tcBorders>
              <w:left w:val="nil"/>
              <w:bottom w:val="single" w:sz="4" w:space="0" w:color="auto"/>
              <w:right w:val="single" w:sz="4" w:space="0" w:color="auto"/>
            </w:tcBorders>
            <w:shd w:val="clear" w:color="auto" w:fill="FFD966" w:themeFill="accent4" w:themeFillTint="99"/>
            <w:vAlign w:val="center"/>
            <w:hideMark/>
          </w:tcPr>
          <w:p w14:paraId="38CEE550"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p>
        </w:tc>
        <w:tc>
          <w:tcPr>
            <w:tcW w:w="1291"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14:paraId="74400F2B"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r w:rsidRPr="00D13BBC">
              <w:rPr>
                <w:rFonts w:ascii="Arial" w:eastAsia="Times New Roman" w:hAnsi="Arial" w:cs="Arial"/>
                <w:b/>
                <w:bCs/>
                <w:sz w:val="18"/>
                <w:szCs w:val="20"/>
                <w:lang w:eastAsia="es-MX"/>
              </w:rPr>
              <w:t>Ejecución de obras como contratista principal</w:t>
            </w:r>
          </w:p>
        </w:tc>
        <w:tc>
          <w:tcPr>
            <w:tcW w:w="1383"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14:paraId="5892CE0B"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r w:rsidRPr="00D13BBC">
              <w:rPr>
                <w:rFonts w:ascii="Arial" w:eastAsia="Times New Roman" w:hAnsi="Arial" w:cs="Arial"/>
                <w:b/>
                <w:bCs/>
                <w:sz w:val="18"/>
                <w:szCs w:val="20"/>
                <w:lang w:eastAsia="es-MX"/>
              </w:rPr>
              <w:t>Ejecución de obras como subcontratista</w:t>
            </w:r>
          </w:p>
        </w:tc>
        <w:tc>
          <w:tcPr>
            <w:tcW w:w="907" w:type="dxa"/>
            <w:tcBorders>
              <w:top w:val="nil"/>
              <w:left w:val="nil"/>
              <w:bottom w:val="single" w:sz="4" w:space="0" w:color="auto"/>
              <w:right w:val="single" w:sz="4" w:space="0" w:color="auto"/>
            </w:tcBorders>
            <w:shd w:val="clear" w:color="auto" w:fill="FFD966" w:themeFill="accent4" w:themeFillTint="99"/>
            <w:vAlign w:val="center"/>
            <w:hideMark/>
          </w:tcPr>
          <w:p w14:paraId="12F76BB8" w14:textId="77777777" w:rsidR="0040640C" w:rsidRPr="00D13BBC" w:rsidRDefault="0040640C" w:rsidP="0040640C">
            <w:pPr>
              <w:spacing w:after="0" w:line="240" w:lineRule="auto"/>
              <w:jc w:val="center"/>
              <w:rPr>
                <w:rFonts w:ascii="Arial" w:eastAsia="Times New Roman" w:hAnsi="Arial" w:cs="Arial"/>
                <w:b/>
                <w:bCs/>
                <w:sz w:val="18"/>
                <w:szCs w:val="20"/>
                <w:lang w:eastAsia="es-MX"/>
              </w:rPr>
            </w:pPr>
            <w:r w:rsidRPr="00D13BBC">
              <w:rPr>
                <w:rFonts w:ascii="Arial" w:eastAsia="Times New Roman" w:hAnsi="Arial" w:cs="Arial"/>
                <w:b/>
                <w:bCs/>
                <w:sz w:val="18"/>
                <w:szCs w:val="20"/>
                <w:lang w:eastAsia="es-MX"/>
              </w:rPr>
              <w:t xml:space="preserve">Otros ingresos </w:t>
            </w:r>
          </w:p>
        </w:tc>
      </w:tr>
      <w:tr w:rsidR="0040640C" w:rsidRPr="0040640C" w14:paraId="1AACBD42" w14:textId="77777777" w:rsidTr="00FF5CF1">
        <w:trPr>
          <w:trHeight w:val="291"/>
        </w:trPr>
        <w:tc>
          <w:tcPr>
            <w:tcW w:w="2577" w:type="dxa"/>
            <w:tcBorders>
              <w:top w:val="nil"/>
              <w:left w:val="single" w:sz="4" w:space="0" w:color="auto"/>
              <w:bottom w:val="single" w:sz="4" w:space="0" w:color="auto"/>
              <w:right w:val="single" w:sz="4" w:space="0" w:color="auto"/>
            </w:tcBorders>
            <w:shd w:val="clear" w:color="auto" w:fill="auto"/>
            <w:noWrap/>
            <w:vAlign w:val="center"/>
            <w:hideMark/>
          </w:tcPr>
          <w:p w14:paraId="5560B7F8" w14:textId="77777777" w:rsidR="0040640C" w:rsidRPr="00B164D0" w:rsidRDefault="00D13BBC" w:rsidP="00D13BBC">
            <w:pPr>
              <w:spacing w:after="0" w:line="240" w:lineRule="auto"/>
              <w:rPr>
                <w:rFonts w:ascii="Arial" w:eastAsia="Times New Roman" w:hAnsi="Arial" w:cs="Arial"/>
                <w:b/>
                <w:sz w:val="20"/>
                <w:szCs w:val="20"/>
                <w:lang w:eastAsia="es-MX"/>
              </w:rPr>
            </w:pPr>
            <w:r w:rsidRPr="00B164D0">
              <w:rPr>
                <w:rFonts w:ascii="Arial" w:eastAsia="Times New Roman" w:hAnsi="Arial" w:cs="Arial"/>
                <w:b/>
                <w:sz w:val="20"/>
                <w:szCs w:val="20"/>
                <w:lang w:eastAsia="es-MX"/>
              </w:rPr>
              <w:t xml:space="preserve">23 </w:t>
            </w:r>
            <w:proofErr w:type="gramStart"/>
            <w:r w:rsidRPr="00B164D0">
              <w:rPr>
                <w:rFonts w:ascii="Arial" w:eastAsia="Times New Roman" w:hAnsi="Arial" w:cs="Arial"/>
                <w:b/>
                <w:sz w:val="20"/>
                <w:szCs w:val="20"/>
                <w:lang w:eastAsia="es-MX"/>
              </w:rPr>
              <w:t>Construcción</w:t>
            </w:r>
            <w:proofErr w:type="gramEnd"/>
            <w:r w:rsidR="0040640C" w:rsidRPr="00B164D0">
              <w:rPr>
                <w:rFonts w:ascii="Arial" w:eastAsia="Times New Roman" w:hAnsi="Arial" w:cs="Arial"/>
                <w:b/>
                <w:sz w:val="20"/>
                <w:szCs w:val="20"/>
                <w:lang w:eastAsia="es-MX"/>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7A7E93FC" w14:textId="77777777" w:rsidR="0040640C" w:rsidRPr="00B164D0" w:rsidRDefault="0040640C" w:rsidP="0040640C">
            <w:pPr>
              <w:spacing w:after="0" w:line="240" w:lineRule="auto"/>
              <w:jc w:val="center"/>
              <w:rPr>
                <w:rFonts w:ascii="Arial" w:eastAsia="Times New Roman" w:hAnsi="Arial" w:cs="Arial"/>
                <w:b/>
                <w:sz w:val="20"/>
                <w:szCs w:val="20"/>
                <w:lang w:eastAsia="es-MX"/>
              </w:rPr>
            </w:pPr>
            <w:r w:rsidRPr="00B164D0">
              <w:rPr>
                <w:rFonts w:ascii="Arial" w:eastAsia="Times New Roman" w:hAnsi="Arial" w:cs="Arial"/>
                <w:b/>
                <w:sz w:val="20"/>
                <w:szCs w:val="20"/>
                <w:lang w:eastAsia="es-MX"/>
              </w:rPr>
              <w:t>537</w:t>
            </w:r>
            <w:r w:rsidR="009F1076">
              <w:rPr>
                <w:rFonts w:ascii="Arial" w:eastAsia="Times New Roman" w:hAnsi="Arial" w:cs="Arial"/>
                <w:b/>
                <w:sz w:val="20"/>
                <w:szCs w:val="20"/>
                <w:lang w:eastAsia="es-MX"/>
              </w:rPr>
              <w:t xml:space="preserve"> </w:t>
            </w:r>
            <w:r w:rsidRPr="00B164D0">
              <w:rPr>
                <w:rFonts w:ascii="Arial" w:eastAsia="Times New Roman" w:hAnsi="Arial" w:cs="Arial"/>
                <w:b/>
                <w:sz w:val="20"/>
                <w:szCs w:val="20"/>
                <w:lang w:eastAsia="es-MX"/>
              </w:rPr>
              <w:t>977</w:t>
            </w:r>
            <w:r w:rsidR="009F1076">
              <w:rPr>
                <w:rFonts w:ascii="Arial" w:eastAsia="Times New Roman" w:hAnsi="Arial" w:cs="Arial"/>
                <w:b/>
                <w:sz w:val="20"/>
                <w:szCs w:val="20"/>
                <w:lang w:eastAsia="es-MX"/>
              </w:rPr>
              <w:t xml:space="preserve"> </w:t>
            </w:r>
            <w:r w:rsidRPr="00B164D0">
              <w:rPr>
                <w:rFonts w:ascii="Arial" w:eastAsia="Times New Roman" w:hAnsi="Arial" w:cs="Arial"/>
                <w:b/>
                <w:sz w:val="20"/>
                <w:szCs w:val="20"/>
                <w:lang w:eastAsia="es-MX"/>
              </w:rPr>
              <w:t>340</w:t>
            </w:r>
          </w:p>
        </w:tc>
        <w:tc>
          <w:tcPr>
            <w:tcW w:w="1271" w:type="dxa"/>
            <w:tcBorders>
              <w:top w:val="nil"/>
              <w:left w:val="nil"/>
              <w:bottom w:val="single" w:sz="4" w:space="0" w:color="auto"/>
              <w:right w:val="single" w:sz="4" w:space="0" w:color="auto"/>
            </w:tcBorders>
            <w:shd w:val="clear" w:color="auto" w:fill="auto"/>
            <w:noWrap/>
            <w:vAlign w:val="center"/>
            <w:hideMark/>
          </w:tcPr>
          <w:p w14:paraId="65002427" w14:textId="77777777" w:rsidR="0040640C" w:rsidRPr="00B164D0" w:rsidRDefault="0040640C" w:rsidP="0040640C">
            <w:pPr>
              <w:spacing w:after="0" w:line="240" w:lineRule="auto"/>
              <w:jc w:val="center"/>
              <w:rPr>
                <w:rFonts w:ascii="Arial" w:eastAsia="Times New Roman" w:hAnsi="Arial" w:cs="Arial"/>
                <w:b/>
                <w:sz w:val="20"/>
                <w:szCs w:val="20"/>
                <w:lang w:eastAsia="es-MX"/>
              </w:rPr>
            </w:pPr>
            <w:r w:rsidRPr="00B164D0">
              <w:rPr>
                <w:rFonts w:ascii="Arial" w:eastAsia="Times New Roman" w:hAnsi="Arial" w:cs="Arial"/>
                <w:b/>
                <w:sz w:val="20"/>
                <w:szCs w:val="20"/>
                <w:lang w:eastAsia="es-MX"/>
              </w:rPr>
              <w:t>100.0</w:t>
            </w:r>
          </w:p>
        </w:tc>
        <w:tc>
          <w:tcPr>
            <w:tcW w:w="1291" w:type="dxa"/>
            <w:tcBorders>
              <w:top w:val="nil"/>
              <w:left w:val="nil"/>
              <w:bottom w:val="single" w:sz="4" w:space="0" w:color="auto"/>
              <w:right w:val="single" w:sz="4" w:space="0" w:color="auto"/>
            </w:tcBorders>
            <w:shd w:val="clear" w:color="auto" w:fill="auto"/>
            <w:noWrap/>
            <w:vAlign w:val="center"/>
            <w:hideMark/>
          </w:tcPr>
          <w:p w14:paraId="5177E4E0" w14:textId="77777777" w:rsidR="0040640C" w:rsidRPr="00B164D0" w:rsidRDefault="0040640C" w:rsidP="0040640C">
            <w:pPr>
              <w:spacing w:after="0" w:line="240" w:lineRule="auto"/>
              <w:jc w:val="center"/>
              <w:rPr>
                <w:rFonts w:ascii="Arial" w:eastAsia="Times New Roman" w:hAnsi="Arial" w:cs="Arial"/>
                <w:b/>
                <w:sz w:val="20"/>
                <w:szCs w:val="20"/>
                <w:lang w:eastAsia="es-MX"/>
              </w:rPr>
            </w:pPr>
            <w:r w:rsidRPr="00B164D0">
              <w:rPr>
                <w:rFonts w:ascii="Arial" w:eastAsia="Times New Roman" w:hAnsi="Arial" w:cs="Arial"/>
                <w:b/>
                <w:sz w:val="20"/>
                <w:szCs w:val="20"/>
                <w:lang w:eastAsia="es-MX"/>
              </w:rPr>
              <w:t>75.8</w:t>
            </w:r>
          </w:p>
        </w:tc>
        <w:tc>
          <w:tcPr>
            <w:tcW w:w="1383" w:type="dxa"/>
            <w:tcBorders>
              <w:top w:val="nil"/>
              <w:left w:val="nil"/>
              <w:bottom w:val="single" w:sz="4" w:space="0" w:color="auto"/>
              <w:right w:val="single" w:sz="4" w:space="0" w:color="auto"/>
            </w:tcBorders>
            <w:shd w:val="clear" w:color="auto" w:fill="auto"/>
            <w:noWrap/>
            <w:vAlign w:val="center"/>
            <w:hideMark/>
          </w:tcPr>
          <w:p w14:paraId="7F94571D" w14:textId="77777777" w:rsidR="0040640C" w:rsidRPr="00B164D0" w:rsidRDefault="0040640C" w:rsidP="0040640C">
            <w:pPr>
              <w:spacing w:after="0" w:line="240" w:lineRule="auto"/>
              <w:jc w:val="center"/>
              <w:rPr>
                <w:rFonts w:ascii="Arial" w:eastAsia="Times New Roman" w:hAnsi="Arial" w:cs="Arial"/>
                <w:b/>
                <w:sz w:val="20"/>
                <w:szCs w:val="20"/>
                <w:lang w:eastAsia="es-MX"/>
              </w:rPr>
            </w:pPr>
            <w:r w:rsidRPr="00B164D0">
              <w:rPr>
                <w:rFonts w:ascii="Arial" w:eastAsia="Times New Roman" w:hAnsi="Arial" w:cs="Arial"/>
                <w:b/>
                <w:sz w:val="20"/>
                <w:szCs w:val="20"/>
                <w:lang w:eastAsia="es-MX"/>
              </w:rPr>
              <w:t>15.1</w:t>
            </w:r>
          </w:p>
        </w:tc>
        <w:tc>
          <w:tcPr>
            <w:tcW w:w="907" w:type="dxa"/>
            <w:tcBorders>
              <w:top w:val="nil"/>
              <w:left w:val="nil"/>
              <w:bottom w:val="single" w:sz="4" w:space="0" w:color="auto"/>
              <w:right w:val="single" w:sz="4" w:space="0" w:color="auto"/>
            </w:tcBorders>
            <w:shd w:val="clear" w:color="auto" w:fill="auto"/>
            <w:noWrap/>
            <w:vAlign w:val="center"/>
            <w:hideMark/>
          </w:tcPr>
          <w:p w14:paraId="78DEE965" w14:textId="77777777" w:rsidR="0040640C" w:rsidRPr="00B164D0" w:rsidRDefault="0040640C" w:rsidP="0040640C">
            <w:pPr>
              <w:spacing w:after="0" w:line="240" w:lineRule="auto"/>
              <w:jc w:val="center"/>
              <w:rPr>
                <w:rFonts w:ascii="Arial" w:eastAsia="Times New Roman" w:hAnsi="Arial" w:cs="Arial"/>
                <w:b/>
                <w:sz w:val="20"/>
                <w:szCs w:val="20"/>
                <w:lang w:eastAsia="es-MX"/>
              </w:rPr>
            </w:pPr>
            <w:r w:rsidRPr="00B164D0">
              <w:rPr>
                <w:rFonts w:ascii="Arial" w:eastAsia="Times New Roman" w:hAnsi="Arial" w:cs="Arial"/>
                <w:b/>
                <w:sz w:val="20"/>
                <w:szCs w:val="20"/>
                <w:lang w:eastAsia="es-MX"/>
              </w:rPr>
              <w:t>9.1</w:t>
            </w:r>
          </w:p>
        </w:tc>
      </w:tr>
      <w:tr w:rsidR="0040640C" w:rsidRPr="0040640C" w14:paraId="303BE70C" w14:textId="77777777" w:rsidTr="00FF5CF1">
        <w:trPr>
          <w:trHeight w:val="291"/>
        </w:trPr>
        <w:tc>
          <w:tcPr>
            <w:tcW w:w="2577" w:type="dxa"/>
            <w:tcBorders>
              <w:top w:val="nil"/>
              <w:left w:val="single" w:sz="4" w:space="0" w:color="auto"/>
              <w:bottom w:val="single" w:sz="4" w:space="0" w:color="auto"/>
              <w:right w:val="single" w:sz="4" w:space="0" w:color="auto"/>
            </w:tcBorders>
            <w:shd w:val="clear" w:color="auto" w:fill="auto"/>
            <w:noWrap/>
            <w:vAlign w:val="center"/>
            <w:hideMark/>
          </w:tcPr>
          <w:p w14:paraId="6FE5404D" w14:textId="77777777" w:rsidR="0040640C" w:rsidRPr="0040640C" w:rsidRDefault="0040640C" w:rsidP="0040640C">
            <w:pPr>
              <w:spacing w:after="0" w:line="240" w:lineRule="auto"/>
              <w:rPr>
                <w:rFonts w:ascii="Arial" w:eastAsia="Times New Roman" w:hAnsi="Arial" w:cs="Arial"/>
                <w:sz w:val="20"/>
                <w:szCs w:val="20"/>
                <w:lang w:eastAsia="es-MX"/>
              </w:rPr>
            </w:pPr>
            <w:r w:rsidRPr="0040640C">
              <w:rPr>
                <w:rFonts w:ascii="Arial" w:eastAsia="Times New Roman" w:hAnsi="Arial" w:cs="Arial"/>
                <w:sz w:val="20"/>
                <w:szCs w:val="20"/>
                <w:lang w:eastAsia="es-MX"/>
              </w:rPr>
              <w:t xml:space="preserve">236 </w:t>
            </w:r>
            <w:proofErr w:type="gramStart"/>
            <w:r w:rsidRPr="0040640C">
              <w:rPr>
                <w:rFonts w:ascii="Arial" w:eastAsia="Times New Roman" w:hAnsi="Arial" w:cs="Arial"/>
                <w:sz w:val="20"/>
                <w:szCs w:val="20"/>
                <w:lang w:eastAsia="es-MX"/>
              </w:rPr>
              <w:t>Edificación</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14:paraId="48E0B412"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257</w:t>
            </w:r>
            <w:r w:rsidR="009F1076">
              <w:rPr>
                <w:rFonts w:ascii="Arial" w:eastAsia="Times New Roman" w:hAnsi="Arial" w:cs="Arial"/>
                <w:sz w:val="20"/>
                <w:szCs w:val="20"/>
                <w:lang w:eastAsia="es-MX"/>
              </w:rPr>
              <w:t xml:space="preserve"> </w:t>
            </w:r>
            <w:r w:rsidRPr="0040640C">
              <w:rPr>
                <w:rFonts w:ascii="Arial" w:eastAsia="Times New Roman" w:hAnsi="Arial" w:cs="Arial"/>
                <w:sz w:val="20"/>
                <w:szCs w:val="20"/>
                <w:lang w:eastAsia="es-MX"/>
              </w:rPr>
              <w:t>665</w:t>
            </w:r>
            <w:r w:rsidR="009F1076">
              <w:rPr>
                <w:rFonts w:ascii="Arial" w:eastAsia="Times New Roman" w:hAnsi="Arial" w:cs="Arial"/>
                <w:sz w:val="20"/>
                <w:szCs w:val="20"/>
                <w:lang w:eastAsia="es-MX"/>
              </w:rPr>
              <w:t xml:space="preserve"> </w:t>
            </w:r>
            <w:r w:rsidRPr="0040640C">
              <w:rPr>
                <w:rFonts w:ascii="Arial" w:eastAsia="Times New Roman" w:hAnsi="Arial" w:cs="Arial"/>
                <w:sz w:val="20"/>
                <w:szCs w:val="20"/>
                <w:lang w:eastAsia="es-MX"/>
              </w:rPr>
              <w:t>792</w:t>
            </w:r>
          </w:p>
        </w:tc>
        <w:tc>
          <w:tcPr>
            <w:tcW w:w="1271" w:type="dxa"/>
            <w:tcBorders>
              <w:top w:val="nil"/>
              <w:left w:val="nil"/>
              <w:bottom w:val="single" w:sz="4" w:space="0" w:color="auto"/>
              <w:right w:val="single" w:sz="4" w:space="0" w:color="auto"/>
            </w:tcBorders>
            <w:shd w:val="clear" w:color="auto" w:fill="auto"/>
            <w:noWrap/>
            <w:vAlign w:val="center"/>
            <w:hideMark/>
          </w:tcPr>
          <w:p w14:paraId="6F68F82B"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47.9</w:t>
            </w:r>
          </w:p>
        </w:tc>
        <w:tc>
          <w:tcPr>
            <w:tcW w:w="1291" w:type="dxa"/>
            <w:tcBorders>
              <w:top w:val="nil"/>
              <w:left w:val="nil"/>
              <w:bottom w:val="single" w:sz="4" w:space="0" w:color="auto"/>
              <w:right w:val="single" w:sz="4" w:space="0" w:color="auto"/>
            </w:tcBorders>
            <w:shd w:val="clear" w:color="auto" w:fill="auto"/>
            <w:noWrap/>
            <w:vAlign w:val="center"/>
            <w:hideMark/>
          </w:tcPr>
          <w:p w14:paraId="29057D76"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71.3</w:t>
            </w:r>
          </w:p>
        </w:tc>
        <w:tc>
          <w:tcPr>
            <w:tcW w:w="1383" w:type="dxa"/>
            <w:tcBorders>
              <w:top w:val="nil"/>
              <w:left w:val="nil"/>
              <w:bottom w:val="single" w:sz="4" w:space="0" w:color="auto"/>
              <w:right w:val="single" w:sz="4" w:space="0" w:color="auto"/>
            </w:tcBorders>
            <w:shd w:val="clear" w:color="auto" w:fill="auto"/>
            <w:noWrap/>
            <w:vAlign w:val="center"/>
            <w:hideMark/>
          </w:tcPr>
          <w:p w14:paraId="52AAEAD0"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20.4</w:t>
            </w:r>
          </w:p>
        </w:tc>
        <w:tc>
          <w:tcPr>
            <w:tcW w:w="907" w:type="dxa"/>
            <w:tcBorders>
              <w:top w:val="nil"/>
              <w:left w:val="nil"/>
              <w:bottom w:val="single" w:sz="4" w:space="0" w:color="auto"/>
              <w:right w:val="single" w:sz="4" w:space="0" w:color="auto"/>
            </w:tcBorders>
            <w:shd w:val="clear" w:color="auto" w:fill="auto"/>
            <w:noWrap/>
            <w:vAlign w:val="center"/>
            <w:hideMark/>
          </w:tcPr>
          <w:p w14:paraId="01FF0A54"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8.3</w:t>
            </w:r>
          </w:p>
        </w:tc>
      </w:tr>
      <w:tr w:rsidR="0040640C" w:rsidRPr="0040640C" w14:paraId="72487276" w14:textId="77777777" w:rsidTr="00FF5CF1">
        <w:trPr>
          <w:trHeight w:val="514"/>
        </w:trPr>
        <w:tc>
          <w:tcPr>
            <w:tcW w:w="2577" w:type="dxa"/>
            <w:tcBorders>
              <w:top w:val="nil"/>
              <w:left w:val="single" w:sz="4" w:space="0" w:color="auto"/>
              <w:bottom w:val="single" w:sz="4" w:space="0" w:color="auto"/>
              <w:right w:val="single" w:sz="4" w:space="0" w:color="auto"/>
            </w:tcBorders>
            <w:shd w:val="clear" w:color="auto" w:fill="auto"/>
            <w:noWrap/>
            <w:vAlign w:val="center"/>
            <w:hideMark/>
          </w:tcPr>
          <w:p w14:paraId="051B897D" w14:textId="77777777" w:rsidR="0040640C" w:rsidRPr="0040640C" w:rsidRDefault="0040640C" w:rsidP="0040640C">
            <w:pPr>
              <w:spacing w:after="0" w:line="240" w:lineRule="auto"/>
              <w:rPr>
                <w:rFonts w:ascii="Arial" w:eastAsia="Times New Roman" w:hAnsi="Arial" w:cs="Arial"/>
                <w:sz w:val="20"/>
                <w:szCs w:val="20"/>
                <w:lang w:eastAsia="es-MX"/>
              </w:rPr>
            </w:pPr>
            <w:r w:rsidRPr="0040640C">
              <w:rPr>
                <w:rFonts w:ascii="Arial" w:eastAsia="Times New Roman" w:hAnsi="Arial" w:cs="Arial"/>
                <w:sz w:val="20"/>
                <w:szCs w:val="20"/>
                <w:lang w:eastAsia="es-MX"/>
              </w:rPr>
              <w:t xml:space="preserve">237 </w:t>
            </w:r>
            <w:proofErr w:type="gramStart"/>
            <w:r w:rsidRPr="0040640C">
              <w:rPr>
                <w:rFonts w:ascii="Arial" w:eastAsia="Times New Roman" w:hAnsi="Arial" w:cs="Arial"/>
                <w:sz w:val="20"/>
                <w:szCs w:val="20"/>
                <w:lang w:eastAsia="es-MX"/>
              </w:rPr>
              <w:t>Construcción</w:t>
            </w:r>
            <w:proofErr w:type="gramEnd"/>
            <w:r w:rsidRPr="0040640C">
              <w:rPr>
                <w:rFonts w:ascii="Arial" w:eastAsia="Times New Roman" w:hAnsi="Arial" w:cs="Arial"/>
                <w:sz w:val="20"/>
                <w:szCs w:val="20"/>
                <w:lang w:eastAsia="es-MX"/>
              </w:rPr>
              <w:t xml:space="preserve"> de obras de ingeniería civil                         </w:t>
            </w:r>
          </w:p>
        </w:tc>
        <w:tc>
          <w:tcPr>
            <w:tcW w:w="1420" w:type="dxa"/>
            <w:tcBorders>
              <w:top w:val="nil"/>
              <w:left w:val="nil"/>
              <w:bottom w:val="single" w:sz="4" w:space="0" w:color="auto"/>
              <w:right w:val="single" w:sz="4" w:space="0" w:color="auto"/>
            </w:tcBorders>
            <w:shd w:val="clear" w:color="auto" w:fill="auto"/>
            <w:noWrap/>
            <w:vAlign w:val="center"/>
            <w:hideMark/>
          </w:tcPr>
          <w:p w14:paraId="0C762787"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212</w:t>
            </w:r>
            <w:r w:rsidR="009F1076">
              <w:rPr>
                <w:rFonts w:ascii="Arial" w:eastAsia="Times New Roman" w:hAnsi="Arial" w:cs="Arial"/>
                <w:sz w:val="20"/>
                <w:szCs w:val="20"/>
                <w:lang w:eastAsia="es-MX"/>
              </w:rPr>
              <w:t xml:space="preserve"> </w:t>
            </w:r>
            <w:r w:rsidRPr="0040640C">
              <w:rPr>
                <w:rFonts w:ascii="Arial" w:eastAsia="Times New Roman" w:hAnsi="Arial" w:cs="Arial"/>
                <w:sz w:val="20"/>
                <w:szCs w:val="20"/>
                <w:lang w:eastAsia="es-MX"/>
              </w:rPr>
              <w:t>141</w:t>
            </w:r>
            <w:r w:rsidR="009F1076">
              <w:rPr>
                <w:rFonts w:ascii="Arial" w:eastAsia="Times New Roman" w:hAnsi="Arial" w:cs="Arial"/>
                <w:sz w:val="20"/>
                <w:szCs w:val="20"/>
                <w:lang w:eastAsia="es-MX"/>
              </w:rPr>
              <w:t xml:space="preserve"> </w:t>
            </w:r>
            <w:r w:rsidRPr="0040640C">
              <w:rPr>
                <w:rFonts w:ascii="Arial" w:eastAsia="Times New Roman" w:hAnsi="Arial" w:cs="Arial"/>
                <w:sz w:val="20"/>
                <w:szCs w:val="20"/>
                <w:lang w:eastAsia="es-MX"/>
              </w:rPr>
              <w:t>251</w:t>
            </w:r>
          </w:p>
        </w:tc>
        <w:tc>
          <w:tcPr>
            <w:tcW w:w="1271" w:type="dxa"/>
            <w:tcBorders>
              <w:top w:val="nil"/>
              <w:left w:val="nil"/>
              <w:bottom w:val="single" w:sz="4" w:space="0" w:color="auto"/>
              <w:right w:val="single" w:sz="4" w:space="0" w:color="auto"/>
            </w:tcBorders>
            <w:shd w:val="clear" w:color="auto" w:fill="auto"/>
            <w:noWrap/>
            <w:vAlign w:val="center"/>
            <w:hideMark/>
          </w:tcPr>
          <w:p w14:paraId="2BD7127A"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39.4</w:t>
            </w:r>
          </w:p>
        </w:tc>
        <w:tc>
          <w:tcPr>
            <w:tcW w:w="1291" w:type="dxa"/>
            <w:tcBorders>
              <w:top w:val="nil"/>
              <w:left w:val="nil"/>
              <w:bottom w:val="single" w:sz="4" w:space="0" w:color="auto"/>
              <w:right w:val="single" w:sz="4" w:space="0" w:color="auto"/>
            </w:tcBorders>
            <w:shd w:val="clear" w:color="auto" w:fill="auto"/>
            <w:noWrap/>
            <w:vAlign w:val="center"/>
            <w:hideMark/>
          </w:tcPr>
          <w:p w14:paraId="74ECA124"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85.7</w:t>
            </w:r>
          </w:p>
        </w:tc>
        <w:tc>
          <w:tcPr>
            <w:tcW w:w="1383" w:type="dxa"/>
            <w:tcBorders>
              <w:top w:val="nil"/>
              <w:left w:val="nil"/>
              <w:bottom w:val="single" w:sz="4" w:space="0" w:color="auto"/>
              <w:right w:val="single" w:sz="4" w:space="0" w:color="auto"/>
            </w:tcBorders>
            <w:shd w:val="clear" w:color="auto" w:fill="auto"/>
            <w:noWrap/>
            <w:vAlign w:val="center"/>
            <w:hideMark/>
          </w:tcPr>
          <w:p w14:paraId="34EEE594"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7.5</w:t>
            </w:r>
          </w:p>
        </w:tc>
        <w:tc>
          <w:tcPr>
            <w:tcW w:w="907" w:type="dxa"/>
            <w:tcBorders>
              <w:top w:val="nil"/>
              <w:left w:val="nil"/>
              <w:bottom w:val="single" w:sz="4" w:space="0" w:color="auto"/>
              <w:right w:val="single" w:sz="4" w:space="0" w:color="auto"/>
            </w:tcBorders>
            <w:shd w:val="clear" w:color="auto" w:fill="auto"/>
            <w:noWrap/>
            <w:vAlign w:val="center"/>
            <w:hideMark/>
          </w:tcPr>
          <w:p w14:paraId="4BEA3036"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6.8</w:t>
            </w:r>
          </w:p>
        </w:tc>
      </w:tr>
      <w:tr w:rsidR="0040640C" w:rsidRPr="0040640C" w14:paraId="5EBFDF87" w14:textId="77777777" w:rsidTr="00FF5CF1">
        <w:trPr>
          <w:trHeight w:val="583"/>
        </w:trPr>
        <w:tc>
          <w:tcPr>
            <w:tcW w:w="2577" w:type="dxa"/>
            <w:tcBorders>
              <w:top w:val="nil"/>
              <w:left w:val="single" w:sz="4" w:space="0" w:color="auto"/>
              <w:bottom w:val="single" w:sz="4" w:space="0" w:color="auto"/>
              <w:right w:val="single" w:sz="4" w:space="0" w:color="auto"/>
            </w:tcBorders>
            <w:shd w:val="clear" w:color="auto" w:fill="auto"/>
            <w:noWrap/>
            <w:vAlign w:val="center"/>
            <w:hideMark/>
          </w:tcPr>
          <w:p w14:paraId="605C19D1" w14:textId="77777777" w:rsidR="0040640C" w:rsidRPr="0040640C" w:rsidRDefault="0040640C" w:rsidP="0040640C">
            <w:pPr>
              <w:spacing w:after="0" w:line="240" w:lineRule="auto"/>
              <w:rPr>
                <w:rFonts w:ascii="Arial" w:eastAsia="Times New Roman" w:hAnsi="Arial" w:cs="Arial"/>
                <w:sz w:val="20"/>
                <w:szCs w:val="20"/>
                <w:lang w:eastAsia="es-MX"/>
              </w:rPr>
            </w:pPr>
            <w:r w:rsidRPr="0040640C">
              <w:rPr>
                <w:rFonts w:ascii="Arial" w:eastAsia="Times New Roman" w:hAnsi="Arial" w:cs="Arial"/>
                <w:sz w:val="20"/>
                <w:szCs w:val="20"/>
                <w:lang w:eastAsia="es-MX"/>
              </w:rPr>
              <w:t xml:space="preserve">238 </w:t>
            </w:r>
            <w:proofErr w:type="gramStart"/>
            <w:r w:rsidRPr="0040640C">
              <w:rPr>
                <w:rFonts w:ascii="Arial" w:eastAsia="Times New Roman" w:hAnsi="Arial" w:cs="Arial"/>
                <w:sz w:val="20"/>
                <w:szCs w:val="20"/>
                <w:lang w:eastAsia="es-MX"/>
              </w:rPr>
              <w:t>Trabajos</w:t>
            </w:r>
            <w:proofErr w:type="gramEnd"/>
            <w:r w:rsidRPr="0040640C">
              <w:rPr>
                <w:rFonts w:ascii="Arial" w:eastAsia="Times New Roman" w:hAnsi="Arial" w:cs="Arial"/>
                <w:sz w:val="20"/>
                <w:szCs w:val="20"/>
                <w:lang w:eastAsia="es-MX"/>
              </w:rPr>
              <w:t xml:space="preserve"> especializados para la construcción</w:t>
            </w:r>
          </w:p>
        </w:tc>
        <w:tc>
          <w:tcPr>
            <w:tcW w:w="1420" w:type="dxa"/>
            <w:tcBorders>
              <w:top w:val="nil"/>
              <w:left w:val="nil"/>
              <w:bottom w:val="single" w:sz="4" w:space="0" w:color="auto"/>
              <w:right w:val="single" w:sz="4" w:space="0" w:color="auto"/>
            </w:tcBorders>
            <w:shd w:val="clear" w:color="auto" w:fill="auto"/>
            <w:noWrap/>
            <w:vAlign w:val="center"/>
            <w:hideMark/>
          </w:tcPr>
          <w:p w14:paraId="485757FE"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68</w:t>
            </w:r>
            <w:r w:rsidR="009F1076">
              <w:rPr>
                <w:rFonts w:ascii="Arial" w:eastAsia="Times New Roman" w:hAnsi="Arial" w:cs="Arial"/>
                <w:sz w:val="20"/>
                <w:szCs w:val="20"/>
                <w:lang w:eastAsia="es-MX"/>
              </w:rPr>
              <w:t xml:space="preserve"> </w:t>
            </w:r>
            <w:r w:rsidRPr="0040640C">
              <w:rPr>
                <w:rFonts w:ascii="Arial" w:eastAsia="Times New Roman" w:hAnsi="Arial" w:cs="Arial"/>
                <w:sz w:val="20"/>
                <w:szCs w:val="20"/>
                <w:lang w:eastAsia="es-MX"/>
              </w:rPr>
              <w:t>170</w:t>
            </w:r>
            <w:r w:rsidR="009F1076">
              <w:rPr>
                <w:rFonts w:ascii="Arial" w:eastAsia="Times New Roman" w:hAnsi="Arial" w:cs="Arial"/>
                <w:sz w:val="20"/>
                <w:szCs w:val="20"/>
                <w:lang w:eastAsia="es-MX"/>
              </w:rPr>
              <w:t xml:space="preserve"> </w:t>
            </w:r>
            <w:r w:rsidRPr="0040640C">
              <w:rPr>
                <w:rFonts w:ascii="Arial" w:eastAsia="Times New Roman" w:hAnsi="Arial" w:cs="Arial"/>
                <w:sz w:val="20"/>
                <w:szCs w:val="20"/>
                <w:lang w:eastAsia="es-MX"/>
              </w:rPr>
              <w:t>297.2</w:t>
            </w:r>
          </w:p>
        </w:tc>
        <w:tc>
          <w:tcPr>
            <w:tcW w:w="1271" w:type="dxa"/>
            <w:tcBorders>
              <w:top w:val="nil"/>
              <w:left w:val="nil"/>
              <w:bottom w:val="single" w:sz="4" w:space="0" w:color="auto"/>
              <w:right w:val="single" w:sz="4" w:space="0" w:color="auto"/>
            </w:tcBorders>
            <w:shd w:val="clear" w:color="auto" w:fill="auto"/>
            <w:noWrap/>
            <w:vAlign w:val="center"/>
            <w:hideMark/>
          </w:tcPr>
          <w:p w14:paraId="59D788C8"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12.7</w:t>
            </w:r>
          </w:p>
        </w:tc>
        <w:tc>
          <w:tcPr>
            <w:tcW w:w="1291" w:type="dxa"/>
            <w:tcBorders>
              <w:top w:val="nil"/>
              <w:left w:val="nil"/>
              <w:bottom w:val="single" w:sz="4" w:space="0" w:color="auto"/>
              <w:right w:val="single" w:sz="4" w:space="0" w:color="auto"/>
            </w:tcBorders>
            <w:shd w:val="clear" w:color="auto" w:fill="auto"/>
            <w:noWrap/>
            <w:vAlign w:val="center"/>
            <w:hideMark/>
          </w:tcPr>
          <w:p w14:paraId="3CA754DF"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62.0</w:t>
            </w:r>
          </w:p>
        </w:tc>
        <w:tc>
          <w:tcPr>
            <w:tcW w:w="1383" w:type="dxa"/>
            <w:tcBorders>
              <w:top w:val="nil"/>
              <w:left w:val="nil"/>
              <w:bottom w:val="single" w:sz="4" w:space="0" w:color="auto"/>
              <w:right w:val="single" w:sz="4" w:space="0" w:color="auto"/>
            </w:tcBorders>
            <w:shd w:val="clear" w:color="auto" w:fill="auto"/>
            <w:noWrap/>
            <w:vAlign w:val="center"/>
            <w:hideMark/>
          </w:tcPr>
          <w:p w14:paraId="7A6FBE48"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19.0</w:t>
            </w:r>
          </w:p>
        </w:tc>
        <w:tc>
          <w:tcPr>
            <w:tcW w:w="907" w:type="dxa"/>
            <w:tcBorders>
              <w:top w:val="nil"/>
              <w:left w:val="nil"/>
              <w:bottom w:val="single" w:sz="4" w:space="0" w:color="auto"/>
              <w:right w:val="single" w:sz="4" w:space="0" w:color="auto"/>
            </w:tcBorders>
            <w:shd w:val="clear" w:color="auto" w:fill="auto"/>
            <w:noWrap/>
            <w:vAlign w:val="center"/>
            <w:hideMark/>
          </w:tcPr>
          <w:p w14:paraId="2BE3D71B" w14:textId="77777777" w:rsidR="0040640C" w:rsidRPr="0040640C" w:rsidRDefault="0040640C" w:rsidP="0040640C">
            <w:pPr>
              <w:spacing w:after="0" w:line="240" w:lineRule="auto"/>
              <w:jc w:val="center"/>
              <w:rPr>
                <w:rFonts w:ascii="Arial" w:eastAsia="Times New Roman" w:hAnsi="Arial" w:cs="Arial"/>
                <w:sz w:val="20"/>
                <w:szCs w:val="20"/>
                <w:lang w:eastAsia="es-MX"/>
              </w:rPr>
            </w:pPr>
            <w:r w:rsidRPr="0040640C">
              <w:rPr>
                <w:rFonts w:ascii="Arial" w:eastAsia="Times New Roman" w:hAnsi="Arial" w:cs="Arial"/>
                <w:sz w:val="20"/>
                <w:szCs w:val="20"/>
                <w:lang w:eastAsia="es-MX"/>
              </w:rPr>
              <w:t>19.1</w:t>
            </w:r>
          </w:p>
        </w:tc>
      </w:tr>
    </w:tbl>
    <w:p w14:paraId="01EF2B25" w14:textId="77777777" w:rsidR="00045EDC" w:rsidRDefault="00045EDC" w:rsidP="00045EDC">
      <w:pPr>
        <w:pStyle w:val="Default"/>
        <w:jc w:val="both"/>
        <w:rPr>
          <w:color w:val="auto"/>
          <w:sz w:val="16"/>
          <w:lang w:eastAsia="es-MX"/>
        </w:rPr>
      </w:pPr>
      <w:r>
        <w:rPr>
          <w:color w:val="auto"/>
          <w:sz w:val="16"/>
          <w:vertAlign w:val="superscript"/>
          <w:lang w:eastAsia="es-MX"/>
        </w:rPr>
        <w:t xml:space="preserve">p/ </w:t>
      </w:r>
      <w:r>
        <w:rPr>
          <w:color w:val="auto"/>
          <w:sz w:val="16"/>
          <w:lang w:eastAsia="es-MX"/>
        </w:rPr>
        <w:t>Cifras preliminares</w:t>
      </w:r>
      <w:r w:rsidR="00B14B1C">
        <w:rPr>
          <w:color w:val="auto"/>
          <w:sz w:val="16"/>
          <w:lang w:eastAsia="es-MX"/>
        </w:rPr>
        <w:t>.</w:t>
      </w:r>
      <w:r>
        <w:rPr>
          <w:color w:val="auto"/>
          <w:sz w:val="16"/>
          <w:lang w:eastAsia="es-MX"/>
        </w:rPr>
        <w:t xml:space="preserve"> </w:t>
      </w:r>
    </w:p>
    <w:p w14:paraId="4F56C989" w14:textId="77777777" w:rsidR="00045EDC" w:rsidRPr="00BF15FB" w:rsidRDefault="00045EDC" w:rsidP="00045EDC">
      <w:pPr>
        <w:pStyle w:val="Default"/>
        <w:jc w:val="both"/>
        <w:rPr>
          <w:color w:val="auto"/>
          <w:sz w:val="16"/>
          <w:lang w:eastAsia="es-MX"/>
        </w:rPr>
      </w:pPr>
      <w:r w:rsidRPr="00BF15FB">
        <w:rPr>
          <w:color w:val="auto"/>
          <w:sz w:val="16"/>
          <w:lang w:eastAsia="es-MX"/>
        </w:rPr>
        <w:t xml:space="preserve">Fuente: </w:t>
      </w:r>
      <w:r w:rsidRPr="00BF15FB">
        <w:rPr>
          <w:b/>
          <w:color w:val="auto"/>
          <w:sz w:val="16"/>
          <w:lang w:eastAsia="es-MX"/>
        </w:rPr>
        <w:t>INEGI</w:t>
      </w:r>
      <w:r w:rsidR="00B164D0">
        <w:rPr>
          <w:b/>
          <w:color w:val="auto"/>
          <w:sz w:val="16"/>
          <w:lang w:eastAsia="es-MX"/>
        </w:rPr>
        <w:t>.</w:t>
      </w:r>
    </w:p>
    <w:p w14:paraId="4F7E7539" w14:textId="77777777" w:rsidR="008C0D4F" w:rsidRDefault="008C0D4F" w:rsidP="002E3518">
      <w:pPr>
        <w:pStyle w:val="Default"/>
        <w:jc w:val="both"/>
        <w:rPr>
          <w:color w:val="auto"/>
          <w:sz w:val="22"/>
          <w:lang w:eastAsia="es-MX"/>
        </w:rPr>
      </w:pPr>
    </w:p>
    <w:p w14:paraId="4163DE21" w14:textId="77777777" w:rsidR="00351F4E" w:rsidRDefault="00350BEA" w:rsidP="009F1076">
      <w:pPr>
        <w:pStyle w:val="Default"/>
        <w:jc w:val="both"/>
        <w:rPr>
          <w:color w:val="auto"/>
          <w:sz w:val="22"/>
          <w:lang w:eastAsia="es-MX"/>
        </w:rPr>
      </w:pPr>
      <w:r>
        <w:rPr>
          <w:color w:val="auto"/>
          <w:sz w:val="22"/>
          <w:lang w:eastAsia="es-MX"/>
        </w:rPr>
        <w:t>L</w:t>
      </w:r>
      <w:r w:rsidR="002E3518" w:rsidRPr="00EA35D5">
        <w:rPr>
          <w:color w:val="auto"/>
          <w:sz w:val="22"/>
          <w:lang w:eastAsia="es-MX"/>
        </w:rPr>
        <w:t xml:space="preserve">a maquinaria y el equipo </w:t>
      </w:r>
      <w:r w:rsidR="002E3518">
        <w:rPr>
          <w:color w:val="auto"/>
          <w:sz w:val="22"/>
          <w:lang w:eastAsia="es-MX"/>
        </w:rPr>
        <w:t>para la construcción</w:t>
      </w:r>
      <w:r w:rsidR="002E3518" w:rsidRPr="00EA35D5">
        <w:rPr>
          <w:color w:val="auto"/>
          <w:sz w:val="22"/>
          <w:lang w:eastAsia="es-MX"/>
        </w:rPr>
        <w:t xml:space="preserve"> representa el activo </w:t>
      </w:r>
      <w:r w:rsidR="003268AA">
        <w:rPr>
          <w:color w:val="auto"/>
          <w:sz w:val="22"/>
          <w:lang w:eastAsia="es-MX"/>
        </w:rPr>
        <w:t>más importante</w:t>
      </w:r>
      <w:r w:rsidR="00B164D0">
        <w:rPr>
          <w:color w:val="auto"/>
          <w:sz w:val="22"/>
          <w:lang w:eastAsia="es-MX"/>
        </w:rPr>
        <w:t xml:space="preserve"> </w:t>
      </w:r>
      <w:r>
        <w:rPr>
          <w:color w:val="auto"/>
          <w:sz w:val="22"/>
          <w:lang w:eastAsia="es-MX"/>
        </w:rPr>
        <w:t>de las empresas constructoras</w:t>
      </w:r>
      <w:r w:rsidRPr="00EA35D5">
        <w:rPr>
          <w:color w:val="auto"/>
          <w:sz w:val="22"/>
          <w:lang w:eastAsia="es-MX"/>
        </w:rPr>
        <w:t xml:space="preserve"> </w:t>
      </w:r>
      <w:r w:rsidR="00B164D0">
        <w:rPr>
          <w:color w:val="auto"/>
          <w:sz w:val="22"/>
          <w:lang w:eastAsia="es-MX"/>
        </w:rPr>
        <w:t>en los años 2019 y 2020</w:t>
      </w:r>
      <w:r w:rsidR="003268AA">
        <w:rPr>
          <w:color w:val="auto"/>
          <w:sz w:val="22"/>
          <w:lang w:eastAsia="es-MX"/>
        </w:rPr>
        <w:t>, su participación supera más de la mitad</w:t>
      </w:r>
      <w:r w:rsidR="002E3518">
        <w:rPr>
          <w:color w:val="auto"/>
          <w:sz w:val="22"/>
          <w:lang w:eastAsia="es-MX"/>
        </w:rPr>
        <w:t xml:space="preserve"> </w:t>
      </w:r>
      <w:r w:rsidR="003268AA">
        <w:rPr>
          <w:color w:val="auto"/>
          <w:sz w:val="22"/>
          <w:lang w:eastAsia="es-MX"/>
        </w:rPr>
        <w:t>del total de los activos fijos en ambos periodos.</w:t>
      </w:r>
    </w:p>
    <w:p w14:paraId="2F4D6A56" w14:textId="77777777" w:rsidR="009F1076" w:rsidRDefault="009F1076" w:rsidP="009F1076">
      <w:pPr>
        <w:pStyle w:val="Default"/>
        <w:jc w:val="both"/>
        <w:rPr>
          <w:color w:val="auto"/>
          <w:sz w:val="22"/>
          <w:lang w:eastAsia="es-MX"/>
        </w:rPr>
      </w:pPr>
    </w:p>
    <w:p w14:paraId="47F5309F" w14:textId="77777777" w:rsidR="009F1076" w:rsidRDefault="009F1076" w:rsidP="009F1076">
      <w:pPr>
        <w:pStyle w:val="Default"/>
        <w:jc w:val="both"/>
        <w:rPr>
          <w:color w:val="auto"/>
          <w:sz w:val="22"/>
          <w:lang w:eastAsia="es-MX"/>
        </w:rPr>
      </w:pPr>
    </w:p>
    <w:p w14:paraId="24571343" w14:textId="77777777" w:rsidR="009F1076" w:rsidRDefault="009F1076" w:rsidP="009F1076">
      <w:pPr>
        <w:pStyle w:val="Default"/>
        <w:jc w:val="both"/>
        <w:rPr>
          <w:color w:val="auto"/>
          <w:sz w:val="22"/>
          <w:lang w:eastAsia="es-MX"/>
        </w:rPr>
      </w:pPr>
    </w:p>
    <w:p w14:paraId="3B8AC077" w14:textId="77777777" w:rsidR="009F1076" w:rsidRDefault="009F1076" w:rsidP="009F1076">
      <w:pPr>
        <w:pStyle w:val="Default"/>
        <w:jc w:val="both"/>
        <w:rPr>
          <w:color w:val="auto"/>
          <w:sz w:val="22"/>
          <w:lang w:eastAsia="es-MX"/>
        </w:rPr>
      </w:pPr>
    </w:p>
    <w:p w14:paraId="550667E0" w14:textId="77777777" w:rsidR="009F1076" w:rsidRDefault="009F1076" w:rsidP="009F1076">
      <w:pPr>
        <w:pStyle w:val="Default"/>
        <w:jc w:val="both"/>
        <w:rPr>
          <w:color w:val="auto"/>
          <w:sz w:val="22"/>
          <w:lang w:eastAsia="es-MX"/>
        </w:rPr>
      </w:pPr>
    </w:p>
    <w:p w14:paraId="71CBE3A0" w14:textId="77777777" w:rsidR="009F1076" w:rsidRDefault="009F1076" w:rsidP="009F1076">
      <w:pPr>
        <w:pStyle w:val="Default"/>
        <w:jc w:val="both"/>
        <w:rPr>
          <w:color w:val="auto"/>
          <w:sz w:val="22"/>
          <w:lang w:eastAsia="es-MX"/>
        </w:rPr>
      </w:pPr>
    </w:p>
    <w:p w14:paraId="35E85681" w14:textId="77777777" w:rsidR="009F1076" w:rsidRDefault="009F1076" w:rsidP="009F1076">
      <w:pPr>
        <w:pStyle w:val="Default"/>
        <w:jc w:val="both"/>
        <w:rPr>
          <w:color w:val="auto"/>
          <w:sz w:val="22"/>
          <w:lang w:eastAsia="es-MX"/>
        </w:rPr>
      </w:pPr>
    </w:p>
    <w:p w14:paraId="2D4B6390" w14:textId="77777777" w:rsidR="009F1076" w:rsidRDefault="009F1076" w:rsidP="009F1076">
      <w:pPr>
        <w:pStyle w:val="Default"/>
        <w:jc w:val="both"/>
        <w:rPr>
          <w:color w:val="auto"/>
          <w:sz w:val="22"/>
          <w:lang w:eastAsia="es-MX"/>
        </w:rPr>
      </w:pPr>
    </w:p>
    <w:p w14:paraId="403756D7" w14:textId="77777777" w:rsidR="009F1076" w:rsidRDefault="009F1076" w:rsidP="009F1076">
      <w:pPr>
        <w:pStyle w:val="Default"/>
        <w:jc w:val="both"/>
        <w:rPr>
          <w:color w:val="auto"/>
          <w:sz w:val="22"/>
          <w:lang w:eastAsia="es-MX"/>
        </w:rPr>
      </w:pPr>
    </w:p>
    <w:p w14:paraId="260B538B" w14:textId="77777777" w:rsidR="009F1076" w:rsidRDefault="009F1076" w:rsidP="009F1076">
      <w:pPr>
        <w:pStyle w:val="Default"/>
        <w:jc w:val="both"/>
        <w:rPr>
          <w:color w:val="auto"/>
          <w:sz w:val="22"/>
          <w:lang w:eastAsia="es-MX"/>
        </w:rPr>
      </w:pPr>
    </w:p>
    <w:p w14:paraId="1B90C261" w14:textId="77777777" w:rsidR="009F1076" w:rsidRDefault="009F1076" w:rsidP="009F1076">
      <w:pPr>
        <w:pStyle w:val="Default"/>
        <w:jc w:val="both"/>
        <w:rPr>
          <w:color w:val="auto"/>
          <w:sz w:val="22"/>
          <w:lang w:eastAsia="es-MX"/>
        </w:rPr>
      </w:pPr>
    </w:p>
    <w:p w14:paraId="1B7DD6A3" w14:textId="77777777" w:rsidR="009F1076" w:rsidRDefault="009F1076" w:rsidP="009F1076">
      <w:pPr>
        <w:pStyle w:val="Default"/>
        <w:jc w:val="both"/>
        <w:rPr>
          <w:color w:val="auto"/>
          <w:sz w:val="22"/>
          <w:lang w:eastAsia="es-MX"/>
        </w:rPr>
      </w:pPr>
    </w:p>
    <w:p w14:paraId="459FE50F" w14:textId="77777777" w:rsidR="009F1076" w:rsidRDefault="009F1076" w:rsidP="009F1076">
      <w:pPr>
        <w:pStyle w:val="Default"/>
        <w:jc w:val="both"/>
        <w:rPr>
          <w:color w:val="auto"/>
          <w:sz w:val="22"/>
          <w:lang w:eastAsia="es-MX"/>
        </w:rPr>
      </w:pPr>
    </w:p>
    <w:p w14:paraId="222352FB" w14:textId="77777777" w:rsidR="009F1076" w:rsidRDefault="009F1076" w:rsidP="009F1076">
      <w:pPr>
        <w:pStyle w:val="Default"/>
        <w:jc w:val="both"/>
        <w:rPr>
          <w:color w:val="auto"/>
          <w:sz w:val="22"/>
          <w:lang w:eastAsia="es-MX"/>
        </w:rPr>
      </w:pPr>
    </w:p>
    <w:p w14:paraId="40333B8E" w14:textId="77777777" w:rsidR="009F1076" w:rsidRDefault="009F1076" w:rsidP="009F1076">
      <w:pPr>
        <w:pStyle w:val="Default"/>
        <w:jc w:val="both"/>
        <w:rPr>
          <w:color w:val="auto"/>
          <w:sz w:val="22"/>
          <w:lang w:eastAsia="es-MX"/>
        </w:rPr>
      </w:pPr>
    </w:p>
    <w:p w14:paraId="08807E4C" w14:textId="77777777" w:rsidR="009F1076" w:rsidRPr="009F1076" w:rsidRDefault="009F1076" w:rsidP="009F1076">
      <w:pPr>
        <w:pStyle w:val="Default"/>
        <w:jc w:val="both"/>
        <w:rPr>
          <w:color w:val="auto"/>
          <w:sz w:val="22"/>
          <w:lang w:eastAsia="es-MX"/>
        </w:rPr>
      </w:pPr>
    </w:p>
    <w:p w14:paraId="4479D691" w14:textId="77777777" w:rsidR="00351F4E" w:rsidRDefault="00351F4E" w:rsidP="00A47BA9">
      <w:pPr>
        <w:pStyle w:val="Default"/>
        <w:jc w:val="center"/>
        <w:rPr>
          <w:b/>
          <w:color w:val="auto"/>
          <w:sz w:val="22"/>
          <w:lang w:eastAsia="es-MX"/>
        </w:rPr>
      </w:pPr>
    </w:p>
    <w:p w14:paraId="112951EB" w14:textId="77777777" w:rsidR="00F32AD5" w:rsidRDefault="00F32AD5" w:rsidP="00A47BA9">
      <w:pPr>
        <w:pStyle w:val="Default"/>
        <w:jc w:val="center"/>
        <w:rPr>
          <w:b/>
          <w:color w:val="auto"/>
          <w:sz w:val="22"/>
          <w:lang w:eastAsia="es-MX"/>
        </w:rPr>
      </w:pPr>
      <w:r>
        <w:rPr>
          <w:b/>
          <w:color w:val="auto"/>
          <w:sz w:val="22"/>
          <w:lang w:eastAsia="es-MX"/>
        </w:rPr>
        <w:t>G</w:t>
      </w:r>
      <w:r w:rsidRPr="005110B8">
        <w:rPr>
          <w:b/>
          <w:color w:val="auto"/>
          <w:sz w:val="22"/>
          <w:lang w:eastAsia="es-MX"/>
        </w:rPr>
        <w:t xml:space="preserve">ráfica </w:t>
      </w:r>
      <w:r w:rsidR="00CD24FC">
        <w:rPr>
          <w:b/>
          <w:color w:val="auto"/>
          <w:sz w:val="22"/>
          <w:lang w:eastAsia="es-MX"/>
        </w:rPr>
        <w:t>5</w:t>
      </w:r>
    </w:p>
    <w:p w14:paraId="793864A8" w14:textId="77777777" w:rsidR="003423D6" w:rsidRDefault="00FF5CF1" w:rsidP="00A47BA9">
      <w:pPr>
        <w:pStyle w:val="Default"/>
        <w:jc w:val="center"/>
        <w:rPr>
          <w:b/>
          <w:color w:val="auto"/>
          <w:sz w:val="22"/>
          <w:lang w:eastAsia="es-MX"/>
        </w:rPr>
      </w:pPr>
      <w:r>
        <w:rPr>
          <w:b/>
          <w:color w:val="auto"/>
          <w:sz w:val="22"/>
          <w:lang w:eastAsia="es-MX"/>
        </w:rPr>
        <w:t>Participación</w:t>
      </w:r>
      <w:r w:rsidR="003423D6">
        <w:rPr>
          <w:b/>
          <w:color w:val="auto"/>
          <w:sz w:val="22"/>
          <w:lang w:eastAsia="es-MX"/>
        </w:rPr>
        <w:t xml:space="preserve"> </w:t>
      </w:r>
      <w:r w:rsidR="0040250E">
        <w:rPr>
          <w:b/>
          <w:color w:val="auto"/>
          <w:sz w:val="22"/>
          <w:lang w:eastAsia="es-MX"/>
        </w:rPr>
        <w:t xml:space="preserve">de </w:t>
      </w:r>
      <w:r w:rsidR="00F32AD5" w:rsidRPr="005110B8">
        <w:rPr>
          <w:b/>
          <w:color w:val="auto"/>
          <w:sz w:val="22"/>
          <w:lang w:eastAsia="es-MX"/>
        </w:rPr>
        <w:t>los activos fijos totales</w:t>
      </w:r>
      <w:r w:rsidR="003423D6">
        <w:rPr>
          <w:b/>
          <w:color w:val="auto"/>
          <w:sz w:val="22"/>
          <w:lang w:eastAsia="es-MX"/>
        </w:rPr>
        <w:t xml:space="preserve"> de las empresas constructoras</w:t>
      </w:r>
      <w:r w:rsidR="00F32AD5" w:rsidRPr="005110B8">
        <w:rPr>
          <w:b/>
          <w:color w:val="auto"/>
          <w:sz w:val="22"/>
          <w:lang w:eastAsia="es-MX"/>
        </w:rPr>
        <w:t xml:space="preserve"> </w:t>
      </w:r>
    </w:p>
    <w:p w14:paraId="037A7B65" w14:textId="77777777" w:rsidR="0040250E" w:rsidRDefault="003423D6" w:rsidP="00A47BA9">
      <w:pPr>
        <w:pStyle w:val="Default"/>
        <w:jc w:val="center"/>
        <w:rPr>
          <w:b/>
          <w:color w:val="auto"/>
          <w:sz w:val="22"/>
          <w:lang w:eastAsia="es-MX"/>
        </w:rPr>
      </w:pPr>
      <w:r>
        <w:rPr>
          <w:b/>
          <w:color w:val="auto"/>
          <w:sz w:val="22"/>
          <w:lang w:eastAsia="es-MX"/>
        </w:rPr>
        <w:t>por tipo de activo</w:t>
      </w:r>
    </w:p>
    <w:p w14:paraId="0CDC76A2" w14:textId="77777777" w:rsidR="0040250E" w:rsidRDefault="003423D6" w:rsidP="00A47BA9">
      <w:pPr>
        <w:pStyle w:val="Default"/>
        <w:jc w:val="center"/>
        <w:rPr>
          <w:noProof/>
          <w:lang w:eastAsia="es-MX"/>
        </w:rPr>
      </w:pPr>
      <w:r>
        <w:rPr>
          <w:b/>
          <w:color w:val="auto"/>
          <w:sz w:val="22"/>
          <w:lang w:eastAsia="es-MX"/>
        </w:rPr>
        <w:t xml:space="preserve"> </w:t>
      </w:r>
      <w:r w:rsidR="0040250E">
        <w:rPr>
          <w:b/>
          <w:color w:val="auto"/>
          <w:sz w:val="22"/>
          <w:lang w:eastAsia="es-MX"/>
        </w:rPr>
        <w:t>(Porcentaje)</w:t>
      </w:r>
    </w:p>
    <w:p w14:paraId="00BFED63" w14:textId="77777777" w:rsidR="00DF5758" w:rsidRDefault="00A4586E" w:rsidP="00F32AD5">
      <w:pPr>
        <w:pStyle w:val="Default"/>
        <w:jc w:val="both"/>
        <w:rPr>
          <w:color w:val="auto"/>
          <w:sz w:val="22"/>
          <w:lang w:eastAsia="es-MX"/>
        </w:rPr>
      </w:pPr>
      <w:r>
        <w:rPr>
          <w:noProof/>
          <w:lang w:eastAsia="es-MX"/>
        </w:rPr>
        <w:drawing>
          <wp:inline distT="0" distB="0" distL="0" distR="0" wp14:anchorId="0D8D4E57" wp14:editId="010325AB">
            <wp:extent cx="5581015" cy="2197290"/>
            <wp:effectExtent l="0" t="0" r="635" b="0"/>
            <wp:docPr id="4" name="Gráfico 4">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E029BD8" w14:textId="77777777" w:rsidR="00F32AD5" w:rsidRDefault="00B14B1C" w:rsidP="00037E53">
      <w:pPr>
        <w:pStyle w:val="Default"/>
        <w:ind w:left="142"/>
        <w:jc w:val="both"/>
        <w:rPr>
          <w:color w:val="auto"/>
          <w:sz w:val="16"/>
          <w:lang w:eastAsia="es-MX"/>
        </w:rPr>
      </w:pPr>
      <w:r>
        <w:rPr>
          <w:color w:val="auto"/>
          <w:sz w:val="16"/>
          <w:vertAlign w:val="superscript"/>
          <w:lang w:eastAsia="es-MX"/>
        </w:rPr>
        <w:t>p</w:t>
      </w:r>
      <w:r w:rsidR="00F32AD5">
        <w:rPr>
          <w:color w:val="auto"/>
          <w:sz w:val="16"/>
          <w:vertAlign w:val="superscript"/>
          <w:lang w:eastAsia="es-MX"/>
        </w:rPr>
        <w:t>/</w:t>
      </w:r>
      <w:r w:rsidR="00AD1DD3">
        <w:rPr>
          <w:color w:val="auto"/>
          <w:sz w:val="16"/>
          <w:vertAlign w:val="superscript"/>
          <w:lang w:eastAsia="es-MX"/>
        </w:rPr>
        <w:t xml:space="preserve"> </w:t>
      </w:r>
      <w:r w:rsidR="00F32AD5">
        <w:rPr>
          <w:color w:val="auto"/>
          <w:sz w:val="16"/>
          <w:lang w:eastAsia="es-MX"/>
        </w:rPr>
        <w:t>Cifras preliminares</w:t>
      </w:r>
      <w:r>
        <w:rPr>
          <w:color w:val="auto"/>
          <w:sz w:val="16"/>
          <w:lang w:eastAsia="es-MX"/>
        </w:rPr>
        <w:t>.</w:t>
      </w:r>
      <w:r w:rsidR="00F32AD5">
        <w:rPr>
          <w:color w:val="auto"/>
          <w:sz w:val="16"/>
          <w:lang w:eastAsia="es-MX"/>
        </w:rPr>
        <w:t xml:space="preserve"> </w:t>
      </w:r>
    </w:p>
    <w:p w14:paraId="2521A61B" w14:textId="77777777" w:rsidR="00F32AD5" w:rsidRDefault="00F32AD5" w:rsidP="00037E53">
      <w:pPr>
        <w:pStyle w:val="Default"/>
        <w:ind w:left="142"/>
        <w:jc w:val="both"/>
        <w:rPr>
          <w:b/>
          <w:color w:val="auto"/>
          <w:sz w:val="16"/>
          <w:lang w:eastAsia="es-MX"/>
        </w:rPr>
      </w:pPr>
      <w:r w:rsidRPr="00BF15FB">
        <w:rPr>
          <w:color w:val="auto"/>
          <w:sz w:val="16"/>
          <w:lang w:eastAsia="es-MX"/>
        </w:rPr>
        <w:t xml:space="preserve">Fuente: </w:t>
      </w:r>
      <w:r w:rsidRPr="00BF15FB">
        <w:rPr>
          <w:b/>
          <w:color w:val="auto"/>
          <w:sz w:val="16"/>
          <w:lang w:eastAsia="es-MX"/>
        </w:rPr>
        <w:t>INEGI</w:t>
      </w:r>
      <w:r w:rsidR="00B164D0">
        <w:rPr>
          <w:b/>
          <w:color w:val="auto"/>
          <w:sz w:val="16"/>
          <w:lang w:eastAsia="es-MX"/>
        </w:rPr>
        <w:t>.</w:t>
      </w:r>
    </w:p>
    <w:p w14:paraId="16EE29AF" w14:textId="77777777" w:rsidR="00534C43" w:rsidRDefault="00534C43" w:rsidP="00F32AD5">
      <w:pPr>
        <w:pStyle w:val="Default"/>
        <w:jc w:val="both"/>
        <w:rPr>
          <w:b/>
          <w:color w:val="auto"/>
          <w:sz w:val="16"/>
          <w:lang w:eastAsia="es-MX"/>
        </w:rPr>
      </w:pPr>
    </w:p>
    <w:p w14:paraId="49C1EA2D" w14:textId="77777777" w:rsidR="00350BEA" w:rsidRDefault="00350BEA" w:rsidP="00350BEA">
      <w:pPr>
        <w:pStyle w:val="Default"/>
        <w:jc w:val="both"/>
        <w:rPr>
          <w:color w:val="auto"/>
          <w:sz w:val="22"/>
          <w:szCs w:val="22"/>
          <w:lang w:eastAsia="es-MX"/>
        </w:rPr>
      </w:pPr>
      <w:r>
        <w:rPr>
          <w:color w:val="auto"/>
          <w:sz w:val="22"/>
          <w:szCs w:val="22"/>
          <w:lang w:eastAsia="es-MX"/>
        </w:rPr>
        <w:t xml:space="preserve">En cuanto a variables de carácter cualitativo que provee la EAEC, se dispone de información referente al nivel de instrucción del personal ocupado. </w:t>
      </w:r>
    </w:p>
    <w:p w14:paraId="2F41A4C1" w14:textId="77777777" w:rsidR="00E508D2" w:rsidRDefault="00E508D2" w:rsidP="00350BEA">
      <w:pPr>
        <w:pStyle w:val="Default"/>
        <w:jc w:val="both"/>
        <w:rPr>
          <w:color w:val="auto"/>
          <w:sz w:val="22"/>
          <w:szCs w:val="22"/>
          <w:lang w:eastAsia="es-MX"/>
        </w:rPr>
      </w:pPr>
    </w:p>
    <w:p w14:paraId="045A42E1" w14:textId="77777777" w:rsidR="00E508D2" w:rsidRDefault="00E508D2" w:rsidP="00E508D2">
      <w:pPr>
        <w:pStyle w:val="Default"/>
        <w:jc w:val="both"/>
        <w:rPr>
          <w:color w:val="auto"/>
          <w:sz w:val="22"/>
          <w:lang w:eastAsia="es-MX"/>
        </w:rPr>
      </w:pPr>
      <w:r w:rsidRPr="008379A9">
        <w:rPr>
          <w:color w:val="auto"/>
          <w:sz w:val="22"/>
          <w:lang w:eastAsia="es-MX"/>
        </w:rPr>
        <w:t xml:space="preserve">Por nivel de estudios, </w:t>
      </w:r>
      <w:r>
        <w:rPr>
          <w:color w:val="auto"/>
          <w:sz w:val="22"/>
          <w:lang w:eastAsia="es-MX"/>
        </w:rPr>
        <w:t>durante 2020 en comparación con el año anterior, se incrementa la participación del personal ocupado con educación superior en ambos sexos: hombres 4.0% y mujeres 7.1%; en contraste, se registra una disminución de la contribución del personal con educación básica de 5.6% y 4.6 por ciento.</w:t>
      </w:r>
    </w:p>
    <w:p w14:paraId="15C45F26" w14:textId="77777777" w:rsidR="00E508D2" w:rsidRPr="008379A9" w:rsidRDefault="00E508D2" w:rsidP="00E508D2">
      <w:pPr>
        <w:pStyle w:val="Default"/>
        <w:rPr>
          <w:color w:val="auto"/>
          <w:sz w:val="22"/>
          <w:lang w:eastAsia="es-MX"/>
        </w:rPr>
      </w:pPr>
    </w:p>
    <w:p w14:paraId="2982EB21" w14:textId="77777777" w:rsidR="00E508D2" w:rsidRDefault="00E508D2" w:rsidP="00E508D2">
      <w:pPr>
        <w:pStyle w:val="Default"/>
        <w:jc w:val="center"/>
        <w:rPr>
          <w:b/>
          <w:color w:val="auto"/>
          <w:sz w:val="22"/>
          <w:lang w:eastAsia="es-MX"/>
        </w:rPr>
      </w:pPr>
      <w:r w:rsidRPr="005110B8">
        <w:rPr>
          <w:b/>
          <w:color w:val="auto"/>
          <w:sz w:val="22"/>
          <w:lang w:eastAsia="es-MX"/>
        </w:rPr>
        <w:t xml:space="preserve">Cuadro </w:t>
      </w:r>
      <w:r>
        <w:rPr>
          <w:b/>
          <w:color w:val="auto"/>
          <w:sz w:val="22"/>
          <w:lang w:eastAsia="es-MX"/>
        </w:rPr>
        <w:t>7</w:t>
      </w:r>
    </w:p>
    <w:p w14:paraId="1E831EEB" w14:textId="77777777" w:rsidR="00E508D2" w:rsidRDefault="00E508D2" w:rsidP="00E508D2">
      <w:pPr>
        <w:pStyle w:val="Default"/>
        <w:jc w:val="center"/>
        <w:rPr>
          <w:b/>
          <w:color w:val="auto"/>
          <w:sz w:val="22"/>
          <w:lang w:eastAsia="es-MX"/>
        </w:rPr>
      </w:pPr>
      <w:r>
        <w:rPr>
          <w:b/>
          <w:color w:val="auto"/>
          <w:sz w:val="22"/>
          <w:lang w:eastAsia="es-MX"/>
        </w:rPr>
        <w:t>Participación</w:t>
      </w:r>
      <w:r w:rsidRPr="000161B1">
        <w:rPr>
          <w:b/>
          <w:color w:val="auto"/>
          <w:sz w:val="22"/>
          <w:lang w:eastAsia="es-MX"/>
        </w:rPr>
        <w:t xml:space="preserve"> </w:t>
      </w:r>
      <w:r>
        <w:rPr>
          <w:b/>
          <w:color w:val="auto"/>
          <w:sz w:val="22"/>
          <w:lang w:eastAsia="es-MX"/>
        </w:rPr>
        <w:t>del personal ocupado dependiente de la razón social de las empresas constructoras por sexo y nivel de estudios</w:t>
      </w:r>
    </w:p>
    <w:p w14:paraId="2745CD41" w14:textId="77777777" w:rsidR="00E508D2" w:rsidRPr="00981E69" w:rsidRDefault="00E508D2" w:rsidP="00E508D2">
      <w:pPr>
        <w:pStyle w:val="Default"/>
        <w:jc w:val="center"/>
        <w:rPr>
          <w:b/>
          <w:bCs/>
        </w:rPr>
      </w:pPr>
      <w:r>
        <w:rPr>
          <w:b/>
          <w:color w:val="auto"/>
          <w:sz w:val="22"/>
          <w:lang w:eastAsia="es-MX"/>
        </w:rPr>
        <w:t>(Porcentaje)</w:t>
      </w:r>
    </w:p>
    <w:tbl>
      <w:tblPr>
        <w:tblW w:w="8909" w:type="dxa"/>
        <w:tblCellMar>
          <w:left w:w="70" w:type="dxa"/>
          <w:right w:w="70" w:type="dxa"/>
        </w:tblCellMar>
        <w:tblLook w:val="04A0" w:firstRow="1" w:lastRow="0" w:firstColumn="1" w:lastColumn="0" w:noHBand="0" w:noVBand="1"/>
      </w:tblPr>
      <w:tblGrid>
        <w:gridCol w:w="3393"/>
        <w:gridCol w:w="1021"/>
        <w:gridCol w:w="869"/>
        <w:gridCol w:w="1039"/>
        <w:gridCol w:w="829"/>
        <w:gridCol w:w="929"/>
        <w:gridCol w:w="829"/>
      </w:tblGrid>
      <w:tr w:rsidR="00E508D2" w:rsidRPr="0098390A" w14:paraId="77AF1E63" w14:textId="77777777" w:rsidTr="009C017E">
        <w:trPr>
          <w:trHeight w:val="377"/>
        </w:trPr>
        <w:tc>
          <w:tcPr>
            <w:tcW w:w="3393" w:type="dxa"/>
            <w:vMerge w:val="restart"/>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hideMark/>
          </w:tcPr>
          <w:p w14:paraId="3BDFECB6" w14:textId="77777777" w:rsidR="00E508D2" w:rsidRPr="0098390A" w:rsidRDefault="00E508D2" w:rsidP="009C017E">
            <w:pPr>
              <w:spacing w:after="0" w:line="240" w:lineRule="auto"/>
              <w:jc w:val="center"/>
              <w:rPr>
                <w:rFonts w:ascii="Arial" w:eastAsia="Times New Roman" w:hAnsi="Arial" w:cs="Arial"/>
                <w:b/>
                <w:bCs/>
                <w:sz w:val="20"/>
                <w:szCs w:val="20"/>
                <w:lang w:eastAsia="es-MX"/>
              </w:rPr>
            </w:pPr>
            <w:r w:rsidRPr="0098390A">
              <w:rPr>
                <w:rFonts w:ascii="Arial" w:eastAsia="Times New Roman" w:hAnsi="Arial" w:cs="Arial"/>
                <w:b/>
                <w:bCs/>
                <w:sz w:val="20"/>
                <w:szCs w:val="20"/>
                <w:lang w:eastAsia="es-MX"/>
              </w:rPr>
              <w:t>Nivel de estudios</w:t>
            </w:r>
          </w:p>
        </w:tc>
        <w:tc>
          <w:tcPr>
            <w:tcW w:w="1890" w:type="dxa"/>
            <w:gridSpan w:val="2"/>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1888E181" w14:textId="77777777" w:rsidR="00E508D2" w:rsidRPr="0098390A" w:rsidRDefault="00E508D2" w:rsidP="009C017E">
            <w:pPr>
              <w:spacing w:after="0" w:line="240" w:lineRule="auto"/>
              <w:jc w:val="center"/>
              <w:rPr>
                <w:rFonts w:ascii="Arial" w:eastAsia="Times New Roman" w:hAnsi="Arial" w:cs="Arial"/>
                <w:b/>
                <w:bCs/>
                <w:sz w:val="20"/>
                <w:szCs w:val="20"/>
                <w:lang w:eastAsia="es-MX"/>
              </w:rPr>
            </w:pPr>
            <w:r w:rsidRPr="0098390A">
              <w:rPr>
                <w:rFonts w:ascii="Arial" w:eastAsia="Times New Roman" w:hAnsi="Arial" w:cs="Arial"/>
                <w:b/>
                <w:bCs/>
                <w:sz w:val="20"/>
                <w:szCs w:val="20"/>
                <w:lang w:eastAsia="es-MX"/>
              </w:rPr>
              <w:t>2019</w:t>
            </w:r>
          </w:p>
        </w:tc>
        <w:tc>
          <w:tcPr>
            <w:tcW w:w="1868" w:type="dxa"/>
            <w:gridSpan w:val="2"/>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563FCE1B" w14:textId="77777777" w:rsidR="00E508D2" w:rsidRPr="0098390A" w:rsidRDefault="00E508D2" w:rsidP="009C017E">
            <w:pPr>
              <w:spacing w:after="0" w:line="240" w:lineRule="auto"/>
              <w:jc w:val="center"/>
              <w:rPr>
                <w:rFonts w:ascii="Arial" w:eastAsia="Times New Roman" w:hAnsi="Arial" w:cs="Arial"/>
                <w:b/>
                <w:bCs/>
                <w:sz w:val="20"/>
                <w:szCs w:val="20"/>
                <w:lang w:eastAsia="es-MX"/>
              </w:rPr>
            </w:pPr>
            <w:r w:rsidRPr="00903A81">
              <w:rPr>
                <w:rFonts w:ascii="Arial" w:eastAsia="Times New Roman" w:hAnsi="Arial" w:cs="Arial"/>
                <w:b/>
                <w:bCs/>
                <w:sz w:val="20"/>
                <w:szCs w:val="20"/>
                <w:lang w:eastAsia="es-MX"/>
              </w:rPr>
              <w:t>2020</w:t>
            </w:r>
            <w:r>
              <w:rPr>
                <w:rFonts w:ascii="Arial" w:eastAsia="Times New Roman" w:hAnsi="Arial" w:cs="Arial"/>
                <w:b/>
                <w:bCs/>
                <w:sz w:val="20"/>
                <w:szCs w:val="20"/>
                <w:vertAlign w:val="superscript"/>
                <w:lang w:eastAsia="es-MX"/>
              </w:rPr>
              <w:t>p</w:t>
            </w:r>
            <w:r w:rsidRPr="00903A81">
              <w:rPr>
                <w:rFonts w:ascii="Arial" w:eastAsia="Times New Roman" w:hAnsi="Arial" w:cs="Arial"/>
                <w:b/>
                <w:bCs/>
                <w:sz w:val="20"/>
                <w:szCs w:val="20"/>
                <w:vertAlign w:val="superscript"/>
                <w:lang w:eastAsia="es-MX"/>
              </w:rPr>
              <w:t>/</w:t>
            </w:r>
          </w:p>
        </w:tc>
        <w:tc>
          <w:tcPr>
            <w:tcW w:w="1758" w:type="dxa"/>
            <w:gridSpan w:val="2"/>
            <w:tcBorders>
              <w:top w:val="single" w:sz="4" w:space="0" w:color="auto"/>
              <w:left w:val="nil"/>
              <w:bottom w:val="single" w:sz="4" w:space="0" w:color="auto"/>
              <w:right w:val="single" w:sz="4" w:space="0" w:color="auto"/>
            </w:tcBorders>
            <w:shd w:val="clear" w:color="auto" w:fill="FFD966" w:themeFill="accent4" w:themeFillTint="99"/>
            <w:noWrap/>
            <w:vAlign w:val="center"/>
            <w:hideMark/>
          </w:tcPr>
          <w:p w14:paraId="68D2BD25" w14:textId="77777777" w:rsidR="00E508D2" w:rsidRPr="0098390A" w:rsidRDefault="00E508D2" w:rsidP="009C017E">
            <w:pPr>
              <w:spacing w:after="0" w:line="240" w:lineRule="auto"/>
              <w:jc w:val="center"/>
              <w:rPr>
                <w:rFonts w:ascii="Arial" w:eastAsia="Times New Roman" w:hAnsi="Arial" w:cs="Arial"/>
                <w:b/>
                <w:bCs/>
                <w:sz w:val="20"/>
                <w:szCs w:val="20"/>
                <w:lang w:eastAsia="es-MX"/>
              </w:rPr>
            </w:pPr>
            <w:r w:rsidRPr="0098390A">
              <w:rPr>
                <w:rFonts w:ascii="Arial" w:eastAsia="Times New Roman" w:hAnsi="Arial" w:cs="Arial"/>
                <w:b/>
                <w:bCs/>
                <w:sz w:val="20"/>
                <w:szCs w:val="20"/>
                <w:lang w:eastAsia="es-MX"/>
              </w:rPr>
              <w:t>Diferencia</w:t>
            </w:r>
          </w:p>
        </w:tc>
      </w:tr>
      <w:tr w:rsidR="00E508D2" w:rsidRPr="0098390A" w14:paraId="63DE122C" w14:textId="77777777" w:rsidTr="009C017E">
        <w:trPr>
          <w:trHeight w:val="377"/>
        </w:trPr>
        <w:tc>
          <w:tcPr>
            <w:tcW w:w="3393" w:type="dxa"/>
            <w:vMerge/>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142DB607" w14:textId="77777777" w:rsidR="00E508D2" w:rsidRPr="0098390A" w:rsidRDefault="00E508D2" w:rsidP="009C017E">
            <w:pPr>
              <w:spacing w:after="0" w:line="240" w:lineRule="auto"/>
              <w:rPr>
                <w:rFonts w:ascii="Arial" w:eastAsia="Times New Roman" w:hAnsi="Arial" w:cs="Arial"/>
                <w:b/>
                <w:bCs/>
                <w:sz w:val="20"/>
                <w:szCs w:val="20"/>
                <w:lang w:eastAsia="es-MX"/>
              </w:rPr>
            </w:pPr>
          </w:p>
        </w:tc>
        <w:tc>
          <w:tcPr>
            <w:tcW w:w="1021" w:type="dxa"/>
            <w:tcBorders>
              <w:top w:val="nil"/>
              <w:left w:val="nil"/>
              <w:bottom w:val="single" w:sz="4" w:space="0" w:color="auto"/>
              <w:right w:val="single" w:sz="4" w:space="0" w:color="auto"/>
            </w:tcBorders>
            <w:shd w:val="clear" w:color="auto" w:fill="FFD966" w:themeFill="accent4" w:themeFillTint="99"/>
            <w:noWrap/>
            <w:vAlign w:val="center"/>
            <w:hideMark/>
          </w:tcPr>
          <w:p w14:paraId="38ACD9F9" w14:textId="77777777" w:rsidR="00E508D2" w:rsidRPr="0098390A" w:rsidRDefault="00E508D2" w:rsidP="009C017E">
            <w:pPr>
              <w:spacing w:after="0" w:line="240" w:lineRule="auto"/>
              <w:jc w:val="center"/>
              <w:rPr>
                <w:rFonts w:ascii="Arial" w:eastAsia="Times New Roman" w:hAnsi="Arial" w:cs="Arial"/>
                <w:b/>
                <w:bCs/>
                <w:sz w:val="18"/>
                <w:szCs w:val="18"/>
                <w:lang w:eastAsia="es-MX"/>
              </w:rPr>
            </w:pPr>
            <w:r w:rsidRPr="0098390A">
              <w:rPr>
                <w:rFonts w:ascii="Arial" w:eastAsia="Times New Roman" w:hAnsi="Arial" w:cs="Arial"/>
                <w:b/>
                <w:bCs/>
                <w:sz w:val="18"/>
                <w:szCs w:val="18"/>
                <w:lang w:eastAsia="es-MX"/>
              </w:rPr>
              <w:t>Hombres</w:t>
            </w:r>
          </w:p>
        </w:tc>
        <w:tc>
          <w:tcPr>
            <w:tcW w:w="869" w:type="dxa"/>
            <w:tcBorders>
              <w:top w:val="nil"/>
              <w:left w:val="nil"/>
              <w:bottom w:val="single" w:sz="4" w:space="0" w:color="auto"/>
              <w:right w:val="single" w:sz="4" w:space="0" w:color="auto"/>
            </w:tcBorders>
            <w:shd w:val="clear" w:color="auto" w:fill="FFD966" w:themeFill="accent4" w:themeFillTint="99"/>
            <w:noWrap/>
            <w:vAlign w:val="center"/>
            <w:hideMark/>
          </w:tcPr>
          <w:p w14:paraId="5A32FE78" w14:textId="77777777" w:rsidR="00E508D2" w:rsidRPr="0098390A" w:rsidRDefault="00E508D2" w:rsidP="009C017E">
            <w:pPr>
              <w:spacing w:after="0" w:line="240" w:lineRule="auto"/>
              <w:jc w:val="center"/>
              <w:rPr>
                <w:rFonts w:ascii="Arial" w:eastAsia="Times New Roman" w:hAnsi="Arial" w:cs="Arial"/>
                <w:b/>
                <w:bCs/>
                <w:sz w:val="18"/>
                <w:szCs w:val="18"/>
                <w:lang w:eastAsia="es-MX"/>
              </w:rPr>
            </w:pPr>
            <w:r w:rsidRPr="0098390A">
              <w:rPr>
                <w:rFonts w:ascii="Arial" w:eastAsia="Times New Roman" w:hAnsi="Arial" w:cs="Arial"/>
                <w:b/>
                <w:bCs/>
                <w:sz w:val="18"/>
                <w:szCs w:val="18"/>
                <w:lang w:eastAsia="es-MX"/>
              </w:rPr>
              <w:t>Mujeres</w:t>
            </w:r>
          </w:p>
        </w:tc>
        <w:tc>
          <w:tcPr>
            <w:tcW w:w="1039" w:type="dxa"/>
            <w:tcBorders>
              <w:top w:val="nil"/>
              <w:left w:val="nil"/>
              <w:bottom w:val="single" w:sz="4" w:space="0" w:color="auto"/>
              <w:right w:val="single" w:sz="4" w:space="0" w:color="auto"/>
            </w:tcBorders>
            <w:shd w:val="clear" w:color="auto" w:fill="FFD966" w:themeFill="accent4" w:themeFillTint="99"/>
            <w:noWrap/>
            <w:vAlign w:val="center"/>
            <w:hideMark/>
          </w:tcPr>
          <w:p w14:paraId="715939B3" w14:textId="77777777" w:rsidR="00E508D2" w:rsidRPr="0098390A" w:rsidRDefault="00E508D2" w:rsidP="009C017E">
            <w:pPr>
              <w:spacing w:after="0" w:line="240" w:lineRule="auto"/>
              <w:jc w:val="center"/>
              <w:rPr>
                <w:rFonts w:ascii="Arial" w:eastAsia="Times New Roman" w:hAnsi="Arial" w:cs="Arial"/>
                <w:b/>
                <w:bCs/>
                <w:sz w:val="18"/>
                <w:szCs w:val="18"/>
                <w:lang w:eastAsia="es-MX"/>
              </w:rPr>
            </w:pPr>
            <w:r w:rsidRPr="0098390A">
              <w:rPr>
                <w:rFonts w:ascii="Arial" w:eastAsia="Times New Roman" w:hAnsi="Arial" w:cs="Arial"/>
                <w:b/>
                <w:bCs/>
                <w:sz w:val="18"/>
                <w:szCs w:val="18"/>
                <w:lang w:eastAsia="es-MX"/>
              </w:rPr>
              <w:t>Hombres</w:t>
            </w:r>
          </w:p>
        </w:tc>
        <w:tc>
          <w:tcPr>
            <w:tcW w:w="829" w:type="dxa"/>
            <w:tcBorders>
              <w:top w:val="nil"/>
              <w:left w:val="nil"/>
              <w:bottom w:val="single" w:sz="4" w:space="0" w:color="auto"/>
              <w:right w:val="single" w:sz="4" w:space="0" w:color="auto"/>
            </w:tcBorders>
            <w:shd w:val="clear" w:color="auto" w:fill="FFD966" w:themeFill="accent4" w:themeFillTint="99"/>
            <w:noWrap/>
            <w:vAlign w:val="center"/>
            <w:hideMark/>
          </w:tcPr>
          <w:p w14:paraId="07078EC1" w14:textId="77777777" w:rsidR="00E508D2" w:rsidRPr="0098390A" w:rsidRDefault="00E508D2" w:rsidP="009C017E">
            <w:pPr>
              <w:spacing w:after="0" w:line="240" w:lineRule="auto"/>
              <w:jc w:val="center"/>
              <w:rPr>
                <w:rFonts w:ascii="Arial" w:eastAsia="Times New Roman" w:hAnsi="Arial" w:cs="Arial"/>
                <w:b/>
                <w:bCs/>
                <w:sz w:val="18"/>
                <w:szCs w:val="18"/>
                <w:lang w:eastAsia="es-MX"/>
              </w:rPr>
            </w:pPr>
            <w:r w:rsidRPr="0098390A">
              <w:rPr>
                <w:rFonts w:ascii="Arial" w:eastAsia="Times New Roman" w:hAnsi="Arial" w:cs="Arial"/>
                <w:b/>
                <w:bCs/>
                <w:sz w:val="18"/>
                <w:szCs w:val="18"/>
                <w:lang w:eastAsia="es-MX"/>
              </w:rPr>
              <w:t>Mujeres</w:t>
            </w:r>
          </w:p>
        </w:tc>
        <w:tc>
          <w:tcPr>
            <w:tcW w:w="929" w:type="dxa"/>
            <w:tcBorders>
              <w:top w:val="nil"/>
              <w:left w:val="nil"/>
              <w:bottom w:val="single" w:sz="4" w:space="0" w:color="auto"/>
              <w:right w:val="single" w:sz="4" w:space="0" w:color="auto"/>
            </w:tcBorders>
            <w:shd w:val="clear" w:color="auto" w:fill="FFD966" w:themeFill="accent4" w:themeFillTint="99"/>
            <w:noWrap/>
            <w:vAlign w:val="center"/>
            <w:hideMark/>
          </w:tcPr>
          <w:p w14:paraId="47FC2601" w14:textId="77777777" w:rsidR="00E508D2" w:rsidRPr="0098390A" w:rsidRDefault="00E508D2" w:rsidP="009C017E">
            <w:pPr>
              <w:spacing w:after="0" w:line="240" w:lineRule="auto"/>
              <w:jc w:val="center"/>
              <w:rPr>
                <w:rFonts w:ascii="Arial" w:eastAsia="Times New Roman" w:hAnsi="Arial" w:cs="Arial"/>
                <w:b/>
                <w:bCs/>
                <w:sz w:val="18"/>
                <w:szCs w:val="18"/>
                <w:lang w:eastAsia="es-MX"/>
              </w:rPr>
            </w:pPr>
            <w:r w:rsidRPr="0098390A">
              <w:rPr>
                <w:rFonts w:ascii="Arial" w:eastAsia="Times New Roman" w:hAnsi="Arial" w:cs="Arial"/>
                <w:b/>
                <w:bCs/>
                <w:sz w:val="18"/>
                <w:szCs w:val="18"/>
                <w:lang w:eastAsia="es-MX"/>
              </w:rPr>
              <w:t>Hombres</w:t>
            </w:r>
          </w:p>
        </w:tc>
        <w:tc>
          <w:tcPr>
            <w:tcW w:w="829" w:type="dxa"/>
            <w:tcBorders>
              <w:top w:val="nil"/>
              <w:left w:val="nil"/>
              <w:bottom w:val="single" w:sz="4" w:space="0" w:color="auto"/>
              <w:right w:val="single" w:sz="4" w:space="0" w:color="auto"/>
            </w:tcBorders>
            <w:shd w:val="clear" w:color="auto" w:fill="FFD966" w:themeFill="accent4" w:themeFillTint="99"/>
            <w:noWrap/>
            <w:vAlign w:val="center"/>
            <w:hideMark/>
          </w:tcPr>
          <w:p w14:paraId="2F4ACE6E" w14:textId="77777777" w:rsidR="00E508D2" w:rsidRPr="0098390A" w:rsidRDefault="00E508D2" w:rsidP="009C017E">
            <w:pPr>
              <w:spacing w:after="0" w:line="240" w:lineRule="auto"/>
              <w:jc w:val="center"/>
              <w:rPr>
                <w:rFonts w:ascii="Arial" w:eastAsia="Times New Roman" w:hAnsi="Arial" w:cs="Arial"/>
                <w:b/>
                <w:bCs/>
                <w:sz w:val="18"/>
                <w:szCs w:val="18"/>
                <w:lang w:eastAsia="es-MX"/>
              </w:rPr>
            </w:pPr>
            <w:r w:rsidRPr="0098390A">
              <w:rPr>
                <w:rFonts w:ascii="Arial" w:eastAsia="Times New Roman" w:hAnsi="Arial" w:cs="Arial"/>
                <w:b/>
                <w:bCs/>
                <w:sz w:val="18"/>
                <w:szCs w:val="18"/>
                <w:lang w:eastAsia="es-MX"/>
              </w:rPr>
              <w:t>Mujeres</w:t>
            </w:r>
          </w:p>
        </w:tc>
      </w:tr>
      <w:tr w:rsidR="00E508D2" w:rsidRPr="0098390A" w14:paraId="32E3497E" w14:textId="77777777" w:rsidTr="009C017E">
        <w:trPr>
          <w:trHeight w:val="377"/>
        </w:trPr>
        <w:tc>
          <w:tcPr>
            <w:tcW w:w="3393" w:type="dxa"/>
            <w:tcBorders>
              <w:top w:val="nil"/>
              <w:left w:val="single" w:sz="4" w:space="0" w:color="auto"/>
              <w:bottom w:val="single" w:sz="4" w:space="0" w:color="auto"/>
              <w:right w:val="single" w:sz="4" w:space="0" w:color="auto"/>
            </w:tcBorders>
            <w:shd w:val="clear" w:color="auto" w:fill="auto"/>
            <w:vAlign w:val="center"/>
            <w:hideMark/>
          </w:tcPr>
          <w:p w14:paraId="596C155F" w14:textId="77777777" w:rsidR="00E508D2" w:rsidRPr="0098390A" w:rsidRDefault="00E508D2" w:rsidP="009C017E">
            <w:pPr>
              <w:spacing w:after="0" w:line="240" w:lineRule="auto"/>
              <w:rPr>
                <w:rFonts w:ascii="Arial" w:eastAsia="Times New Roman" w:hAnsi="Arial" w:cs="Arial"/>
                <w:sz w:val="20"/>
                <w:szCs w:val="20"/>
                <w:lang w:eastAsia="es-MX"/>
              </w:rPr>
            </w:pPr>
            <w:r w:rsidRPr="0098390A">
              <w:rPr>
                <w:rFonts w:ascii="Arial" w:eastAsia="Times New Roman" w:hAnsi="Arial" w:cs="Arial"/>
                <w:sz w:val="20"/>
                <w:szCs w:val="20"/>
                <w:lang w:eastAsia="es-MX"/>
              </w:rPr>
              <w:t>Sin instrucción</w:t>
            </w:r>
          </w:p>
        </w:tc>
        <w:tc>
          <w:tcPr>
            <w:tcW w:w="1021" w:type="dxa"/>
            <w:tcBorders>
              <w:top w:val="nil"/>
              <w:left w:val="nil"/>
              <w:bottom w:val="single" w:sz="4" w:space="0" w:color="auto"/>
              <w:right w:val="single" w:sz="4" w:space="0" w:color="auto"/>
            </w:tcBorders>
            <w:shd w:val="clear" w:color="auto" w:fill="auto"/>
            <w:noWrap/>
            <w:vAlign w:val="center"/>
            <w:hideMark/>
          </w:tcPr>
          <w:p w14:paraId="227CD33A"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7.5</w:t>
            </w:r>
          </w:p>
        </w:tc>
        <w:tc>
          <w:tcPr>
            <w:tcW w:w="869" w:type="dxa"/>
            <w:tcBorders>
              <w:top w:val="nil"/>
              <w:left w:val="nil"/>
              <w:bottom w:val="single" w:sz="4" w:space="0" w:color="auto"/>
              <w:right w:val="single" w:sz="4" w:space="0" w:color="auto"/>
            </w:tcBorders>
            <w:shd w:val="clear" w:color="auto" w:fill="auto"/>
            <w:noWrap/>
            <w:vAlign w:val="center"/>
            <w:hideMark/>
          </w:tcPr>
          <w:p w14:paraId="29C01942"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3.5</w:t>
            </w:r>
          </w:p>
        </w:tc>
        <w:tc>
          <w:tcPr>
            <w:tcW w:w="1039" w:type="dxa"/>
            <w:tcBorders>
              <w:top w:val="nil"/>
              <w:left w:val="nil"/>
              <w:bottom w:val="single" w:sz="4" w:space="0" w:color="auto"/>
              <w:right w:val="single" w:sz="4" w:space="0" w:color="auto"/>
            </w:tcBorders>
            <w:shd w:val="clear" w:color="auto" w:fill="auto"/>
            <w:noWrap/>
            <w:vAlign w:val="center"/>
            <w:hideMark/>
          </w:tcPr>
          <w:p w14:paraId="4995D3DD"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8.6</w:t>
            </w:r>
          </w:p>
        </w:tc>
        <w:tc>
          <w:tcPr>
            <w:tcW w:w="829" w:type="dxa"/>
            <w:tcBorders>
              <w:top w:val="nil"/>
              <w:left w:val="nil"/>
              <w:bottom w:val="single" w:sz="4" w:space="0" w:color="auto"/>
              <w:right w:val="single" w:sz="4" w:space="0" w:color="auto"/>
            </w:tcBorders>
            <w:shd w:val="clear" w:color="auto" w:fill="auto"/>
            <w:noWrap/>
            <w:vAlign w:val="center"/>
            <w:hideMark/>
          </w:tcPr>
          <w:p w14:paraId="13EDABCA"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3.9</w:t>
            </w:r>
          </w:p>
        </w:tc>
        <w:tc>
          <w:tcPr>
            <w:tcW w:w="929" w:type="dxa"/>
            <w:tcBorders>
              <w:top w:val="nil"/>
              <w:left w:val="nil"/>
              <w:bottom w:val="single" w:sz="4" w:space="0" w:color="auto"/>
              <w:right w:val="single" w:sz="4" w:space="0" w:color="auto"/>
            </w:tcBorders>
            <w:shd w:val="clear" w:color="auto" w:fill="auto"/>
            <w:noWrap/>
            <w:vAlign w:val="center"/>
            <w:hideMark/>
          </w:tcPr>
          <w:p w14:paraId="1FE42A71"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1.1</w:t>
            </w:r>
          </w:p>
        </w:tc>
        <w:tc>
          <w:tcPr>
            <w:tcW w:w="829" w:type="dxa"/>
            <w:tcBorders>
              <w:top w:val="nil"/>
              <w:left w:val="nil"/>
              <w:bottom w:val="single" w:sz="4" w:space="0" w:color="auto"/>
              <w:right w:val="single" w:sz="4" w:space="0" w:color="auto"/>
            </w:tcBorders>
            <w:shd w:val="clear" w:color="auto" w:fill="auto"/>
            <w:noWrap/>
            <w:vAlign w:val="center"/>
            <w:hideMark/>
          </w:tcPr>
          <w:p w14:paraId="0F3D0486"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0.4</w:t>
            </w:r>
          </w:p>
        </w:tc>
      </w:tr>
      <w:tr w:rsidR="00E508D2" w:rsidRPr="0098390A" w14:paraId="5C3521BE" w14:textId="77777777" w:rsidTr="009C017E">
        <w:trPr>
          <w:trHeight w:val="313"/>
        </w:trPr>
        <w:tc>
          <w:tcPr>
            <w:tcW w:w="3393" w:type="dxa"/>
            <w:tcBorders>
              <w:top w:val="nil"/>
              <w:left w:val="single" w:sz="4" w:space="0" w:color="auto"/>
              <w:bottom w:val="single" w:sz="4" w:space="0" w:color="auto"/>
              <w:right w:val="single" w:sz="4" w:space="0" w:color="auto"/>
            </w:tcBorders>
            <w:shd w:val="clear" w:color="auto" w:fill="auto"/>
            <w:vAlign w:val="center"/>
            <w:hideMark/>
          </w:tcPr>
          <w:p w14:paraId="5487452F" w14:textId="77777777" w:rsidR="00E508D2" w:rsidRPr="0098390A" w:rsidRDefault="00E508D2" w:rsidP="009C017E">
            <w:pPr>
              <w:spacing w:after="0" w:line="240" w:lineRule="auto"/>
              <w:rPr>
                <w:rFonts w:ascii="Arial" w:eastAsia="Times New Roman" w:hAnsi="Arial" w:cs="Arial"/>
                <w:sz w:val="20"/>
                <w:szCs w:val="20"/>
                <w:lang w:eastAsia="es-MX"/>
              </w:rPr>
            </w:pPr>
            <w:r w:rsidRPr="0098390A">
              <w:rPr>
                <w:rFonts w:ascii="Arial" w:eastAsia="Times New Roman" w:hAnsi="Arial" w:cs="Arial"/>
                <w:sz w:val="20"/>
                <w:szCs w:val="20"/>
                <w:lang w:eastAsia="es-MX"/>
              </w:rPr>
              <w:t xml:space="preserve">Educación básica </w:t>
            </w:r>
          </w:p>
        </w:tc>
        <w:tc>
          <w:tcPr>
            <w:tcW w:w="1021" w:type="dxa"/>
            <w:tcBorders>
              <w:top w:val="nil"/>
              <w:left w:val="nil"/>
              <w:bottom w:val="single" w:sz="4" w:space="0" w:color="auto"/>
              <w:right w:val="single" w:sz="4" w:space="0" w:color="auto"/>
            </w:tcBorders>
            <w:shd w:val="clear" w:color="auto" w:fill="auto"/>
            <w:noWrap/>
            <w:vAlign w:val="center"/>
            <w:hideMark/>
          </w:tcPr>
          <w:p w14:paraId="6475F0D1"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57.7</w:t>
            </w:r>
          </w:p>
        </w:tc>
        <w:tc>
          <w:tcPr>
            <w:tcW w:w="869" w:type="dxa"/>
            <w:tcBorders>
              <w:top w:val="nil"/>
              <w:left w:val="nil"/>
              <w:bottom w:val="single" w:sz="4" w:space="0" w:color="auto"/>
              <w:right w:val="single" w:sz="4" w:space="0" w:color="auto"/>
            </w:tcBorders>
            <w:shd w:val="clear" w:color="auto" w:fill="auto"/>
            <w:noWrap/>
            <w:vAlign w:val="center"/>
            <w:hideMark/>
          </w:tcPr>
          <w:p w14:paraId="1BA46C7A"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22.9</w:t>
            </w:r>
          </w:p>
        </w:tc>
        <w:tc>
          <w:tcPr>
            <w:tcW w:w="1039" w:type="dxa"/>
            <w:tcBorders>
              <w:top w:val="nil"/>
              <w:left w:val="nil"/>
              <w:bottom w:val="single" w:sz="4" w:space="0" w:color="auto"/>
              <w:right w:val="single" w:sz="4" w:space="0" w:color="auto"/>
            </w:tcBorders>
            <w:shd w:val="clear" w:color="auto" w:fill="auto"/>
            <w:noWrap/>
            <w:vAlign w:val="center"/>
            <w:hideMark/>
          </w:tcPr>
          <w:p w14:paraId="0DE2430A"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52.1</w:t>
            </w:r>
          </w:p>
        </w:tc>
        <w:tc>
          <w:tcPr>
            <w:tcW w:w="829" w:type="dxa"/>
            <w:tcBorders>
              <w:top w:val="nil"/>
              <w:left w:val="nil"/>
              <w:bottom w:val="single" w:sz="4" w:space="0" w:color="auto"/>
              <w:right w:val="single" w:sz="4" w:space="0" w:color="auto"/>
            </w:tcBorders>
            <w:shd w:val="clear" w:color="auto" w:fill="auto"/>
            <w:noWrap/>
            <w:vAlign w:val="center"/>
            <w:hideMark/>
          </w:tcPr>
          <w:p w14:paraId="3C328B62"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18.3</w:t>
            </w:r>
          </w:p>
        </w:tc>
        <w:tc>
          <w:tcPr>
            <w:tcW w:w="929" w:type="dxa"/>
            <w:tcBorders>
              <w:top w:val="nil"/>
              <w:left w:val="nil"/>
              <w:bottom w:val="single" w:sz="4" w:space="0" w:color="auto"/>
              <w:right w:val="single" w:sz="4" w:space="0" w:color="auto"/>
            </w:tcBorders>
            <w:shd w:val="clear" w:color="auto" w:fill="auto"/>
            <w:noWrap/>
            <w:vAlign w:val="center"/>
            <w:hideMark/>
          </w:tcPr>
          <w:p w14:paraId="7A1A03A4"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-5.6</w:t>
            </w:r>
          </w:p>
        </w:tc>
        <w:tc>
          <w:tcPr>
            <w:tcW w:w="829" w:type="dxa"/>
            <w:tcBorders>
              <w:top w:val="nil"/>
              <w:left w:val="nil"/>
              <w:bottom w:val="single" w:sz="4" w:space="0" w:color="auto"/>
              <w:right w:val="single" w:sz="4" w:space="0" w:color="auto"/>
            </w:tcBorders>
            <w:shd w:val="clear" w:color="auto" w:fill="auto"/>
            <w:noWrap/>
            <w:vAlign w:val="center"/>
            <w:hideMark/>
          </w:tcPr>
          <w:p w14:paraId="530AB100"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-4.6</w:t>
            </w:r>
          </w:p>
        </w:tc>
      </w:tr>
      <w:tr w:rsidR="00E508D2" w:rsidRPr="0098390A" w14:paraId="0BFF1C0F" w14:textId="77777777" w:rsidTr="009C017E">
        <w:trPr>
          <w:trHeight w:val="378"/>
        </w:trPr>
        <w:tc>
          <w:tcPr>
            <w:tcW w:w="3393" w:type="dxa"/>
            <w:tcBorders>
              <w:top w:val="nil"/>
              <w:left w:val="single" w:sz="4" w:space="0" w:color="auto"/>
              <w:bottom w:val="single" w:sz="4" w:space="0" w:color="auto"/>
              <w:right w:val="single" w:sz="4" w:space="0" w:color="auto"/>
            </w:tcBorders>
            <w:shd w:val="clear" w:color="auto" w:fill="auto"/>
            <w:vAlign w:val="center"/>
            <w:hideMark/>
          </w:tcPr>
          <w:p w14:paraId="7D5C6091" w14:textId="77777777" w:rsidR="00E508D2" w:rsidRPr="0098390A" w:rsidRDefault="00E508D2" w:rsidP="009C017E">
            <w:pPr>
              <w:spacing w:after="0" w:line="240" w:lineRule="auto"/>
              <w:rPr>
                <w:rFonts w:ascii="Arial" w:eastAsia="Times New Roman" w:hAnsi="Arial" w:cs="Arial"/>
                <w:sz w:val="20"/>
                <w:szCs w:val="20"/>
                <w:lang w:eastAsia="es-MX"/>
              </w:rPr>
            </w:pPr>
            <w:r w:rsidRPr="0098390A">
              <w:rPr>
                <w:rFonts w:ascii="Arial" w:eastAsia="Times New Roman" w:hAnsi="Arial" w:cs="Arial"/>
                <w:sz w:val="20"/>
                <w:szCs w:val="20"/>
                <w:lang w:eastAsia="es-MX"/>
              </w:rPr>
              <w:t xml:space="preserve">Educación media superior </w:t>
            </w:r>
          </w:p>
        </w:tc>
        <w:tc>
          <w:tcPr>
            <w:tcW w:w="1021" w:type="dxa"/>
            <w:tcBorders>
              <w:top w:val="nil"/>
              <w:left w:val="nil"/>
              <w:bottom w:val="single" w:sz="4" w:space="0" w:color="auto"/>
              <w:right w:val="single" w:sz="4" w:space="0" w:color="auto"/>
            </w:tcBorders>
            <w:shd w:val="clear" w:color="auto" w:fill="auto"/>
            <w:noWrap/>
            <w:vAlign w:val="center"/>
            <w:hideMark/>
          </w:tcPr>
          <w:p w14:paraId="5BF1A61E"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21</w:t>
            </w:r>
            <w:r>
              <w:rPr>
                <w:rFonts w:ascii="Arial" w:eastAsia="Times New Roman" w:hAnsi="Arial" w:cs="Arial"/>
                <w:sz w:val="20"/>
                <w:szCs w:val="20"/>
                <w:lang w:eastAsia="es-MX"/>
              </w:rPr>
              <w:t>.0</w:t>
            </w:r>
          </w:p>
        </w:tc>
        <w:tc>
          <w:tcPr>
            <w:tcW w:w="869" w:type="dxa"/>
            <w:tcBorders>
              <w:top w:val="nil"/>
              <w:left w:val="nil"/>
              <w:bottom w:val="single" w:sz="4" w:space="0" w:color="auto"/>
              <w:right w:val="single" w:sz="4" w:space="0" w:color="auto"/>
            </w:tcBorders>
            <w:shd w:val="clear" w:color="auto" w:fill="auto"/>
            <w:noWrap/>
            <w:vAlign w:val="center"/>
            <w:hideMark/>
          </w:tcPr>
          <w:p w14:paraId="607EA816"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33.6</w:t>
            </w:r>
          </w:p>
        </w:tc>
        <w:tc>
          <w:tcPr>
            <w:tcW w:w="1039" w:type="dxa"/>
            <w:tcBorders>
              <w:top w:val="nil"/>
              <w:left w:val="nil"/>
              <w:bottom w:val="single" w:sz="4" w:space="0" w:color="auto"/>
              <w:right w:val="single" w:sz="4" w:space="0" w:color="auto"/>
            </w:tcBorders>
            <w:shd w:val="clear" w:color="auto" w:fill="auto"/>
            <w:noWrap/>
            <w:vAlign w:val="center"/>
            <w:hideMark/>
          </w:tcPr>
          <w:p w14:paraId="76033000"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21.5</w:t>
            </w:r>
          </w:p>
        </w:tc>
        <w:tc>
          <w:tcPr>
            <w:tcW w:w="829" w:type="dxa"/>
            <w:tcBorders>
              <w:top w:val="nil"/>
              <w:left w:val="nil"/>
              <w:bottom w:val="single" w:sz="4" w:space="0" w:color="auto"/>
              <w:right w:val="single" w:sz="4" w:space="0" w:color="auto"/>
            </w:tcBorders>
            <w:shd w:val="clear" w:color="auto" w:fill="auto"/>
            <w:noWrap/>
            <w:vAlign w:val="center"/>
            <w:hideMark/>
          </w:tcPr>
          <w:p w14:paraId="7355724C"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30.7</w:t>
            </w:r>
          </w:p>
        </w:tc>
        <w:tc>
          <w:tcPr>
            <w:tcW w:w="929" w:type="dxa"/>
            <w:tcBorders>
              <w:top w:val="nil"/>
              <w:left w:val="nil"/>
              <w:bottom w:val="single" w:sz="4" w:space="0" w:color="auto"/>
              <w:right w:val="single" w:sz="4" w:space="0" w:color="auto"/>
            </w:tcBorders>
            <w:shd w:val="clear" w:color="auto" w:fill="auto"/>
            <w:noWrap/>
            <w:vAlign w:val="center"/>
            <w:hideMark/>
          </w:tcPr>
          <w:p w14:paraId="300EC904"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0.5</w:t>
            </w:r>
          </w:p>
        </w:tc>
        <w:tc>
          <w:tcPr>
            <w:tcW w:w="829" w:type="dxa"/>
            <w:tcBorders>
              <w:top w:val="nil"/>
              <w:left w:val="nil"/>
              <w:bottom w:val="single" w:sz="4" w:space="0" w:color="auto"/>
              <w:right w:val="single" w:sz="4" w:space="0" w:color="auto"/>
            </w:tcBorders>
            <w:shd w:val="clear" w:color="auto" w:fill="auto"/>
            <w:noWrap/>
            <w:vAlign w:val="center"/>
            <w:hideMark/>
          </w:tcPr>
          <w:p w14:paraId="42427E96"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-2.9</w:t>
            </w:r>
          </w:p>
        </w:tc>
      </w:tr>
      <w:tr w:rsidR="00E508D2" w:rsidRPr="0098390A" w14:paraId="5A97B13B" w14:textId="77777777" w:rsidTr="009C017E">
        <w:trPr>
          <w:trHeight w:val="406"/>
        </w:trPr>
        <w:tc>
          <w:tcPr>
            <w:tcW w:w="3393" w:type="dxa"/>
            <w:tcBorders>
              <w:top w:val="nil"/>
              <w:left w:val="single" w:sz="4" w:space="0" w:color="auto"/>
              <w:bottom w:val="single" w:sz="4" w:space="0" w:color="auto"/>
              <w:right w:val="single" w:sz="4" w:space="0" w:color="auto"/>
            </w:tcBorders>
            <w:shd w:val="clear" w:color="auto" w:fill="auto"/>
            <w:vAlign w:val="center"/>
            <w:hideMark/>
          </w:tcPr>
          <w:p w14:paraId="54E41D93" w14:textId="77777777" w:rsidR="00E508D2" w:rsidRPr="0098390A" w:rsidRDefault="00E508D2" w:rsidP="009C017E">
            <w:pPr>
              <w:spacing w:after="0" w:line="240" w:lineRule="auto"/>
              <w:rPr>
                <w:rFonts w:ascii="Arial" w:eastAsia="Times New Roman" w:hAnsi="Arial" w:cs="Arial"/>
                <w:sz w:val="20"/>
                <w:szCs w:val="20"/>
                <w:lang w:eastAsia="es-MX"/>
              </w:rPr>
            </w:pPr>
            <w:r w:rsidRPr="0098390A">
              <w:rPr>
                <w:rFonts w:ascii="Arial" w:eastAsia="Times New Roman" w:hAnsi="Arial" w:cs="Arial"/>
                <w:sz w:val="20"/>
                <w:szCs w:val="20"/>
                <w:lang w:eastAsia="es-MX"/>
              </w:rPr>
              <w:t xml:space="preserve">Educación superior </w:t>
            </w:r>
          </w:p>
        </w:tc>
        <w:tc>
          <w:tcPr>
            <w:tcW w:w="1021" w:type="dxa"/>
            <w:tcBorders>
              <w:top w:val="nil"/>
              <w:left w:val="nil"/>
              <w:bottom w:val="single" w:sz="4" w:space="0" w:color="auto"/>
              <w:right w:val="single" w:sz="4" w:space="0" w:color="auto"/>
            </w:tcBorders>
            <w:shd w:val="clear" w:color="auto" w:fill="auto"/>
            <w:noWrap/>
            <w:vAlign w:val="center"/>
            <w:hideMark/>
          </w:tcPr>
          <w:p w14:paraId="4E4F7E19"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13.8</w:t>
            </w:r>
          </w:p>
        </w:tc>
        <w:tc>
          <w:tcPr>
            <w:tcW w:w="869" w:type="dxa"/>
            <w:tcBorders>
              <w:top w:val="nil"/>
              <w:left w:val="nil"/>
              <w:bottom w:val="single" w:sz="4" w:space="0" w:color="auto"/>
              <w:right w:val="single" w:sz="4" w:space="0" w:color="auto"/>
            </w:tcBorders>
            <w:shd w:val="clear" w:color="auto" w:fill="auto"/>
            <w:noWrap/>
            <w:vAlign w:val="center"/>
            <w:hideMark/>
          </w:tcPr>
          <w:p w14:paraId="5AA55BEC"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40</w:t>
            </w:r>
            <w:r>
              <w:rPr>
                <w:rFonts w:ascii="Arial" w:eastAsia="Times New Roman" w:hAnsi="Arial" w:cs="Arial"/>
                <w:sz w:val="20"/>
                <w:szCs w:val="20"/>
                <w:lang w:eastAsia="es-MX"/>
              </w:rPr>
              <w:t>.0</w:t>
            </w:r>
          </w:p>
        </w:tc>
        <w:tc>
          <w:tcPr>
            <w:tcW w:w="1039" w:type="dxa"/>
            <w:tcBorders>
              <w:top w:val="nil"/>
              <w:left w:val="nil"/>
              <w:bottom w:val="single" w:sz="4" w:space="0" w:color="auto"/>
              <w:right w:val="single" w:sz="4" w:space="0" w:color="auto"/>
            </w:tcBorders>
            <w:shd w:val="clear" w:color="auto" w:fill="auto"/>
            <w:noWrap/>
            <w:vAlign w:val="center"/>
            <w:hideMark/>
          </w:tcPr>
          <w:p w14:paraId="14C45A95"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17.8</w:t>
            </w:r>
          </w:p>
        </w:tc>
        <w:tc>
          <w:tcPr>
            <w:tcW w:w="829" w:type="dxa"/>
            <w:tcBorders>
              <w:top w:val="nil"/>
              <w:left w:val="nil"/>
              <w:bottom w:val="single" w:sz="4" w:space="0" w:color="auto"/>
              <w:right w:val="single" w:sz="4" w:space="0" w:color="auto"/>
            </w:tcBorders>
            <w:shd w:val="clear" w:color="auto" w:fill="auto"/>
            <w:noWrap/>
            <w:vAlign w:val="center"/>
            <w:hideMark/>
          </w:tcPr>
          <w:p w14:paraId="4BD3C48B"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47.1</w:t>
            </w:r>
          </w:p>
        </w:tc>
        <w:tc>
          <w:tcPr>
            <w:tcW w:w="929" w:type="dxa"/>
            <w:tcBorders>
              <w:top w:val="nil"/>
              <w:left w:val="nil"/>
              <w:bottom w:val="single" w:sz="4" w:space="0" w:color="auto"/>
              <w:right w:val="single" w:sz="4" w:space="0" w:color="auto"/>
            </w:tcBorders>
            <w:shd w:val="clear" w:color="auto" w:fill="auto"/>
            <w:noWrap/>
            <w:vAlign w:val="center"/>
            <w:hideMark/>
          </w:tcPr>
          <w:p w14:paraId="1627EE1A"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4</w:t>
            </w:r>
            <w:r>
              <w:rPr>
                <w:rFonts w:ascii="Arial" w:eastAsia="Times New Roman" w:hAnsi="Arial" w:cs="Arial"/>
                <w:sz w:val="20"/>
                <w:szCs w:val="20"/>
                <w:lang w:eastAsia="es-MX"/>
              </w:rPr>
              <w:t>.0</w:t>
            </w:r>
          </w:p>
        </w:tc>
        <w:tc>
          <w:tcPr>
            <w:tcW w:w="829" w:type="dxa"/>
            <w:tcBorders>
              <w:top w:val="nil"/>
              <w:left w:val="nil"/>
              <w:bottom w:val="single" w:sz="4" w:space="0" w:color="auto"/>
              <w:right w:val="single" w:sz="4" w:space="0" w:color="auto"/>
            </w:tcBorders>
            <w:shd w:val="clear" w:color="auto" w:fill="auto"/>
            <w:noWrap/>
            <w:vAlign w:val="center"/>
            <w:hideMark/>
          </w:tcPr>
          <w:p w14:paraId="14E61A9D" w14:textId="77777777" w:rsidR="00E508D2" w:rsidRPr="0098390A" w:rsidRDefault="00E508D2" w:rsidP="009C017E">
            <w:pPr>
              <w:spacing w:after="0" w:line="240" w:lineRule="auto"/>
              <w:jc w:val="center"/>
              <w:rPr>
                <w:rFonts w:ascii="Arial" w:eastAsia="Times New Roman" w:hAnsi="Arial" w:cs="Arial"/>
                <w:sz w:val="20"/>
                <w:szCs w:val="20"/>
                <w:lang w:eastAsia="es-MX"/>
              </w:rPr>
            </w:pPr>
            <w:r w:rsidRPr="0098390A">
              <w:rPr>
                <w:rFonts w:ascii="Arial" w:eastAsia="Times New Roman" w:hAnsi="Arial" w:cs="Arial"/>
                <w:sz w:val="20"/>
                <w:szCs w:val="20"/>
                <w:lang w:eastAsia="es-MX"/>
              </w:rPr>
              <w:t>7.1</w:t>
            </w:r>
          </w:p>
        </w:tc>
      </w:tr>
    </w:tbl>
    <w:p w14:paraId="0877071E" w14:textId="77777777" w:rsidR="00E508D2" w:rsidRDefault="00E508D2" w:rsidP="00E508D2">
      <w:pPr>
        <w:pStyle w:val="Default"/>
        <w:jc w:val="both"/>
        <w:rPr>
          <w:color w:val="auto"/>
          <w:sz w:val="16"/>
          <w:lang w:eastAsia="es-MX"/>
        </w:rPr>
      </w:pPr>
      <w:r>
        <w:rPr>
          <w:color w:val="auto"/>
          <w:sz w:val="16"/>
          <w:vertAlign w:val="superscript"/>
          <w:lang w:eastAsia="es-MX"/>
        </w:rPr>
        <w:t xml:space="preserve">p/ </w:t>
      </w:r>
      <w:r>
        <w:rPr>
          <w:color w:val="auto"/>
          <w:sz w:val="16"/>
          <w:lang w:eastAsia="es-MX"/>
        </w:rPr>
        <w:t xml:space="preserve">Cifras preliminares. </w:t>
      </w:r>
    </w:p>
    <w:p w14:paraId="5958C5D7" w14:textId="77777777" w:rsidR="00E508D2" w:rsidRDefault="00E508D2" w:rsidP="00E508D2">
      <w:pPr>
        <w:pStyle w:val="Default"/>
        <w:jc w:val="both"/>
        <w:rPr>
          <w:b/>
          <w:color w:val="auto"/>
          <w:sz w:val="16"/>
          <w:lang w:eastAsia="es-MX"/>
        </w:rPr>
      </w:pPr>
      <w:r w:rsidRPr="00BF15FB">
        <w:rPr>
          <w:color w:val="auto"/>
          <w:sz w:val="16"/>
          <w:lang w:eastAsia="es-MX"/>
        </w:rPr>
        <w:t xml:space="preserve">Fuente: </w:t>
      </w:r>
      <w:r w:rsidRPr="00BF15FB">
        <w:rPr>
          <w:b/>
          <w:color w:val="auto"/>
          <w:sz w:val="16"/>
          <w:lang w:eastAsia="es-MX"/>
        </w:rPr>
        <w:t>INEGI</w:t>
      </w:r>
      <w:r>
        <w:rPr>
          <w:b/>
          <w:color w:val="auto"/>
          <w:sz w:val="16"/>
          <w:lang w:eastAsia="es-MX"/>
        </w:rPr>
        <w:t>.</w:t>
      </w:r>
    </w:p>
    <w:p w14:paraId="3DAAAEEF" w14:textId="77777777" w:rsidR="004E37D0" w:rsidRDefault="004E37D0" w:rsidP="00BB32E4">
      <w:pPr>
        <w:pStyle w:val="Default"/>
        <w:jc w:val="both"/>
        <w:rPr>
          <w:color w:val="auto"/>
          <w:sz w:val="22"/>
          <w:lang w:eastAsia="es-MX"/>
        </w:rPr>
      </w:pPr>
    </w:p>
    <w:p w14:paraId="5805DAE5" w14:textId="77777777" w:rsidR="001236F4" w:rsidRDefault="001236F4" w:rsidP="001236F4">
      <w:pPr>
        <w:pStyle w:val="Default"/>
        <w:jc w:val="both"/>
        <w:rPr>
          <w:color w:val="auto"/>
          <w:sz w:val="22"/>
          <w:lang w:eastAsia="es-MX"/>
        </w:rPr>
      </w:pPr>
      <w:r>
        <w:rPr>
          <w:color w:val="auto"/>
          <w:sz w:val="22"/>
          <w:lang w:eastAsia="es-MX"/>
        </w:rPr>
        <w:t>Los gastos que se realizan utilizando dichos medios representan 21.</w:t>
      </w:r>
      <w:r w:rsidR="006A097E">
        <w:rPr>
          <w:color w:val="auto"/>
          <w:sz w:val="22"/>
          <w:lang w:eastAsia="es-MX"/>
        </w:rPr>
        <w:t>8</w:t>
      </w:r>
      <w:r>
        <w:rPr>
          <w:color w:val="auto"/>
          <w:sz w:val="22"/>
          <w:lang w:eastAsia="es-MX"/>
        </w:rPr>
        <w:t xml:space="preserve">% del total de los gastos reportados por las </w:t>
      </w:r>
      <w:r w:rsidR="00D13BBC">
        <w:rPr>
          <w:color w:val="auto"/>
          <w:sz w:val="22"/>
          <w:lang w:eastAsia="es-MX"/>
        </w:rPr>
        <w:t>e</w:t>
      </w:r>
      <w:r w:rsidR="006A097E">
        <w:rPr>
          <w:color w:val="auto"/>
          <w:sz w:val="22"/>
          <w:lang w:eastAsia="es-MX"/>
        </w:rPr>
        <w:t>mpresas constructoras</w:t>
      </w:r>
      <w:r>
        <w:rPr>
          <w:color w:val="auto"/>
          <w:sz w:val="22"/>
          <w:lang w:eastAsia="es-MX"/>
        </w:rPr>
        <w:t xml:space="preserve"> en 2020.</w:t>
      </w:r>
    </w:p>
    <w:p w14:paraId="73AB5563" w14:textId="77777777" w:rsidR="001236F4" w:rsidRPr="00A341C6" w:rsidRDefault="001236F4" w:rsidP="001236F4">
      <w:pPr>
        <w:pStyle w:val="Default"/>
        <w:jc w:val="both"/>
        <w:rPr>
          <w:color w:val="auto"/>
          <w:sz w:val="22"/>
          <w:lang w:eastAsia="es-MX"/>
        </w:rPr>
      </w:pPr>
    </w:p>
    <w:p w14:paraId="0EF79AC6" w14:textId="77777777" w:rsidR="005A1E42" w:rsidRPr="004F75DC" w:rsidRDefault="001236F4" w:rsidP="00E943C0">
      <w:pPr>
        <w:pStyle w:val="Default"/>
        <w:jc w:val="both"/>
        <w:rPr>
          <w:color w:val="auto"/>
          <w:sz w:val="22"/>
          <w:lang w:eastAsia="es-MX"/>
        </w:rPr>
      </w:pPr>
      <w:r>
        <w:rPr>
          <w:color w:val="auto"/>
          <w:sz w:val="22"/>
          <w:lang w:eastAsia="es-MX"/>
        </w:rPr>
        <w:t>L</w:t>
      </w:r>
      <w:r w:rsidRPr="00A341C6">
        <w:rPr>
          <w:color w:val="auto"/>
          <w:sz w:val="22"/>
          <w:lang w:eastAsia="es-MX"/>
        </w:rPr>
        <w:t>os gastos se realizaron a través de</w:t>
      </w:r>
      <w:r>
        <w:rPr>
          <w:color w:val="auto"/>
          <w:sz w:val="22"/>
          <w:lang w:eastAsia="es-MX"/>
        </w:rPr>
        <w:t xml:space="preserve"> diferentes modalidades, siendo </w:t>
      </w:r>
      <w:r w:rsidR="006A097E">
        <w:rPr>
          <w:color w:val="auto"/>
          <w:sz w:val="22"/>
          <w:lang w:eastAsia="es-MX"/>
        </w:rPr>
        <w:t>e</w:t>
      </w:r>
      <w:r>
        <w:rPr>
          <w:color w:val="auto"/>
          <w:sz w:val="22"/>
          <w:lang w:eastAsia="es-MX"/>
        </w:rPr>
        <w:t xml:space="preserve">l principal </w:t>
      </w:r>
      <w:r w:rsidR="006A097E">
        <w:rPr>
          <w:color w:val="auto"/>
          <w:sz w:val="22"/>
          <w:lang w:eastAsia="es-MX"/>
        </w:rPr>
        <w:t>medio otra modalidad informática</w:t>
      </w:r>
      <w:r w:rsidRPr="00A341C6">
        <w:rPr>
          <w:color w:val="auto"/>
          <w:sz w:val="22"/>
          <w:lang w:eastAsia="es-MX"/>
        </w:rPr>
        <w:t xml:space="preserve"> </w:t>
      </w:r>
      <w:r>
        <w:rPr>
          <w:color w:val="auto"/>
          <w:sz w:val="22"/>
          <w:lang w:eastAsia="es-MX"/>
        </w:rPr>
        <w:t>con</w:t>
      </w:r>
      <w:r w:rsidRPr="00A341C6">
        <w:rPr>
          <w:color w:val="auto"/>
          <w:sz w:val="22"/>
          <w:lang w:eastAsia="es-MX"/>
        </w:rPr>
        <w:t xml:space="preserve"> </w:t>
      </w:r>
      <w:r w:rsidR="006A097E">
        <w:rPr>
          <w:color w:val="auto"/>
          <w:sz w:val="22"/>
          <w:lang w:eastAsia="es-MX"/>
        </w:rPr>
        <w:t>34.7</w:t>
      </w:r>
      <w:r w:rsidRPr="00A341C6">
        <w:rPr>
          <w:color w:val="auto"/>
          <w:sz w:val="22"/>
          <w:lang w:eastAsia="es-MX"/>
        </w:rPr>
        <w:t xml:space="preserve">%, </w:t>
      </w:r>
      <w:r w:rsidR="00C841C8">
        <w:rPr>
          <w:color w:val="auto"/>
          <w:sz w:val="22"/>
          <w:lang w:eastAsia="es-MX"/>
        </w:rPr>
        <w:t xml:space="preserve">el cual </w:t>
      </w:r>
      <w:r w:rsidR="006A097E">
        <w:rPr>
          <w:color w:val="auto"/>
          <w:sz w:val="22"/>
          <w:lang w:eastAsia="es-MX"/>
        </w:rPr>
        <w:t xml:space="preserve">incluye las </w:t>
      </w:r>
      <w:r w:rsidR="00E943C0" w:rsidRPr="00E943C0">
        <w:rPr>
          <w:color w:val="auto"/>
          <w:sz w:val="22"/>
          <w:lang w:eastAsia="es-MX"/>
        </w:rPr>
        <w:t>trasferencias</w:t>
      </w:r>
      <w:r w:rsidR="006A097E" w:rsidRPr="00E943C0">
        <w:rPr>
          <w:color w:val="auto"/>
          <w:sz w:val="22"/>
          <w:lang w:eastAsia="es-MX"/>
        </w:rPr>
        <w:t xml:space="preserve"> </w:t>
      </w:r>
      <w:r w:rsidR="00E943C0" w:rsidRPr="00E943C0">
        <w:rPr>
          <w:color w:val="auto"/>
          <w:sz w:val="22"/>
          <w:lang w:eastAsia="es-MX"/>
        </w:rPr>
        <w:t>bancarias</w:t>
      </w:r>
      <w:r w:rsidR="00C841C8">
        <w:rPr>
          <w:color w:val="auto"/>
          <w:sz w:val="22"/>
          <w:lang w:eastAsia="es-MX"/>
        </w:rPr>
        <w:t>,</w:t>
      </w:r>
      <w:r w:rsidR="00E943C0" w:rsidRPr="00E943C0">
        <w:rPr>
          <w:color w:val="auto"/>
          <w:sz w:val="22"/>
          <w:lang w:eastAsia="es-MX"/>
        </w:rPr>
        <w:t xml:space="preserve"> </w:t>
      </w:r>
      <w:r w:rsidR="00C841C8">
        <w:rPr>
          <w:color w:val="auto"/>
          <w:sz w:val="22"/>
          <w:lang w:eastAsia="es-MX"/>
        </w:rPr>
        <w:t>uso de</w:t>
      </w:r>
      <w:r w:rsidR="00E943C0" w:rsidRPr="00E943C0">
        <w:rPr>
          <w:color w:val="auto"/>
          <w:sz w:val="22"/>
          <w:lang w:eastAsia="es-MX"/>
        </w:rPr>
        <w:t xml:space="preserve"> aplicaciones </w:t>
      </w:r>
      <w:r w:rsidR="00C841C8">
        <w:rPr>
          <w:color w:val="auto"/>
          <w:sz w:val="22"/>
          <w:lang w:eastAsia="es-MX"/>
        </w:rPr>
        <w:t>y cualquier otra herramienta con</w:t>
      </w:r>
      <w:r w:rsidR="00E943C0" w:rsidRPr="00E943C0">
        <w:rPr>
          <w:color w:val="auto"/>
          <w:sz w:val="22"/>
          <w:lang w:eastAsia="es-MX"/>
        </w:rPr>
        <w:t xml:space="preserve"> conexión a Internet</w:t>
      </w:r>
      <w:r w:rsidR="00E943C0">
        <w:rPr>
          <w:color w:val="auto"/>
          <w:sz w:val="22"/>
          <w:lang w:eastAsia="es-MX"/>
        </w:rPr>
        <w:t xml:space="preserve">. </w:t>
      </w:r>
    </w:p>
    <w:p w14:paraId="4BF94F4F" w14:textId="77777777" w:rsidR="009F1076" w:rsidRDefault="009F1076" w:rsidP="005A1E42">
      <w:pPr>
        <w:pStyle w:val="Default"/>
        <w:jc w:val="center"/>
        <w:rPr>
          <w:b/>
          <w:color w:val="auto"/>
          <w:sz w:val="22"/>
          <w:lang w:eastAsia="es-MX"/>
        </w:rPr>
      </w:pPr>
    </w:p>
    <w:p w14:paraId="36645813" w14:textId="77777777" w:rsidR="009F1076" w:rsidRDefault="009F1076" w:rsidP="005A1E42">
      <w:pPr>
        <w:pStyle w:val="Default"/>
        <w:jc w:val="center"/>
        <w:rPr>
          <w:b/>
          <w:color w:val="auto"/>
          <w:sz w:val="22"/>
          <w:lang w:eastAsia="es-MX"/>
        </w:rPr>
      </w:pPr>
    </w:p>
    <w:p w14:paraId="4293AA97" w14:textId="77777777" w:rsidR="005A1E42" w:rsidRPr="004F75DC" w:rsidRDefault="005A1E42" w:rsidP="005A1E42">
      <w:pPr>
        <w:pStyle w:val="Default"/>
        <w:jc w:val="center"/>
        <w:rPr>
          <w:b/>
          <w:color w:val="auto"/>
          <w:sz w:val="22"/>
          <w:lang w:eastAsia="es-MX"/>
        </w:rPr>
      </w:pPr>
      <w:r w:rsidRPr="004F75DC">
        <w:rPr>
          <w:b/>
          <w:color w:val="auto"/>
          <w:sz w:val="22"/>
          <w:lang w:eastAsia="es-MX"/>
        </w:rPr>
        <w:t xml:space="preserve">Gráfica </w:t>
      </w:r>
      <w:r w:rsidR="00CD24FC">
        <w:rPr>
          <w:b/>
          <w:color w:val="auto"/>
          <w:sz w:val="22"/>
          <w:lang w:eastAsia="es-MX"/>
        </w:rPr>
        <w:t>6</w:t>
      </w:r>
    </w:p>
    <w:p w14:paraId="36044CF4" w14:textId="77777777" w:rsidR="004C02D2" w:rsidRDefault="005A1E42" w:rsidP="004C02D2">
      <w:pPr>
        <w:pStyle w:val="Default"/>
        <w:jc w:val="center"/>
        <w:rPr>
          <w:b/>
          <w:color w:val="auto"/>
          <w:sz w:val="22"/>
          <w:vertAlign w:val="superscript"/>
          <w:lang w:eastAsia="es-MX"/>
        </w:rPr>
      </w:pPr>
      <w:r w:rsidRPr="003423D6">
        <w:rPr>
          <w:b/>
          <w:color w:val="auto"/>
          <w:sz w:val="22"/>
          <w:lang w:eastAsia="es-MX"/>
        </w:rPr>
        <w:t>Participación</w:t>
      </w:r>
      <w:r w:rsidRPr="004F75DC">
        <w:rPr>
          <w:b/>
          <w:color w:val="auto"/>
          <w:sz w:val="22"/>
          <w:lang w:eastAsia="es-MX"/>
        </w:rPr>
        <w:t xml:space="preserve"> de</w:t>
      </w:r>
      <w:r w:rsidRPr="0059171B">
        <w:rPr>
          <w:b/>
          <w:color w:val="auto"/>
          <w:sz w:val="22"/>
          <w:lang w:eastAsia="es-MX"/>
        </w:rPr>
        <w:t xml:space="preserve"> </w:t>
      </w:r>
      <w:r w:rsidR="004C02D2">
        <w:rPr>
          <w:b/>
          <w:color w:val="auto"/>
          <w:sz w:val="22"/>
          <w:lang w:eastAsia="es-MX"/>
        </w:rPr>
        <w:t xml:space="preserve">los </w:t>
      </w:r>
      <w:r w:rsidR="00D47598">
        <w:rPr>
          <w:b/>
          <w:color w:val="auto"/>
          <w:sz w:val="22"/>
          <w:lang w:eastAsia="es-MX"/>
        </w:rPr>
        <w:t xml:space="preserve">medios de transacción en los </w:t>
      </w:r>
      <w:r w:rsidRPr="0059171B">
        <w:rPr>
          <w:b/>
          <w:color w:val="auto"/>
          <w:sz w:val="22"/>
          <w:lang w:eastAsia="es-MX"/>
        </w:rPr>
        <w:t>gastos</w:t>
      </w:r>
      <w:r w:rsidR="00D47598">
        <w:rPr>
          <w:b/>
          <w:color w:val="auto"/>
          <w:sz w:val="22"/>
          <w:lang w:eastAsia="es-MX"/>
        </w:rPr>
        <w:t xml:space="preserve"> </w:t>
      </w:r>
      <w:r w:rsidR="00D47598" w:rsidRPr="0059171B">
        <w:rPr>
          <w:b/>
          <w:color w:val="auto"/>
          <w:sz w:val="22"/>
          <w:lang w:eastAsia="es-MX"/>
        </w:rPr>
        <w:t xml:space="preserve">realizados a través de </w:t>
      </w:r>
      <w:r w:rsidR="00D47598">
        <w:rPr>
          <w:b/>
          <w:color w:val="auto"/>
          <w:sz w:val="22"/>
          <w:lang w:eastAsia="es-MX"/>
        </w:rPr>
        <w:t>medios electrónicos</w:t>
      </w:r>
      <w:r w:rsidR="004C02D2">
        <w:rPr>
          <w:b/>
          <w:color w:val="auto"/>
          <w:sz w:val="22"/>
          <w:lang w:eastAsia="es-MX"/>
        </w:rPr>
        <w:t xml:space="preserve"> de </w:t>
      </w:r>
      <w:r w:rsidR="00C841C8">
        <w:rPr>
          <w:b/>
          <w:color w:val="auto"/>
          <w:sz w:val="22"/>
          <w:lang w:eastAsia="es-MX"/>
        </w:rPr>
        <w:t>las empresas constructoras</w:t>
      </w:r>
      <w:r w:rsidR="004C02D2">
        <w:rPr>
          <w:b/>
          <w:color w:val="auto"/>
          <w:sz w:val="22"/>
          <w:lang w:eastAsia="es-MX"/>
        </w:rPr>
        <w:t xml:space="preserve"> </w:t>
      </w:r>
    </w:p>
    <w:p w14:paraId="5E090E45" w14:textId="77777777" w:rsidR="005A1E42" w:rsidRDefault="004C02D2" w:rsidP="005A1E42">
      <w:pPr>
        <w:pStyle w:val="Default"/>
        <w:jc w:val="center"/>
        <w:rPr>
          <w:b/>
          <w:color w:val="auto"/>
          <w:sz w:val="22"/>
          <w:vertAlign w:val="superscript"/>
          <w:lang w:eastAsia="es-MX"/>
        </w:rPr>
      </w:pPr>
      <w:r>
        <w:rPr>
          <w:b/>
          <w:color w:val="auto"/>
          <w:sz w:val="22"/>
          <w:lang w:eastAsia="es-MX"/>
        </w:rPr>
        <w:t xml:space="preserve">(Porcentaje) </w:t>
      </w:r>
      <w:r w:rsidR="005A1E42" w:rsidRPr="0059171B">
        <w:rPr>
          <w:b/>
          <w:color w:val="auto"/>
          <w:sz w:val="22"/>
          <w:lang w:eastAsia="es-MX"/>
        </w:rPr>
        <w:t xml:space="preserve"> </w:t>
      </w:r>
      <w:r w:rsidR="00BC06C5">
        <w:rPr>
          <w:noProof/>
          <w:lang w:eastAsia="es-MX"/>
        </w:rPr>
        <w:drawing>
          <wp:inline distT="0" distB="0" distL="0" distR="0" wp14:anchorId="70C8BE3A" wp14:editId="60369E3F">
            <wp:extent cx="5612130" cy="1872000"/>
            <wp:effectExtent l="0" t="0" r="7620" b="0"/>
            <wp:docPr id="9" name="Gráfico 9">
              <a:extLst xmlns:a="http://schemas.openxmlformats.org/drawingml/2006/main">
                <a:ext uri="{FF2B5EF4-FFF2-40B4-BE49-F238E27FC236}">
                  <a16:creationId xmlns:a16="http://schemas.microsoft.com/office/drawing/2014/main" id="{7073E548-BC58-4933-853D-997721167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C7560E8" w14:textId="77777777" w:rsidR="005A1E42" w:rsidRDefault="005A1E42" w:rsidP="00037E53">
      <w:pPr>
        <w:pStyle w:val="Default"/>
        <w:ind w:firstLine="142"/>
        <w:jc w:val="both"/>
        <w:rPr>
          <w:color w:val="auto"/>
          <w:sz w:val="16"/>
          <w:lang w:eastAsia="es-MX"/>
        </w:rPr>
      </w:pPr>
      <w:r>
        <w:rPr>
          <w:color w:val="auto"/>
          <w:sz w:val="16"/>
          <w:vertAlign w:val="superscript"/>
          <w:lang w:eastAsia="es-MX"/>
        </w:rPr>
        <w:t xml:space="preserve">  </w:t>
      </w:r>
      <w:r w:rsidR="00B14B1C">
        <w:rPr>
          <w:color w:val="auto"/>
          <w:sz w:val="16"/>
          <w:vertAlign w:val="superscript"/>
          <w:lang w:eastAsia="es-MX"/>
        </w:rPr>
        <w:t>p</w:t>
      </w:r>
      <w:r>
        <w:rPr>
          <w:color w:val="auto"/>
          <w:sz w:val="16"/>
          <w:vertAlign w:val="superscript"/>
          <w:lang w:eastAsia="es-MX"/>
        </w:rPr>
        <w:t xml:space="preserve">/ </w:t>
      </w:r>
      <w:r>
        <w:rPr>
          <w:color w:val="auto"/>
          <w:sz w:val="16"/>
          <w:lang w:eastAsia="es-MX"/>
        </w:rPr>
        <w:t>Cifras preliminares</w:t>
      </w:r>
      <w:r w:rsidR="00B14B1C">
        <w:rPr>
          <w:color w:val="auto"/>
          <w:sz w:val="16"/>
          <w:lang w:eastAsia="es-MX"/>
        </w:rPr>
        <w:t>.</w:t>
      </w:r>
      <w:r>
        <w:rPr>
          <w:color w:val="auto"/>
          <w:sz w:val="16"/>
          <w:lang w:eastAsia="es-MX"/>
        </w:rPr>
        <w:t xml:space="preserve"> </w:t>
      </w:r>
    </w:p>
    <w:p w14:paraId="5E137713" w14:textId="77777777" w:rsidR="005A1E42" w:rsidRPr="00BF15FB" w:rsidRDefault="005A1E42" w:rsidP="00037E53">
      <w:pPr>
        <w:pStyle w:val="Default"/>
        <w:ind w:firstLine="142"/>
        <w:jc w:val="both"/>
        <w:rPr>
          <w:color w:val="auto"/>
          <w:sz w:val="16"/>
          <w:lang w:eastAsia="es-MX"/>
        </w:rPr>
      </w:pPr>
      <w:r>
        <w:rPr>
          <w:color w:val="auto"/>
          <w:sz w:val="16"/>
          <w:lang w:eastAsia="es-MX"/>
        </w:rPr>
        <w:t xml:space="preserve">  </w:t>
      </w:r>
      <w:r w:rsidRPr="00BF15FB">
        <w:rPr>
          <w:color w:val="auto"/>
          <w:sz w:val="16"/>
          <w:lang w:eastAsia="es-MX"/>
        </w:rPr>
        <w:t xml:space="preserve">Fuente: </w:t>
      </w:r>
      <w:r w:rsidRPr="00BF15FB">
        <w:rPr>
          <w:b/>
          <w:color w:val="auto"/>
          <w:sz w:val="16"/>
          <w:lang w:eastAsia="es-MX"/>
        </w:rPr>
        <w:t>INEGI</w:t>
      </w:r>
      <w:r w:rsidR="00B164D0">
        <w:rPr>
          <w:b/>
          <w:color w:val="auto"/>
          <w:sz w:val="16"/>
          <w:lang w:eastAsia="es-MX"/>
        </w:rPr>
        <w:t>.</w:t>
      </w:r>
    </w:p>
    <w:p w14:paraId="2BCC0917" w14:textId="77777777" w:rsidR="00997EFF" w:rsidRDefault="00997EFF" w:rsidP="00BB32E4">
      <w:pPr>
        <w:pStyle w:val="Default"/>
        <w:jc w:val="both"/>
        <w:rPr>
          <w:color w:val="auto"/>
          <w:sz w:val="22"/>
          <w:lang w:eastAsia="es-MX"/>
        </w:rPr>
      </w:pPr>
    </w:p>
    <w:p w14:paraId="4D85947E" w14:textId="77777777" w:rsidR="00E943C0" w:rsidRDefault="00C841C8" w:rsidP="00E943C0">
      <w:pPr>
        <w:pStyle w:val="Default"/>
        <w:jc w:val="both"/>
        <w:rPr>
          <w:color w:val="auto"/>
          <w:sz w:val="22"/>
          <w:lang w:eastAsia="es-MX"/>
        </w:rPr>
      </w:pPr>
      <w:r>
        <w:rPr>
          <w:color w:val="auto"/>
          <w:sz w:val="22"/>
          <w:lang w:eastAsia="es-MX"/>
        </w:rPr>
        <w:t>Por otra</w:t>
      </w:r>
      <w:r w:rsidR="00E943C0" w:rsidRPr="00A341C6">
        <w:rPr>
          <w:color w:val="auto"/>
          <w:sz w:val="22"/>
          <w:lang w:eastAsia="es-MX"/>
        </w:rPr>
        <w:t xml:space="preserve"> parte, </w:t>
      </w:r>
      <w:r w:rsidR="001D300C">
        <w:rPr>
          <w:color w:val="auto"/>
          <w:sz w:val="22"/>
          <w:lang w:eastAsia="es-MX"/>
        </w:rPr>
        <w:t>9.7</w:t>
      </w:r>
      <w:r w:rsidR="00E943C0" w:rsidRPr="00A341C6">
        <w:rPr>
          <w:color w:val="auto"/>
          <w:sz w:val="22"/>
          <w:lang w:eastAsia="es-MX"/>
        </w:rPr>
        <w:t xml:space="preserve">% de los ingresos totales de las </w:t>
      </w:r>
      <w:r>
        <w:rPr>
          <w:color w:val="auto"/>
          <w:sz w:val="22"/>
          <w:lang w:eastAsia="es-MX"/>
        </w:rPr>
        <w:t>e</w:t>
      </w:r>
      <w:r w:rsidR="001D300C">
        <w:rPr>
          <w:color w:val="auto"/>
          <w:sz w:val="22"/>
          <w:lang w:eastAsia="es-MX"/>
        </w:rPr>
        <w:t>mpresas constructoras</w:t>
      </w:r>
      <w:r w:rsidR="00E943C0" w:rsidRPr="00A341C6">
        <w:rPr>
          <w:color w:val="auto"/>
          <w:sz w:val="22"/>
          <w:lang w:eastAsia="es-MX"/>
        </w:rPr>
        <w:t xml:space="preserve"> durante 2020 se </w:t>
      </w:r>
      <w:r w:rsidR="00E943C0">
        <w:rPr>
          <w:color w:val="auto"/>
          <w:sz w:val="22"/>
          <w:lang w:eastAsia="es-MX"/>
        </w:rPr>
        <w:t>efectuaron utilizando un medio electrónico</w:t>
      </w:r>
      <w:r w:rsidR="00E943C0" w:rsidRPr="00A341C6">
        <w:rPr>
          <w:color w:val="auto"/>
          <w:sz w:val="22"/>
          <w:lang w:eastAsia="es-MX"/>
        </w:rPr>
        <w:t>.</w:t>
      </w:r>
    </w:p>
    <w:p w14:paraId="189E7726" w14:textId="77777777" w:rsidR="00E508D2" w:rsidRDefault="00E508D2" w:rsidP="00E943C0">
      <w:pPr>
        <w:pStyle w:val="Default"/>
        <w:jc w:val="both"/>
        <w:rPr>
          <w:color w:val="auto"/>
          <w:sz w:val="22"/>
          <w:lang w:eastAsia="es-MX"/>
        </w:rPr>
      </w:pPr>
    </w:p>
    <w:p w14:paraId="124DAA53" w14:textId="77777777" w:rsidR="005A1E42" w:rsidRDefault="00E943C0" w:rsidP="00E943C0">
      <w:pPr>
        <w:pStyle w:val="Default"/>
        <w:jc w:val="both"/>
        <w:rPr>
          <w:color w:val="auto"/>
          <w:sz w:val="22"/>
          <w:lang w:eastAsia="es-MX"/>
        </w:rPr>
      </w:pPr>
      <w:r w:rsidRPr="00A341C6">
        <w:rPr>
          <w:color w:val="auto"/>
          <w:sz w:val="22"/>
          <w:lang w:eastAsia="es-MX"/>
        </w:rPr>
        <w:t xml:space="preserve">La modalidad </w:t>
      </w:r>
      <w:r>
        <w:rPr>
          <w:color w:val="auto"/>
          <w:sz w:val="22"/>
          <w:lang w:eastAsia="es-MX"/>
        </w:rPr>
        <w:t xml:space="preserve">electrónica mediante la cual </w:t>
      </w:r>
      <w:r w:rsidRPr="00A341C6">
        <w:rPr>
          <w:color w:val="auto"/>
          <w:sz w:val="22"/>
          <w:lang w:eastAsia="es-MX"/>
        </w:rPr>
        <w:t>l</w:t>
      </w:r>
      <w:r w:rsidR="001D300C">
        <w:rPr>
          <w:color w:val="auto"/>
          <w:sz w:val="22"/>
          <w:lang w:eastAsia="es-MX"/>
        </w:rPr>
        <w:t>a</w:t>
      </w:r>
      <w:r w:rsidRPr="00A341C6">
        <w:rPr>
          <w:color w:val="auto"/>
          <w:sz w:val="22"/>
          <w:lang w:eastAsia="es-MX"/>
        </w:rPr>
        <w:t xml:space="preserve">s </w:t>
      </w:r>
      <w:r w:rsidR="00C841C8">
        <w:rPr>
          <w:color w:val="auto"/>
          <w:sz w:val="22"/>
          <w:lang w:eastAsia="es-MX"/>
        </w:rPr>
        <w:t>e</w:t>
      </w:r>
      <w:r w:rsidR="001D300C">
        <w:rPr>
          <w:color w:val="auto"/>
          <w:sz w:val="22"/>
          <w:lang w:eastAsia="es-MX"/>
        </w:rPr>
        <w:t xml:space="preserve">mpresas constructoras </w:t>
      </w:r>
      <w:r w:rsidRPr="00A341C6">
        <w:rPr>
          <w:color w:val="auto"/>
          <w:sz w:val="22"/>
          <w:lang w:eastAsia="es-MX"/>
        </w:rPr>
        <w:t xml:space="preserve">obtuvieron mayor cantidad de ingresos fue </w:t>
      </w:r>
      <w:r w:rsidR="001D300C">
        <w:rPr>
          <w:color w:val="auto"/>
          <w:sz w:val="22"/>
          <w:lang w:eastAsia="es-MX"/>
        </w:rPr>
        <w:t xml:space="preserve">la página web de la empresa </w:t>
      </w:r>
      <w:r w:rsidRPr="00A341C6">
        <w:rPr>
          <w:color w:val="auto"/>
          <w:sz w:val="22"/>
          <w:lang w:eastAsia="es-MX"/>
        </w:rPr>
        <w:t>con 3</w:t>
      </w:r>
      <w:r w:rsidR="001D300C">
        <w:rPr>
          <w:color w:val="auto"/>
          <w:sz w:val="22"/>
          <w:lang w:eastAsia="es-MX"/>
        </w:rPr>
        <w:t>2</w:t>
      </w:r>
      <w:r w:rsidRPr="00A341C6">
        <w:rPr>
          <w:color w:val="auto"/>
          <w:sz w:val="22"/>
          <w:lang w:eastAsia="es-MX"/>
        </w:rPr>
        <w:t>.5%, seguido de otra modalidad informática 3</w:t>
      </w:r>
      <w:r w:rsidR="001D300C">
        <w:rPr>
          <w:color w:val="auto"/>
          <w:sz w:val="22"/>
          <w:lang w:eastAsia="es-MX"/>
        </w:rPr>
        <w:t>0</w:t>
      </w:r>
      <w:r w:rsidRPr="00A341C6">
        <w:rPr>
          <w:color w:val="auto"/>
          <w:sz w:val="22"/>
          <w:lang w:eastAsia="es-MX"/>
        </w:rPr>
        <w:t xml:space="preserve">.7%, </w:t>
      </w:r>
      <w:r w:rsidR="001D300C">
        <w:rPr>
          <w:color w:val="auto"/>
          <w:sz w:val="22"/>
          <w:lang w:eastAsia="es-MX"/>
        </w:rPr>
        <w:t>correo electrónico</w:t>
      </w:r>
      <w:r w:rsidRPr="00A341C6">
        <w:rPr>
          <w:color w:val="auto"/>
          <w:sz w:val="22"/>
          <w:lang w:eastAsia="es-MX"/>
        </w:rPr>
        <w:t xml:space="preserve"> 2</w:t>
      </w:r>
      <w:r w:rsidR="001D300C">
        <w:rPr>
          <w:color w:val="auto"/>
          <w:sz w:val="22"/>
          <w:lang w:eastAsia="es-MX"/>
        </w:rPr>
        <w:t>4</w:t>
      </w:r>
      <w:r w:rsidRPr="00A341C6">
        <w:rPr>
          <w:color w:val="auto"/>
          <w:sz w:val="22"/>
          <w:lang w:eastAsia="es-MX"/>
        </w:rPr>
        <w:t xml:space="preserve">%, redes sociales </w:t>
      </w:r>
      <w:r w:rsidR="001D300C">
        <w:rPr>
          <w:color w:val="auto"/>
          <w:sz w:val="22"/>
          <w:lang w:eastAsia="es-MX"/>
        </w:rPr>
        <w:t>11</w:t>
      </w:r>
      <w:r w:rsidRPr="00A341C6">
        <w:rPr>
          <w:color w:val="auto"/>
          <w:sz w:val="22"/>
          <w:lang w:eastAsia="es-MX"/>
        </w:rPr>
        <w:t xml:space="preserve">% y páginas web de terceros </w:t>
      </w:r>
      <w:r w:rsidR="004C02D2">
        <w:rPr>
          <w:color w:val="auto"/>
          <w:sz w:val="22"/>
          <w:lang w:eastAsia="es-MX"/>
        </w:rPr>
        <w:t>1.8</w:t>
      </w:r>
      <w:r w:rsidRPr="00A341C6">
        <w:rPr>
          <w:color w:val="auto"/>
          <w:sz w:val="22"/>
          <w:lang w:eastAsia="es-MX"/>
        </w:rPr>
        <w:t xml:space="preserve"> por ciento.</w:t>
      </w:r>
    </w:p>
    <w:p w14:paraId="488BEA80" w14:textId="77777777" w:rsidR="004E37D0" w:rsidRDefault="004E37D0" w:rsidP="00E943C0">
      <w:pPr>
        <w:pStyle w:val="Default"/>
        <w:jc w:val="both"/>
        <w:rPr>
          <w:color w:val="auto"/>
          <w:sz w:val="22"/>
          <w:lang w:eastAsia="es-MX"/>
        </w:rPr>
      </w:pPr>
    </w:p>
    <w:p w14:paraId="3AAFFAC1" w14:textId="77777777" w:rsidR="004C02D2" w:rsidRPr="00A341C6" w:rsidRDefault="004C02D2" w:rsidP="004C02D2">
      <w:pPr>
        <w:pStyle w:val="Default"/>
        <w:jc w:val="center"/>
        <w:rPr>
          <w:b/>
          <w:color w:val="auto"/>
          <w:sz w:val="22"/>
          <w:lang w:eastAsia="es-MX"/>
        </w:rPr>
      </w:pPr>
      <w:r w:rsidRPr="00A341C6">
        <w:rPr>
          <w:b/>
          <w:color w:val="auto"/>
          <w:sz w:val="22"/>
          <w:lang w:eastAsia="es-MX"/>
        </w:rPr>
        <w:t xml:space="preserve">Gráfica </w:t>
      </w:r>
      <w:r>
        <w:rPr>
          <w:b/>
          <w:color w:val="auto"/>
          <w:sz w:val="22"/>
          <w:lang w:eastAsia="es-MX"/>
        </w:rPr>
        <w:t>7</w:t>
      </w:r>
      <w:r w:rsidR="00D47598">
        <w:rPr>
          <w:b/>
          <w:color w:val="auto"/>
          <w:sz w:val="22"/>
          <w:lang w:eastAsia="es-MX"/>
        </w:rPr>
        <w:t xml:space="preserve"> </w:t>
      </w:r>
    </w:p>
    <w:p w14:paraId="0C33982E" w14:textId="77777777" w:rsidR="00D47598" w:rsidRDefault="00D47598" w:rsidP="00D47598">
      <w:pPr>
        <w:pStyle w:val="Default"/>
        <w:jc w:val="center"/>
        <w:rPr>
          <w:b/>
          <w:color w:val="auto"/>
          <w:sz w:val="22"/>
          <w:vertAlign w:val="superscript"/>
          <w:lang w:eastAsia="es-MX"/>
        </w:rPr>
      </w:pPr>
      <w:r w:rsidRPr="003423D6">
        <w:rPr>
          <w:b/>
          <w:color w:val="auto"/>
          <w:sz w:val="22"/>
          <w:lang w:eastAsia="es-MX"/>
        </w:rPr>
        <w:t>Participación</w:t>
      </w:r>
      <w:r w:rsidRPr="004F75DC">
        <w:rPr>
          <w:b/>
          <w:color w:val="auto"/>
          <w:sz w:val="22"/>
          <w:lang w:eastAsia="es-MX"/>
        </w:rPr>
        <w:t xml:space="preserve"> de</w:t>
      </w:r>
      <w:r w:rsidRPr="0059171B">
        <w:rPr>
          <w:b/>
          <w:color w:val="auto"/>
          <w:sz w:val="22"/>
          <w:lang w:eastAsia="es-MX"/>
        </w:rPr>
        <w:t xml:space="preserve"> </w:t>
      </w:r>
      <w:r>
        <w:rPr>
          <w:b/>
          <w:color w:val="auto"/>
          <w:sz w:val="22"/>
          <w:lang w:eastAsia="es-MX"/>
        </w:rPr>
        <w:t xml:space="preserve">los medios de transacción en los </w:t>
      </w:r>
      <w:r w:rsidR="00C06D88">
        <w:rPr>
          <w:b/>
          <w:color w:val="auto"/>
          <w:sz w:val="22"/>
          <w:lang w:eastAsia="es-MX"/>
        </w:rPr>
        <w:t>ingresos</w:t>
      </w:r>
      <w:r>
        <w:rPr>
          <w:b/>
          <w:color w:val="auto"/>
          <w:sz w:val="22"/>
          <w:lang w:eastAsia="es-MX"/>
        </w:rPr>
        <w:t xml:space="preserve"> </w:t>
      </w:r>
      <w:r w:rsidR="00C06D88">
        <w:rPr>
          <w:b/>
          <w:color w:val="auto"/>
          <w:sz w:val="22"/>
          <w:lang w:eastAsia="es-MX"/>
        </w:rPr>
        <w:t>obtenidos</w:t>
      </w:r>
      <w:r w:rsidRPr="0059171B">
        <w:rPr>
          <w:b/>
          <w:color w:val="auto"/>
          <w:sz w:val="22"/>
          <w:lang w:eastAsia="es-MX"/>
        </w:rPr>
        <w:t xml:space="preserve"> a través de </w:t>
      </w:r>
      <w:r>
        <w:rPr>
          <w:b/>
          <w:color w:val="auto"/>
          <w:sz w:val="22"/>
          <w:lang w:eastAsia="es-MX"/>
        </w:rPr>
        <w:t xml:space="preserve">medios electrónicos de las empresas constructoras </w:t>
      </w:r>
    </w:p>
    <w:p w14:paraId="3261DCED" w14:textId="77777777" w:rsidR="005A1E42" w:rsidRDefault="00D47598" w:rsidP="00D47598">
      <w:pPr>
        <w:pStyle w:val="Default"/>
        <w:jc w:val="center"/>
        <w:rPr>
          <w:color w:val="auto"/>
          <w:sz w:val="22"/>
          <w:lang w:eastAsia="es-MX"/>
        </w:rPr>
      </w:pPr>
      <w:r>
        <w:rPr>
          <w:b/>
          <w:color w:val="auto"/>
          <w:sz w:val="22"/>
          <w:lang w:eastAsia="es-MX"/>
        </w:rPr>
        <w:t xml:space="preserve">(Porcentaje) </w:t>
      </w:r>
      <w:r w:rsidRPr="0059171B">
        <w:rPr>
          <w:b/>
          <w:color w:val="auto"/>
          <w:sz w:val="22"/>
          <w:lang w:eastAsia="es-MX"/>
        </w:rPr>
        <w:t xml:space="preserve"> </w:t>
      </w:r>
      <w:r w:rsidR="007D06A1">
        <w:rPr>
          <w:noProof/>
          <w:lang w:eastAsia="es-MX"/>
        </w:rPr>
        <w:drawing>
          <wp:inline distT="0" distB="0" distL="0" distR="0" wp14:anchorId="2A61C0E9" wp14:editId="03328550">
            <wp:extent cx="5697415" cy="2206870"/>
            <wp:effectExtent l="0" t="0" r="0" b="3175"/>
            <wp:docPr id="2" name="Gráfico 2">
              <a:extLst xmlns:a="http://schemas.openxmlformats.org/drawingml/2006/main">
                <a:ext uri="{FF2B5EF4-FFF2-40B4-BE49-F238E27FC236}">
                  <a16:creationId xmlns:a16="http://schemas.microsoft.com/office/drawing/2014/main" id="{9FB6AD78-7279-477B-B455-E5766AC485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F653D1F" w14:textId="77777777" w:rsidR="00D80625" w:rsidRDefault="00877043" w:rsidP="00D80625">
      <w:pPr>
        <w:pStyle w:val="Default"/>
        <w:jc w:val="both"/>
        <w:rPr>
          <w:color w:val="auto"/>
          <w:sz w:val="16"/>
          <w:lang w:eastAsia="es-MX"/>
        </w:rPr>
      </w:pPr>
      <w:r>
        <w:rPr>
          <w:color w:val="auto"/>
          <w:sz w:val="16"/>
          <w:vertAlign w:val="superscript"/>
          <w:lang w:eastAsia="es-MX"/>
        </w:rPr>
        <w:t xml:space="preserve">     </w:t>
      </w:r>
      <w:r w:rsidR="00B14B1C">
        <w:rPr>
          <w:color w:val="auto"/>
          <w:sz w:val="16"/>
          <w:vertAlign w:val="superscript"/>
          <w:lang w:eastAsia="es-MX"/>
        </w:rPr>
        <w:t>p</w:t>
      </w:r>
      <w:r w:rsidR="00D80625">
        <w:rPr>
          <w:color w:val="auto"/>
          <w:sz w:val="16"/>
          <w:vertAlign w:val="superscript"/>
          <w:lang w:eastAsia="es-MX"/>
        </w:rPr>
        <w:t>/</w:t>
      </w:r>
      <w:r w:rsidR="00AD1DD3">
        <w:rPr>
          <w:color w:val="auto"/>
          <w:sz w:val="16"/>
          <w:vertAlign w:val="superscript"/>
          <w:lang w:eastAsia="es-MX"/>
        </w:rPr>
        <w:t xml:space="preserve"> </w:t>
      </w:r>
      <w:r w:rsidR="00D80625">
        <w:rPr>
          <w:color w:val="auto"/>
          <w:sz w:val="16"/>
          <w:lang w:eastAsia="es-MX"/>
        </w:rPr>
        <w:t>Cifras preliminares</w:t>
      </w:r>
      <w:r w:rsidR="00B14B1C">
        <w:rPr>
          <w:color w:val="auto"/>
          <w:sz w:val="16"/>
          <w:lang w:eastAsia="es-MX"/>
        </w:rPr>
        <w:t>.</w:t>
      </w:r>
      <w:r w:rsidR="00D80625">
        <w:rPr>
          <w:color w:val="auto"/>
          <w:sz w:val="16"/>
          <w:lang w:eastAsia="es-MX"/>
        </w:rPr>
        <w:t xml:space="preserve"> </w:t>
      </w:r>
    </w:p>
    <w:p w14:paraId="19E6C3FA" w14:textId="77777777" w:rsidR="00D80625" w:rsidRPr="00BF15FB" w:rsidRDefault="0032613B" w:rsidP="00D80625">
      <w:pPr>
        <w:pStyle w:val="Default"/>
        <w:jc w:val="both"/>
        <w:rPr>
          <w:color w:val="auto"/>
          <w:sz w:val="16"/>
          <w:lang w:eastAsia="es-MX"/>
        </w:rPr>
      </w:pPr>
      <w:r>
        <w:rPr>
          <w:color w:val="auto"/>
          <w:sz w:val="16"/>
          <w:lang w:eastAsia="es-MX"/>
        </w:rPr>
        <w:t xml:space="preserve"> </w:t>
      </w:r>
      <w:r w:rsidR="00DE5673">
        <w:rPr>
          <w:color w:val="auto"/>
          <w:sz w:val="16"/>
          <w:lang w:eastAsia="es-MX"/>
        </w:rPr>
        <w:t xml:space="preserve"> </w:t>
      </w:r>
      <w:r w:rsidR="00877043">
        <w:rPr>
          <w:color w:val="auto"/>
          <w:sz w:val="16"/>
          <w:lang w:eastAsia="es-MX"/>
        </w:rPr>
        <w:t xml:space="preserve"> </w:t>
      </w:r>
      <w:r w:rsidR="00D80625" w:rsidRPr="00BF15FB">
        <w:rPr>
          <w:color w:val="auto"/>
          <w:sz w:val="16"/>
          <w:lang w:eastAsia="es-MX"/>
        </w:rPr>
        <w:t xml:space="preserve">Fuente: </w:t>
      </w:r>
      <w:r w:rsidR="00D80625" w:rsidRPr="00BF15FB">
        <w:rPr>
          <w:b/>
          <w:color w:val="auto"/>
          <w:sz w:val="16"/>
          <w:lang w:eastAsia="es-MX"/>
        </w:rPr>
        <w:t>INEGI</w:t>
      </w:r>
      <w:r w:rsidR="00B164D0">
        <w:rPr>
          <w:b/>
          <w:color w:val="auto"/>
          <w:sz w:val="16"/>
          <w:lang w:eastAsia="es-MX"/>
        </w:rPr>
        <w:t>.</w:t>
      </w:r>
    </w:p>
    <w:p w14:paraId="44F90F15" w14:textId="77777777" w:rsidR="00E01FB1" w:rsidRDefault="00E01FB1" w:rsidP="0098390A">
      <w:pPr>
        <w:pStyle w:val="Default"/>
        <w:jc w:val="center"/>
        <w:rPr>
          <w:b/>
          <w:color w:val="auto"/>
          <w:sz w:val="22"/>
          <w:lang w:eastAsia="es-MX"/>
        </w:rPr>
      </w:pPr>
    </w:p>
    <w:p w14:paraId="21C47A7D" w14:textId="77777777" w:rsidR="00351F4E" w:rsidRDefault="00351F4E" w:rsidP="00B14B1C">
      <w:pPr>
        <w:widowControl w:val="0"/>
        <w:autoSpaceDE w:val="0"/>
        <w:autoSpaceDN w:val="0"/>
        <w:adjustRightInd w:val="0"/>
        <w:spacing w:after="0" w:line="240" w:lineRule="auto"/>
        <w:jc w:val="center"/>
        <w:rPr>
          <w:rFonts w:ascii="Arial" w:hAnsi="Arial" w:cs="Arial"/>
          <w:b/>
          <w:szCs w:val="24"/>
          <w:lang w:eastAsia="es-MX"/>
        </w:rPr>
      </w:pPr>
    </w:p>
    <w:p w14:paraId="099BC96E" w14:textId="77777777" w:rsidR="00861B99" w:rsidRDefault="00861B99" w:rsidP="003E4974">
      <w:pPr>
        <w:pStyle w:val="Default"/>
        <w:jc w:val="both"/>
        <w:rPr>
          <w:color w:val="auto"/>
          <w:sz w:val="22"/>
          <w:lang w:eastAsia="es-MX"/>
        </w:rPr>
      </w:pPr>
    </w:p>
    <w:p w14:paraId="388B4765" w14:textId="77777777" w:rsidR="00861B99" w:rsidRDefault="00861B99" w:rsidP="003E4974">
      <w:pPr>
        <w:pStyle w:val="Default"/>
        <w:jc w:val="both"/>
        <w:rPr>
          <w:color w:val="auto"/>
          <w:sz w:val="22"/>
          <w:lang w:eastAsia="es-MX"/>
        </w:rPr>
      </w:pPr>
    </w:p>
    <w:p w14:paraId="523EBDA4" w14:textId="77777777" w:rsidR="00861B99" w:rsidRDefault="00861B99" w:rsidP="003E4974">
      <w:pPr>
        <w:pStyle w:val="Default"/>
        <w:jc w:val="both"/>
        <w:rPr>
          <w:color w:val="auto"/>
          <w:sz w:val="22"/>
          <w:lang w:eastAsia="es-MX"/>
        </w:rPr>
      </w:pPr>
    </w:p>
    <w:p w14:paraId="4BFE0F26" w14:textId="77777777" w:rsidR="00861B99" w:rsidRDefault="00861B99" w:rsidP="003E4974">
      <w:pPr>
        <w:pStyle w:val="Default"/>
        <w:jc w:val="both"/>
        <w:rPr>
          <w:color w:val="auto"/>
          <w:sz w:val="22"/>
          <w:lang w:eastAsia="es-MX"/>
        </w:rPr>
      </w:pPr>
    </w:p>
    <w:p w14:paraId="6C980516" w14:textId="77777777" w:rsidR="003E4974" w:rsidRDefault="003E4974" w:rsidP="003E4974">
      <w:pPr>
        <w:pStyle w:val="Default"/>
        <w:jc w:val="both"/>
        <w:rPr>
          <w:color w:val="auto"/>
          <w:sz w:val="22"/>
          <w:lang w:eastAsia="es-MX"/>
        </w:rPr>
      </w:pPr>
      <w:r>
        <w:rPr>
          <w:color w:val="auto"/>
          <w:sz w:val="22"/>
          <w:lang w:eastAsia="es-MX"/>
        </w:rPr>
        <w:t>La participación porcentual de las empresas que capacitaron al personal dependiente</w:t>
      </w:r>
      <w:r w:rsidR="00CB44B3">
        <w:rPr>
          <w:color w:val="auto"/>
          <w:sz w:val="22"/>
          <w:lang w:eastAsia="es-MX"/>
        </w:rPr>
        <w:t xml:space="preserve"> de la razón social</w:t>
      </w:r>
      <w:r>
        <w:rPr>
          <w:color w:val="auto"/>
          <w:sz w:val="22"/>
          <w:lang w:eastAsia="es-MX"/>
        </w:rPr>
        <w:t xml:space="preserve"> durante 2020 alcanzó un 25.4%, superando al nivel registrado en 2019 </w:t>
      </w:r>
      <w:r w:rsidR="00CB44B3">
        <w:rPr>
          <w:color w:val="auto"/>
          <w:sz w:val="22"/>
          <w:lang w:eastAsia="es-MX"/>
        </w:rPr>
        <w:t>que representaba 2</w:t>
      </w:r>
      <w:r>
        <w:rPr>
          <w:color w:val="auto"/>
          <w:sz w:val="22"/>
          <w:lang w:eastAsia="es-MX"/>
        </w:rPr>
        <w:t>1.7 por ciento.</w:t>
      </w:r>
    </w:p>
    <w:p w14:paraId="1F08067E" w14:textId="77777777" w:rsidR="00351F4E" w:rsidRDefault="00351F4E" w:rsidP="00B14B1C">
      <w:pPr>
        <w:widowControl w:val="0"/>
        <w:autoSpaceDE w:val="0"/>
        <w:autoSpaceDN w:val="0"/>
        <w:adjustRightInd w:val="0"/>
        <w:spacing w:after="0" w:line="240" w:lineRule="auto"/>
        <w:jc w:val="center"/>
        <w:rPr>
          <w:rFonts w:ascii="Arial" w:hAnsi="Arial" w:cs="Arial"/>
          <w:b/>
          <w:szCs w:val="24"/>
          <w:lang w:eastAsia="es-MX"/>
        </w:rPr>
      </w:pPr>
    </w:p>
    <w:p w14:paraId="11EDE006" w14:textId="77777777" w:rsidR="00B14B1C" w:rsidRPr="00E96F99" w:rsidRDefault="00B14B1C" w:rsidP="00B14B1C">
      <w:pPr>
        <w:widowControl w:val="0"/>
        <w:autoSpaceDE w:val="0"/>
        <w:autoSpaceDN w:val="0"/>
        <w:adjustRightInd w:val="0"/>
        <w:spacing w:after="0" w:line="240" w:lineRule="auto"/>
        <w:jc w:val="center"/>
        <w:rPr>
          <w:rFonts w:ascii="Arial" w:hAnsi="Arial" w:cs="Arial"/>
          <w:b/>
          <w:szCs w:val="24"/>
          <w:lang w:eastAsia="es-MX"/>
        </w:rPr>
      </w:pPr>
      <w:r w:rsidRPr="00E96F99">
        <w:rPr>
          <w:rFonts w:ascii="Arial" w:hAnsi="Arial" w:cs="Arial"/>
          <w:b/>
          <w:szCs w:val="24"/>
          <w:lang w:eastAsia="es-MX"/>
        </w:rPr>
        <w:t>Gráfica 8</w:t>
      </w:r>
    </w:p>
    <w:p w14:paraId="6DB80E42" w14:textId="77777777" w:rsidR="00B14B1C" w:rsidRDefault="00B14B1C" w:rsidP="00B14B1C">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Distribución de las empresas constructoras que capacitaron</w:t>
      </w:r>
    </w:p>
    <w:p w14:paraId="4907F023" w14:textId="77777777" w:rsidR="00B14B1C" w:rsidRDefault="00B14B1C" w:rsidP="00B14B1C">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al personal dependiente</w:t>
      </w:r>
    </w:p>
    <w:p w14:paraId="509459C9" w14:textId="77777777" w:rsidR="003E4974" w:rsidRDefault="00B14B1C" w:rsidP="003E4974">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(Porcentaje)</w:t>
      </w:r>
    </w:p>
    <w:p w14:paraId="66456383" w14:textId="77777777" w:rsidR="00B14B1C" w:rsidRDefault="00B14B1C" w:rsidP="003E4974">
      <w:pPr>
        <w:widowControl w:val="0"/>
        <w:autoSpaceDE w:val="0"/>
        <w:autoSpaceDN w:val="0"/>
        <w:adjustRightInd w:val="0"/>
        <w:spacing w:after="0" w:line="240" w:lineRule="auto"/>
        <w:jc w:val="center"/>
        <w:rPr>
          <w:rFonts w:ascii="Arial" w:hAnsi="Arial" w:cs="Arial"/>
          <w:b/>
          <w:bCs/>
          <w:color w:val="000000"/>
        </w:rPr>
      </w:pPr>
      <w:r>
        <w:rPr>
          <w:noProof/>
          <w:lang w:eastAsia="es-MX"/>
        </w:rPr>
        <w:drawing>
          <wp:inline distT="0" distB="0" distL="0" distR="0" wp14:anchorId="4430F94C" wp14:editId="25D8AB09">
            <wp:extent cx="4941277" cy="2549770"/>
            <wp:effectExtent l="0" t="0" r="0" b="3175"/>
            <wp:docPr id="5" name="Gráfico 5">
              <a:extLst xmlns:a="http://schemas.openxmlformats.org/drawingml/2006/main">
                <a:ext uri="{FF2B5EF4-FFF2-40B4-BE49-F238E27FC236}">
                  <a16:creationId xmlns:a16="http://schemas.microsoft.com/office/drawing/2014/main" id="{07056783-978A-46DE-94F4-25EC16214E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F077D39" w14:textId="77777777" w:rsidR="00B14B1C" w:rsidRDefault="00B14B1C" w:rsidP="00B14B1C">
      <w:pPr>
        <w:pStyle w:val="Default"/>
        <w:jc w:val="both"/>
        <w:rPr>
          <w:color w:val="auto"/>
          <w:sz w:val="16"/>
          <w:lang w:eastAsia="es-MX"/>
        </w:rPr>
      </w:pPr>
      <w:r>
        <w:rPr>
          <w:color w:val="auto"/>
          <w:sz w:val="16"/>
          <w:vertAlign w:val="superscript"/>
          <w:lang w:eastAsia="es-MX"/>
        </w:rPr>
        <w:t xml:space="preserve">     P/ </w:t>
      </w:r>
      <w:r>
        <w:rPr>
          <w:color w:val="auto"/>
          <w:sz w:val="16"/>
          <w:lang w:eastAsia="es-MX"/>
        </w:rPr>
        <w:t>Cifras preliminares</w:t>
      </w:r>
      <w:r w:rsidR="00037E53">
        <w:rPr>
          <w:color w:val="auto"/>
          <w:sz w:val="16"/>
          <w:lang w:eastAsia="es-MX"/>
        </w:rPr>
        <w:t>.</w:t>
      </w:r>
      <w:r>
        <w:rPr>
          <w:color w:val="auto"/>
          <w:sz w:val="16"/>
          <w:lang w:eastAsia="es-MX"/>
        </w:rPr>
        <w:t xml:space="preserve"> </w:t>
      </w:r>
    </w:p>
    <w:p w14:paraId="2D5BA503" w14:textId="77777777" w:rsidR="00B14B1C" w:rsidRPr="00BF15FB" w:rsidRDefault="00B14B1C" w:rsidP="00B14B1C">
      <w:pPr>
        <w:pStyle w:val="Default"/>
        <w:jc w:val="both"/>
        <w:rPr>
          <w:color w:val="auto"/>
          <w:sz w:val="16"/>
          <w:lang w:eastAsia="es-MX"/>
        </w:rPr>
      </w:pPr>
      <w:r>
        <w:rPr>
          <w:color w:val="auto"/>
          <w:sz w:val="16"/>
          <w:lang w:eastAsia="es-MX"/>
        </w:rPr>
        <w:t xml:space="preserve">    </w:t>
      </w:r>
      <w:r w:rsidRPr="00BF15FB">
        <w:rPr>
          <w:color w:val="auto"/>
          <w:sz w:val="16"/>
          <w:lang w:eastAsia="es-MX"/>
        </w:rPr>
        <w:t xml:space="preserve">Fuente: </w:t>
      </w:r>
      <w:r w:rsidRPr="00BF15FB">
        <w:rPr>
          <w:b/>
          <w:color w:val="auto"/>
          <w:sz w:val="16"/>
          <w:lang w:eastAsia="es-MX"/>
        </w:rPr>
        <w:t>INEGI</w:t>
      </w:r>
      <w:r>
        <w:rPr>
          <w:b/>
          <w:color w:val="auto"/>
          <w:sz w:val="16"/>
          <w:lang w:eastAsia="es-MX"/>
        </w:rPr>
        <w:t>.</w:t>
      </w:r>
    </w:p>
    <w:p w14:paraId="2FD62B7F" w14:textId="77777777" w:rsidR="00B14B1C" w:rsidRPr="00B14B1C" w:rsidRDefault="00B14B1C" w:rsidP="002C2D13">
      <w:pPr>
        <w:pStyle w:val="Default"/>
        <w:jc w:val="both"/>
        <w:rPr>
          <w:b/>
          <w:color w:val="auto"/>
          <w:sz w:val="22"/>
          <w:szCs w:val="22"/>
          <w:lang w:eastAsia="es-MX"/>
        </w:rPr>
      </w:pPr>
    </w:p>
    <w:p w14:paraId="464F84F2" w14:textId="77777777" w:rsidR="000022AA" w:rsidRDefault="000022AA" w:rsidP="002008B8">
      <w:pPr>
        <w:widowControl w:val="0"/>
        <w:autoSpaceDE w:val="0"/>
        <w:autoSpaceDN w:val="0"/>
        <w:adjustRightInd w:val="0"/>
        <w:spacing w:after="0" w:line="240" w:lineRule="auto"/>
        <w:jc w:val="both"/>
        <w:rPr>
          <w:rFonts w:ascii="Arial" w:hAnsi="Arial" w:cs="Arial"/>
          <w:color w:val="000000"/>
        </w:rPr>
      </w:pPr>
      <w:r w:rsidRPr="002008B8">
        <w:rPr>
          <w:rFonts w:ascii="Arial" w:hAnsi="Arial" w:cs="Arial"/>
          <w:color w:val="000000"/>
        </w:rPr>
        <w:t>Como parte de la oferta estadística de la EAEC</w:t>
      </w:r>
      <w:r w:rsidR="002008B8" w:rsidRPr="002008B8">
        <w:rPr>
          <w:rFonts w:ascii="Arial" w:hAnsi="Arial" w:cs="Arial"/>
          <w:color w:val="000000"/>
        </w:rPr>
        <w:t xml:space="preserve"> se generan resultados por entidad federativa</w:t>
      </w:r>
      <w:r w:rsidR="00C841C8">
        <w:rPr>
          <w:rFonts w:ascii="Arial" w:hAnsi="Arial" w:cs="Arial"/>
          <w:color w:val="000000"/>
        </w:rPr>
        <w:t>.</w:t>
      </w:r>
      <w:r w:rsidR="002008B8">
        <w:rPr>
          <w:rFonts w:ascii="Arial" w:hAnsi="Arial" w:cs="Arial"/>
          <w:color w:val="000000"/>
        </w:rPr>
        <w:t xml:space="preserve"> </w:t>
      </w:r>
      <w:r w:rsidR="00C841C8">
        <w:rPr>
          <w:rFonts w:ascii="Arial" w:hAnsi="Arial" w:cs="Arial"/>
          <w:color w:val="000000"/>
        </w:rPr>
        <w:t>A</w:t>
      </w:r>
      <w:r w:rsidRPr="002008B8">
        <w:rPr>
          <w:rFonts w:ascii="Arial" w:hAnsi="Arial" w:cs="Arial"/>
          <w:color w:val="000000"/>
        </w:rPr>
        <w:t xml:space="preserve"> </w:t>
      </w:r>
      <w:r w:rsidR="002008B8" w:rsidRPr="002008B8">
        <w:rPr>
          <w:rFonts w:ascii="Arial" w:hAnsi="Arial" w:cs="Arial"/>
          <w:color w:val="000000"/>
        </w:rPr>
        <w:t>continuación,</w:t>
      </w:r>
      <w:r w:rsidRPr="002008B8">
        <w:rPr>
          <w:rFonts w:ascii="Arial" w:hAnsi="Arial" w:cs="Arial"/>
          <w:color w:val="000000"/>
        </w:rPr>
        <w:t xml:space="preserve"> se presentan </w:t>
      </w:r>
      <w:r w:rsidR="003D0D54">
        <w:rPr>
          <w:rFonts w:ascii="Arial" w:hAnsi="Arial" w:cs="Arial"/>
          <w:color w:val="000000"/>
        </w:rPr>
        <w:t>lo</w:t>
      </w:r>
      <w:r w:rsidR="002008B8">
        <w:rPr>
          <w:rFonts w:ascii="Arial" w:hAnsi="Arial" w:cs="Arial"/>
          <w:color w:val="000000"/>
        </w:rPr>
        <w:t>s dos principa</w:t>
      </w:r>
      <w:r w:rsidR="00C841C8">
        <w:rPr>
          <w:rFonts w:ascii="Arial" w:hAnsi="Arial" w:cs="Arial"/>
          <w:color w:val="000000"/>
        </w:rPr>
        <w:t>les indicadores de la encuesta con dicho nivel de desagregación.</w:t>
      </w:r>
    </w:p>
    <w:p w14:paraId="73AC21A3" w14:textId="77777777" w:rsidR="0091411F" w:rsidRDefault="0091411F" w:rsidP="000022AA">
      <w:pPr>
        <w:widowControl w:val="0"/>
        <w:autoSpaceDE w:val="0"/>
        <w:autoSpaceDN w:val="0"/>
        <w:adjustRightInd w:val="0"/>
        <w:spacing w:after="0" w:line="240" w:lineRule="auto"/>
        <w:jc w:val="center"/>
        <w:rPr>
          <w:rFonts w:ascii="Arial" w:hAnsi="Arial" w:cs="Arial"/>
          <w:b/>
          <w:bCs/>
          <w:color w:val="000000"/>
        </w:rPr>
      </w:pPr>
    </w:p>
    <w:p w14:paraId="2D934F5F" w14:textId="77777777" w:rsidR="0091411F" w:rsidRDefault="0091411F" w:rsidP="000022AA">
      <w:pPr>
        <w:widowControl w:val="0"/>
        <w:autoSpaceDE w:val="0"/>
        <w:autoSpaceDN w:val="0"/>
        <w:adjustRightInd w:val="0"/>
        <w:spacing w:after="0" w:line="240" w:lineRule="auto"/>
        <w:jc w:val="center"/>
        <w:rPr>
          <w:rFonts w:ascii="Arial" w:hAnsi="Arial" w:cs="Arial"/>
          <w:b/>
          <w:bCs/>
          <w:color w:val="000000"/>
        </w:rPr>
      </w:pPr>
    </w:p>
    <w:p w14:paraId="0758AB62"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6FB38718"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5552A246"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5E282953"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45C64372"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621654A3"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0DB9E475"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2F7E1DEB"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144E89CE"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2409579D"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1572E938"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7469D23F"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1AB3B0FA"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7A99247C"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601995B1"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50908FD3"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54EA7A67"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426698B6"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74FD490B" w14:textId="77777777" w:rsidR="00861B99" w:rsidRDefault="00861B99" w:rsidP="000022AA">
      <w:pPr>
        <w:widowControl w:val="0"/>
        <w:autoSpaceDE w:val="0"/>
        <w:autoSpaceDN w:val="0"/>
        <w:adjustRightInd w:val="0"/>
        <w:spacing w:after="0" w:line="240" w:lineRule="auto"/>
        <w:jc w:val="center"/>
        <w:rPr>
          <w:rFonts w:ascii="Arial" w:hAnsi="Arial" w:cs="Arial"/>
          <w:b/>
          <w:bCs/>
          <w:color w:val="000000"/>
        </w:rPr>
      </w:pPr>
    </w:p>
    <w:p w14:paraId="33E81D6A" w14:textId="77777777" w:rsidR="000022AA" w:rsidRDefault="000022AA" w:rsidP="000022AA">
      <w:pPr>
        <w:widowControl w:val="0"/>
        <w:autoSpaceDE w:val="0"/>
        <w:autoSpaceDN w:val="0"/>
        <w:adjustRightInd w:val="0"/>
        <w:spacing w:after="0" w:line="240" w:lineRule="auto"/>
        <w:jc w:val="center"/>
        <w:rPr>
          <w:rFonts w:ascii="Arial" w:hAnsi="Arial" w:cs="Arial"/>
          <w:b/>
          <w:bCs/>
          <w:color w:val="000000"/>
        </w:rPr>
      </w:pPr>
      <w:r w:rsidRPr="008C216B">
        <w:rPr>
          <w:rFonts w:ascii="Arial" w:hAnsi="Arial" w:cs="Arial"/>
          <w:b/>
          <w:bCs/>
          <w:color w:val="000000"/>
        </w:rPr>
        <w:lastRenderedPageBreak/>
        <w:t xml:space="preserve">Cuadro </w:t>
      </w:r>
      <w:r w:rsidR="002C2D13">
        <w:rPr>
          <w:rFonts w:ascii="Arial" w:hAnsi="Arial" w:cs="Arial"/>
          <w:b/>
          <w:bCs/>
          <w:color w:val="000000"/>
        </w:rPr>
        <w:t>8</w:t>
      </w:r>
    </w:p>
    <w:p w14:paraId="6ABD2D11" w14:textId="77777777" w:rsidR="00C841C8" w:rsidRPr="00B14B1C" w:rsidRDefault="002008B8" w:rsidP="000022AA">
      <w:pPr>
        <w:widowControl w:val="0"/>
        <w:autoSpaceDE w:val="0"/>
        <w:autoSpaceDN w:val="0"/>
        <w:adjustRightInd w:val="0"/>
        <w:spacing w:after="0" w:line="240" w:lineRule="auto"/>
        <w:jc w:val="center"/>
        <w:rPr>
          <w:rFonts w:ascii="Arial" w:hAnsi="Arial" w:cs="Arial"/>
          <w:b/>
          <w:bCs/>
          <w:color w:val="000000"/>
        </w:rPr>
      </w:pPr>
      <w:r w:rsidRPr="00B14B1C">
        <w:rPr>
          <w:rFonts w:ascii="Arial" w:hAnsi="Arial" w:cs="Arial"/>
          <w:b/>
          <w:bCs/>
          <w:color w:val="000000"/>
        </w:rPr>
        <w:t>Personal ocupado</w:t>
      </w:r>
      <w:r w:rsidR="00C841C8" w:rsidRPr="00B14B1C">
        <w:rPr>
          <w:rFonts w:ascii="Arial" w:hAnsi="Arial" w:cs="Arial"/>
          <w:b/>
          <w:bCs/>
          <w:color w:val="000000"/>
        </w:rPr>
        <w:t xml:space="preserve"> total de las empresas constructoras,</w:t>
      </w:r>
    </w:p>
    <w:p w14:paraId="7676E2E7" w14:textId="77777777" w:rsidR="00C26349" w:rsidRPr="00B14B1C" w:rsidRDefault="00C841C8" w:rsidP="000022AA">
      <w:pPr>
        <w:widowControl w:val="0"/>
        <w:autoSpaceDE w:val="0"/>
        <w:autoSpaceDN w:val="0"/>
        <w:adjustRightInd w:val="0"/>
        <w:spacing w:after="0" w:line="240" w:lineRule="auto"/>
        <w:jc w:val="center"/>
        <w:rPr>
          <w:rFonts w:ascii="Arial" w:hAnsi="Arial" w:cs="Arial"/>
          <w:b/>
          <w:bCs/>
          <w:color w:val="000000"/>
        </w:rPr>
      </w:pPr>
      <w:r w:rsidRPr="00B14B1C">
        <w:rPr>
          <w:rFonts w:ascii="Arial" w:hAnsi="Arial" w:cs="Arial"/>
          <w:b/>
          <w:bCs/>
          <w:color w:val="000000"/>
        </w:rPr>
        <w:t xml:space="preserve"> por entidad federativa</w:t>
      </w:r>
      <w:r w:rsidR="00C26349" w:rsidRPr="00B14B1C">
        <w:rPr>
          <w:rFonts w:ascii="Arial" w:hAnsi="Arial" w:cs="Arial"/>
          <w:b/>
          <w:bCs/>
          <w:color w:val="000000"/>
        </w:rPr>
        <w:t>,</w:t>
      </w:r>
      <w:r w:rsidRPr="00B14B1C">
        <w:rPr>
          <w:rFonts w:ascii="Arial" w:hAnsi="Arial" w:cs="Arial"/>
          <w:b/>
          <w:bCs/>
          <w:color w:val="000000"/>
        </w:rPr>
        <w:t xml:space="preserve"> </w:t>
      </w:r>
      <w:r w:rsidR="00C26349" w:rsidRPr="00B14B1C">
        <w:rPr>
          <w:rFonts w:ascii="Arial" w:hAnsi="Arial" w:cs="Arial"/>
          <w:b/>
          <w:lang w:eastAsia="es-MX"/>
        </w:rPr>
        <w:t>2020</w:t>
      </w:r>
      <w:r w:rsidR="00B14B1C" w:rsidRPr="00B14B1C">
        <w:rPr>
          <w:rFonts w:ascii="Arial" w:hAnsi="Arial" w:cs="Arial"/>
          <w:b/>
          <w:vertAlign w:val="superscript"/>
          <w:lang w:eastAsia="es-MX"/>
        </w:rPr>
        <w:t>p</w:t>
      </w:r>
      <w:r w:rsidR="00C26349" w:rsidRPr="00B14B1C">
        <w:rPr>
          <w:rFonts w:ascii="Arial" w:hAnsi="Arial" w:cs="Arial"/>
          <w:b/>
          <w:vertAlign w:val="superscript"/>
          <w:lang w:eastAsia="es-MX"/>
        </w:rPr>
        <w:t>/</w:t>
      </w:r>
    </w:p>
    <w:tbl>
      <w:tblPr>
        <w:tblW w:w="8828" w:type="dxa"/>
        <w:jc w:val="center"/>
        <w:tblCellMar>
          <w:left w:w="70" w:type="dxa"/>
          <w:right w:w="70" w:type="dxa"/>
        </w:tblCellMar>
        <w:tblLook w:val="04A0" w:firstRow="1" w:lastRow="0" w:firstColumn="1" w:lastColumn="0" w:noHBand="0" w:noVBand="1"/>
      </w:tblPr>
      <w:tblGrid>
        <w:gridCol w:w="3763"/>
        <w:gridCol w:w="1778"/>
        <w:gridCol w:w="972"/>
        <w:gridCol w:w="2315"/>
      </w:tblGrid>
      <w:tr w:rsidR="00B14B1C" w:rsidRPr="00954BB9" w14:paraId="10ED3C19" w14:textId="77777777" w:rsidTr="00B14B1C">
        <w:trPr>
          <w:trHeight w:val="561"/>
          <w:jc w:val="center"/>
        </w:trPr>
        <w:tc>
          <w:tcPr>
            <w:tcW w:w="376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49EBB02D" w14:textId="77777777" w:rsidR="00B14B1C" w:rsidRPr="00954BB9" w:rsidRDefault="00B14B1C" w:rsidP="002652BF">
            <w:pPr>
              <w:spacing w:after="0" w:line="240" w:lineRule="auto"/>
              <w:jc w:val="center"/>
              <w:rPr>
                <w:rFonts w:ascii="Arial" w:eastAsia="Times New Roman" w:hAnsi="Arial" w:cs="Arial"/>
                <w:b/>
                <w:bCs/>
                <w:sz w:val="20"/>
                <w:szCs w:val="20"/>
                <w:lang w:eastAsia="es-MX"/>
              </w:rPr>
            </w:pPr>
            <w:r w:rsidRPr="00954BB9">
              <w:rPr>
                <w:rFonts w:ascii="Arial" w:eastAsia="Times New Roman" w:hAnsi="Arial" w:cs="Arial"/>
                <w:b/>
                <w:bCs/>
                <w:sz w:val="20"/>
                <w:szCs w:val="20"/>
                <w:lang w:eastAsia="es-MX"/>
              </w:rPr>
              <w:t xml:space="preserve">Entidad federativa </w:t>
            </w:r>
          </w:p>
        </w:tc>
        <w:tc>
          <w:tcPr>
            <w:tcW w:w="1778"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14:paraId="71D29CB7" w14:textId="77777777" w:rsidR="00B14B1C" w:rsidRPr="00954BB9" w:rsidRDefault="00B14B1C" w:rsidP="002652BF">
            <w:pPr>
              <w:spacing w:after="0" w:line="240" w:lineRule="auto"/>
              <w:jc w:val="center"/>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Número de personas</w:t>
            </w:r>
          </w:p>
        </w:tc>
        <w:tc>
          <w:tcPr>
            <w:tcW w:w="972" w:type="dxa"/>
            <w:tcBorders>
              <w:top w:val="single" w:sz="4" w:space="0" w:color="auto"/>
              <w:left w:val="nil"/>
              <w:bottom w:val="single" w:sz="4" w:space="0" w:color="auto"/>
              <w:right w:val="nil"/>
            </w:tcBorders>
            <w:shd w:val="clear" w:color="auto" w:fill="FFD966" w:themeFill="accent4" w:themeFillTint="99"/>
          </w:tcPr>
          <w:p w14:paraId="37D307AD" w14:textId="77777777" w:rsidR="00B14B1C" w:rsidRPr="00954BB9" w:rsidRDefault="00B14B1C" w:rsidP="002652BF">
            <w:pPr>
              <w:spacing w:after="0" w:line="240" w:lineRule="auto"/>
              <w:jc w:val="center"/>
              <w:rPr>
                <w:rFonts w:ascii="Arial" w:eastAsia="Times New Roman" w:hAnsi="Arial" w:cs="Arial"/>
                <w:b/>
                <w:bCs/>
                <w:color w:val="000000"/>
                <w:sz w:val="20"/>
                <w:szCs w:val="20"/>
                <w:lang w:eastAsia="es-MX"/>
              </w:rPr>
            </w:pPr>
          </w:p>
        </w:tc>
        <w:tc>
          <w:tcPr>
            <w:tcW w:w="2315"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14:paraId="35DA409B" w14:textId="77777777" w:rsidR="00B14B1C" w:rsidRPr="00954BB9" w:rsidRDefault="00B14B1C" w:rsidP="002652BF">
            <w:pPr>
              <w:spacing w:after="0" w:line="240" w:lineRule="auto"/>
              <w:jc w:val="center"/>
              <w:rPr>
                <w:rFonts w:ascii="Arial" w:eastAsia="Times New Roman" w:hAnsi="Arial" w:cs="Arial"/>
                <w:b/>
                <w:bCs/>
                <w:color w:val="000000"/>
                <w:sz w:val="20"/>
                <w:szCs w:val="20"/>
                <w:lang w:eastAsia="es-MX"/>
              </w:rPr>
            </w:pPr>
            <w:r w:rsidRPr="00954BB9">
              <w:rPr>
                <w:rFonts w:ascii="Arial" w:eastAsia="Times New Roman" w:hAnsi="Arial" w:cs="Arial"/>
                <w:b/>
                <w:bCs/>
                <w:color w:val="000000"/>
                <w:sz w:val="20"/>
                <w:szCs w:val="20"/>
                <w:lang w:eastAsia="es-MX"/>
              </w:rPr>
              <w:t>Participación porcentual</w:t>
            </w:r>
          </w:p>
        </w:tc>
      </w:tr>
      <w:tr w:rsidR="00B14B1C" w:rsidRPr="00954BB9" w14:paraId="6278DF37"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782750FD" w14:textId="77777777" w:rsidR="00B14B1C" w:rsidRPr="00954BB9" w:rsidRDefault="00B14B1C" w:rsidP="002652BF">
            <w:pPr>
              <w:spacing w:after="0" w:line="240" w:lineRule="auto"/>
              <w:rPr>
                <w:rFonts w:ascii="Arial" w:eastAsia="Times New Roman" w:hAnsi="Arial" w:cs="Arial"/>
                <w:b/>
                <w:bCs/>
                <w:sz w:val="20"/>
                <w:szCs w:val="20"/>
                <w:lang w:eastAsia="es-MX"/>
              </w:rPr>
            </w:pPr>
            <w:r w:rsidRPr="00954BB9">
              <w:rPr>
                <w:rFonts w:ascii="Arial" w:eastAsia="Times New Roman" w:hAnsi="Arial" w:cs="Arial"/>
                <w:b/>
                <w:bCs/>
                <w:sz w:val="20"/>
                <w:szCs w:val="20"/>
                <w:lang w:eastAsia="es-MX"/>
              </w:rPr>
              <w:t>Estados Unidos Mexicanos</w:t>
            </w:r>
          </w:p>
        </w:tc>
        <w:tc>
          <w:tcPr>
            <w:tcW w:w="1778" w:type="dxa"/>
            <w:tcBorders>
              <w:top w:val="nil"/>
              <w:left w:val="nil"/>
              <w:bottom w:val="single" w:sz="4" w:space="0" w:color="auto"/>
              <w:right w:val="single" w:sz="4" w:space="0" w:color="auto"/>
            </w:tcBorders>
            <w:shd w:val="clear" w:color="auto" w:fill="auto"/>
            <w:noWrap/>
            <w:vAlign w:val="center"/>
            <w:hideMark/>
          </w:tcPr>
          <w:p w14:paraId="175AE5CF" w14:textId="77777777" w:rsidR="00B14B1C" w:rsidRPr="00954BB9" w:rsidRDefault="00B14B1C" w:rsidP="006547B3">
            <w:pPr>
              <w:spacing w:after="0" w:line="240" w:lineRule="auto"/>
              <w:jc w:val="right"/>
              <w:rPr>
                <w:rFonts w:ascii="Arial" w:eastAsia="Times New Roman" w:hAnsi="Arial" w:cs="Arial"/>
                <w:b/>
                <w:bCs/>
                <w:sz w:val="20"/>
                <w:szCs w:val="20"/>
                <w:lang w:eastAsia="es-MX"/>
              </w:rPr>
            </w:pPr>
            <w:r w:rsidRPr="00954BB9">
              <w:rPr>
                <w:rFonts w:ascii="Arial" w:eastAsia="Times New Roman" w:hAnsi="Arial" w:cs="Arial"/>
                <w:b/>
                <w:bCs/>
                <w:sz w:val="20"/>
                <w:szCs w:val="20"/>
                <w:lang w:eastAsia="es-MX"/>
              </w:rPr>
              <w:t>541</w:t>
            </w:r>
            <w:r w:rsidR="00861B99">
              <w:rPr>
                <w:rFonts w:ascii="Arial" w:eastAsia="Times New Roman" w:hAnsi="Arial" w:cs="Arial"/>
                <w:b/>
                <w:bCs/>
                <w:sz w:val="20"/>
                <w:szCs w:val="20"/>
                <w:lang w:eastAsia="es-MX"/>
              </w:rPr>
              <w:t xml:space="preserve"> </w:t>
            </w:r>
            <w:r w:rsidRPr="00954BB9">
              <w:rPr>
                <w:rFonts w:ascii="Arial" w:eastAsia="Times New Roman" w:hAnsi="Arial" w:cs="Arial"/>
                <w:b/>
                <w:bCs/>
                <w:sz w:val="20"/>
                <w:szCs w:val="20"/>
                <w:lang w:eastAsia="es-MX"/>
              </w:rPr>
              <w:t>214</w:t>
            </w:r>
          </w:p>
        </w:tc>
        <w:tc>
          <w:tcPr>
            <w:tcW w:w="972" w:type="dxa"/>
            <w:tcBorders>
              <w:top w:val="nil"/>
              <w:left w:val="nil"/>
              <w:bottom w:val="single" w:sz="4" w:space="0" w:color="auto"/>
              <w:right w:val="nil"/>
            </w:tcBorders>
          </w:tcPr>
          <w:p w14:paraId="152EFF42" w14:textId="77777777" w:rsidR="00B14B1C" w:rsidRPr="00954BB9" w:rsidRDefault="00B14B1C" w:rsidP="006547B3">
            <w:pPr>
              <w:spacing w:after="0" w:line="240" w:lineRule="auto"/>
              <w:jc w:val="right"/>
              <w:rPr>
                <w:rFonts w:ascii="Arial" w:eastAsia="Times New Roman" w:hAnsi="Arial" w:cs="Arial"/>
                <w:b/>
                <w:bCs/>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47033E46" w14:textId="77777777" w:rsidR="00B14B1C" w:rsidRPr="00954BB9" w:rsidRDefault="00B14B1C" w:rsidP="006547B3">
            <w:pPr>
              <w:spacing w:after="0" w:line="240" w:lineRule="auto"/>
              <w:jc w:val="right"/>
              <w:rPr>
                <w:rFonts w:ascii="Arial" w:eastAsia="Times New Roman" w:hAnsi="Arial" w:cs="Arial"/>
                <w:b/>
                <w:bCs/>
                <w:sz w:val="20"/>
                <w:szCs w:val="20"/>
                <w:lang w:eastAsia="es-MX"/>
              </w:rPr>
            </w:pPr>
            <w:r w:rsidRPr="00954BB9">
              <w:rPr>
                <w:rFonts w:ascii="Arial" w:eastAsia="Times New Roman" w:hAnsi="Arial" w:cs="Arial"/>
                <w:b/>
                <w:bCs/>
                <w:sz w:val="20"/>
                <w:szCs w:val="20"/>
                <w:lang w:eastAsia="es-MX"/>
              </w:rPr>
              <w:t>100.0</w:t>
            </w:r>
          </w:p>
        </w:tc>
      </w:tr>
      <w:tr w:rsidR="00B14B1C" w:rsidRPr="00954BB9" w14:paraId="0E084574"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52182E60"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Aguascalientes</w:t>
            </w:r>
          </w:p>
        </w:tc>
        <w:tc>
          <w:tcPr>
            <w:tcW w:w="1778" w:type="dxa"/>
            <w:tcBorders>
              <w:top w:val="nil"/>
              <w:left w:val="nil"/>
              <w:bottom w:val="single" w:sz="4" w:space="0" w:color="auto"/>
              <w:right w:val="single" w:sz="4" w:space="0" w:color="auto"/>
            </w:tcBorders>
            <w:shd w:val="clear" w:color="auto" w:fill="auto"/>
            <w:noWrap/>
            <w:vAlign w:val="center"/>
            <w:hideMark/>
          </w:tcPr>
          <w:p w14:paraId="04B7FA36"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7</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938</w:t>
            </w:r>
          </w:p>
        </w:tc>
        <w:tc>
          <w:tcPr>
            <w:tcW w:w="972" w:type="dxa"/>
            <w:tcBorders>
              <w:top w:val="nil"/>
              <w:left w:val="nil"/>
              <w:bottom w:val="single" w:sz="4" w:space="0" w:color="auto"/>
              <w:right w:val="nil"/>
            </w:tcBorders>
          </w:tcPr>
          <w:p w14:paraId="21069B39"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157D96A0"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1.5</w:t>
            </w:r>
          </w:p>
        </w:tc>
      </w:tr>
      <w:tr w:rsidR="00B14B1C" w:rsidRPr="00954BB9" w14:paraId="05FA6915"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6E5D37FF"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Baja California</w:t>
            </w:r>
          </w:p>
        </w:tc>
        <w:tc>
          <w:tcPr>
            <w:tcW w:w="1778" w:type="dxa"/>
            <w:tcBorders>
              <w:top w:val="nil"/>
              <w:left w:val="nil"/>
              <w:bottom w:val="single" w:sz="4" w:space="0" w:color="auto"/>
              <w:right w:val="single" w:sz="4" w:space="0" w:color="auto"/>
            </w:tcBorders>
            <w:shd w:val="clear" w:color="auto" w:fill="auto"/>
            <w:noWrap/>
            <w:vAlign w:val="center"/>
            <w:hideMark/>
          </w:tcPr>
          <w:p w14:paraId="093A2F12"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16432</w:t>
            </w:r>
          </w:p>
        </w:tc>
        <w:tc>
          <w:tcPr>
            <w:tcW w:w="972" w:type="dxa"/>
            <w:tcBorders>
              <w:top w:val="nil"/>
              <w:left w:val="nil"/>
              <w:bottom w:val="single" w:sz="4" w:space="0" w:color="auto"/>
              <w:right w:val="nil"/>
            </w:tcBorders>
          </w:tcPr>
          <w:p w14:paraId="182C7BB7"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7D92DB77"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3.0</w:t>
            </w:r>
          </w:p>
        </w:tc>
      </w:tr>
      <w:tr w:rsidR="00B14B1C" w:rsidRPr="00954BB9" w14:paraId="49C37F56"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729E000D"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Baja California Sur</w:t>
            </w:r>
          </w:p>
        </w:tc>
        <w:tc>
          <w:tcPr>
            <w:tcW w:w="1778" w:type="dxa"/>
            <w:tcBorders>
              <w:top w:val="nil"/>
              <w:left w:val="nil"/>
              <w:bottom w:val="single" w:sz="4" w:space="0" w:color="auto"/>
              <w:right w:val="single" w:sz="4" w:space="0" w:color="auto"/>
            </w:tcBorders>
            <w:shd w:val="clear" w:color="auto" w:fill="auto"/>
            <w:noWrap/>
            <w:vAlign w:val="center"/>
            <w:hideMark/>
          </w:tcPr>
          <w:p w14:paraId="3274E01E"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5</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694</w:t>
            </w:r>
          </w:p>
        </w:tc>
        <w:tc>
          <w:tcPr>
            <w:tcW w:w="972" w:type="dxa"/>
            <w:tcBorders>
              <w:top w:val="nil"/>
              <w:left w:val="nil"/>
              <w:bottom w:val="single" w:sz="4" w:space="0" w:color="auto"/>
              <w:right w:val="nil"/>
            </w:tcBorders>
          </w:tcPr>
          <w:p w14:paraId="48C6C03B"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0BC96F67"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1.1</w:t>
            </w:r>
          </w:p>
        </w:tc>
      </w:tr>
      <w:tr w:rsidR="00B14B1C" w:rsidRPr="00954BB9" w14:paraId="09259E1E"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6BF8D391"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 xml:space="preserve">Campeche </w:t>
            </w:r>
          </w:p>
        </w:tc>
        <w:tc>
          <w:tcPr>
            <w:tcW w:w="1778" w:type="dxa"/>
            <w:tcBorders>
              <w:top w:val="nil"/>
              <w:left w:val="nil"/>
              <w:bottom w:val="single" w:sz="4" w:space="0" w:color="auto"/>
              <w:right w:val="single" w:sz="4" w:space="0" w:color="auto"/>
            </w:tcBorders>
            <w:shd w:val="clear" w:color="auto" w:fill="auto"/>
            <w:noWrap/>
            <w:vAlign w:val="center"/>
            <w:hideMark/>
          </w:tcPr>
          <w:p w14:paraId="43D94CE6"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9</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075</w:t>
            </w:r>
          </w:p>
        </w:tc>
        <w:tc>
          <w:tcPr>
            <w:tcW w:w="972" w:type="dxa"/>
            <w:tcBorders>
              <w:top w:val="nil"/>
              <w:left w:val="nil"/>
              <w:bottom w:val="single" w:sz="4" w:space="0" w:color="auto"/>
              <w:right w:val="nil"/>
            </w:tcBorders>
          </w:tcPr>
          <w:p w14:paraId="0267EAB3"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67A39204"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1.7</w:t>
            </w:r>
          </w:p>
        </w:tc>
      </w:tr>
      <w:tr w:rsidR="00B14B1C" w:rsidRPr="00954BB9" w14:paraId="66593F1C"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032F9648"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Coahuila de Zaragoza</w:t>
            </w:r>
          </w:p>
        </w:tc>
        <w:tc>
          <w:tcPr>
            <w:tcW w:w="1778" w:type="dxa"/>
            <w:tcBorders>
              <w:top w:val="nil"/>
              <w:left w:val="nil"/>
              <w:bottom w:val="single" w:sz="4" w:space="0" w:color="auto"/>
              <w:right w:val="single" w:sz="4" w:space="0" w:color="auto"/>
            </w:tcBorders>
            <w:shd w:val="clear" w:color="auto" w:fill="auto"/>
            <w:noWrap/>
            <w:vAlign w:val="center"/>
            <w:hideMark/>
          </w:tcPr>
          <w:p w14:paraId="53A4F02B"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16</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908</w:t>
            </w:r>
          </w:p>
        </w:tc>
        <w:tc>
          <w:tcPr>
            <w:tcW w:w="972" w:type="dxa"/>
            <w:tcBorders>
              <w:top w:val="nil"/>
              <w:left w:val="nil"/>
              <w:bottom w:val="single" w:sz="4" w:space="0" w:color="auto"/>
              <w:right w:val="nil"/>
            </w:tcBorders>
          </w:tcPr>
          <w:p w14:paraId="799E7B4F"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4FED86CD"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3.1</w:t>
            </w:r>
          </w:p>
        </w:tc>
      </w:tr>
      <w:tr w:rsidR="00B14B1C" w:rsidRPr="00954BB9" w14:paraId="29331091"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08D710CF"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Colima</w:t>
            </w:r>
          </w:p>
        </w:tc>
        <w:tc>
          <w:tcPr>
            <w:tcW w:w="1778" w:type="dxa"/>
            <w:tcBorders>
              <w:top w:val="nil"/>
              <w:left w:val="nil"/>
              <w:bottom w:val="single" w:sz="4" w:space="0" w:color="auto"/>
              <w:right w:val="single" w:sz="4" w:space="0" w:color="auto"/>
            </w:tcBorders>
            <w:shd w:val="clear" w:color="auto" w:fill="auto"/>
            <w:noWrap/>
            <w:vAlign w:val="center"/>
            <w:hideMark/>
          </w:tcPr>
          <w:p w14:paraId="3DAC7D70"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5</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970</w:t>
            </w:r>
          </w:p>
        </w:tc>
        <w:tc>
          <w:tcPr>
            <w:tcW w:w="972" w:type="dxa"/>
            <w:tcBorders>
              <w:top w:val="nil"/>
              <w:left w:val="nil"/>
              <w:bottom w:val="single" w:sz="4" w:space="0" w:color="auto"/>
              <w:right w:val="nil"/>
            </w:tcBorders>
          </w:tcPr>
          <w:p w14:paraId="1D54F9EC"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60048A1B"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1.1</w:t>
            </w:r>
          </w:p>
        </w:tc>
      </w:tr>
      <w:tr w:rsidR="00B14B1C" w:rsidRPr="00954BB9" w14:paraId="7B950B8C"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270F4D97"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Chiapas</w:t>
            </w:r>
          </w:p>
        </w:tc>
        <w:tc>
          <w:tcPr>
            <w:tcW w:w="1778" w:type="dxa"/>
            <w:tcBorders>
              <w:top w:val="nil"/>
              <w:left w:val="nil"/>
              <w:bottom w:val="single" w:sz="4" w:space="0" w:color="auto"/>
              <w:right w:val="single" w:sz="4" w:space="0" w:color="auto"/>
            </w:tcBorders>
            <w:shd w:val="clear" w:color="auto" w:fill="auto"/>
            <w:noWrap/>
            <w:vAlign w:val="center"/>
            <w:hideMark/>
          </w:tcPr>
          <w:p w14:paraId="11205534"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10</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701</w:t>
            </w:r>
          </w:p>
        </w:tc>
        <w:tc>
          <w:tcPr>
            <w:tcW w:w="972" w:type="dxa"/>
            <w:tcBorders>
              <w:top w:val="nil"/>
              <w:left w:val="nil"/>
              <w:bottom w:val="single" w:sz="4" w:space="0" w:color="auto"/>
              <w:right w:val="nil"/>
            </w:tcBorders>
          </w:tcPr>
          <w:p w14:paraId="207159F9"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37957422"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2.0</w:t>
            </w:r>
          </w:p>
        </w:tc>
      </w:tr>
      <w:tr w:rsidR="00B14B1C" w:rsidRPr="00954BB9" w14:paraId="20425FBB"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1FE8F9D7"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Chihuahua</w:t>
            </w:r>
          </w:p>
        </w:tc>
        <w:tc>
          <w:tcPr>
            <w:tcW w:w="1778" w:type="dxa"/>
            <w:tcBorders>
              <w:top w:val="nil"/>
              <w:left w:val="nil"/>
              <w:bottom w:val="single" w:sz="4" w:space="0" w:color="auto"/>
              <w:right w:val="single" w:sz="4" w:space="0" w:color="auto"/>
            </w:tcBorders>
            <w:shd w:val="clear" w:color="auto" w:fill="auto"/>
            <w:noWrap/>
            <w:vAlign w:val="center"/>
            <w:hideMark/>
          </w:tcPr>
          <w:p w14:paraId="47C569DF"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15</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757</w:t>
            </w:r>
          </w:p>
        </w:tc>
        <w:tc>
          <w:tcPr>
            <w:tcW w:w="972" w:type="dxa"/>
            <w:tcBorders>
              <w:top w:val="nil"/>
              <w:left w:val="nil"/>
              <w:bottom w:val="single" w:sz="4" w:space="0" w:color="auto"/>
              <w:right w:val="nil"/>
            </w:tcBorders>
          </w:tcPr>
          <w:p w14:paraId="7B7B75C3"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4A61AD4E"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2.9</w:t>
            </w:r>
          </w:p>
        </w:tc>
      </w:tr>
      <w:tr w:rsidR="00B14B1C" w:rsidRPr="00954BB9" w14:paraId="4EDCCBF8"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2D5F4CF8" w14:textId="77777777" w:rsidR="00B14B1C" w:rsidRPr="00954BB9" w:rsidRDefault="00CD0B14" w:rsidP="002652BF">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Ciudad de México</w:t>
            </w:r>
          </w:p>
        </w:tc>
        <w:tc>
          <w:tcPr>
            <w:tcW w:w="1778" w:type="dxa"/>
            <w:tcBorders>
              <w:top w:val="nil"/>
              <w:left w:val="nil"/>
              <w:bottom w:val="single" w:sz="4" w:space="0" w:color="auto"/>
              <w:right w:val="single" w:sz="4" w:space="0" w:color="auto"/>
            </w:tcBorders>
            <w:shd w:val="clear" w:color="auto" w:fill="auto"/>
            <w:noWrap/>
            <w:vAlign w:val="center"/>
            <w:hideMark/>
          </w:tcPr>
          <w:p w14:paraId="3C189D3C"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79</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324</w:t>
            </w:r>
          </w:p>
        </w:tc>
        <w:tc>
          <w:tcPr>
            <w:tcW w:w="972" w:type="dxa"/>
            <w:tcBorders>
              <w:top w:val="nil"/>
              <w:left w:val="nil"/>
              <w:bottom w:val="single" w:sz="4" w:space="0" w:color="auto"/>
              <w:right w:val="nil"/>
            </w:tcBorders>
          </w:tcPr>
          <w:p w14:paraId="1754EA28"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2FA7AE77"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14.7</w:t>
            </w:r>
          </w:p>
        </w:tc>
      </w:tr>
      <w:tr w:rsidR="00B14B1C" w:rsidRPr="00954BB9" w14:paraId="1E7FB103"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0789C08A"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Durango</w:t>
            </w:r>
          </w:p>
        </w:tc>
        <w:tc>
          <w:tcPr>
            <w:tcW w:w="1778" w:type="dxa"/>
            <w:tcBorders>
              <w:top w:val="nil"/>
              <w:left w:val="nil"/>
              <w:bottom w:val="single" w:sz="4" w:space="0" w:color="auto"/>
              <w:right w:val="single" w:sz="4" w:space="0" w:color="auto"/>
            </w:tcBorders>
            <w:shd w:val="clear" w:color="auto" w:fill="auto"/>
            <w:noWrap/>
            <w:vAlign w:val="center"/>
            <w:hideMark/>
          </w:tcPr>
          <w:p w14:paraId="4AAC20A2"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6</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552</w:t>
            </w:r>
          </w:p>
        </w:tc>
        <w:tc>
          <w:tcPr>
            <w:tcW w:w="972" w:type="dxa"/>
            <w:tcBorders>
              <w:top w:val="nil"/>
              <w:left w:val="nil"/>
              <w:bottom w:val="single" w:sz="4" w:space="0" w:color="auto"/>
              <w:right w:val="nil"/>
            </w:tcBorders>
          </w:tcPr>
          <w:p w14:paraId="486CD106"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119BBBC8"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1.2</w:t>
            </w:r>
          </w:p>
        </w:tc>
      </w:tr>
      <w:tr w:rsidR="00B14B1C" w:rsidRPr="00954BB9" w14:paraId="772BDC29"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23B69343"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Guanajuato</w:t>
            </w:r>
          </w:p>
        </w:tc>
        <w:tc>
          <w:tcPr>
            <w:tcW w:w="1778" w:type="dxa"/>
            <w:tcBorders>
              <w:top w:val="nil"/>
              <w:left w:val="nil"/>
              <w:bottom w:val="single" w:sz="4" w:space="0" w:color="auto"/>
              <w:right w:val="single" w:sz="4" w:space="0" w:color="auto"/>
            </w:tcBorders>
            <w:shd w:val="clear" w:color="auto" w:fill="auto"/>
            <w:noWrap/>
            <w:vAlign w:val="center"/>
            <w:hideMark/>
          </w:tcPr>
          <w:p w14:paraId="2E3C3CA5"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26</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201</w:t>
            </w:r>
          </w:p>
        </w:tc>
        <w:tc>
          <w:tcPr>
            <w:tcW w:w="972" w:type="dxa"/>
            <w:tcBorders>
              <w:top w:val="nil"/>
              <w:left w:val="nil"/>
              <w:bottom w:val="single" w:sz="4" w:space="0" w:color="auto"/>
              <w:right w:val="nil"/>
            </w:tcBorders>
          </w:tcPr>
          <w:p w14:paraId="57EF4E79"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12A24B35"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4.8</w:t>
            </w:r>
          </w:p>
        </w:tc>
      </w:tr>
      <w:tr w:rsidR="00B14B1C" w:rsidRPr="00954BB9" w14:paraId="234907C8"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68A9FBAA"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Guerrero</w:t>
            </w:r>
          </w:p>
        </w:tc>
        <w:tc>
          <w:tcPr>
            <w:tcW w:w="1778" w:type="dxa"/>
            <w:tcBorders>
              <w:top w:val="nil"/>
              <w:left w:val="nil"/>
              <w:bottom w:val="single" w:sz="4" w:space="0" w:color="auto"/>
              <w:right w:val="single" w:sz="4" w:space="0" w:color="auto"/>
            </w:tcBorders>
            <w:shd w:val="clear" w:color="auto" w:fill="auto"/>
            <w:noWrap/>
            <w:vAlign w:val="center"/>
            <w:hideMark/>
          </w:tcPr>
          <w:p w14:paraId="5C28A2D1"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5</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482</w:t>
            </w:r>
          </w:p>
        </w:tc>
        <w:tc>
          <w:tcPr>
            <w:tcW w:w="972" w:type="dxa"/>
            <w:tcBorders>
              <w:top w:val="nil"/>
              <w:left w:val="nil"/>
              <w:bottom w:val="single" w:sz="4" w:space="0" w:color="auto"/>
              <w:right w:val="nil"/>
            </w:tcBorders>
          </w:tcPr>
          <w:p w14:paraId="1DFB01A5"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417AE8FD"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1.0</w:t>
            </w:r>
          </w:p>
        </w:tc>
      </w:tr>
      <w:tr w:rsidR="00B14B1C" w:rsidRPr="00954BB9" w14:paraId="6BF0FBB6"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43BC3D47"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Hidalgo</w:t>
            </w:r>
          </w:p>
        </w:tc>
        <w:tc>
          <w:tcPr>
            <w:tcW w:w="1778" w:type="dxa"/>
            <w:tcBorders>
              <w:top w:val="nil"/>
              <w:left w:val="nil"/>
              <w:bottom w:val="single" w:sz="4" w:space="0" w:color="auto"/>
              <w:right w:val="single" w:sz="4" w:space="0" w:color="auto"/>
            </w:tcBorders>
            <w:shd w:val="clear" w:color="auto" w:fill="auto"/>
            <w:noWrap/>
            <w:vAlign w:val="center"/>
            <w:hideMark/>
          </w:tcPr>
          <w:p w14:paraId="27879A6C"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7</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183</w:t>
            </w:r>
          </w:p>
        </w:tc>
        <w:tc>
          <w:tcPr>
            <w:tcW w:w="972" w:type="dxa"/>
            <w:tcBorders>
              <w:top w:val="nil"/>
              <w:left w:val="nil"/>
              <w:bottom w:val="single" w:sz="4" w:space="0" w:color="auto"/>
              <w:right w:val="nil"/>
            </w:tcBorders>
          </w:tcPr>
          <w:p w14:paraId="183BDB9B"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4B648FE4"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1.3</w:t>
            </w:r>
          </w:p>
        </w:tc>
      </w:tr>
      <w:tr w:rsidR="00B14B1C" w:rsidRPr="00954BB9" w14:paraId="481EEF43"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16F565D0"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Jalisco</w:t>
            </w:r>
          </w:p>
        </w:tc>
        <w:tc>
          <w:tcPr>
            <w:tcW w:w="1778" w:type="dxa"/>
            <w:tcBorders>
              <w:top w:val="nil"/>
              <w:left w:val="nil"/>
              <w:bottom w:val="single" w:sz="4" w:space="0" w:color="auto"/>
              <w:right w:val="single" w:sz="4" w:space="0" w:color="auto"/>
            </w:tcBorders>
            <w:shd w:val="clear" w:color="auto" w:fill="auto"/>
            <w:noWrap/>
            <w:vAlign w:val="center"/>
            <w:hideMark/>
          </w:tcPr>
          <w:p w14:paraId="5F4F973B"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44</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108</w:t>
            </w:r>
          </w:p>
        </w:tc>
        <w:tc>
          <w:tcPr>
            <w:tcW w:w="972" w:type="dxa"/>
            <w:tcBorders>
              <w:top w:val="nil"/>
              <w:left w:val="nil"/>
              <w:bottom w:val="single" w:sz="4" w:space="0" w:color="auto"/>
              <w:right w:val="nil"/>
            </w:tcBorders>
          </w:tcPr>
          <w:p w14:paraId="0B6994E5"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6C81BC3A"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8.1</w:t>
            </w:r>
          </w:p>
        </w:tc>
      </w:tr>
      <w:tr w:rsidR="00B14B1C" w:rsidRPr="00954BB9" w14:paraId="6CECF74D"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65CDB049"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México</w:t>
            </w:r>
          </w:p>
        </w:tc>
        <w:tc>
          <w:tcPr>
            <w:tcW w:w="1778" w:type="dxa"/>
            <w:tcBorders>
              <w:top w:val="nil"/>
              <w:left w:val="nil"/>
              <w:bottom w:val="single" w:sz="4" w:space="0" w:color="auto"/>
              <w:right w:val="single" w:sz="4" w:space="0" w:color="auto"/>
            </w:tcBorders>
            <w:shd w:val="clear" w:color="auto" w:fill="auto"/>
            <w:noWrap/>
            <w:vAlign w:val="center"/>
            <w:hideMark/>
          </w:tcPr>
          <w:p w14:paraId="1EF0BD48"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32</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632</w:t>
            </w:r>
          </w:p>
        </w:tc>
        <w:tc>
          <w:tcPr>
            <w:tcW w:w="972" w:type="dxa"/>
            <w:tcBorders>
              <w:top w:val="nil"/>
              <w:left w:val="nil"/>
              <w:bottom w:val="single" w:sz="4" w:space="0" w:color="auto"/>
              <w:right w:val="nil"/>
            </w:tcBorders>
          </w:tcPr>
          <w:p w14:paraId="149A480E"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7DCAECD7"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6.0</w:t>
            </w:r>
          </w:p>
        </w:tc>
      </w:tr>
      <w:tr w:rsidR="00B14B1C" w:rsidRPr="00954BB9" w14:paraId="2EBDC1F9"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59D84746"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Michoacán de Ocampo</w:t>
            </w:r>
          </w:p>
        </w:tc>
        <w:tc>
          <w:tcPr>
            <w:tcW w:w="1778" w:type="dxa"/>
            <w:tcBorders>
              <w:top w:val="nil"/>
              <w:left w:val="nil"/>
              <w:bottom w:val="single" w:sz="4" w:space="0" w:color="auto"/>
              <w:right w:val="single" w:sz="4" w:space="0" w:color="auto"/>
            </w:tcBorders>
            <w:shd w:val="clear" w:color="auto" w:fill="auto"/>
            <w:noWrap/>
            <w:vAlign w:val="center"/>
            <w:hideMark/>
          </w:tcPr>
          <w:p w14:paraId="59331D79"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10</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752</w:t>
            </w:r>
          </w:p>
        </w:tc>
        <w:tc>
          <w:tcPr>
            <w:tcW w:w="972" w:type="dxa"/>
            <w:tcBorders>
              <w:top w:val="nil"/>
              <w:left w:val="nil"/>
              <w:bottom w:val="single" w:sz="4" w:space="0" w:color="auto"/>
              <w:right w:val="nil"/>
            </w:tcBorders>
          </w:tcPr>
          <w:p w14:paraId="18FE8B05"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7827ED0B"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2.0</w:t>
            </w:r>
          </w:p>
        </w:tc>
      </w:tr>
      <w:tr w:rsidR="00B14B1C" w:rsidRPr="00954BB9" w14:paraId="59E116C2"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40C7346A"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Morelos</w:t>
            </w:r>
          </w:p>
        </w:tc>
        <w:tc>
          <w:tcPr>
            <w:tcW w:w="1778" w:type="dxa"/>
            <w:tcBorders>
              <w:top w:val="nil"/>
              <w:left w:val="nil"/>
              <w:bottom w:val="single" w:sz="4" w:space="0" w:color="auto"/>
              <w:right w:val="single" w:sz="4" w:space="0" w:color="auto"/>
            </w:tcBorders>
            <w:shd w:val="clear" w:color="auto" w:fill="auto"/>
            <w:noWrap/>
            <w:vAlign w:val="center"/>
            <w:hideMark/>
          </w:tcPr>
          <w:p w14:paraId="3532A0DF"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4</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096</w:t>
            </w:r>
          </w:p>
        </w:tc>
        <w:tc>
          <w:tcPr>
            <w:tcW w:w="972" w:type="dxa"/>
            <w:tcBorders>
              <w:top w:val="nil"/>
              <w:left w:val="nil"/>
              <w:bottom w:val="single" w:sz="4" w:space="0" w:color="auto"/>
              <w:right w:val="nil"/>
            </w:tcBorders>
          </w:tcPr>
          <w:p w14:paraId="72526719"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5E4A0CFC"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0.8</w:t>
            </w:r>
          </w:p>
        </w:tc>
      </w:tr>
      <w:tr w:rsidR="00B14B1C" w:rsidRPr="00954BB9" w14:paraId="4AA7FCFB"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2B32E9F1"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Nayarit</w:t>
            </w:r>
          </w:p>
        </w:tc>
        <w:tc>
          <w:tcPr>
            <w:tcW w:w="1778" w:type="dxa"/>
            <w:tcBorders>
              <w:top w:val="nil"/>
              <w:left w:val="nil"/>
              <w:bottom w:val="single" w:sz="4" w:space="0" w:color="auto"/>
              <w:right w:val="single" w:sz="4" w:space="0" w:color="auto"/>
            </w:tcBorders>
            <w:shd w:val="clear" w:color="auto" w:fill="auto"/>
            <w:noWrap/>
            <w:vAlign w:val="center"/>
            <w:hideMark/>
          </w:tcPr>
          <w:p w14:paraId="5B4597BE"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5</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149</w:t>
            </w:r>
          </w:p>
        </w:tc>
        <w:tc>
          <w:tcPr>
            <w:tcW w:w="972" w:type="dxa"/>
            <w:tcBorders>
              <w:top w:val="nil"/>
              <w:left w:val="nil"/>
              <w:bottom w:val="single" w:sz="4" w:space="0" w:color="auto"/>
              <w:right w:val="nil"/>
            </w:tcBorders>
          </w:tcPr>
          <w:p w14:paraId="17DB4205"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5180862B"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1.0</w:t>
            </w:r>
          </w:p>
        </w:tc>
      </w:tr>
      <w:tr w:rsidR="00B14B1C" w:rsidRPr="00954BB9" w14:paraId="250AD7DA"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29A10F76"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Nuevo León</w:t>
            </w:r>
          </w:p>
        </w:tc>
        <w:tc>
          <w:tcPr>
            <w:tcW w:w="1778" w:type="dxa"/>
            <w:tcBorders>
              <w:top w:val="nil"/>
              <w:left w:val="nil"/>
              <w:bottom w:val="single" w:sz="4" w:space="0" w:color="auto"/>
              <w:right w:val="single" w:sz="4" w:space="0" w:color="auto"/>
            </w:tcBorders>
            <w:shd w:val="clear" w:color="auto" w:fill="auto"/>
            <w:noWrap/>
            <w:vAlign w:val="center"/>
            <w:hideMark/>
          </w:tcPr>
          <w:p w14:paraId="22DAF963"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54</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460</w:t>
            </w:r>
          </w:p>
        </w:tc>
        <w:tc>
          <w:tcPr>
            <w:tcW w:w="972" w:type="dxa"/>
            <w:tcBorders>
              <w:top w:val="nil"/>
              <w:left w:val="nil"/>
              <w:bottom w:val="single" w:sz="4" w:space="0" w:color="auto"/>
              <w:right w:val="nil"/>
            </w:tcBorders>
          </w:tcPr>
          <w:p w14:paraId="459E046F"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5A1CFC60"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10.1</w:t>
            </w:r>
          </w:p>
        </w:tc>
      </w:tr>
      <w:tr w:rsidR="00B14B1C" w:rsidRPr="00954BB9" w14:paraId="17D0F587"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2C078C08"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Oaxaca</w:t>
            </w:r>
          </w:p>
        </w:tc>
        <w:tc>
          <w:tcPr>
            <w:tcW w:w="1778" w:type="dxa"/>
            <w:tcBorders>
              <w:top w:val="nil"/>
              <w:left w:val="nil"/>
              <w:bottom w:val="single" w:sz="4" w:space="0" w:color="auto"/>
              <w:right w:val="single" w:sz="4" w:space="0" w:color="auto"/>
            </w:tcBorders>
            <w:shd w:val="clear" w:color="auto" w:fill="auto"/>
            <w:noWrap/>
            <w:vAlign w:val="center"/>
            <w:hideMark/>
          </w:tcPr>
          <w:p w14:paraId="3893CD79"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7</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219</w:t>
            </w:r>
          </w:p>
        </w:tc>
        <w:tc>
          <w:tcPr>
            <w:tcW w:w="972" w:type="dxa"/>
            <w:tcBorders>
              <w:top w:val="nil"/>
              <w:left w:val="nil"/>
              <w:bottom w:val="single" w:sz="4" w:space="0" w:color="auto"/>
              <w:right w:val="nil"/>
            </w:tcBorders>
          </w:tcPr>
          <w:p w14:paraId="193E6823"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0A2DBDA4"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1.3</w:t>
            </w:r>
          </w:p>
        </w:tc>
      </w:tr>
      <w:tr w:rsidR="00B14B1C" w:rsidRPr="00954BB9" w14:paraId="36C18E23"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4667F151"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Puebla</w:t>
            </w:r>
          </w:p>
        </w:tc>
        <w:tc>
          <w:tcPr>
            <w:tcW w:w="1778" w:type="dxa"/>
            <w:tcBorders>
              <w:top w:val="nil"/>
              <w:left w:val="nil"/>
              <w:bottom w:val="single" w:sz="4" w:space="0" w:color="auto"/>
              <w:right w:val="single" w:sz="4" w:space="0" w:color="auto"/>
            </w:tcBorders>
            <w:shd w:val="clear" w:color="auto" w:fill="auto"/>
            <w:noWrap/>
            <w:vAlign w:val="center"/>
            <w:hideMark/>
          </w:tcPr>
          <w:p w14:paraId="1CA18FE3"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10</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456</w:t>
            </w:r>
          </w:p>
        </w:tc>
        <w:tc>
          <w:tcPr>
            <w:tcW w:w="972" w:type="dxa"/>
            <w:tcBorders>
              <w:top w:val="nil"/>
              <w:left w:val="nil"/>
              <w:bottom w:val="single" w:sz="4" w:space="0" w:color="auto"/>
              <w:right w:val="nil"/>
            </w:tcBorders>
          </w:tcPr>
          <w:p w14:paraId="7D19BAAC"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5F1B5610"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1.9</w:t>
            </w:r>
          </w:p>
        </w:tc>
      </w:tr>
      <w:tr w:rsidR="00B14B1C" w:rsidRPr="00954BB9" w14:paraId="2D276C07"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3A76A4E4"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Querétaro</w:t>
            </w:r>
          </w:p>
        </w:tc>
        <w:tc>
          <w:tcPr>
            <w:tcW w:w="1778" w:type="dxa"/>
            <w:tcBorders>
              <w:top w:val="nil"/>
              <w:left w:val="nil"/>
              <w:bottom w:val="single" w:sz="4" w:space="0" w:color="auto"/>
              <w:right w:val="single" w:sz="4" w:space="0" w:color="auto"/>
            </w:tcBorders>
            <w:shd w:val="clear" w:color="auto" w:fill="auto"/>
            <w:noWrap/>
            <w:vAlign w:val="center"/>
            <w:hideMark/>
          </w:tcPr>
          <w:p w14:paraId="74A07FF0"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13</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019</w:t>
            </w:r>
          </w:p>
        </w:tc>
        <w:tc>
          <w:tcPr>
            <w:tcW w:w="972" w:type="dxa"/>
            <w:tcBorders>
              <w:top w:val="nil"/>
              <w:left w:val="nil"/>
              <w:bottom w:val="single" w:sz="4" w:space="0" w:color="auto"/>
              <w:right w:val="nil"/>
            </w:tcBorders>
          </w:tcPr>
          <w:p w14:paraId="4C591478"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10732A38"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2.4</w:t>
            </w:r>
          </w:p>
        </w:tc>
      </w:tr>
      <w:tr w:rsidR="00B14B1C" w:rsidRPr="00954BB9" w14:paraId="288DD6D6"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5C681F89"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Quintana Roo</w:t>
            </w:r>
          </w:p>
        </w:tc>
        <w:tc>
          <w:tcPr>
            <w:tcW w:w="1778" w:type="dxa"/>
            <w:tcBorders>
              <w:top w:val="nil"/>
              <w:left w:val="nil"/>
              <w:bottom w:val="single" w:sz="4" w:space="0" w:color="auto"/>
              <w:right w:val="single" w:sz="4" w:space="0" w:color="auto"/>
            </w:tcBorders>
            <w:shd w:val="clear" w:color="auto" w:fill="auto"/>
            <w:noWrap/>
            <w:vAlign w:val="center"/>
            <w:hideMark/>
          </w:tcPr>
          <w:p w14:paraId="218EA031"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9</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390</w:t>
            </w:r>
          </w:p>
        </w:tc>
        <w:tc>
          <w:tcPr>
            <w:tcW w:w="972" w:type="dxa"/>
            <w:tcBorders>
              <w:top w:val="nil"/>
              <w:left w:val="nil"/>
              <w:bottom w:val="single" w:sz="4" w:space="0" w:color="auto"/>
              <w:right w:val="nil"/>
            </w:tcBorders>
          </w:tcPr>
          <w:p w14:paraId="77A42DF9"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70848FCE"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1.7</w:t>
            </w:r>
          </w:p>
        </w:tc>
      </w:tr>
      <w:tr w:rsidR="00B14B1C" w:rsidRPr="00954BB9" w14:paraId="7BE451A4"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6477931A"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San Luis Potosí</w:t>
            </w:r>
          </w:p>
        </w:tc>
        <w:tc>
          <w:tcPr>
            <w:tcW w:w="1778" w:type="dxa"/>
            <w:tcBorders>
              <w:top w:val="nil"/>
              <w:left w:val="nil"/>
              <w:bottom w:val="single" w:sz="4" w:space="0" w:color="auto"/>
              <w:right w:val="single" w:sz="4" w:space="0" w:color="auto"/>
            </w:tcBorders>
            <w:shd w:val="clear" w:color="auto" w:fill="auto"/>
            <w:noWrap/>
            <w:vAlign w:val="center"/>
            <w:hideMark/>
          </w:tcPr>
          <w:p w14:paraId="5A533199"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12</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211</w:t>
            </w:r>
          </w:p>
        </w:tc>
        <w:tc>
          <w:tcPr>
            <w:tcW w:w="972" w:type="dxa"/>
            <w:tcBorders>
              <w:top w:val="nil"/>
              <w:left w:val="nil"/>
              <w:bottom w:val="single" w:sz="4" w:space="0" w:color="auto"/>
              <w:right w:val="nil"/>
            </w:tcBorders>
          </w:tcPr>
          <w:p w14:paraId="44A29CAA"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2D60F6AF"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2.3</w:t>
            </w:r>
          </w:p>
        </w:tc>
      </w:tr>
      <w:tr w:rsidR="00B14B1C" w:rsidRPr="00954BB9" w14:paraId="7220686C"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011CF805"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Sinaloa</w:t>
            </w:r>
          </w:p>
        </w:tc>
        <w:tc>
          <w:tcPr>
            <w:tcW w:w="1778" w:type="dxa"/>
            <w:tcBorders>
              <w:top w:val="nil"/>
              <w:left w:val="nil"/>
              <w:bottom w:val="single" w:sz="4" w:space="0" w:color="auto"/>
              <w:right w:val="single" w:sz="4" w:space="0" w:color="auto"/>
            </w:tcBorders>
            <w:shd w:val="clear" w:color="auto" w:fill="auto"/>
            <w:noWrap/>
            <w:vAlign w:val="center"/>
            <w:hideMark/>
          </w:tcPr>
          <w:p w14:paraId="4F63799C"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22</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441</w:t>
            </w:r>
          </w:p>
        </w:tc>
        <w:tc>
          <w:tcPr>
            <w:tcW w:w="972" w:type="dxa"/>
            <w:tcBorders>
              <w:top w:val="nil"/>
              <w:left w:val="nil"/>
              <w:bottom w:val="single" w:sz="4" w:space="0" w:color="auto"/>
              <w:right w:val="nil"/>
            </w:tcBorders>
          </w:tcPr>
          <w:p w14:paraId="363D2C71"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63DEB707"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4.1</w:t>
            </w:r>
          </w:p>
        </w:tc>
      </w:tr>
      <w:tr w:rsidR="00B14B1C" w:rsidRPr="00954BB9" w14:paraId="7502A602"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6052F21D"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Sonora</w:t>
            </w:r>
          </w:p>
        </w:tc>
        <w:tc>
          <w:tcPr>
            <w:tcW w:w="1778" w:type="dxa"/>
            <w:tcBorders>
              <w:top w:val="nil"/>
              <w:left w:val="nil"/>
              <w:bottom w:val="single" w:sz="4" w:space="0" w:color="auto"/>
              <w:right w:val="single" w:sz="4" w:space="0" w:color="auto"/>
            </w:tcBorders>
            <w:shd w:val="clear" w:color="auto" w:fill="auto"/>
            <w:noWrap/>
            <w:vAlign w:val="center"/>
            <w:hideMark/>
          </w:tcPr>
          <w:p w14:paraId="691F3E8A"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22</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272</w:t>
            </w:r>
          </w:p>
        </w:tc>
        <w:tc>
          <w:tcPr>
            <w:tcW w:w="972" w:type="dxa"/>
            <w:tcBorders>
              <w:top w:val="nil"/>
              <w:left w:val="nil"/>
              <w:bottom w:val="single" w:sz="4" w:space="0" w:color="auto"/>
              <w:right w:val="nil"/>
            </w:tcBorders>
          </w:tcPr>
          <w:p w14:paraId="6EAF2592"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50415264"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4.1</w:t>
            </w:r>
          </w:p>
        </w:tc>
      </w:tr>
      <w:tr w:rsidR="00B14B1C" w:rsidRPr="00954BB9" w14:paraId="77856FA9"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01A79936"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Tabasco</w:t>
            </w:r>
          </w:p>
        </w:tc>
        <w:tc>
          <w:tcPr>
            <w:tcW w:w="1778" w:type="dxa"/>
            <w:tcBorders>
              <w:top w:val="nil"/>
              <w:left w:val="nil"/>
              <w:bottom w:val="single" w:sz="4" w:space="0" w:color="auto"/>
              <w:right w:val="single" w:sz="4" w:space="0" w:color="auto"/>
            </w:tcBorders>
            <w:shd w:val="clear" w:color="auto" w:fill="auto"/>
            <w:noWrap/>
            <w:vAlign w:val="center"/>
            <w:hideMark/>
          </w:tcPr>
          <w:p w14:paraId="15AD511C"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8</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955</w:t>
            </w:r>
          </w:p>
        </w:tc>
        <w:tc>
          <w:tcPr>
            <w:tcW w:w="972" w:type="dxa"/>
            <w:tcBorders>
              <w:top w:val="nil"/>
              <w:left w:val="nil"/>
              <w:bottom w:val="single" w:sz="4" w:space="0" w:color="auto"/>
              <w:right w:val="nil"/>
            </w:tcBorders>
          </w:tcPr>
          <w:p w14:paraId="350D6442"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5DCC0916"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1.7</w:t>
            </w:r>
          </w:p>
        </w:tc>
      </w:tr>
      <w:tr w:rsidR="00B14B1C" w:rsidRPr="00954BB9" w14:paraId="6A8DB7FA"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5519A6AC"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Tamaulipas</w:t>
            </w:r>
          </w:p>
        </w:tc>
        <w:tc>
          <w:tcPr>
            <w:tcW w:w="1778" w:type="dxa"/>
            <w:tcBorders>
              <w:top w:val="nil"/>
              <w:left w:val="nil"/>
              <w:bottom w:val="single" w:sz="4" w:space="0" w:color="auto"/>
              <w:right w:val="single" w:sz="4" w:space="0" w:color="auto"/>
            </w:tcBorders>
            <w:shd w:val="clear" w:color="auto" w:fill="auto"/>
            <w:noWrap/>
            <w:vAlign w:val="center"/>
            <w:hideMark/>
          </w:tcPr>
          <w:p w14:paraId="541BED20"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18</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541</w:t>
            </w:r>
          </w:p>
        </w:tc>
        <w:tc>
          <w:tcPr>
            <w:tcW w:w="972" w:type="dxa"/>
            <w:tcBorders>
              <w:top w:val="nil"/>
              <w:left w:val="nil"/>
              <w:bottom w:val="single" w:sz="4" w:space="0" w:color="auto"/>
              <w:right w:val="nil"/>
            </w:tcBorders>
          </w:tcPr>
          <w:p w14:paraId="4E64B9E5"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093C54CB"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3.4</w:t>
            </w:r>
          </w:p>
        </w:tc>
      </w:tr>
      <w:tr w:rsidR="00B14B1C" w:rsidRPr="00954BB9" w14:paraId="46BE51DC"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59D7CF8E"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Tlaxcala</w:t>
            </w:r>
          </w:p>
        </w:tc>
        <w:tc>
          <w:tcPr>
            <w:tcW w:w="1778" w:type="dxa"/>
            <w:tcBorders>
              <w:top w:val="nil"/>
              <w:left w:val="nil"/>
              <w:bottom w:val="single" w:sz="4" w:space="0" w:color="auto"/>
              <w:right w:val="single" w:sz="4" w:space="0" w:color="auto"/>
            </w:tcBorders>
            <w:shd w:val="clear" w:color="auto" w:fill="auto"/>
            <w:noWrap/>
            <w:vAlign w:val="center"/>
            <w:hideMark/>
          </w:tcPr>
          <w:p w14:paraId="47425D57"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2</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576</w:t>
            </w:r>
          </w:p>
        </w:tc>
        <w:tc>
          <w:tcPr>
            <w:tcW w:w="972" w:type="dxa"/>
            <w:tcBorders>
              <w:top w:val="nil"/>
              <w:left w:val="nil"/>
              <w:bottom w:val="single" w:sz="4" w:space="0" w:color="auto"/>
              <w:right w:val="nil"/>
            </w:tcBorders>
          </w:tcPr>
          <w:p w14:paraId="5803BBE1"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224B8872"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0.5</w:t>
            </w:r>
          </w:p>
        </w:tc>
      </w:tr>
      <w:tr w:rsidR="00B14B1C" w:rsidRPr="00954BB9" w14:paraId="1611A6FF"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0E57339A"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Veracruz de Ignacio de la Llave</w:t>
            </w:r>
          </w:p>
        </w:tc>
        <w:tc>
          <w:tcPr>
            <w:tcW w:w="1778" w:type="dxa"/>
            <w:tcBorders>
              <w:top w:val="nil"/>
              <w:left w:val="nil"/>
              <w:bottom w:val="single" w:sz="4" w:space="0" w:color="auto"/>
              <w:right w:val="single" w:sz="4" w:space="0" w:color="auto"/>
            </w:tcBorders>
            <w:shd w:val="clear" w:color="auto" w:fill="auto"/>
            <w:noWrap/>
            <w:vAlign w:val="center"/>
            <w:hideMark/>
          </w:tcPr>
          <w:p w14:paraId="426343C8"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29</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758</w:t>
            </w:r>
          </w:p>
        </w:tc>
        <w:tc>
          <w:tcPr>
            <w:tcW w:w="972" w:type="dxa"/>
            <w:tcBorders>
              <w:top w:val="nil"/>
              <w:left w:val="nil"/>
              <w:bottom w:val="single" w:sz="4" w:space="0" w:color="auto"/>
              <w:right w:val="nil"/>
            </w:tcBorders>
          </w:tcPr>
          <w:p w14:paraId="752C2944"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3A381F32"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5.5</w:t>
            </w:r>
          </w:p>
        </w:tc>
      </w:tr>
      <w:tr w:rsidR="00B14B1C" w:rsidRPr="00954BB9" w14:paraId="151501F7"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3E403258"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Yucatán</w:t>
            </w:r>
          </w:p>
        </w:tc>
        <w:tc>
          <w:tcPr>
            <w:tcW w:w="1778" w:type="dxa"/>
            <w:tcBorders>
              <w:top w:val="nil"/>
              <w:left w:val="nil"/>
              <w:bottom w:val="single" w:sz="4" w:space="0" w:color="auto"/>
              <w:right w:val="single" w:sz="4" w:space="0" w:color="auto"/>
            </w:tcBorders>
            <w:shd w:val="clear" w:color="auto" w:fill="auto"/>
            <w:noWrap/>
            <w:vAlign w:val="center"/>
            <w:hideMark/>
          </w:tcPr>
          <w:p w14:paraId="3FD82C2A"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15</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171</w:t>
            </w:r>
          </w:p>
        </w:tc>
        <w:tc>
          <w:tcPr>
            <w:tcW w:w="972" w:type="dxa"/>
            <w:tcBorders>
              <w:top w:val="nil"/>
              <w:left w:val="nil"/>
              <w:bottom w:val="single" w:sz="4" w:space="0" w:color="auto"/>
              <w:right w:val="nil"/>
            </w:tcBorders>
          </w:tcPr>
          <w:p w14:paraId="63232B0F"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5737DC8D"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2.8</w:t>
            </w:r>
          </w:p>
        </w:tc>
      </w:tr>
      <w:tr w:rsidR="00B14B1C" w:rsidRPr="00954BB9" w14:paraId="5FAD723A" w14:textId="77777777" w:rsidTr="00B14B1C">
        <w:trPr>
          <w:trHeight w:val="264"/>
          <w:jc w:val="center"/>
        </w:trPr>
        <w:tc>
          <w:tcPr>
            <w:tcW w:w="3763" w:type="dxa"/>
            <w:tcBorders>
              <w:top w:val="nil"/>
              <w:left w:val="single" w:sz="4" w:space="0" w:color="auto"/>
              <w:bottom w:val="single" w:sz="4" w:space="0" w:color="auto"/>
              <w:right w:val="single" w:sz="4" w:space="0" w:color="auto"/>
            </w:tcBorders>
            <w:shd w:val="clear" w:color="auto" w:fill="auto"/>
            <w:noWrap/>
            <w:vAlign w:val="center"/>
            <w:hideMark/>
          </w:tcPr>
          <w:p w14:paraId="61F9140E" w14:textId="77777777" w:rsidR="00B14B1C" w:rsidRPr="00954BB9" w:rsidRDefault="00B14B1C" w:rsidP="002652BF">
            <w:pPr>
              <w:spacing w:after="0" w:line="240" w:lineRule="auto"/>
              <w:rPr>
                <w:rFonts w:ascii="Arial" w:eastAsia="Times New Roman" w:hAnsi="Arial" w:cs="Arial"/>
                <w:sz w:val="20"/>
                <w:szCs w:val="20"/>
                <w:lang w:eastAsia="es-MX"/>
              </w:rPr>
            </w:pPr>
            <w:r w:rsidRPr="00954BB9">
              <w:rPr>
                <w:rFonts w:ascii="Arial" w:eastAsia="Times New Roman" w:hAnsi="Arial" w:cs="Arial"/>
                <w:sz w:val="20"/>
                <w:szCs w:val="20"/>
                <w:lang w:eastAsia="es-MX"/>
              </w:rPr>
              <w:t>Zacatecas</w:t>
            </w:r>
          </w:p>
        </w:tc>
        <w:tc>
          <w:tcPr>
            <w:tcW w:w="1778" w:type="dxa"/>
            <w:tcBorders>
              <w:top w:val="nil"/>
              <w:left w:val="nil"/>
              <w:bottom w:val="single" w:sz="4" w:space="0" w:color="auto"/>
              <w:right w:val="single" w:sz="4" w:space="0" w:color="auto"/>
            </w:tcBorders>
            <w:shd w:val="clear" w:color="auto" w:fill="auto"/>
            <w:noWrap/>
            <w:vAlign w:val="center"/>
            <w:hideMark/>
          </w:tcPr>
          <w:p w14:paraId="2B834730"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4</w:t>
            </w:r>
            <w:r w:rsidR="00861B99">
              <w:rPr>
                <w:rFonts w:ascii="Arial" w:eastAsia="Times New Roman" w:hAnsi="Arial" w:cs="Arial"/>
                <w:sz w:val="20"/>
                <w:szCs w:val="20"/>
                <w:lang w:eastAsia="es-MX"/>
              </w:rPr>
              <w:t xml:space="preserve"> </w:t>
            </w:r>
            <w:r w:rsidRPr="00954BB9">
              <w:rPr>
                <w:rFonts w:ascii="Arial" w:eastAsia="Times New Roman" w:hAnsi="Arial" w:cs="Arial"/>
                <w:sz w:val="20"/>
                <w:szCs w:val="20"/>
                <w:lang w:eastAsia="es-MX"/>
              </w:rPr>
              <w:t>790</w:t>
            </w:r>
          </w:p>
        </w:tc>
        <w:tc>
          <w:tcPr>
            <w:tcW w:w="972" w:type="dxa"/>
            <w:tcBorders>
              <w:top w:val="nil"/>
              <w:left w:val="nil"/>
              <w:bottom w:val="single" w:sz="4" w:space="0" w:color="auto"/>
              <w:right w:val="nil"/>
            </w:tcBorders>
          </w:tcPr>
          <w:p w14:paraId="664EB7B4" w14:textId="77777777" w:rsidR="00B14B1C" w:rsidRPr="00954BB9" w:rsidRDefault="00B14B1C" w:rsidP="006547B3">
            <w:pPr>
              <w:spacing w:after="0" w:line="240" w:lineRule="auto"/>
              <w:jc w:val="right"/>
              <w:rPr>
                <w:rFonts w:ascii="Arial" w:eastAsia="Times New Roman" w:hAnsi="Arial" w:cs="Arial"/>
                <w:sz w:val="20"/>
                <w:szCs w:val="20"/>
                <w:lang w:eastAsia="es-MX"/>
              </w:rPr>
            </w:pPr>
          </w:p>
        </w:tc>
        <w:tc>
          <w:tcPr>
            <w:tcW w:w="2315" w:type="dxa"/>
            <w:tcBorders>
              <w:top w:val="nil"/>
              <w:left w:val="nil"/>
              <w:bottom w:val="single" w:sz="4" w:space="0" w:color="auto"/>
              <w:right w:val="single" w:sz="4" w:space="0" w:color="auto"/>
            </w:tcBorders>
            <w:shd w:val="clear" w:color="auto" w:fill="auto"/>
            <w:noWrap/>
            <w:vAlign w:val="center"/>
            <w:hideMark/>
          </w:tcPr>
          <w:p w14:paraId="74EA683A" w14:textId="77777777" w:rsidR="00B14B1C" w:rsidRPr="00954BB9" w:rsidRDefault="00B14B1C" w:rsidP="006547B3">
            <w:pPr>
              <w:spacing w:after="0" w:line="240" w:lineRule="auto"/>
              <w:jc w:val="right"/>
              <w:rPr>
                <w:rFonts w:ascii="Arial" w:eastAsia="Times New Roman" w:hAnsi="Arial" w:cs="Arial"/>
                <w:sz w:val="20"/>
                <w:szCs w:val="20"/>
                <w:lang w:eastAsia="es-MX"/>
              </w:rPr>
            </w:pPr>
            <w:r w:rsidRPr="00954BB9">
              <w:rPr>
                <w:rFonts w:ascii="Arial" w:eastAsia="Times New Roman" w:hAnsi="Arial" w:cs="Arial"/>
                <w:sz w:val="20"/>
                <w:szCs w:val="20"/>
                <w:lang w:eastAsia="es-MX"/>
              </w:rPr>
              <w:t>0.9</w:t>
            </w:r>
          </w:p>
        </w:tc>
      </w:tr>
    </w:tbl>
    <w:p w14:paraId="1C041056" w14:textId="77777777" w:rsidR="008E775C" w:rsidRDefault="008E775C" w:rsidP="00B14B1C">
      <w:pPr>
        <w:pStyle w:val="Default"/>
        <w:jc w:val="both"/>
        <w:rPr>
          <w:color w:val="auto"/>
          <w:sz w:val="16"/>
          <w:lang w:eastAsia="es-MX"/>
        </w:rPr>
      </w:pPr>
      <w:r>
        <w:rPr>
          <w:color w:val="auto"/>
          <w:sz w:val="16"/>
          <w:vertAlign w:val="superscript"/>
          <w:lang w:eastAsia="es-MX"/>
        </w:rPr>
        <w:t xml:space="preserve">   p/ </w:t>
      </w:r>
      <w:r>
        <w:rPr>
          <w:color w:val="auto"/>
          <w:sz w:val="16"/>
          <w:lang w:eastAsia="es-MX"/>
        </w:rPr>
        <w:t>Cifras preliminares</w:t>
      </w:r>
      <w:r w:rsidR="00B14B1C">
        <w:rPr>
          <w:color w:val="auto"/>
          <w:sz w:val="16"/>
          <w:lang w:eastAsia="es-MX"/>
        </w:rPr>
        <w:t>.</w:t>
      </w:r>
      <w:r>
        <w:rPr>
          <w:color w:val="auto"/>
          <w:sz w:val="16"/>
          <w:lang w:eastAsia="es-MX"/>
        </w:rPr>
        <w:t xml:space="preserve"> </w:t>
      </w:r>
    </w:p>
    <w:p w14:paraId="62F370FB" w14:textId="77777777" w:rsidR="008E775C" w:rsidRPr="00BF15FB" w:rsidRDefault="008E775C" w:rsidP="00B14B1C">
      <w:pPr>
        <w:pStyle w:val="Default"/>
        <w:jc w:val="both"/>
        <w:rPr>
          <w:color w:val="auto"/>
          <w:sz w:val="16"/>
          <w:lang w:eastAsia="es-MX"/>
        </w:rPr>
      </w:pPr>
      <w:r>
        <w:rPr>
          <w:color w:val="auto"/>
          <w:sz w:val="16"/>
          <w:lang w:eastAsia="es-MX"/>
        </w:rPr>
        <w:t xml:space="preserve">  </w:t>
      </w:r>
      <w:r w:rsidRPr="00BF15FB">
        <w:rPr>
          <w:color w:val="auto"/>
          <w:sz w:val="16"/>
          <w:lang w:eastAsia="es-MX"/>
        </w:rPr>
        <w:t xml:space="preserve">Fuente: </w:t>
      </w:r>
      <w:r w:rsidRPr="00BF15FB">
        <w:rPr>
          <w:b/>
          <w:color w:val="auto"/>
          <w:sz w:val="16"/>
          <w:lang w:eastAsia="es-MX"/>
        </w:rPr>
        <w:t>INEGI</w:t>
      </w:r>
      <w:r w:rsidR="00B164D0">
        <w:rPr>
          <w:b/>
          <w:color w:val="auto"/>
          <w:sz w:val="16"/>
          <w:lang w:eastAsia="es-MX"/>
        </w:rPr>
        <w:t>.</w:t>
      </w:r>
    </w:p>
    <w:p w14:paraId="304240CD" w14:textId="77777777" w:rsidR="000022AA" w:rsidRDefault="000022AA" w:rsidP="000022AA">
      <w:pPr>
        <w:pStyle w:val="Default"/>
        <w:jc w:val="both"/>
        <w:rPr>
          <w:sz w:val="22"/>
          <w:szCs w:val="22"/>
        </w:rPr>
      </w:pPr>
    </w:p>
    <w:p w14:paraId="78BCB65C" w14:textId="77777777" w:rsidR="000022AA" w:rsidRDefault="000022AA" w:rsidP="000022AA">
      <w:pPr>
        <w:pStyle w:val="Default"/>
        <w:jc w:val="both"/>
        <w:rPr>
          <w:sz w:val="22"/>
          <w:szCs w:val="22"/>
        </w:rPr>
      </w:pPr>
    </w:p>
    <w:p w14:paraId="7AACE8F8" w14:textId="77777777" w:rsidR="00C841C8" w:rsidRDefault="00C841C8" w:rsidP="000022AA">
      <w:pPr>
        <w:pStyle w:val="Default"/>
        <w:jc w:val="both"/>
        <w:rPr>
          <w:sz w:val="22"/>
          <w:szCs w:val="22"/>
        </w:rPr>
      </w:pPr>
    </w:p>
    <w:p w14:paraId="5672748B" w14:textId="77777777" w:rsidR="00C841C8" w:rsidRDefault="00C841C8" w:rsidP="000022AA">
      <w:pPr>
        <w:pStyle w:val="Default"/>
        <w:jc w:val="both"/>
        <w:rPr>
          <w:sz w:val="22"/>
          <w:szCs w:val="22"/>
        </w:rPr>
      </w:pPr>
    </w:p>
    <w:p w14:paraId="7FEDDB79" w14:textId="77777777" w:rsidR="00861B99" w:rsidRDefault="00861B99" w:rsidP="000022AA">
      <w:pPr>
        <w:pStyle w:val="Default"/>
        <w:jc w:val="both"/>
        <w:rPr>
          <w:sz w:val="22"/>
          <w:szCs w:val="22"/>
        </w:rPr>
      </w:pPr>
    </w:p>
    <w:p w14:paraId="6309AF22" w14:textId="77777777" w:rsidR="00861B99" w:rsidRDefault="00861B99" w:rsidP="000022AA">
      <w:pPr>
        <w:pStyle w:val="Default"/>
        <w:jc w:val="both"/>
        <w:rPr>
          <w:sz w:val="22"/>
          <w:szCs w:val="22"/>
        </w:rPr>
      </w:pPr>
    </w:p>
    <w:p w14:paraId="0590A710" w14:textId="77777777" w:rsidR="000022AA" w:rsidRDefault="000022AA" w:rsidP="000022AA">
      <w:pPr>
        <w:widowControl w:val="0"/>
        <w:autoSpaceDE w:val="0"/>
        <w:autoSpaceDN w:val="0"/>
        <w:adjustRightInd w:val="0"/>
        <w:spacing w:after="0" w:line="240" w:lineRule="auto"/>
        <w:jc w:val="center"/>
        <w:rPr>
          <w:rFonts w:ascii="Arial" w:hAnsi="Arial" w:cs="Arial"/>
          <w:b/>
          <w:bCs/>
          <w:color w:val="000000"/>
        </w:rPr>
      </w:pPr>
    </w:p>
    <w:p w14:paraId="1965C005" w14:textId="77777777" w:rsidR="000022AA" w:rsidRDefault="000022AA" w:rsidP="000022AA">
      <w:pPr>
        <w:widowControl w:val="0"/>
        <w:autoSpaceDE w:val="0"/>
        <w:autoSpaceDN w:val="0"/>
        <w:adjustRightInd w:val="0"/>
        <w:spacing w:after="0" w:line="240" w:lineRule="auto"/>
        <w:jc w:val="center"/>
        <w:rPr>
          <w:rFonts w:ascii="Arial" w:hAnsi="Arial" w:cs="Arial"/>
          <w:b/>
          <w:bCs/>
          <w:color w:val="000000"/>
        </w:rPr>
      </w:pPr>
    </w:p>
    <w:p w14:paraId="6F8443EC" w14:textId="77777777" w:rsidR="00C26349" w:rsidRDefault="00C26349" w:rsidP="000022AA">
      <w:pPr>
        <w:widowControl w:val="0"/>
        <w:autoSpaceDE w:val="0"/>
        <w:autoSpaceDN w:val="0"/>
        <w:adjustRightInd w:val="0"/>
        <w:spacing w:after="0" w:line="240" w:lineRule="auto"/>
        <w:jc w:val="center"/>
        <w:rPr>
          <w:rFonts w:ascii="Arial" w:hAnsi="Arial" w:cs="Arial"/>
          <w:b/>
          <w:bCs/>
          <w:color w:val="000000"/>
        </w:rPr>
      </w:pPr>
    </w:p>
    <w:p w14:paraId="402EB935" w14:textId="77777777" w:rsidR="000022AA" w:rsidRDefault="000022AA" w:rsidP="000022AA">
      <w:pPr>
        <w:widowControl w:val="0"/>
        <w:autoSpaceDE w:val="0"/>
        <w:autoSpaceDN w:val="0"/>
        <w:adjustRightInd w:val="0"/>
        <w:spacing w:after="0" w:line="240" w:lineRule="auto"/>
        <w:jc w:val="center"/>
        <w:rPr>
          <w:rFonts w:ascii="Arial" w:hAnsi="Arial" w:cs="Arial"/>
          <w:b/>
          <w:bCs/>
          <w:color w:val="000000"/>
        </w:rPr>
      </w:pPr>
      <w:r w:rsidRPr="008C216B">
        <w:rPr>
          <w:rFonts w:ascii="Arial" w:hAnsi="Arial" w:cs="Arial"/>
          <w:b/>
          <w:bCs/>
          <w:color w:val="000000"/>
        </w:rPr>
        <w:t xml:space="preserve">Cuadro </w:t>
      </w:r>
      <w:r w:rsidR="002C2D13">
        <w:rPr>
          <w:rFonts w:ascii="Arial" w:hAnsi="Arial" w:cs="Arial"/>
          <w:b/>
          <w:bCs/>
          <w:color w:val="000000"/>
        </w:rPr>
        <w:t>9</w:t>
      </w:r>
    </w:p>
    <w:p w14:paraId="5B84057D" w14:textId="77777777" w:rsidR="00C26349" w:rsidRPr="00B14B1C" w:rsidRDefault="00BA741A" w:rsidP="008615D3">
      <w:pPr>
        <w:widowControl w:val="0"/>
        <w:autoSpaceDE w:val="0"/>
        <w:autoSpaceDN w:val="0"/>
        <w:adjustRightInd w:val="0"/>
        <w:spacing w:after="0" w:line="240" w:lineRule="auto"/>
        <w:jc w:val="center"/>
        <w:rPr>
          <w:rFonts w:ascii="Arial" w:hAnsi="Arial" w:cs="Arial"/>
          <w:b/>
          <w:bCs/>
          <w:color w:val="000000"/>
        </w:rPr>
      </w:pPr>
      <w:r w:rsidRPr="00B14B1C">
        <w:rPr>
          <w:rFonts w:ascii="Arial" w:hAnsi="Arial" w:cs="Arial"/>
          <w:b/>
          <w:bCs/>
          <w:color w:val="000000"/>
        </w:rPr>
        <w:t>Valor de producción</w:t>
      </w:r>
      <w:r w:rsidR="00C26349" w:rsidRPr="00B14B1C">
        <w:rPr>
          <w:rFonts w:ascii="Arial" w:hAnsi="Arial" w:cs="Arial"/>
          <w:b/>
          <w:bCs/>
          <w:color w:val="000000"/>
        </w:rPr>
        <w:t xml:space="preserve"> total de las empresas constructoras,</w:t>
      </w:r>
    </w:p>
    <w:p w14:paraId="72D36114" w14:textId="77777777" w:rsidR="00C26349" w:rsidRPr="00B14B1C" w:rsidRDefault="00C26349" w:rsidP="00C26349">
      <w:pPr>
        <w:widowControl w:val="0"/>
        <w:autoSpaceDE w:val="0"/>
        <w:autoSpaceDN w:val="0"/>
        <w:adjustRightInd w:val="0"/>
        <w:spacing w:after="0" w:line="240" w:lineRule="auto"/>
        <w:jc w:val="center"/>
        <w:rPr>
          <w:rFonts w:ascii="Arial" w:hAnsi="Arial" w:cs="Arial"/>
          <w:b/>
          <w:bCs/>
          <w:color w:val="000000"/>
        </w:rPr>
      </w:pPr>
      <w:r w:rsidRPr="00B14B1C">
        <w:rPr>
          <w:rFonts w:ascii="Arial" w:hAnsi="Arial" w:cs="Arial"/>
          <w:b/>
          <w:bCs/>
          <w:color w:val="000000"/>
        </w:rPr>
        <w:t xml:space="preserve"> por entidad federativa, </w:t>
      </w:r>
      <w:r w:rsidRPr="00B14B1C">
        <w:rPr>
          <w:rFonts w:ascii="Arial" w:hAnsi="Arial" w:cs="Arial"/>
          <w:b/>
          <w:lang w:eastAsia="es-MX"/>
        </w:rPr>
        <w:t>2020</w:t>
      </w:r>
      <w:r w:rsidR="00B14B1C" w:rsidRPr="00B14B1C">
        <w:rPr>
          <w:rFonts w:ascii="Arial" w:hAnsi="Arial" w:cs="Arial"/>
          <w:b/>
          <w:vertAlign w:val="superscript"/>
          <w:lang w:eastAsia="es-MX"/>
        </w:rPr>
        <w:t>p</w:t>
      </w:r>
      <w:r w:rsidRPr="00B14B1C">
        <w:rPr>
          <w:rFonts w:ascii="Arial" w:hAnsi="Arial" w:cs="Arial"/>
          <w:b/>
          <w:vertAlign w:val="superscript"/>
          <w:lang w:eastAsia="es-MX"/>
        </w:rPr>
        <w:t>/</w:t>
      </w:r>
    </w:p>
    <w:tbl>
      <w:tblPr>
        <w:tblW w:w="7808" w:type="dxa"/>
        <w:jc w:val="center"/>
        <w:tblCellMar>
          <w:left w:w="70" w:type="dxa"/>
          <w:right w:w="70" w:type="dxa"/>
        </w:tblCellMar>
        <w:tblLook w:val="04A0" w:firstRow="1" w:lastRow="0" w:firstColumn="1" w:lastColumn="0" w:noHBand="0" w:noVBand="1"/>
      </w:tblPr>
      <w:tblGrid>
        <w:gridCol w:w="4013"/>
        <w:gridCol w:w="1816"/>
        <w:gridCol w:w="1979"/>
      </w:tblGrid>
      <w:tr w:rsidR="000022AA" w:rsidRPr="00E60FE5" w14:paraId="79FAE660" w14:textId="77777777" w:rsidTr="00BA741A">
        <w:trPr>
          <w:trHeight w:val="789"/>
          <w:jc w:val="center"/>
        </w:trPr>
        <w:tc>
          <w:tcPr>
            <w:tcW w:w="4013"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14:paraId="32401FD9" w14:textId="77777777" w:rsidR="000022AA" w:rsidRPr="00E60FE5" w:rsidRDefault="000022AA" w:rsidP="002652BF">
            <w:pPr>
              <w:spacing w:after="0" w:line="240" w:lineRule="auto"/>
              <w:rPr>
                <w:rFonts w:ascii="Arial" w:eastAsia="Times New Roman" w:hAnsi="Arial" w:cs="Arial"/>
                <w:b/>
                <w:bCs/>
                <w:sz w:val="20"/>
                <w:szCs w:val="20"/>
                <w:lang w:eastAsia="es-MX"/>
              </w:rPr>
            </w:pPr>
            <w:r w:rsidRPr="00E60FE5">
              <w:rPr>
                <w:rFonts w:ascii="Arial" w:eastAsia="Times New Roman" w:hAnsi="Arial" w:cs="Arial"/>
                <w:b/>
                <w:bCs/>
                <w:sz w:val="20"/>
                <w:szCs w:val="20"/>
                <w:lang w:eastAsia="es-MX"/>
              </w:rPr>
              <w:t>Entidad federativa</w:t>
            </w:r>
          </w:p>
        </w:tc>
        <w:tc>
          <w:tcPr>
            <w:tcW w:w="1816"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14:paraId="61128ABE" w14:textId="77777777" w:rsidR="000022AA" w:rsidRPr="00E60FE5" w:rsidRDefault="000022AA" w:rsidP="002652BF">
            <w:pPr>
              <w:spacing w:after="0" w:line="240" w:lineRule="auto"/>
              <w:jc w:val="center"/>
              <w:rPr>
                <w:rFonts w:ascii="Arial" w:eastAsia="Times New Roman" w:hAnsi="Arial" w:cs="Arial"/>
                <w:b/>
                <w:bCs/>
                <w:color w:val="000000"/>
                <w:sz w:val="20"/>
                <w:szCs w:val="20"/>
                <w:lang w:eastAsia="es-MX"/>
              </w:rPr>
            </w:pPr>
            <w:r w:rsidRPr="00E60FE5">
              <w:rPr>
                <w:rFonts w:ascii="Arial" w:eastAsia="Times New Roman" w:hAnsi="Arial" w:cs="Arial"/>
                <w:b/>
                <w:bCs/>
                <w:color w:val="000000"/>
                <w:sz w:val="20"/>
                <w:szCs w:val="20"/>
                <w:lang w:eastAsia="es-MX"/>
              </w:rPr>
              <w:t>Miles de pesos corrientes</w:t>
            </w:r>
          </w:p>
        </w:tc>
        <w:tc>
          <w:tcPr>
            <w:tcW w:w="1979" w:type="dxa"/>
            <w:tcBorders>
              <w:top w:val="single" w:sz="4" w:space="0" w:color="auto"/>
              <w:left w:val="nil"/>
              <w:bottom w:val="single" w:sz="4" w:space="0" w:color="auto"/>
              <w:right w:val="single" w:sz="4" w:space="0" w:color="auto"/>
            </w:tcBorders>
            <w:shd w:val="clear" w:color="auto" w:fill="FFD966" w:themeFill="accent4" w:themeFillTint="99"/>
            <w:vAlign w:val="center"/>
            <w:hideMark/>
          </w:tcPr>
          <w:p w14:paraId="1F617CBB" w14:textId="77777777" w:rsidR="000022AA" w:rsidRPr="00E60FE5" w:rsidRDefault="000022AA" w:rsidP="002652BF">
            <w:pPr>
              <w:spacing w:after="0" w:line="240" w:lineRule="auto"/>
              <w:jc w:val="center"/>
              <w:rPr>
                <w:rFonts w:ascii="Arial" w:eastAsia="Times New Roman" w:hAnsi="Arial" w:cs="Arial"/>
                <w:b/>
                <w:bCs/>
                <w:color w:val="000000"/>
                <w:sz w:val="20"/>
                <w:szCs w:val="20"/>
                <w:lang w:eastAsia="es-MX"/>
              </w:rPr>
            </w:pPr>
            <w:r w:rsidRPr="00E60FE5">
              <w:rPr>
                <w:rFonts w:ascii="Arial" w:eastAsia="Times New Roman" w:hAnsi="Arial" w:cs="Arial"/>
                <w:b/>
                <w:bCs/>
                <w:color w:val="000000"/>
                <w:sz w:val="20"/>
                <w:szCs w:val="20"/>
                <w:lang w:eastAsia="es-MX"/>
              </w:rPr>
              <w:t>Participación porcentual</w:t>
            </w:r>
          </w:p>
        </w:tc>
      </w:tr>
      <w:tr w:rsidR="000022AA" w:rsidRPr="00E60FE5" w14:paraId="161BB690"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2964E5EA" w14:textId="77777777" w:rsidR="000022AA" w:rsidRPr="00E60FE5" w:rsidRDefault="000022AA" w:rsidP="002652BF">
            <w:pPr>
              <w:spacing w:after="0" w:line="240" w:lineRule="auto"/>
              <w:rPr>
                <w:rFonts w:ascii="Arial" w:eastAsia="Times New Roman" w:hAnsi="Arial" w:cs="Arial"/>
                <w:b/>
                <w:bCs/>
                <w:sz w:val="20"/>
                <w:szCs w:val="20"/>
                <w:lang w:eastAsia="es-MX"/>
              </w:rPr>
            </w:pPr>
            <w:r w:rsidRPr="00E60FE5">
              <w:rPr>
                <w:rFonts w:ascii="Arial" w:eastAsia="Times New Roman" w:hAnsi="Arial" w:cs="Arial"/>
                <w:b/>
                <w:bCs/>
                <w:sz w:val="20"/>
                <w:szCs w:val="20"/>
                <w:lang w:eastAsia="es-MX"/>
              </w:rPr>
              <w:t>Estados Unidos Mexicanos</w:t>
            </w:r>
          </w:p>
        </w:tc>
        <w:tc>
          <w:tcPr>
            <w:tcW w:w="1816" w:type="dxa"/>
            <w:tcBorders>
              <w:top w:val="nil"/>
              <w:left w:val="nil"/>
              <w:bottom w:val="single" w:sz="4" w:space="0" w:color="auto"/>
              <w:right w:val="single" w:sz="4" w:space="0" w:color="auto"/>
            </w:tcBorders>
            <w:shd w:val="clear" w:color="auto" w:fill="auto"/>
            <w:noWrap/>
            <w:vAlign w:val="bottom"/>
            <w:hideMark/>
          </w:tcPr>
          <w:p w14:paraId="1ED5115C" w14:textId="77777777" w:rsidR="000022AA" w:rsidRPr="00E60FE5" w:rsidRDefault="000022AA" w:rsidP="006547B3">
            <w:pPr>
              <w:spacing w:after="0" w:line="240" w:lineRule="auto"/>
              <w:jc w:val="right"/>
              <w:rPr>
                <w:rFonts w:ascii="Arial" w:eastAsia="Times New Roman" w:hAnsi="Arial" w:cs="Arial"/>
                <w:b/>
                <w:bCs/>
                <w:sz w:val="20"/>
                <w:szCs w:val="20"/>
                <w:lang w:eastAsia="es-MX"/>
              </w:rPr>
            </w:pPr>
            <w:r w:rsidRPr="00E60FE5">
              <w:rPr>
                <w:rFonts w:ascii="Arial" w:eastAsia="Times New Roman" w:hAnsi="Arial" w:cs="Arial"/>
                <w:b/>
                <w:bCs/>
                <w:sz w:val="20"/>
                <w:szCs w:val="20"/>
                <w:lang w:eastAsia="es-MX"/>
              </w:rPr>
              <w:t>417 384 470</w:t>
            </w:r>
          </w:p>
        </w:tc>
        <w:tc>
          <w:tcPr>
            <w:tcW w:w="1979" w:type="dxa"/>
            <w:tcBorders>
              <w:top w:val="nil"/>
              <w:left w:val="nil"/>
              <w:bottom w:val="single" w:sz="4" w:space="0" w:color="auto"/>
              <w:right w:val="single" w:sz="4" w:space="0" w:color="auto"/>
            </w:tcBorders>
            <w:shd w:val="clear" w:color="auto" w:fill="auto"/>
            <w:noWrap/>
            <w:vAlign w:val="bottom"/>
            <w:hideMark/>
          </w:tcPr>
          <w:p w14:paraId="6F07B79B" w14:textId="77777777" w:rsidR="000022AA" w:rsidRPr="00E60FE5" w:rsidRDefault="000022AA" w:rsidP="006547B3">
            <w:pPr>
              <w:spacing w:after="0" w:line="240" w:lineRule="auto"/>
              <w:jc w:val="right"/>
              <w:rPr>
                <w:rFonts w:ascii="Arial" w:eastAsia="Times New Roman" w:hAnsi="Arial" w:cs="Arial"/>
                <w:b/>
                <w:bCs/>
                <w:sz w:val="20"/>
                <w:szCs w:val="20"/>
                <w:lang w:eastAsia="es-MX"/>
              </w:rPr>
            </w:pPr>
            <w:r w:rsidRPr="00E60FE5">
              <w:rPr>
                <w:rFonts w:ascii="Arial" w:eastAsia="Times New Roman" w:hAnsi="Arial" w:cs="Arial"/>
                <w:b/>
                <w:bCs/>
                <w:sz w:val="20"/>
                <w:szCs w:val="20"/>
                <w:lang w:eastAsia="es-MX"/>
              </w:rPr>
              <w:t>100.0</w:t>
            </w:r>
          </w:p>
        </w:tc>
      </w:tr>
      <w:tr w:rsidR="000022AA" w:rsidRPr="00E60FE5" w14:paraId="6CF34B03"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40377287"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Aguascalientes</w:t>
            </w:r>
          </w:p>
        </w:tc>
        <w:tc>
          <w:tcPr>
            <w:tcW w:w="1816" w:type="dxa"/>
            <w:tcBorders>
              <w:top w:val="nil"/>
              <w:left w:val="nil"/>
              <w:bottom w:val="single" w:sz="4" w:space="0" w:color="auto"/>
              <w:right w:val="single" w:sz="4" w:space="0" w:color="auto"/>
            </w:tcBorders>
            <w:shd w:val="clear" w:color="auto" w:fill="auto"/>
            <w:noWrap/>
            <w:vAlign w:val="bottom"/>
            <w:hideMark/>
          </w:tcPr>
          <w:p w14:paraId="2A317212"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5 928 192</w:t>
            </w:r>
          </w:p>
        </w:tc>
        <w:tc>
          <w:tcPr>
            <w:tcW w:w="1979" w:type="dxa"/>
            <w:tcBorders>
              <w:top w:val="nil"/>
              <w:left w:val="nil"/>
              <w:bottom w:val="single" w:sz="4" w:space="0" w:color="auto"/>
              <w:right w:val="single" w:sz="4" w:space="0" w:color="auto"/>
            </w:tcBorders>
            <w:shd w:val="clear" w:color="auto" w:fill="auto"/>
            <w:noWrap/>
            <w:vAlign w:val="bottom"/>
            <w:hideMark/>
          </w:tcPr>
          <w:p w14:paraId="45F1EBE3"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1.4</w:t>
            </w:r>
          </w:p>
        </w:tc>
      </w:tr>
      <w:tr w:rsidR="000022AA" w:rsidRPr="00E60FE5" w14:paraId="3C941BCB"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4C91B357"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Baja California</w:t>
            </w:r>
          </w:p>
        </w:tc>
        <w:tc>
          <w:tcPr>
            <w:tcW w:w="1816" w:type="dxa"/>
            <w:tcBorders>
              <w:top w:val="nil"/>
              <w:left w:val="nil"/>
              <w:bottom w:val="single" w:sz="4" w:space="0" w:color="auto"/>
              <w:right w:val="single" w:sz="4" w:space="0" w:color="auto"/>
            </w:tcBorders>
            <w:shd w:val="clear" w:color="auto" w:fill="auto"/>
            <w:noWrap/>
            <w:vAlign w:val="bottom"/>
            <w:hideMark/>
          </w:tcPr>
          <w:p w14:paraId="0C99F730"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12 702 749</w:t>
            </w:r>
          </w:p>
        </w:tc>
        <w:tc>
          <w:tcPr>
            <w:tcW w:w="1979" w:type="dxa"/>
            <w:tcBorders>
              <w:top w:val="nil"/>
              <w:left w:val="nil"/>
              <w:bottom w:val="single" w:sz="4" w:space="0" w:color="auto"/>
              <w:right w:val="single" w:sz="4" w:space="0" w:color="auto"/>
            </w:tcBorders>
            <w:shd w:val="clear" w:color="auto" w:fill="auto"/>
            <w:noWrap/>
            <w:vAlign w:val="bottom"/>
            <w:hideMark/>
          </w:tcPr>
          <w:p w14:paraId="09AC931B"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3.0</w:t>
            </w:r>
          </w:p>
        </w:tc>
      </w:tr>
      <w:tr w:rsidR="000022AA" w:rsidRPr="00E60FE5" w14:paraId="565927A3"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18FB224D"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Baja California Sur</w:t>
            </w:r>
          </w:p>
        </w:tc>
        <w:tc>
          <w:tcPr>
            <w:tcW w:w="1816" w:type="dxa"/>
            <w:tcBorders>
              <w:top w:val="nil"/>
              <w:left w:val="nil"/>
              <w:bottom w:val="single" w:sz="4" w:space="0" w:color="auto"/>
              <w:right w:val="single" w:sz="4" w:space="0" w:color="auto"/>
            </w:tcBorders>
            <w:shd w:val="clear" w:color="auto" w:fill="auto"/>
            <w:noWrap/>
            <w:vAlign w:val="bottom"/>
            <w:hideMark/>
          </w:tcPr>
          <w:p w14:paraId="755F987F"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3 233 984</w:t>
            </w:r>
          </w:p>
        </w:tc>
        <w:tc>
          <w:tcPr>
            <w:tcW w:w="1979" w:type="dxa"/>
            <w:tcBorders>
              <w:top w:val="nil"/>
              <w:left w:val="nil"/>
              <w:bottom w:val="single" w:sz="4" w:space="0" w:color="auto"/>
              <w:right w:val="single" w:sz="4" w:space="0" w:color="auto"/>
            </w:tcBorders>
            <w:shd w:val="clear" w:color="auto" w:fill="auto"/>
            <w:noWrap/>
            <w:vAlign w:val="bottom"/>
            <w:hideMark/>
          </w:tcPr>
          <w:p w14:paraId="6F6A26A3"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0.8</w:t>
            </w:r>
          </w:p>
        </w:tc>
      </w:tr>
      <w:tr w:rsidR="000022AA" w:rsidRPr="00E60FE5" w14:paraId="5E6414D7"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35526BC3"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 xml:space="preserve">Campeche </w:t>
            </w:r>
          </w:p>
        </w:tc>
        <w:tc>
          <w:tcPr>
            <w:tcW w:w="1816" w:type="dxa"/>
            <w:tcBorders>
              <w:top w:val="nil"/>
              <w:left w:val="nil"/>
              <w:bottom w:val="single" w:sz="4" w:space="0" w:color="auto"/>
              <w:right w:val="single" w:sz="4" w:space="0" w:color="auto"/>
            </w:tcBorders>
            <w:shd w:val="clear" w:color="auto" w:fill="auto"/>
            <w:noWrap/>
            <w:vAlign w:val="bottom"/>
            <w:hideMark/>
          </w:tcPr>
          <w:p w14:paraId="35FCDF9F"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12 712 162</w:t>
            </w:r>
          </w:p>
        </w:tc>
        <w:tc>
          <w:tcPr>
            <w:tcW w:w="1979" w:type="dxa"/>
            <w:tcBorders>
              <w:top w:val="nil"/>
              <w:left w:val="nil"/>
              <w:bottom w:val="single" w:sz="4" w:space="0" w:color="auto"/>
              <w:right w:val="single" w:sz="4" w:space="0" w:color="auto"/>
            </w:tcBorders>
            <w:shd w:val="clear" w:color="auto" w:fill="auto"/>
            <w:noWrap/>
            <w:vAlign w:val="bottom"/>
            <w:hideMark/>
          </w:tcPr>
          <w:p w14:paraId="411BB10D" w14:textId="77777777" w:rsidR="000022AA" w:rsidRPr="00E60FE5" w:rsidRDefault="000022AA" w:rsidP="007C4F1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3.</w:t>
            </w:r>
            <w:r w:rsidR="007C4F13">
              <w:rPr>
                <w:rFonts w:ascii="Arial" w:eastAsia="Times New Roman" w:hAnsi="Arial" w:cs="Arial"/>
                <w:sz w:val="20"/>
                <w:szCs w:val="20"/>
                <w:lang w:eastAsia="es-MX"/>
              </w:rPr>
              <w:t>1</w:t>
            </w:r>
          </w:p>
        </w:tc>
      </w:tr>
      <w:tr w:rsidR="000022AA" w:rsidRPr="00E60FE5" w14:paraId="4EC11D03"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40806322"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Coahuila de Zaragoza</w:t>
            </w:r>
          </w:p>
        </w:tc>
        <w:tc>
          <w:tcPr>
            <w:tcW w:w="1816" w:type="dxa"/>
            <w:tcBorders>
              <w:top w:val="nil"/>
              <w:left w:val="nil"/>
              <w:bottom w:val="single" w:sz="4" w:space="0" w:color="auto"/>
              <w:right w:val="single" w:sz="4" w:space="0" w:color="auto"/>
            </w:tcBorders>
            <w:shd w:val="clear" w:color="auto" w:fill="auto"/>
            <w:noWrap/>
            <w:vAlign w:val="bottom"/>
            <w:hideMark/>
          </w:tcPr>
          <w:p w14:paraId="1867DFD4"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9 309 681</w:t>
            </w:r>
          </w:p>
        </w:tc>
        <w:tc>
          <w:tcPr>
            <w:tcW w:w="1979" w:type="dxa"/>
            <w:tcBorders>
              <w:top w:val="nil"/>
              <w:left w:val="nil"/>
              <w:bottom w:val="single" w:sz="4" w:space="0" w:color="auto"/>
              <w:right w:val="single" w:sz="4" w:space="0" w:color="auto"/>
            </w:tcBorders>
            <w:shd w:val="clear" w:color="auto" w:fill="auto"/>
            <w:noWrap/>
            <w:vAlign w:val="bottom"/>
            <w:hideMark/>
          </w:tcPr>
          <w:p w14:paraId="64027EA3"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2.2</w:t>
            </w:r>
          </w:p>
        </w:tc>
      </w:tr>
      <w:tr w:rsidR="000022AA" w:rsidRPr="00E60FE5" w14:paraId="14C3CACD"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6182E836"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Colima</w:t>
            </w:r>
          </w:p>
        </w:tc>
        <w:tc>
          <w:tcPr>
            <w:tcW w:w="1816" w:type="dxa"/>
            <w:tcBorders>
              <w:top w:val="nil"/>
              <w:left w:val="nil"/>
              <w:bottom w:val="single" w:sz="4" w:space="0" w:color="auto"/>
              <w:right w:val="single" w:sz="4" w:space="0" w:color="auto"/>
            </w:tcBorders>
            <w:shd w:val="clear" w:color="auto" w:fill="auto"/>
            <w:noWrap/>
            <w:vAlign w:val="bottom"/>
            <w:hideMark/>
          </w:tcPr>
          <w:p w14:paraId="76133D93"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3 876 670</w:t>
            </w:r>
          </w:p>
        </w:tc>
        <w:tc>
          <w:tcPr>
            <w:tcW w:w="1979" w:type="dxa"/>
            <w:tcBorders>
              <w:top w:val="nil"/>
              <w:left w:val="nil"/>
              <w:bottom w:val="single" w:sz="4" w:space="0" w:color="auto"/>
              <w:right w:val="single" w:sz="4" w:space="0" w:color="auto"/>
            </w:tcBorders>
            <w:shd w:val="clear" w:color="auto" w:fill="auto"/>
            <w:noWrap/>
            <w:vAlign w:val="bottom"/>
            <w:hideMark/>
          </w:tcPr>
          <w:p w14:paraId="5B2E2810"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0.9</w:t>
            </w:r>
          </w:p>
        </w:tc>
      </w:tr>
      <w:tr w:rsidR="000022AA" w:rsidRPr="00E60FE5" w14:paraId="6041D4AF"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3647DDE9"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Chiapas</w:t>
            </w:r>
          </w:p>
        </w:tc>
        <w:tc>
          <w:tcPr>
            <w:tcW w:w="1816" w:type="dxa"/>
            <w:tcBorders>
              <w:top w:val="nil"/>
              <w:left w:val="nil"/>
              <w:bottom w:val="single" w:sz="4" w:space="0" w:color="auto"/>
              <w:right w:val="single" w:sz="4" w:space="0" w:color="auto"/>
            </w:tcBorders>
            <w:shd w:val="clear" w:color="auto" w:fill="auto"/>
            <w:noWrap/>
            <w:vAlign w:val="bottom"/>
            <w:hideMark/>
          </w:tcPr>
          <w:p w14:paraId="7E18F966"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7 784 689</w:t>
            </w:r>
          </w:p>
        </w:tc>
        <w:tc>
          <w:tcPr>
            <w:tcW w:w="1979" w:type="dxa"/>
            <w:tcBorders>
              <w:top w:val="nil"/>
              <w:left w:val="nil"/>
              <w:bottom w:val="single" w:sz="4" w:space="0" w:color="auto"/>
              <w:right w:val="single" w:sz="4" w:space="0" w:color="auto"/>
            </w:tcBorders>
            <w:shd w:val="clear" w:color="auto" w:fill="auto"/>
            <w:noWrap/>
            <w:vAlign w:val="bottom"/>
            <w:hideMark/>
          </w:tcPr>
          <w:p w14:paraId="1F24C261"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1.9</w:t>
            </w:r>
          </w:p>
        </w:tc>
      </w:tr>
      <w:tr w:rsidR="000022AA" w:rsidRPr="00E60FE5" w14:paraId="5C2E9EB2"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5889286C"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Chihuahua</w:t>
            </w:r>
          </w:p>
        </w:tc>
        <w:tc>
          <w:tcPr>
            <w:tcW w:w="1816" w:type="dxa"/>
            <w:tcBorders>
              <w:top w:val="nil"/>
              <w:left w:val="nil"/>
              <w:bottom w:val="single" w:sz="4" w:space="0" w:color="auto"/>
              <w:right w:val="single" w:sz="4" w:space="0" w:color="auto"/>
            </w:tcBorders>
            <w:shd w:val="clear" w:color="auto" w:fill="auto"/>
            <w:noWrap/>
            <w:vAlign w:val="bottom"/>
            <w:hideMark/>
          </w:tcPr>
          <w:p w14:paraId="20E091D3"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12 829 088</w:t>
            </w:r>
          </w:p>
        </w:tc>
        <w:tc>
          <w:tcPr>
            <w:tcW w:w="1979" w:type="dxa"/>
            <w:tcBorders>
              <w:top w:val="nil"/>
              <w:left w:val="nil"/>
              <w:bottom w:val="single" w:sz="4" w:space="0" w:color="auto"/>
              <w:right w:val="single" w:sz="4" w:space="0" w:color="auto"/>
            </w:tcBorders>
            <w:shd w:val="clear" w:color="auto" w:fill="auto"/>
            <w:noWrap/>
            <w:vAlign w:val="bottom"/>
            <w:hideMark/>
          </w:tcPr>
          <w:p w14:paraId="62471647"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3.1</w:t>
            </w:r>
          </w:p>
        </w:tc>
      </w:tr>
      <w:tr w:rsidR="000022AA" w:rsidRPr="00E60FE5" w14:paraId="294F24A6"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038B0B01" w14:textId="77777777" w:rsidR="000022AA" w:rsidRPr="00E60FE5" w:rsidRDefault="00CD0B14" w:rsidP="002652BF">
            <w:pPr>
              <w:spacing w:after="0" w:line="240" w:lineRule="auto"/>
              <w:rPr>
                <w:rFonts w:ascii="Arial" w:eastAsia="Times New Roman" w:hAnsi="Arial" w:cs="Arial"/>
                <w:sz w:val="20"/>
                <w:szCs w:val="20"/>
                <w:lang w:eastAsia="es-MX"/>
              </w:rPr>
            </w:pPr>
            <w:r>
              <w:rPr>
                <w:rFonts w:ascii="Arial" w:eastAsia="Times New Roman" w:hAnsi="Arial" w:cs="Arial"/>
                <w:sz w:val="20"/>
                <w:szCs w:val="20"/>
                <w:lang w:eastAsia="es-MX"/>
              </w:rPr>
              <w:t>Ciudad de México</w:t>
            </w:r>
          </w:p>
        </w:tc>
        <w:tc>
          <w:tcPr>
            <w:tcW w:w="1816" w:type="dxa"/>
            <w:tcBorders>
              <w:top w:val="nil"/>
              <w:left w:val="nil"/>
              <w:bottom w:val="single" w:sz="4" w:space="0" w:color="auto"/>
              <w:right w:val="single" w:sz="4" w:space="0" w:color="auto"/>
            </w:tcBorders>
            <w:shd w:val="clear" w:color="auto" w:fill="auto"/>
            <w:noWrap/>
            <w:vAlign w:val="bottom"/>
            <w:hideMark/>
          </w:tcPr>
          <w:p w14:paraId="0831CDE7"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86 172 325</w:t>
            </w:r>
          </w:p>
        </w:tc>
        <w:tc>
          <w:tcPr>
            <w:tcW w:w="1979" w:type="dxa"/>
            <w:tcBorders>
              <w:top w:val="nil"/>
              <w:left w:val="nil"/>
              <w:bottom w:val="single" w:sz="4" w:space="0" w:color="auto"/>
              <w:right w:val="single" w:sz="4" w:space="0" w:color="auto"/>
            </w:tcBorders>
            <w:shd w:val="clear" w:color="auto" w:fill="auto"/>
            <w:noWrap/>
            <w:vAlign w:val="bottom"/>
            <w:hideMark/>
          </w:tcPr>
          <w:p w14:paraId="79B4D4A8"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20.</w:t>
            </w:r>
            <w:r w:rsidR="006547B3">
              <w:rPr>
                <w:rFonts w:ascii="Arial" w:eastAsia="Times New Roman" w:hAnsi="Arial" w:cs="Arial"/>
                <w:sz w:val="20"/>
                <w:szCs w:val="20"/>
                <w:lang w:eastAsia="es-MX"/>
              </w:rPr>
              <w:t>7</w:t>
            </w:r>
          </w:p>
        </w:tc>
      </w:tr>
      <w:tr w:rsidR="000022AA" w:rsidRPr="00E60FE5" w14:paraId="46099EE5"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5C3DB245"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Durango</w:t>
            </w:r>
          </w:p>
        </w:tc>
        <w:tc>
          <w:tcPr>
            <w:tcW w:w="1816" w:type="dxa"/>
            <w:tcBorders>
              <w:top w:val="nil"/>
              <w:left w:val="nil"/>
              <w:bottom w:val="single" w:sz="4" w:space="0" w:color="auto"/>
              <w:right w:val="single" w:sz="4" w:space="0" w:color="auto"/>
            </w:tcBorders>
            <w:shd w:val="clear" w:color="auto" w:fill="auto"/>
            <w:noWrap/>
            <w:vAlign w:val="bottom"/>
            <w:hideMark/>
          </w:tcPr>
          <w:p w14:paraId="45ECE339"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4 543 272</w:t>
            </w:r>
          </w:p>
        </w:tc>
        <w:tc>
          <w:tcPr>
            <w:tcW w:w="1979" w:type="dxa"/>
            <w:tcBorders>
              <w:top w:val="nil"/>
              <w:left w:val="nil"/>
              <w:bottom w:val="single" w:sz="4" w:space="0" w:color="auto"/>
              <w:right w:val="single" w:sz="4" w:space="0" w:color="auto"/>
            </w:tcBorders>
            <w:shd w:val="clear" w:color="auto" w:fill="auto"/>
            <w:noWrap/>
            <w:vAlign w:val="bottom"/>
            <w:hideMark/>
          </w:tcPr>
          <w:p w14:paraId="2BD5D999"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1.1</w:t>
            </w:r>
          </w:p>
        </w:tc>
      </w:tr>
      <w:tr w:rsidR="000022AA" w:rsidRPr="00E60FE5" w14:paraId="6A5DF9DC"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7A2188A3"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Guanajuato</w:t>
            </w:r>
          </w:p>
        </w:tc>
        <w:tc>
          <w:tcPr>
            <w:tcW w:w="1816" w:type="dxa"/>
            <w:tcBorders>
              <w:top w:val="nil"/>
              <w:left w:val="nil"/>
              <w:bottom w:val="single" w:sz="4" w:space="0" w:color="auto"/>
              <w:right w:val="single" w:sz="4" w:space="0" w:color="auto"/>
            </w:tcBorders>
            <w:shd w:val="clear" w:color="auto" w:fill="auto"/>
            <w:noWrap/>
            <w:vAlign w:val="bottom"/>
            <w:hideMark/>
          </w:tcPr>
          <w:p w14:paraId="7383C00F"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13 766 856</w:t>
            </w:r>
          </w:p>
        </w:tc>
        <w:tc>
          <w:tcPr>
            <w:tcW w:w="1979" w:type="dxa"/>
            <w:tcBorders>
              <w:top w:val="nil"/>
              <w:left w:val="nil"/>
              <w:bottom w:val="single" w:sz="4" w:space="0" w:color="auto"/>
              <w:right w:val="single" w:sz="4" w:space="0" w:color="auto"/>
            </w:tcBorders>
            <w:shd w:val="clear" w:color="auto" w:fill="auto"/>
            <w:noWrap/>
            <w:vAlign w:val="bottom"/>
            <w:hideMark/>
          </w:tcPr>
          <w:p w14:paraId="206C008E"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3.3</w:t>
            </w:r>
          </w:p>
        </w:tc>
      </w:tr>
      <w:tr w:rsidR="000022AA" w:rsidRPr="00E60FE5" w14:paraId="470440DB"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3247688E"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Guerrero</w:t>
            </w:r>
          </w:p>
        </w:tc>
        <w:tc>
          <w:tcPr>
            <w:tcW w:w="1816" w:type="dxa"/>
            <w:tcBorders>
              <w:top w:val="nil"/>
              <w:left w:val="nil"/>
              <w:bottom w:val="single" w:sz="4" w:space="0" w:color="auto"/>
              <w:right w:val="single" w:sz="4" w:space="0" w:color="auto"/>
            </w:tcBorders>
            <w:shd w:val="clear" w:color="auto" w:fill="auto"/>
            <w:noWrap/>
            <w:vAlign w:val="bottom"/>
            <w:hideMark/>
          </w:tcPr>
          <w:p w14:paraId="7882DE2F"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3 889 559</w:t>
            </w:r>
          </w:p>
        </w:tc>
        <w:tc>
          <w:tcPr>
            <w:tcW w:w="1979" w:type="dxa"/>
            <w:tcBorders>
              <w:top w:val="nil"/>
              <w:left w:val="nil"/>
              <w:bottom w:val="single" w:sz="4" w:space="0" w:color="auto"/>
              <w:right w:val="single" w:sz="4" w:space="0" w:color="auto"/>
            </w:tcBorders>
            <w:shd w:val="clear" w:color="auto" w:fill="auto"/>
            <w:noWrap/>
            <w:vAlign w:val="bottom"/>
            <w:hideMark/>
          </w:tcPr>
          <w:p w14:paraId="4F929FAB"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0.9</w:t>
            </w:r>
          </w:p>
        </w:tc>
      </w:tr>
      <w:tr w:rsidR="000022AA" w:rsidRPr="00E60FE5" w14:paraId="51BCCCB9"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0938F451"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Hidalgo</w:t>
            </w:r>
          </w:p>
        </w:tc>
        <w:tc>
          <w:tcPr>
            <w:tcW w:w="1816" w:type="dxa"/>
            <w:tcBorders>
              <w:top w:val="nil"/>
              <w:left w:val="nil"/>
              <w:bottom w:val="single" w:sz="4" w:space="0" w:color="auto"/>
              <w:right w:val="single" w:sz="4" w:space="0" w:color="auto"/>
            </w:tcBorders>
            <w:shd w:val="clear" w:color="auto" w:fill="auto"/>
            <w:noWrap/>
            <w:vAlign w:val="bottom"/>
            <w:hideMark/>
          </w:tcPr>
          <w:p w14:paraId="69018A56"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5 570 410</w:t>
            </w:r>
          </w:p>
        </w:tc>
        <w:tc>
          <w:tcPr>
            <w:tcW w:w="1979" w:type="dxa"/>
            <w:tcBorders>
              <w:top w:val="nil"/>
              <w:left w:val="nil"/>
              <w:bottom w:val="single" w:sz="4" w:space="0" w:color="auto"/>
              <w:right w:val="single" w:sz="4" w:space="0" w:color="auto"/>
            </w:tcBorders>
            <w:shd w:val="clear" w:color="auto" w:fill="auto"/>
            <w:noWrap/>
            <w:vAlign w:val="bottom"/>
            <w:hideMark/>
          </w:tcPr>
          <w:p w14:paraId="7B24E6F2"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1.3</w:t>
            </w:r>
          </w:p>
        </w:tc>
      </w:tr>
      <w:tr w:rsidR="000022AA" w:rsidRPr="00E60FE5" w14:paraId="1CD5A8D4"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5306A3F5"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Jalisco</w:t>
            </w:r>
          </w:p>
        </w:tc>
        <w:tc>
          <w:tcPr>
            <w:tcW w:w="1816" w:type="dxa"/>
            <w:tcBorders>
              <w:top w:val="nil"/>
              <w:left w:val="nil"/>
              <w:bottom w:val="single" w:sz="4" w:space="0" w:color="auto"/>
              <w:right w:val="single" w:sz="4" w:space="0" w:color="auto"/>
            </w:tcBorders>
            <w:shd w:val="clear" w:color="auto" w:fill="auto"/>
            <w:noWrap/>
            <w:vAlign w:val="bottom"/>
            <w:hideMark/>
          </w:tcPr>
          <w:p w14:paraId="40CCC42C"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26 734 814</w:t>
            </w:r>
          </w:p>
        </w:tc>
        <w:tc>
          <w:tcPr>
            <w:tcW w:w="1979" w:type="dxa"/>
            <w:tcBorders>
              <w:top w:val="nil"/>
              <w:left w:val="nil"/>
              <w:bottom w:val="single" w:sz="4" w:space="0" w:color="auto"/>
              <w:right w:val="single" w:sz="4" w:space="0" w:color="auto"/>
            </w:tcBorders>
            <w:shd w:val="clear" w:color="auto" w:fill="auto"/>
            <w:noWrap/>
            <w:vAlign w:val="bottom"/>
            <w:hideMark/>
          </w:tcPr>
          <w:p w14:paraId="0A8EA17B"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6.4</w:t>
            </w:r>
          </w:p>
        </w:tc>
      </w:tr>
      <w:tr w:rsidR="000022AA" w:rsidRPr="00E60FE5" w14:paraId="467144C5"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4BBA88E2"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México</w:t>
            </w:r>
          </w:p>
        </w:tc>
        <w:tc>
          <w:tcPr>
            <w:tcW w:w="1816" w:type="dxa"/>
            <w:tcBorders>
              <w:top w:val="nil"/>
              <w:left w:val="nil"/>
              <w:bottom w:val="single" w:sz="4" w:space="0" w:color="auto"/>
              <w:right w:val="single" w:sz="4" w:space="0" w:color="auto"/>
            </w:tcBorders>
            <w:shd w:val="clear" w:color="auto" w:fill="auto"/>
            <w:noWrap/>
            <w:vAlign w:val="bottom"/>
            <w:hideMark/>
          </w:tcPr>
          <w:p w14:paraId="4E2224F6"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40 917 307</w:t>
            </w:r>
          </w:p>
        </w:tc>
        <w:tc>
          <w:tcPr>
            <w:tcW w:w="1979" w:type="dxa"/>
            <w:tcBorders>
              <w:top w:val="nil"/>
              <w:left w:val="nil"/>
              <w:bottom w:val="single" w:sz="4" w:space="0" w:color="auto"/>
              <w:right w:val="single" w:sz="4" w:space="0" w:color="auto"/>
            </w:tcBorders>
            <w:shd w:val="clear" w:color="auto" w:fill="auto"/>
            <w:noWrap/>
            <w:vAlign w:val="bottom"/>
            <w:hideMark/>
          </w:tcPr>
          <w:p w14:paraId="0EF0C990"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9.8</w:t>
            </w:r>
          </w:p>
        </w:tc>
      </w:tr>
      <w:tr w:rsidR="000022AA" w:rsidRPr="00E60FE5" w14:paraId="61BF5821"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026820E6"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Michoacán de Ocampo</w:t>
            </w:r>
          </w:p>
        </w:tc>
        <w:tc>
          <w:tcPr>
            <w:tcW w:w="1816" w:type="dxa"/>
            <w:tcBorders>
              <w:top w:val="nil"/>
              <w:left w:val="nil"/>
              <w:bottom w:val="single" w:sz="4" w:space="0" w:color="auto"/>
              <w:right w:val="single" w:sz="4" w:space="0" w:color="auto"/>
            </w:tcBorders>
            <w:shd w:val="clear" w:color="auto" w:fill="auto"/>
            <w:noWrap/>
            <w:vAlign w:val="bottom"/>
            <w:hideMark/>
          </w:tcPr>
          <w:p w14:paraId="6FC2B72C"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6 449 413</w:t>
            </w:r>
          </w:p>
        </w:tc>
        <w:tc>
          <w:tcPr>
            <w:tcW w:w="1979" w:type="dxa"/>
            <w:tcBorders>
              <w:top w:val="nil"/>
              <w:left w:val="nil"/>
              <w:bottom w:val="single" w:sz="4" w:space="0" w:color="auto"/>
              <w:right w:val="single" w:sz="4" w:space="0" w:color="auto"/>
            </w:tcBorders>
            <w:shd w:val="clear" w:color="auto" w:fill="auto"/>
            <w:noWrap/>
            <w:vAlign w:val="bottom"/>
            <w:hideMark/>
          </w:tcPr>
          <w:p w14:paraId="1BFA05DB" w14:textId="77777777" w:rsidR="000022AA" w:rsidRPr="00E60FE5" w:rsidRDefault="000022AA" w:rsidP="007C4F1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w:t>
            </w:r>
            <w:r w:rsidR="007C4F13">
              <w:rPr>
                <w:rFonts w:ascii="Arial" w:eastAsia="Times New Roman" w:hAnsi="Arial" w:cs="Arial"/>
                <w:sz w:val="20"/>
                <w:szCs w:val="20"/>
                <w:lang w:eastAsia="es-MX"/>
              </w:rPr>
              <w:t>6</w:t>
            </w:r>
          </w:p>
        </w:tc>
      </w:tr>
      <w:tr w:rsidR="000022AA" w:rsidRPr="00E60FE5" w14:paraId="405EB961"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04A4E553"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Morelos</w:t>
            </w:r>
          </w:p>
        </w:tc>
        <w:tc>
          <w:tcPr>
            <w:tcW w:w="1816" w:type="dxa"/>
            <w:tcBorders>
              <w:top w:val="nil"/>
              <w:left w:val="nil"/>
              <w:bottom w:val="single" w:sz="4" w:space="0" w:color="auto"/>
              <w:right w:val="single" w:sz="4" w:space="0" w:color="auto"/>
            </w:tcBorders>
            <w:shd w:val="clear" w:color="auto" w:fill="auto"/>
            <w:noWrap/>
            <w:vAlign w:val="bottom"/>
            <w:hideMark/>
          </w:tcPr>
          <w:p w14:paraId="44FE53E1"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2 501 802</w:t>
            </w:r>
          </w:p>
        </w:tc>
        <w:tc>
          <w:tcPr>
            <w:tcW w:w="1979" w:type="dxa"/>
            <w:tcBorders>
              <w:top w:val="nil"/>
              <w:left w:val="nil"/>
              <w:bottom w:val="single" w:sz="4" w:space="0" w:color="auto"/>
              <w:right w:val="single" w:sz="4" w:space="0" w:color="auto"/>
            </w:tcBorders>
            <w:shd w:val="clear" w:color="auto" w:fill="auto"/>
            <w:noWrap/>
            <w:vAlign w:val="bottom"/>
            <w:hideMark/>
          </w:tcPr>
          <w:p w14:paraId="6BE4B773"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0.6</w:t>
            </w:r>
          </w:p>
        </w:tc>
      </w:tr>
      <w:tr w:rsidR="000022AA" w:rsidRPr="00E60FE5" w14:paraId="058DEAA2"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0CFA88CC"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Nayarit</w:t>
            </w:r>
          </w:p>
        </w:tc>
        <w:tc>
          <w:tcPr>
            <w:tcW w:w="1816" w:type="dxa"/>
            <w:tcBorders>
              <w:top w:val="nil"/>
              <w:left w:val="nil"/>
              <w:bottom w:val="single" w:sz="4" w:space="0" w:color="auto"/>
              <w:right w:val="single" w:sz="4" w:space="0" w:color="auto"/>
            </w:tcBorders>
            <w:shd w:val="clear" w:color="auto" w:fill="auto"/>
            <w:noWrap/>
            <w:vAlign w:val="bottom"/>
            <w:hideMark/>
          </w:tcPr>
          <w:p w14:paraId="025EA353"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2 482 012</w:t>
            </w:r>
          </w:p>
        </w:tc>
        <w:tc>
          <w:tcPr>
            <w:tcW w:w="1979" w:type="dxa"/>
            <w:tcBorders>
              <w:top w:val="nil"/>
              <w:left w:val="nil"/>
              <w:bottom w:val="single" w:sz="4" w:space="0" w:color="auto"/>
              <w:right w:val="single" w:sz="4" w:space="0" w:color="auto"/>
            </w:tcBorders>
            <w:shd w:val="clear" w:color="auto" w:fill="auto"/>
            <w:noWrap/>
            <w:vAlign w:val="bottom"/>
            <w:hideMark/>
          </w:tcPr>
          <w:p w14:paraId="03AC56E3"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0.6</w:t>
            </w:r>
          </w:p>
        </w:tc>
      </w:tr>
      <w:tr w:rsidR="000022AA" w:rsidRPr="00E60FE5" w14:paraId="510A06F1"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306EFABF"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Nuevo León</w:t>
            </w:r>
          </w:p>
        </w:tc>
        <w:tc>
          <w:tcPr>
            <w:tcW w:w="1816" w:type="dxa"/>
            <w:tcBorders>
              <w:top w:val="nil"/>
              <w:left w:val="nil"/>
              <w:bottom w:val="single" w:sz="4" w:space="0" w:color="auto"/>
              <w:right w:val="single" w:sz="4" w:space="0" w:color="auto"/>
            </w:tcBorders>
            <w:shd w:val="clear" w:color="auto" w:fill="auto"/>
            <w:noWrap/>
            <w:vAlign w:val="bottom"/>
            <w:hideMark/>
          </w:tcPr>
          <w:p w14:paraId="2C963AEC"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42 248 270</w:t>
            </w:r>
          </w:p>
        </w:tc>
        <w:tc>
          <w:tcPr>
            <w:tcW w:w="1979" w:type="dxa"/>
            <w:tcBorders>
              <w:top w:val="nil"/>
              <w:left w:val="nil"/>
              <w:bottom w:val="single" w:sz="4" w:space="0" w:color="auto"/>
              <w:right w:val="single" w:sz="4" w:space="0" w:color="auto"/>
            </w:tcBorders>
            <w:shd w:val="clear" w:color="auto" w:fill="auto"/>
            <w:noWrap/>
            <w:vAlign w:val="bottom"/>
            <w:hideMark/>
          </w:tcPr>
          <w:p w14:paraId="1A5F31E6" w14:textId="77777777" w:rsidR="000022AA" w:rsidRPr="00E60FE5" w:rsidRDefault="000022AA" w:rsidP="007C4F1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10.</w:t>
            </w:r>
            <w:r w:rsidR="007C4F13">
              <w:rPr>
                <w:rFonts w:ascii="Arial" w:eastAsia="Times New Roman" w:hAnsi="Arial" w:cs="Arial"/>
                <w:sz w:val="20"/>
                <w:szCs w:val="20"/>
                <w:lang w:eastAsia="es-MX"/>
              </w:rPr>
              <w:t>1</w:t>
            </w:r>
          </w:p>
        </w:tc>
      </w:tr>
      <w:tr w:rsidR="000022AA" w:rsidRPr="00E60FE5" w14:paraId="384A6FA9"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08B922D9"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Oaxaca</w:t>
            </w:r>
          </w:p>
        </w:tc>
        <w:tc>
          <w:tcPr>
            <w:tcW w:w="1816" w:type="dxa"/>
            <w:tcBorders>
              <w:top w:val="nil"/>
              <w:left w:val="nil"/>
              <w:bottom w:val="single" w:sz="4" w:space="0" w:color="auto"/>
              <w:right w:val="single" w:sz="4" w:space="0" w:color="auto"/>
            </w:tcBorders>
            <w:shd w:val="clear" w:color="auto" w:fill="auto"/>
            <w:noWrap/>
            <w:vAlign w:val="bottom"/>
            <w:hideMark/>
          </w:tcPr>
          <w:p w14:paraId="417A8366"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3 558 855</w:t>
            </w:r>
          </w:p>
        </w:tc>
        <w:tc>
          <w:tcPr>
            <w:tcW w:w="1979" w:type="dxa"/>
            <w:tcBorders>
              <w:top w:val="nil"/>
              <w:left w:val="nil"/>
              <w:bottom w:val="single" w:sz="4" w:space="0" w:color="auto"/>
              <w:right w:val="single" w:sz="4" w:space="0" w:color="auto"/>
            </w:tcBorders>
            <w:shd w:val="clear" w:color="auto" w:fill="auto"/>
            <w:noWrap/>
            <w:vAlign w:val="bottom"/>
            <w:hideMark/>
          </w:tcPr>
          <w:p w14:paraId="140FAC1C"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0.9</w:t>
            </w:r>
          </w:p>
        </w:tc>
      </w:tr>
      <w:tr w:rsidR="000022AA" w:rsidRPr="00E60FE5" w14:paraId="71952339"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1AAA76CC"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Puebla</w:t>
            </w:r>
          </w:p>
        </w:tc>
        <w:tc>
          <w:tcPr>
            <w:tcW w:w="1816" w:type="dxa"/>
            <w:tcBorders>
              <w:top w:val="nil"/>
              <w:left w:val="nil"/>
              <w:bottom w:val="single" w:sz="4" w:space="0" w:color="auto"/>
              <w:right w:val="single" w:sz="4" w:space="0" w:color="auto"/>
            </w:tcBorders>
            <w:shd w:val="clear" w:color="auto" w:fill="auto"/>
            <w:noWrap/>
            <w:vAlign w:val="bottom"/>
            <w:hideMark/>
          </w:tcPr>
          <w:p w14:paraId="189C1FC4"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6 585 638</w:t>
            </w:r>
          </w:p>
        </w:tc>
        <w:tc>
          <w:tcPr>
            <w:tcW w:w="1979" w:type="dxa"/>
            <w:tcBorders>
              <w:top w:val="nil"/>
              <w:left w:val="nil"/>
              <w:bottom w:val="single" w:sz="4" w:space="0" w:color="auto"/>
              <w:right w:val="single" w:sz="4" w:space="0" w:color="auto"/>
            </w:tcBorders>
            <w:shd w:val="clear" w:color="auto" w:fill="auto"/>
            <w:noWrap/>
            <w:vAlign w:val="bottom"/>
            <w:hideMark/>
          </w:tcPr>
          <w:p w14:paraId="387B69C3"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1.6</w:t>
            </w:r>
          </w:p>
        </w:tc>
      </w:tr>
      <w:tr w:rsidR="000022AA" w:rsidRPr="00E60FE5" w14:paraId="5E0E8F67"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01752331"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Querétaro</w:t>
            </w:r>
          </w:p>
        </w:tc>
        <w:tc>
          <w:tcPr>
            <w:tcW w:w="1816" w:type="dxa"/>
            <w:tcBorders>
              <w:top w:val="nil"/>
              <w:left w:val="nil"/>
              <w:bottom w:val="single" w:sz="4" w:space="0" w:color="auto"/>
              <w:right w:val="single" w:sz="4" w:space="0" w:color="auto"/>
            </w:tcBorders>
            <w:shd w:val="clear" w:color="auto" w:fill="auto"/>
            <w:noWrap/>
            <w:vAlign w:val="bottom"/>
            <w:hideMark/>
          </w:tcPr>
          <w:p w14:paraId="05D3CE6B"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6 702 265</w:t>
            </w:r>
          </w:p>
        </w:tc>
        <w:tc>
          <w:tcPr>
            <w:tcW w:w="1979" w:type="dxa"/>
            <w:tcBorders>
              <w:top w:val="nil"/>
              <w:left w:val="nil"/>
              <w:bottom w:val="single" w:sz="4" w:space="0" w:color="auto"/>
              <w:right w:val="single" w:sz="4" w:space="0" w:color="auto"/>
            </w:tcBorders>
            <w:shd w:val="clear" w:color="auto" w:fill="auto"/>
            <w:noWrap/>
            <w:vAlign w:val="bottom"/>
            <w:hideMark/>
          </w:tcPr>
          <w:p w14:paraId="29A29A84"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1.6</w:t>
            </w:r>
          </w:p>
        </w:tc>
      </w:tr>
      <w:tr w:rsidR="000022AA" w:rsidRPr="00E60FE5" w14:paraId="0AA4DBFA"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6FA04DFA"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Quintana Roo</w:t>
            </w:r>
          </w:p>
        </w:tc>
        <w:tc>
          <w:tcPr>
            <w:tcW w:w="1816" w:type="dxa"/>
            <w:tcBorders>
              <w:top w:val="nil"/>
              <w:left w:val="nil"/>
              <w:bottom w:val="single" w:sz="4" w:space="0" w:color="auto"/>
              <w:right w:val="single" w:sz="4" w:space="0" w:color="auto"/>
            </w:tcBorders>
            <w:shd w:val="clear" w:color="auto" w:fill="auto"/>
            <w:noWrap/>
            <w:vAlign w:val="bottom"/>
            <w:hideMark/>
          </w:tcPr>
          <w:p w14:paraId="73DC5306"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6 557 043</w:t>
            </w:r>
          </w:p>
        </w:tc>
        <w:tc>
          <w:tcPr>
            <w:tcW w:w="1979" w:type="dxa"/>
            <w:tcBorders>
              <w:top w:val="nil"/>
              <w:left w:val="nil"/>
              <w:bottom w:val="single" w:sz="4" w:space="0" w:color="auto"/>
              <w:right w:val="single" w:sz="4" w:space="0" w:color="auto"/>
            </w:tcBorders>
            <w:shd w:val="clear" w:color="auto" w:fill="auto"/>
            <w:noWrap/>
            <w:vAlign w:val="bottom"/>
            <w:hideMark/>
          </w:tcPr>
          <w:p w14:paraId="6669F9E6"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1.6</w:t>
            </w:r>
          </w:p>
        </w:tc>
      </w:tr>
      <w:tr w:rsidR="000022AA" w:rsidRPr="00E60FE5" w14:paraId="08C2144D"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7197BD1D"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San Luis Potosí</w:t>
            </w:r>
          </w:p>
        </w:tc>
        <w:tc>
          <w:tcPr>
            <w:tcW w:w="1816" w:type="dxa"/>
            <w:tcBorders>
              <w:top w:val="nil"/>
              <w:left w:val="nil"/>
              <w:bottom w:val="single" w:sz="4" w:space="0" w:color="auto"/>
              <w:right w:val="single" w:sz="4" w:space="0" w:color="auto"/>
            </w:tcBorders>
            <w:shd w:val="clear" w:color="auto" w:fill="auto"/>
            <w:noWrap/>
            <w:vAlign w:val="bottom"/>
            <w:hideMark/>
          </w:tcPr>
          <w:p w14:paraId="653F03AF"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7 065 512</w:t>
            </w:r>
          </w:p>
        </w:tc>
        <w:tc>
          <w:tcPr>
            <w:tcW w:w="1979" w:type="dxa"/>
            <w:tcBorders>
              <w:top w:val="nil"/>
              <w:left w:val="nil"/>
              <w:bottom w:val="single" w:sz="4" w:space="0" w:color="auto"/>
              <w:right w:val="single" w:sz="4" w:space="0" w:color="auto"/>
            </w:tcBorders>
            <w:shd w:val="clear" w:color="auto" w:fill="auto"/>
            <w:noWrap/>
            <w:vAlign w:val="bottom"/>
            <w:hideMark/>
          </w:tcPr>
          <w:p w14:paraId="3D7D3E0C"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1.7</w:t>
            </w:r>
          </w:p>
        </w:tc>
      </w:tr>
      <w:tr w:rsidR="000022AA" w:rsidRPr="00E60FE5" w14:paraId="0C168AA1"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18917B75"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Sinaloa</w:t>
            </w:r>
          </w:p>
        </w:tc>
        <w:tc>
          <w:tcPr>
            <w:tcW w:w="1816" w:type="dxa"/>
            <w:tcBorders>
              <w:top w:val="nil"/>
              <w:left w:val="nil"/>
              <w:bottom w:val="single" w:sz="4" w:space="0" w:color="auto"/>
              <w:right w:val="single" w:sz="4" w:space="0" w:color="auto"/>
            </w:tcBorders>
            <w:shd w:val="clear" w:color="auto" w:fill="auto"/>
            <w:noWrap/>
            <w:vAlign w:val="bottom"/>
            <w:hideMark/>
          </w:tcPr>
          <w:p w14:paraId="2039F4CC"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21 606 160</w:t>
            </w:r>
          </w:p>
        </w:tc>
        <w:tc>
          <w:tcPr>
            <w:tcW w:w="1979" w:type="dxa"/>
            <w:tcBorders>
              <w:top w:val="nil"/>
              <w:left w:val="nil"/>
              <w:bottom w:val="single" w:sz="4" w:space="0" w:color="auto"/>
              <w:right w:val="single" w:sz="4" w:space="0" w:color="auto"/>
            </w:tcBorders>
            <w:shd w:val="clear" w:color="auto" w:fill="auto"/>
            <w:noWrap/>
            <w:vAlign w:val="bottom"/>
            <w:hideMark/>
          </w:tcPr>
          <w:p w14:paraId="6A70FFE9"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5.2</w:t>
            </w:r>
          </w:p>
        </w:tc>
      </w:tr>
      <w:tr w:rsidR="000022AA" w:rsidRPr="00E60FE5" w14:paraId="746C3EFD"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57D0F510"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Sonora</w:t>
            </w:r>
          </w:p>
        </w:tc>
        <w:tc>
          <w:tcPr>
            <w:tcW w:w="1816" w:type="dxa"/>
            <w:tcBorders>
              <w:top w:val="nil"/>
              <w:left w:val="nil"/>
              <w:bottom w:val="single" w:sz="4" w:space="0" w:color="auto"/>
              <w:right w:val="single" w:sz="4" w:space="0" w:color="auto"/>
            </w:tcBorders>
            <w:shd w:val="clear" w:color="auto" w:fill="auto"/>
            <w:noWrap/>
            <w:vAlign w:val="bottom"/>
            <w:hideMark/>
          </w:tcPr>
          <w:p w14:paraId="065657F5"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12 680 468</w:t>
            </w:r>
          </w:p>
        </w:tc>
        <w:tc>
          <w:tcPr>
            <w:tcW w:w="1979" w:type="dxa"/>
            <w:tcBorders>
              <w:top w:val="nil"/>
              <w:left w:val="nil"/>
              <w:bottom w:val="single" w:sz="4" w:space="0" w:color="auto"/>
              <w:right w:val="single" w:sz="4" w:space="0" w:color="auto"/>
            </w:tcBorders>
            <w:shd w:val="clear" w:color="auto" w:fill="auto"/>
            <w:noWrap/>
            <w:vAlign w:val="bottom"/>
            <w:hideMark/>
          </w:tcPr>
          <w:p w14:paraId="3979101F"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3.0</w:t>
            </w:r>
          </w:p>
        </w:tc>
      </w:tr>
      <w:tr w:rsidR="000022AA" w:rsidRPr="00E60FE5" w14:paraId="7E08C259"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77B965EB"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Tabasco</w:t>
            </w:r>
          </w:p>
        </w:tc>
        <w:tc>
          <w:tcPr>
            <w:tcW w:w="1816" w:type="dxa"/>
            <w:tcBorders>
              <w:top w:val="nil"/>
              <w:left w:val="nil"/>
              <w:bottom w:val="single" w:sz="4" w:space="0" w:color="auto"/>
              <w:right w:val="single" w:sz="4" w:space="0" w:color="auto"/>
            </w:tcBorders>
            <w:shd w:val="clear" w:color="auto" w:fill="auto"/>
            <w:noWrap/>
            <w:vAlign w:val="bottom"/>
            <w:hideMark/>
          </w:tcPr>
          <w:p w14:paraId="1E87EBDF"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10 510 960</w:t>
            </w:r>
          </w:p>
        </w:tc>
        <w:tc>
          <w:tcPr>
            <w:tcW w:w="1979" w:type="dxa"/>
            <w:tcBorders>
              <w:top w:val="nil"/>
              <w:left w:val="nil"/>
              <w:bottom w:val="single" w:sz="4" w:space="0" w:color="auto"/>
              <w:right w:val="single" w:sz="4" w:space="0" w:color="auto"/>
            </w:tcBorders>
            <w:shd w:val="clear" w:color="auto" w:fill="auto"/>
            <w:noWrap/>
            <w:vAlign w:val="bottom"/>
            <w:hideMark/>
          </w:tcPr>
          <w:p w14:paraId="5F709B75"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2.5</w:t>
            </w:r>
          </w:p>
        </w:tc>
      </w:tr>
      <w:tr w:rsidR="000022AA" w:rsidRPr="00E60FE5" w14:paraId="6AACE231"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3114D149"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Tamaulipas</w:t>
            </w:r>
          </w:p>
        </w:tc>
        <w:tc>
          <w:tcPr>
            <w:tcW w:w="1816" w:type="dxa"/>
            <w:tcBorders>
              <w:top w:val="nil"/>
              <w:left w:val="nil"/>
              <w:bottom w:val="single" w:sz="4" w:space="0" w:color="auto"/>
              <w:right w:val="single" w:sz="4" w:space="0" w:color="auto"/>
            </w:tcBorders>
            <w:shd w:val="clear" w:color="auto" w:fill="auto"/>
            <w:noWrap/>
            <w:vAlign w:val="bottom"/>
            <w:hideMark/>
          </w:tcPr>
          <w:p w14:paraId="06ADA83A"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12 468 227</w:t>
            </w:r>
          </w:p>
        </w:tc>
        <w:tc>
          <w:tcPr>
            <w:tcW w:w="1979" w:type="dxa"/>
            <w:tcBorders>
              <w:top w:val="nil"/>
              <w:left w:val="nil"/>
              <w:bottom w:val="single" w:sz="4" w:space="0" w:color="auto"/>
              <w:right w:val="single" w:sz="4" w:space="0" w:color="auto"/>
            </w:tcBorders>
            <w:shd w:val="clear" w:color="auto" w:fill="auto"/>
            <w:noWrap/>
            <w:vAlign w:val="bottom"/>
            <w:hideMark/>
          </w:tcPr>
          <w:p w14:paraId="4F1B7038"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3.0</w:t>
            </w:r>
          </w:p>
        </w:tc>
      </w:tr>
      <w:tr w:rsidR="000022AA" w:rsidRPr="00E60FE5" w14:paraId="6C311107"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056E6771"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Tlaxcala</w:t>
            </w:r>
          </w:p>
        </w:tc>
        <w:tc>
          <w:tcPr>
            <w:tcW w:w="1816" w:type="dxa"/>
            <w:tcBorders>
              <w:top w:val="nil"/>
              <w:left w:val="nil"/>
              <w:bottom w:val="single" w:sz="4" w:space="0" w:color="auto"/>
              <w:right w:val="single" w:sz="4" w:space="0" w:color="auto"/>
            </w:tcBorders>
            <w:shd w:val="clear" w:color="auto" w:fill="auto"/>
            <w:noWrap/>
            <w:vAlign w:val="bottom"/>
            <w:hideMark/>
          </w:tcPr>
          <w:p w14:paraId="77831444"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 xml:space="preserve"> 866 546</w:t>
            </w:r>
          </w:p>
        </w:tc>
        <w:tc>
          <w:tcPr>
            <w:tcW w:w="1979" w:type="dxa"/>
            <w:tcBorders>
              <w:top w:val="nil"/>
              <w:left w:val="nil"/>
              <w:bottom w:val="single" w:sz="4" w:space="0" w:color="auto"/>
              <w:right w:val="single" w:sz="4" w:space="0" w:color="auto"/>
            </w:tcBorders>
            <w:shd w:val="clear" w:color="auto" w:fill="auto"/>
            <w:noWrap/>
            <w:vAlign w:val="bottom"/>
            <w:hideMark/>
          </w:tcPr>
          <w:p w14:paraId="7AAD7A12"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0.2</w:t>
            </w:r>
          </w:p>
        </w:tc>
      </w:tr>
      <w:tr w:rsidR="000022AA" w:rsidRPr="00E60FE5" w14:paraId="249E526D"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31672990"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Veracruz de Ignacio de la Llave</w:t>
            </w:r>
          </w:p>
        </w:tc>
        <w:tc>
          <w:tcPr>
            <w:tcW w:w="1816" w:type="dxa"/>
            <w:tcBorders>
              <w:top w:val="nil"/>
              <w:left w:val="nil"/>
              <w:bottom w:val="single" w:sz="4" w:space="0" w:color="auto"/>
              <w:right w:val="single" w:sz="4" w:space="0" w:color="auto"/>
            </w:tcBorders>
            <w:shd w:val="clear" w:color="auto" w:fill="auto"/>
            <w:noWrap/>
            <w:vAlign w:val="bottom"/>
            <w:hideMark/>
          </w:tcPr>
          <w:p w14:paraId="5DB24211"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13 958 284</w:t>
            </w:r>
          </w:p>
        </w:tc>
        <w:tc>
          <w:tcPr>
            <w:tcW w:w="1979" w:type="dxa"/>
            <w:tcBorders>
              <w:top w:val="nil"/>
              <w:left w:val="nil"/>
              <w:bottom w:val="single" w:sz="4" w:space="0" w:color="auto"/>
              <w:right w:val="single" w:sz="4" w:space="0" w:color="auto"/>
            </w:tcBorders>
            <w:shd w:val="clear" w:color="auto" w:fill="auto"/>
            <w:noWrap/>
            <w:vAlign w:val="bottom"/>
            <w:hideMark/>
          </w:tcPr>
          <w:p w14:paraId="1A9D6E54"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3.3</w:t>
            </w:r>
          </w:p>
        </w:tc>
      </w:tr>
      <w:tr w:rsidR="000022AA" w:rsidRPr="00E60FE5" w14:paraId="5E94B3D6"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68CCE521"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Yucatán</w:t>
            </w:r>
          </w:p>
        </w:tc>
        <w:tc>
          <w:tcPr>
            <w:tcW w:w="1816" w:type="dxa"/>
            <w:tcBorders>
              <w:top w:val="nil"/>
              <w:left w:val="nil"/>
              <w:bottom w:val="single" w:sz="4" w:space="0" w:color="auto"/>
              <w:right w:val="single" w:sz="4" w:space="0" w:color="auto"/>
            </w:tcBorders>
            <w:shd w:val="clear" w:color="auto" w:fill="auto"/>
            <w:noWrap/>
            <w:vAlign w:val="bottom"/>
            <w:hideMark/>
          </w:tcPr>
          <w:p w14:paraId="177F1269"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8 065 246</w:t>
            </w:r>
          </w:p>
        </w:tc>
        <w:tc>
          <w:tcPr>
            <w:tcW w:w="1979" w:type="dxa"/>
            <w:tcBorders>
              <w:top w:val="nil"/>
              <w:left w:val="nil"/>
              <w:bottom w:val="single" w:sz="4" w:space="0" w:color="auto"/>
              <w:right w:val="single" w:sz="4" w:space="0" w:color="auto"/>
            </w:tcBorders>
            <w:shd w:val="clear" w:color="auto" w:fill="auto"/>
            <w:noWrap/>
            <w:vAlign w:val="bottom"/>
            <w:hideMark/>
          </w:tcPr>
          <w:p w14:paraId="00F1FD72"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1.9</w:t>
            </w:r>
          </w:p>
        </w:tc>
      </w:tr>
      <w:tr w:rsidR="000022AA" w:rsidRPr="00E60FE5" w14:paraId="4E376EB4" w14:textId="77777777" w:rsidTr="002008B8">
        <w:trPr>
          <w:trHeight w:val="263"/>
          <w:jc w:val="center"/>
        </w:trPr>
        <w:tc>
          <w:tcPr>
            <w:tcW w:w="4013" w:type="dxa"/>
            <w:tcBorders>
              <w:top w:val="nil"/>
              <w:left w:val="single" w:sz="4" w:space="0" w:color="auto"/>
              <w:bottom w:val="single" w:sz="4" w:space="0" w:color="auto"/>
              <w:right w:val="single" w:sz="4" w:space="0" w:color="auto"/>
            </w:tcBorders>
            <w:shd w:val="clear" w:color="auto" w:fill="auto"/>
            <w:noWrap/>
            <w:vAlign w:val="bottom"/>
            <w:hideMark/>
          </w:tcPr>
          <w:p w14:paraId="09C40624" w14:textId="77777777" w:rsidR="000022AA" w:rsidRPr="00E60FE5" w:rsidRDefault="000022AA" w:rsidP="002652BF">
            <w:pPr>
              <w:spacing w:after="0" w:line="240" w:lineRule="auto"/>
              <w:rPr>
                <w:rFonts w:ascii="Arial" w:eastAsia="Times New Roman" w:hAnsi="Arial" w:cs="Arial"/>
                <w:sz w:val="20"/>
                <w:szCs w:val="20"/>
                <w:lang w:eastAsia="es-MX"/>
              </w:rPr>
            </w:pPr>
            <w:r w:rsidRPr="00E60FE5">
              <w:rPr>
                <w:rFonts w:ascii="Arial" w:eastAsia="Times New Roman" w:hAnsi="Arial" w:cs="Arial"/>
                <w:sz w:val="20"/>
                <w:szCs w:val="20"/>
                <w:lang w:eastAsia="es-MX"/>
              </w:rPr>
              <w:t>Zacatecas</w:t>
            </w:r>
          </w:p>
        </w:tc>
        <w:tc>
          <w:tcPr>
            <w:tcW w:w="1816" w:type="dxa"/>
            <w:tcBorders>
              <w:top w:val="nil"/>
              <w:left w:val="nil"/>
              <w:bottom w:val="single" w:sz="4" w:space="0" w:color="auto"/>
              <w:right w:val="single" w:sz="4" w:space="0" w:color="auto"/>
            </w:tcBorders>
            <w:shd w:val="clear" w:color="auto" w:fill="auto"/>
            <w:noWrap/>
            <w:vAlign w:val="bottom"/>
            <w:hideMark/>
          </w:tcPr>
          <w:p w14:paraId="402C5983"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3 106 011</w:t>
            </w:r>
          </w:p>
        </w:tc>
        <w:tc>
          <w:tcPr>
            <w:tcW w:w="1979" w:type="dxa"/>
            <w:tcBorders>
              <w:top w:val="nil"/>
              <w:left w:val="nil"/>
              <w:bottom w:val="single" w:sz="4" w:space="0" w:color="auto"/>
              <w:right w:val="single" w:sz="4" w:space="0" w:color="auto"/>
            </w:tcBorders>
            <w:shd w:val="clear" w:color="auto" w:fill="auto"/>
            <w:noWrap/>
            <w:vAlign w:val="bottom"/>
            <w:hideMark/>
          </w:tcPr>
          <w:p w14:paraId="0072C68B" w14:textId="77777777" w:rsidR="000022AA" w:rsidRPr="00E60FE5" w:rsidRDefault="000022AA" w:rsidP="006547B3">
            <w:pPr>
              <w:spacing w:after="0" w:line="240" w:lineRule="auto"/>
              <w:jc w:val="right"/>
              <w:rPr>
                <w:rFonts w:ascii="Arial" w:eastAsia="Times New Roman" w:hAnsi="Arial" w:cs="Arial"/>
                <w:sz w:val="20"/>
                <w:szCs w:val="20"/>
                <w:lang w:eastAsia="es-MX"/>
              </w:rPr>
            </w:pPr>
            <w:r w:rsidRPr="00E60FE5">
              <w:rPr>
                <w:rFonts w:ascii="Arial" w:eastAsia="Times New Roman" w:hAnsi="Arial" w:cs="Arial"/>
                <w:sz w:val="20"/>
                <w:szCs w:val="20"/>
                <w:lang w:eastAsia="es-MX"/>
              </w:rPr>
              <w:t>0.7</w:t>
            </w:r>
          </w:p>
        </w:tc>
      </w:tr>
    </w:tbl>
    <w:p w14:paraId="3F9ECFAD" w14:textId="77777777" w:rsidR="008E775C" w:rsidRDefault="008E775C" w:rsidP="00BA741A">
      <w:pPr>
        <w:pStyle w:val="Default"/>
        <w:ind w:left="426"/>
        <w:jc w:val="both"/>
        <w:rPr>
          <w:color w:val="auto"/>
          <w:sz w:val="16"/>
          <w:lang w:eastAsia="es-MX"/>
        </w:rPr>
      </w:pPr>
      <w:r>
        <w:rPr>
          <w:color w:val="auto"/>
          <w:sz w:val="16"/>
          <w:vertAlign w:val="superscript"/>
          <w:lang w:eastAsia="es-MX"/>
        </w:rPr>
        <w:t xml:space="preserve">   p/ </w:t>
      </w:r>
      <w:r>
        <w:rPr>
          <w:color w:val="auto"/>
          <w:sz w:val="16"/>
          <w:lang w:eastAsia="es-MX"/>
        </w:rPr>
        <w:t>Cifras preliminares</w:t>
      </w:r>
      <w:r w:rsidR="00B14B1C">
        <w:rPr>
          <w:color w:val="auto"/>
          <w:sz w:val="16"/>
          <w:lang w:eastAsia="es-MX"/>
        </w:rPr>
        <w:t>.</w:t>
      </w:r>
      <w:r>
        <w:rPr>
          <w:color w:val="auto"/>
          <w:sz w:val="16"/>
          <w:lang w:eastAsia="es-MX"/>
        </w:rPr>
        <w:t xml:space="preserve"> </w:t>
      </w:r>
    </w:p>
    <w:p w14:paraId="4A91EE72" w14:textId="77777777" w:rsidR="008E775C" w:rsidRPr="00BF15FB" w:rsidRDefault="008E775C" w:rsidP="00BA741A">
      <w:pPr>
        <w:pStyle w:val="Default"/>
        <w:ind w:left="426"/>
        <w:jc w:val="both"/>
        <w:rPr>
          <w:color w:val="auto"/>
          <w:sz w:val="16"/>
          <w:lang w:eastAsia="es-MX"/>
        </w:rPr>
      </w:pPr>
      <w:r>
        <w:rPr>
          <w:color w:val="auto"/>
          <w:sz w:val="16"/>
          <w:lang w:eastAsia="es-MX"/>
        </w:rPr>
        <w:t xml:space="preserve">  </w:t>
      </w:r>
      <w:r w:rsidRPr="00BF15FB">
        <w:rPr>
          <w:color w:val="auto"/>
          <w:sz w:val="16"/>
          <w:lang w:eastAsia="es-MX"/>
        </w:rPr>
        <w:t xml:space="preserve">Fuente: </w:t>
      </w:r>
      <w:r w:rsidRPr="00BF15FB">
        <w:rPr>
          <w:b/>
          <w:color w:val="auto"/>
          <w:sz w:val="16"/>
          <w:lang w:eastAsia="es-MX"/>
        </w:rPr>
        <w:t>INEGI</w:t>
      </w:r>
      <w:r w:rsidR="00B164D0">
        <w:rPr>
          <w:b/>
          <w:color w:val="auto"/>
          <w:sz w:val="16"/>
          <w:lang w:eastAsia="es-MX"/>
        </w:rPr>
        <w:t>.</w:t>
      </w:r>
    </w:p>
    <w:p w14:paraId="5B757A02" w14:textId="77777777" w:rsidR="000022AA" w:rsidRPr="00E60FE5" w:rsidRDefault="000022AA" w:rsidP="000022AA">
      <w:pPr>
        <w:pStyle w:val="Default"/>
        <w:jc w:val="center"/>
        <w:rPr>
          <w:rStyle w:val="A1"/>
          <w:b/>
          <w:bCs/>
          <w:sz w:val="22"/>
          <w:szCs w:val="22"/>
        </w:rPr>
      </w:pPr>
    </w:p>
    <w:p w14:paraId="44D67C76" w14:textId="77777777" w:rsidR="00513162" w:rsidRDefault="00513162" w:rsidP="00513162">
      <w:pPr>
        <w:pStyle w:val="Default"/>
        <w:jc w:val="both"/>
        <w:rPr>
          <w:color w:val="auto"/>
          <w:sz w:val="22"/>
          <w:lang w:eastAsia="es-MX"/>
        </w:rPr>
      </w:pPr>
      <w:r w:rsidRPr="00A341C6">
        <w:rPr>
          <w:color w:val="auto"/>
          <w:sz w:val="22"/>
          <w:lang w:eastAsia="es-MX"/>
        </w:rPr>
        <w:t>Los resultados completos de la EA</w:t>
      </w:r>
      <w:r w:rsidR="000022AA">
        <w:rPr>
          <w:color w:val="auto"/>
          <w:sz w:val="22"/>
          <w:lang w:eastAsia="es-MX"/>
        </w:rPr>
        <w:t>EC</w:t>
      </w:r>
      <w:r w:rsidRPr="00A341C6">
        <w:rPr>
          <w:color w:val="auto"/>
          <w:sz w:val="22"/>
          <w:lang w:eastAsia="es-MX"/>
        </w:rPr>
        <w:t xml:space="preserve"> de 2020 y años previos se encuentran disponibles en el portal </w:t>
      </w:r>
      <w:r>
        <w:rPr>
          <w:color w:val="auto"/>
          <w:sz w:val="22"/>
          <w:lang w:eastAsia="es-MX"/>
        </w:rPr>
        <w:t>del Instituto</w:t>
      </w:r>
      <w:r w:rsidRPr="00A341C6">
        <w:rPr>
          <w:color w:val="auto"/>
          <w:sz w:val="22"/>
          <w:lang w:eastAsia="es-MX"/>
        </w:rPr>
        <w:t xml:space="preserve"> (</w:t>
      </w:r>
      <w:hyperlink r:id="rId35" w:history="1">
        <w:r w:rsidRPr="00A341C6">
          <w:rPr>
            <w:rStyle w:val="Hipervnculo"/>
            <w:sz w:val="22"/>
            <w:lang w:eastAsia="es-MX"/>
          </w:rPr>
          <w:t>www.inegi.org.mx</w:t>
        </w:r>
      </w:hyperlink>
      <w:r w:rsidRPr="00A341C6">
        <w:rPr>
          <w:color w:val="auto"/>
          <w:sz w:val="22"/>
          <w:lang w:eastAsia="es-MX"/>
        </w:rPr>
        <w:t>)</w:t>
      </w:r>
      <w:r>
        <w:rPr>
          <w:color w:val="auto"/>
          <w:sz w:val="22"/>
          <w:lang w:eastAsia="es-MX"/>
        </w:rPr>
        <w:t>, en la siguiente</w:t>
      </w:r>
      <w:r w:rsidR="00C841C8">
        <w:rPr>
          <w:color w:val="auto"/>
          <w:sz w:val="22"/>
          <w:lang w:eastAsia="es-MX"/>
        </w:rPr>
        <w:t xml:space="preserve"> </w:t>
      </w:r>
      <w:r w:rsidR="00E742D9">
        <w:rPr>
          <w:color w:val="auto"/>
          <w:sz w:val="22"/>
          <w:lang w:eastAsia="es-MX"/>
        </w:rPr>
        <w:t>liga</w:t>
      </w:r>
      <w:r>
        <w:rPr>
          <w:color w:val="auto"/>
          <w:sz w:val="22"/>
          <w:lang w:eastAsia="es-MX"/>
        </w:rPr>
        <w:t>:</w:t>
      </w:r>
    </w:p>
    <w:p w14:paraId="73719D9F" w14:textId="77777777" w:rsidR="00513162" w:rsidRPr="00A341C6" w:rsidRDefault="00513162" w:rsidP="00513162">
      <w:pPr>
        <w:pStyle w:val="Default"/>
        <w:jc w:val="both"/>
        <w:rPr>
          <w:color w:val="auto"/>
          <w:sz w:val="22"/>
          <w:lang w:eastAsia="es-MX"/>
        </w:rPr>
      </w:pPr>
    </w:p>
    <w:bookmarkStart w:id="2" w:name="_Hlk89866003"/>
    <w:p w14:paraId="68B8C609" w14:textId="77777777" w:rsidR="00E742D9" w:rsidRPr="00E742D9" w:rsidRDefault="00E742D9" w:rsidP="001576B3">
      <w:pPr>
        <w:widowControl w:val="0"/>
        <w:autoSpaceDE w:val="0"/>
        <w:autoSpaceDN w:val="0"/>
        <w:adjustRightInd w:val="0"/>
        <w:spacing w:after="0" w:line="240" w:lineRule="auto"/>
        <w:jc w:val="both"/>
        <w:rPr>
          <w:rFonts w:ascii="Arial" w:eastAsiaTheme="minorEastAsia" w:hAnsi="Arial" w:cs="Arial"/>
          <w:bCs/>
          <w:lang w:eastAsia="es-MX"/>
        </w:rPr>
      </w:pPr>
      <w:r w:rsidRPr="00E742D9">
        <w:rPr>
          <w:rFonts w:ascii="Arial" w:eastAsiaTheme="minorEastAsia" w:hAnsi="Arial" w:cs="Arial"/>
          <w:bCs/>
          <w:lang w:eastAsia="es-MX"/>
        </w:rPr>
        <w:fldChar w:fldCharType="begin"/>
      </w:r>
      <w:r w:rsidRPr="00E742D9">
        <w:rPr>
          <w:rFonts w:ascii="Arial" w:eastAsiaTheme="minorEastAsia" w:hAnsi="Arial" w:cs="Arial"/>
          <w:bCs/>
          <w:lang w:eastAsia="es-MX"/>
        </w:rPr>
        <w:instrText xml:space="preserve"> HYPERLINK "https://www.inegi.org.mx/programas/eaec/2013/" </w:instrText>
      </w:r>
      <w:r w:rsidRPr="00E742D9">
        <w:rPr>
          <w:rFonts w:ascii="Arial" w:eastAsiaTheme="minorEastAsia" w:hAnsi="Arial" w:cs="Arial"/>
          <w:bCs/>
          <w:lang w:eastAsia="es-MX"/>
        </w:rPr>
        <w:fldChar w:fldCharType="separate"/>
      </w:r>
      <w:r w:rsidRPr="00E742D9">
        <w:rPr>
          <w:rStyle w:val="Hipervnculo"/>
          <w:rFonts w:ascii="Arial" w:eastAsiaTheme="minorEastAsia" w:hAnsi="Arial" w:cs="Arial"/>
          <w:bCs/>
          <w:lang w:eastAsia="es-MX"/>
        </w:rPr>
        <w:t>https://www.inegi.org.mx/programas/eaec/2013/</w:t>
      </w:r>
      <w:r w:rsidRPr="00E742D9">
        <w:rPr>
          <w:rFonts w:ascii="Arial" w:eastAsiaTheme="minorEastAsia" w:hAnsi="Arial" w:cs="Arial"/>
          <w:bCs/>
          <w:lang w:eastAsia="es-MX"/>
        </w:rPr>
        <w:fldChar w:fldCharType="end"/>
      </w:r>
    </w:p>
    <w:p w14:paraId="1392290E" w14:textId="77777777" w:rsidR="00E742D9" w:rsidRDefault="00E742D9" w:rsidP="001576B3">
      <w:pPr>
        <w:widowControl w:val="0"/>
        <w:autoSpaceDE w:val="0"/>
        <w:autoSpaceDN w:val="0"/>
        <w:adjustRightInd w:val="0"/>
        <w:spacing w:after="0" w:line="240" w:lineRule="auto"/>
        <w:jc w:val="both"/>
        <w:rPr>
          <w:rFonts w:ascii="Arial" w:eastAsiaTheme="minorEastAsia" w:hAnsi="Arial" w:cs="Arial"/>
          <w:b/>
          <w:bCs/>
          <w:lang w:eastAsia="es-MX"/>
        </w:rPr>
      </w:pPr>
    </w:p>
    <w:p w14:paraId="693DB322" w14:textId="77777777" w:rsidR="00351F4E" w:rsidRDefault="00351F4E" w:rsidP="001576B3">
      <w:pPr>
        <w:widowControl w:val="0"/>
        <w:autoSpaceDE w:val="0"/>
        <w:autoSpaceDN w:val="0"/>
        <w:adjustRightInd w:val="0"/>
        <w:spacing w:after="0" w:line="240" w:lineRule="auto"/>
        <w:jc w:val="both"/>
        <w:rPr>
          <w:rFonts w:ascii="Arial" w:eastAsiaTheme="minorEastAsia" w:hAnsi="Arial" w:cs="Arial"/>
          <w:b/>
          <w:bCs/>
          <w:lang w:eastAsia="es-MX"/>
        </w:rPr>
      </w:pPr>
    </w:p>
    <w:p w14:paraId="7F0E1044" w14:textId="77777777" w:rsidR="001576B3" w:rsidRPr="00187E09" w:rsidRDefault="001576B3" w:rsidP="001576B3">
      <w:pPr>
        <w:widowControl w:val="0"/>
        <w:autoSpaceDE w:val="0"/>
        <w:autoSpaceDN w:val="0"/>
        <w:adjustRightInd w:val="0"/>
        <w:spacing w:after="0" w:line="240" w:lineRule="auto"/>
        <w:jc w:val="both"/>
        <w:rPr>
          <w:rFonts w:ascii="Arial" w:eastAsiaTheme="minorEastAsia" w:hAnsi="Arial" w:cs="Arial"/>
          <w:b/>
          <w:bCs/>
          <w:lang w:eastAsia="es-MX"/>
        </w:rPr>
      </w:pPr>
      <w:r w:rsidRPr="00187E09">
        <w:rPr>
          <w:rFonts w:ascii="Arial" w:eastAsiaTheme="minorEastAsia" w:hAnsi="Arial" w:cs="Arial"/>
          <w:b/>
          <w:bCs/>
          <w:lang w:eastAsia="es-MX"/>
        </w:rPr>
        <w:lastRenderedPageBreak/>
        <w:t>Nota al usuario:</w:t>
      </w:r>
    </w:p>
    <w:p w14:paraId="5992F6A4" w14:textId="77777777" w:rsidR="001576B3" w:rsidRPr="00187E09" w:rsidRDefault="001576B3" w:rsidP="001576B3">
      <w:pPr>
        <w:widowControl w:val="0"/>
        <w:autoSpaceDE w:val="0"/>
        <w:autoSpaceDN w:val="0"/>
        <w:adjustRightInd w:val="0"/>
        <w:spacing w:after="0" w:line="240" w:lineRule="auto"/>
        <w:jc w:val="both"/>
        <w:rPr>
          <w:rFonts w:ascii="Arial" w:eastAsiaTheme="minorEastAsia" w:hAnsi="Arial" w:cs="Arial"/>
          <w:lang w:eastAsia="es-MX"/>
        </w:rPr>
      </w:pPr>
    </w:p>
    <w:p w14:paraId="760CC7D1" w14:textId="77777777" w:rsidR="001576B3" w:rsidRPr="00187E09" w:rsidRDefault="001576B3" w:rsidP="001576B3">
      <w:pPr>
        <w:widowControl w:val="0"/>
        <w:autoSpaceDE w:val="0"/>
        <w:autoSpaceDN w:val="0"/>
        <w:adjustRightInd w:val="0"/>
        <w:spacing w:after="0" w:line="240" w:lineRule="auto"/>
        <w:jc w:val="both"/>
        <w:rPr>
          <w:rFonts w:ascii="Arial" w:eastAsiaTheme="minorEastAsia" w:hAnsi="Arial" w:cs="Arial"/>
          <w:lang w:eastAsia="es-MX"/>
        </w:rPr>
      </w:pPr>
      <w:r w:rsidRPr="00187E09">
        <w:rPr>
          <w:rFonts w:ascii="Arial" w:eastAsiaTheme="minorEastAsia" w:hAnsi="Arial" w:cs="Arial"/>
          <w:lang w:eastAsia="es-MX"/>
        </w:rPr>
        <w:t>La Tasa de No Respuesta de la Encuesta Anual de Empresas Constructoras (EAEC), correspondiente al año 2020 registró porcentajes apropiados conforme al diseño estadístico de la encuesta, la cual no se concentró en algún dominio de estudio en particular y permitió la generación de estadísticas con niveles adecuados de cobertura y precisión.</w:t>
      </w:r>
    </w:p>
    <w:bookmarkEnd w:id="2"/>
    <w:p w14:paraId="635A9FC0" w14:textId="77777777" w:rsidR="001576B3" w:rsidRDefault="001576B3" w:rsidP="001576B3">
      <w:pPr>
        <w:pStyle w:val="Default"/>
        <w:jc w:val="center"/>
        <w:rPr>
          <w:color w:val="auto"/>
          <w:sz w:val="22"/>
          <w:lang w:eastAsia="es-MX"/>
        </w:rPr>
      </w:pPr>
    </w:p>
    <w:p w14:paraId="26AF6849" w14:textId="77777777" w:rsidR="001576B3" w:rsidRDefault="001576B3" w:rsidP="001576B3">
      <w:pPr>
        <w:pStyle w:val="Default"/>
        <w:jc w:val="both"/>
        <w:rPr>
          <w:b/>
          <w:color w:val="auto"/>
          <w:sz w:val="22"/>
          <w:szCs w:val="22"/>
          <w:lang w:eastAsia="es-MX"/>
        </w:rPr>
      </w:pPr>
      <w:r w:rsidRPr="005110B8">
        <w:rPr>
          <w:b/>
          <w:color w:val="auto"/>
          <w:sz w:val="22"/>
          <w:szCs w:val="22"/>
          <w:lang w:eastAsia="es-MX"/>
        </w:rPr>
        <w:t>Aspectos metodológicos.</w:t>
      </w:r>
    </w:p>
    <w:p w14:paraId="324082B3" w14:textId="77777777" w:rsidR="001576B3" w:rsidRDefault="001576B3" w:rsidP="001576B3">
      <w:pPr>
        <w:pStyle w:val="Default"/>
        <w:jc w:val="both"/>
        <w:rPr>
          <w:b/>
          <w:color w:val="auto"/>
          <w:sz w:val="22"/>
          <w:szCs w:val="22"/>
          <w:lang w:eastAsia="es-MX"/>
        </w:rPr>
      </w:pPr>
    </w:p>
    <w:p w14:paraId="6FE2E01F" w14:textId="77777777" w:rsidR="001576B3" w:rsidRDefault="001576B3" w:rsidP="001576B3">
      <w:pPr>
        <w:pStyle w:val="Default"/>
        <w:jc w:val="both"/>
        <w:rPr>
          <w:rFonts w:eastAsia="Times New Roman"/>
          <w:color w:val="auto"/>
          <w:sz w:val="22"/>
          <w:szCs w:val="22"/>
          <w:lang w:eastAsia="es-MX"/>
        </w:rPr>
      </w:pPr>
      <w:r>
        <w:rPr>
          <w:rFonts w:eastAsia="Times New Roman"/>
          <w:sz w:val="22"/>
          <w:szCs w:val="22"/>
          <w:lang w:eastAsia="es-MX"/>
        </w:rPr>
        <w:t xml:space="preserve">El objetivo de la EAEC </w:t>
      </w:r>
      <w:r w:rsidRPr="0089721E">
        <w:rPr>
          <w:rFonts w:eastAsia="Times New Roman"/>
          <w:color w:val="auto"/>
          <w:sz w:val="22"/>
          <w:szCs w:val="22"/>
          <w:lang w:eastAsia="es-MX"/>
        </w:rPr>
        <w:t>es garantizar la generación de estadísticas básicas que muestren el comportamiento económico de estructura de las principales variables del sector construcción del país y que sirva como insumo fundamental para la generación de diversos cálculos macroeconómicos, así como de indicadores económicos relacionados con el empleo, la producción y la inversión de las empresas constructoras mexicanas.</w:t>
      </w:r>
    </w:p>
    <w:p w14:paraId="6DBCEFF5" w14:textId="77777777" w:rsidR="00E742D9" w:rsidRDefault="00E742D9" w:rsidP="001576B3">
      <w:pPr>
        <w:pStyle w:val="Default"/>
        <w:jc w:val="both"/>
        <w:rPr>
          <w:rFonts w:eastAsia="Times New Roman"/>
          <w:color w:val="auto"/>
          <w:sz w:val="22"/>
          <w:szCs w:val="22"/>
          <w:lang w:eastAsia="es-MX"/>
        </w:rPr>
      </w:pPr>
    </w:p>
    <w:p w14:paraId="044E7D06" w14:textId="77777777" w:rsidR="00E742D9" w:rsidRPr="00E742D9" w:rsidRDefault="00E742D9" w:rsidP="00E742D9">
      <w:pPr>
        <w:pStyle w:val="Pa10"/>
        <w:spacing w:line="240" w:lineRule="auto"/>
        <w:jc w:val="both"/>
        <w:rPr>
          <w:rStyle w:val="A1"/>
          <w:color w:val="auto"/>
          <w:sz w:val="22"/>
          <w:lang w:val="es-MX"/>
        </w:rPr>
      </w:pPr>
      <w:r w:rsidRPr="00E742D9">
        <w:rPr>
          <w:rStyle w:val="A1"/>
          <w:color w:val="auto"/>
          <w:sz w:val="22"/>
          <w:lang w:val="es-MX"/>
        </w:rPr>
        <w:t>Se aplican las Recomendaciones internacionales para estadísticas industriales 2008 de la Organización de las Naciones Unidas.</w:t>
      </w:r>
    </w:p>
    <w:p w14:paraId="521EFBC3" w14:textId="77777777" w:rsidR="001576B3" w:rsidRPr="005110B8" w:rsidRDefault="001576B3" w:rsidP="001576B3">
      <w:pPr>
        <w:pStyle w:val="Default"/>
        <w:jc w:val="both"/>
        <w:rPr>
          <w:b/>
          <w:color w:val="auto"/>
          <w:sz w:val="22"/>
          <w:szCs w:val="22"/>
          <w:lang w:eastAsia="es-MX"/>
        </w:rPr>
      </w:pPr>
    </w:p>
    <w:p w14:paraId="09AD449B" w14:textId="77777777" w:rsidR="001576B3" w:rsidRDefault="001576B3" w:rsidP="001576B3">
      <w:pPr>
        <w:pStyle w:val="Default"/>
        <w:jc w:val="both"/>
        <w:rPr>
          <w:color w:val="auto"/>
          <w:sz w:val="22"/>
          <w:szCs w:val="22"/>
        </w:rPr>
      </w:pPr>
      <w:r>
        <w:rPr>
          <w:color w:val="auto"/>
          <w:sz w:val="22"/>
          <w:szCs w:val="22"/>
        </w:rPr>
        <w:t xml:space="preserve">La unidad de observación son las empresas clasificadas en el sector 23 Construcción, según el Sistema de Clasificación Industrial de América del Norte (SCIAN) 2013. </w:t>
      </w:r>
    </w:p>
    <w:p w14:paraId="572D9CD7" w14:textId="77777777" w:rsidR="001576B3" w:rsidRPr="00C21824" w:rsidRDefault="001576B3" w:rsidP="001576B3">
      <w:pPr>
        <w:pStyle w:val="Default"/>
        <w:jc w:val="both"/>
        <w:rPr>
          <w:color w:val="auto"/>
          <w:sz w:val="22"/>
          <w:szCs w:val="22"/>
          <w:lang w:eastAsia="es-MX"/>
        </w:rPr>
      </w:pPr>
    </w:p>
    <w:p w14:paraId="0BE6B63B" w14:textId="77777777" w:rsidR="001576B3" w:rsidRDefault="001576B3" w:rsidP="001576B3">
      <w:pPr>
        <w:widowControl w:val="0"/>
        <w:autoSpaceDE w:val="0"/>
        <w:autoSpaceDN w:val="0"/>
        <w:adjustRightInd w:val="0"/>
        <w:spacing w:after="0" w:line="240" w:lineRule="auto"/>
        <w:jc w:val="both"/>
        <w:rPr>
          <w:rFonts w:ascii="Arial" w:eastAsiaTheme="minorEastAsia" w:hAnsi="Arial" w:cs="Arial"/>
          <w:lang w:eastAsia="es-MX"/>
        </w:rPr>
      </w:pPr>
      <w:r w:rsidRPr="00612E35">
        <w:rPr>
          <w:rFonts w:ascii="Arial" w:eastAsiaTheme="minorEastAsia" w:hAnsi="Arial" w:cs="Arial"/>
          <w:lang w:eastAsia="es-MX"/>
        </w:rPr>
        <w:t>En este contexto, se considera</w:t>
      </w:r>
      <w:r w:rsidR="00F00864">
        <w:rPr>
          <w:rFonts w:ascii="Arial" w:eastAsiaTheme="minorEastAsia" w:hAnsi="Arial" w:cs="Arial"/>
          <w:lang w:eastAsia="es-MX"/>
        </w:rPr>
        <w:t>n</w:t>
      </w:r>
      <w:r w:rsidRPr="00612E35">
        <w:rPr>
          <w:rFonts w:ascii="Arial" w:eastAsiaTheme="minorEastAsia" w:hAnsi="Arial" w:cs="Arial"/>
          <w:lang w:eastAsia="es-MX"/>
        </w:rPr>
        <w:t xml:space="preserve"> las empresas que se dedican principalmente a la ejecución de obras de construcción, tales como residenciales, plantas e instalaciones industriales, vías de comunicación, construcciones marítimas, demoliciones, etc., así como a las reparaciones, mantenimiento y reformas mayores de obras existentes.  </w:t>
      </w:r>
    </w:p>
    <w:p w14:paraId="2CE9ABE8" w14:textId="77777777" w:rsidR="001576B3" w:rsidRDefault="001576B3" w:rsidP="001576B3">
      <w:pPr>
        <w:pStyle w:val="Default"/>
        <w:jc w:val="both"/>
        <w:rPr>
          <w:color w:val="auto"/>
          <w:sz w:val="22"/>
          <w:szCs w:val="22"/>
          <w:lang w:val="es-ES_tradnl" w:eastAsia="es-MX"/>
        </w:rPr>
      </w:pPr>
    </w:p>
    <w:p w14:paraId="1B74BF25" w14:textId="77777777" w:rsidR="001576B3" w:rsidRDefault="001576B3" w:rsidP="001576B3">
      <w:pPr>
        <w:pStyle w:val="Default"/>
        <w:jc w:val="both"/>
        <w:rPr>
          <w:sz w:val="22"/>
          <w:szCs w:val="22"/>
        </w:rPr>
      </w:pPr>
      <w:r>
        <w:rPr>
          <w:sz w:val="22"/>
          <w:szCs w:val="22"/>
        </w:rPr>
        <w:t>La t</w:t>
      </w:r>
      <w:r w:rsidRPr="00A47BA9">
        <w:rPr>
          <w:sz w:val="22"/>
          <w:szCs w:val="22"/>
        </w:rPr>
        <w:t xml:space="preserve">emática cubierta por la EAEC </w:t>
      </w:r>
      <w:r>
        <w:rPr>
          <w:sz w:val="22"/>
          <w:szCs w:val="22"/>
        </w:rPr>
        <w:t>es la siguiente:</w:t>
      </w:r>
    </w:p>
    <w:p w14:paraId="68D5BC71" w14:textId="77777777" w:rsidR="001576B3" w:rsidRDefault="001576B3" w:rsidP="001576B3">
      <w:pPr>
        <w:pStyle w:val="Default"/>
        <w:jc w:val="both"/>
        <w:rPr>
          <w:sz w:val="22"/>
          <w:szCs w:val="22"/>
        </w:rPr>
      </w:pPr>
    </w:p>
    <w:p w14:paraId="6AAB1842" w14:textId="77777777" w:rsidR="001576B3" w:rsidRDefault="001576B3" w:rsidP="009D6EF8">
      <w:pPr>
        <w:pStyle w:val="Default"/>
        <w:numPr>
          <w:ilvl w:val="0"/>
          <w:numId w:val="15"/>
        </w:numPr>
        <w:ind w:left="567" w:hanging="141"/>
        <w:jc w:val="both"/>
        <w:rPr>
          <w:sz w:val="22"/>
          <w:szCs w:val="22"/>
        </w:rPr>
      </w:pPr>
      <w:r>
        <w:rPr>
          <w:sz w:val="22"/>
          <w:szCs w:val="22"/>
        </w:rPr>
        <w:t>Personal ocupado dependiente de la razón social.</w:t>
      </w:r>
    </w:p>
    <w:p w14:paraId="40CE9AAE" w14:textId="77777777" w:rsidR="001576B3" w:rsidRDefault="001576B3" w:rsidP="009D6EF8">
      <w:pPr>
        <w:pStyle w:val="Default"/>
        <w:numPr>
          <w:ilvl w:val="0"/>
          <w:numId w:val="15"/>
        </w:numPr>
        <w:ind w:left="567" w:hanging="141"/>
        <w:jc w:val="both"/>
        <w:rPr>
          <w:sz w:val="22"/>
          <w:szCs w:val="22"/>
        </w:rPr>
      </w:pPr>
      <w:r>
        <w:rPr>
          <w:sz w:val="22"/>
          <w:szCs w:val="22"/>
        </w:rPr>
        <w:t>Personal no dependiente de la razón social.</w:t>
      </w:r>
    </w:p>
    <w:p w14:paraId="5110E4F8" w14:textId="77777777" w:rsidR="001576B3" w:rsidRDefault="001576B3" w:rsidP="009D6EF8">
      <w:pPr>
        <w:pStyle w:val="Default"/>
        <w:numPr>
          <w:ilvl w:val="0"/>
          <w:numId w:val="15"/>
        </w:numPr>
        <w:ind w:left="567" w:hanging="141"/>
        <w:jc w:val="both"/>
        <w:rPr>
          <w:sz w:val="22"/>
          <w:szCs w:val="22"/>
        </w:rPr>
      </w:pPr>
      <w:r>
        <w:rPr>
          <w:sz w:val="22"/>
          <w:szCs w:val="22"/>
        </w:rPr>
        <w:t>Capacitación.</w:t>
      </w:r>
    </w:p>
    <w:p w14:paraId="102CDD2E" w14:textId="77777777" w:rsidR="001576B3" w:rsidRDefault="001576B3" w:rsidP="009D6EF8">
      <w:pPr>
        <w:pStyle w:val="Default"/>
        <w:numPr>
          <w:ilvl w:val="0"/>
          <w:numId w:val="15"/>
        </w:numPr>
        <w:ind w:left="567" w:hanging="141"/>
        <w:jc w:val="both"/>
        <w:rPr>
          <w:sz w:val="22"/>
          <w:szCs w:val="22"/>
        </w:rPr>
      </w:pPr>
      <w:r>
        <w:rPr>
          <w:sz w:val="22"/>
          <w:szCs w:val="22"/>
        </w:rPr>
        <w:t>Remuneraciones.</w:t>
      </w:r>
    </w:p>
    <w:p w14:paraId="242DF472" w14:textId="77777777" w:rsidR="001576B3" w:rsidRDefault="001576B3" w:rsidP="009D6EF8">
      <w:pPr>
        <w:pStyle w:val="Default"/>
        <w:numPr>
          <w:ilvl w:val="0"/>
          <w:numId w:val="15"/>
        </w:numPr>
        <w:ind w:left="567" w:hanging="141"/>
        <w:jc w:val="both"/>
        <w:rPr>
          <w:sz w:val="22"/>
          <w:szCs w:val="22"/>
        </w:rPr>
      </w:pPr>
      <w:r>
        <w:rPr>
          <w:sz w:val="22"/>
          <w:szCs w:val="22"/>
        </w:rPr>
        <w:t>Gastos por consumo de bienes y servicios.</w:t>
      </w:r>
    </w:p>
    <w:p w14:paraId="12077EE0" w14:textId="77777777" w:rsidR="001576B3" w:rsidRDefault="001576B3" w:rsidP="009D6EF8">
      <w:pPr>
        <w:pStyle w:val="Default"/>
        <w:numPr>
          <w:ilvl w:val="0"/>
          <w:numId w:val="15"/>
        </w:numPr>
        <w:ind w:left="567" w:hanging="141"/>
        <w:jc w:val="both"/>
        <w:rPr>
          <w:sz w:val="22"/>
          <w:szCs w:val="22"/>
        </w:rPr>
      </w:pPr>
      <w:r>
        <w:rPr>
          <w:sz w:val="22"/>
          <w:szCs w:val="22"/>
        </w:rPr>
        <w:t>Gastos por comercio electrónico.</w:t>
      </w:r>
    </w:p>
    <w:p w14:paraId="449B1976" w14:textId="77777777" w:rsidR="001576B3" w:rsidRDefault="001576B3" w:rsidP="009D6EF8">
      <w:pPr>
        <w:pStyle w:val="Default"/>
        <w:numPr>
          <w:ilvl w:val="0"/>
          <w:numId w:val="15"/>
        </w:numPr>
        <w:ind w:left="567" w:hanging="141"/>
        <w:jc w:val="both"/>
        <w:rPr>
          <w:sz w:val="22"/>
          <w:szCs w:val="22"/>
        </w:rPr>
      </w:pPr>
      <w:r>
        <w:rPr>
          <w:sz w:val="22"/>
          <w:szCs w:val="22"/>
        </w:rPr>
        <w:t>Gastos fiscales, financieros y donaciones.</w:t>
      </w:r>
    </w:p>
    <w:p w14:paraId="0D2CA5A7" w14:textId="77777777" w:rsidR="001576B3" w:rsidRDefault="001576B3" w:rsidP="009D6EF8">
      <w:pPr>
        <w:pStyle w:val="Default"/>
        <w:numPr>
          <w:ilvl w:val="0"/>
          <w:numId w:val="15"/>
        </w:numPr>
        <w:ind w:left="567" w:hanging="141"/>
        <w:jc w:val="both"/>
        <w:rPr>
          <w:sz w:val="22"/>
          <w:szCs w:val="22"/>
        </w:rPr>
      </w:pPr>
      <w:r>
        <w:rPr>
          <w:sz w:val="22"/>
          <w:szCs w:val="22"/>
        </w:rPr>
        <w:t>Ingresos por suministro de bienes y servicios.</w:t>
      </w:r>
    </w:p>
    <w:p w14:paraId="04DBACB9" w14:textId="77777777" w:rsidR="001576B3" w:rsidRDefault="001576B3" w:rsidP="009D6EF8">
      <w:pPr>
        <w:pStyle w:val="Default"/>
        <w:numPr>
          <w:ilvl w:val="0"/>
          <w:numId w:val="15"/>
        </w:numPr>
        <w:ind w:left="567" w:hanging="141"/>
        <w:jc w:val="both"/>
        <w:rPr>
          <w:sz w:val="22"/>
          <w:szCs w:val="22"/>
        </w:rPr>
      </w:pPr>
      <w:r>
        <w:rPr>
          <w:sz w:val="22"/>
          <w:szCs w:val="22"/>
        </w:rPr>
        <w:t>Ingresos por comercio electrónico.</w:t>
      </w:r>
    </w:p>
    <w:p w14:paraId="7A7DD965" w14:textId="77777777" w:rsidR="001576B3" w:rsidRPr="00FF695F" w:rsidRDefault="009D6EF8" w:rsidP="009D6EF8">
      <w:pPr>
        <w:pStyle w:val="Default"/>
        <w:numPr>
          <w:ilvl w:val="0"/>
          <w:numId w:val="15"/>
        </w:numPr>
        <w:ind w:left="567" w:hanging="141"/>
        <w:jc w:val="both"/>
        <w:rPr>
          <w:sz w:val="22"/>
          <w:szCs w:val="22"/>
        </w:rPr>
      </w:pPr>
      <w:r>
        <w:rPr>
          <w:rFonts w:eastAsia="Times New Roman"/>
          <w:color w:val="333333"/>
          <w:sz w:val="22"/>
          <w:szCs w:val="22"/>
          <w:lang w:eastAsia="es-MX"/>
        </w:rPr>
        <w:t>I</w:t>
      </w:r>
      <w:r w:rsidR="001576B3" w:rsidRPr="005A5EC2">
        <w:rPr>
          <w:rFonts w:eastAsia="Times New Roman"/>
          <w:color w:val="333333"/>
          <w:sz w:val="22"/>
          <w:szCs w:val="22"/>
          <w:lang w:eastAsia="es-MX"/>
        </w:rPr>
        <w:t>ngresos financieros, subsidios y donaciones</w:t>
      </w:r>
      <w:r w:rsidR="001576B3">
        <w:rPr>
          <w:rFonts w:eastAsia="Times New Roman"/>
          <w:color w:val="333333"/>
          <w:sz w:val="22"/>
          <w:szCs w:val="22"/>
          <w:lang w:eastAsia="es-MX"/>
        </w:rPr>
        <w:t>.</w:t>
      </w:r>
    </w:p>
    <w:p w14:paraId="4909EDA1" w14:textId="77777777" w:rsidR="001576B3" w:rsidRPr="00FF695F" w:rsidRDefault="001576B3" w:rsidP="009D6EF8">
      <w:pPr>
        <w:pStyle w:val="Default"/>
        <w:numPr>
          <w:ilvl w:val="0"/>
          <w:numId w:val="15"/>
        </w:numPr>
        <w:ind w:left="567" w:hanging="141"/>
        <w:jc w:val="both"/>
        <w:rPr>
          <w:sz w:val="22"/>
          <w:szCs w:val="22"/>
        </w:rPr>
      </w:pPr>
      <w:r>
        <w:rPr>
          <w:rFonts w:eastAsia="Times New Roman"/>
          <w:color w:val="333333"/>
          <w:sz w:val="22"/>
          <w:szCs w:val="22"/>
          <w:lang w:eastAsia="es-MX"/>
        </w:rPr>
        <w:t>Valor de producción.</w:t>
      </w:r>
    </w:p>
    <w:p w14:paraId="1CEE0FBC" w14:textId="77777777" w:rsidR="001576B3" w:rsidRPr="00FF695F" w:rsidRDefault="001576B3" w:rsidP="009D6EF8">
      <w:pPr>
        <w:pStyle w:val="Default"/>
        <w:numPr>
          <w:ilvl w:val="0"/>
          <w:numId w:val="15"/>
        </w:numPr>
        <w:ind w:left="567" w:hanging="141"/>
        <w:jc w:val="both"/>
        <w:rPr>
          <w:sz w:val="22"/>
          <w:szCs w:val="22"/>
        </w:rPr>
      </w:pPr>
      <w:r>
        <w:rPr>
          <w:rFonts w:eastAsia="Times New Roman"/>
          <w:color w:val="333333"/>
          <w:sz w:val="22"/>
          <w:szCs w:val="22"/>
          <w:lang w:eastAsia="es-MX"/>
        </w:rPr>
        <w:t>Existencias.</w:t>
      </w:r>
    </w:p>
    <w:p w14:paraId="73DE5564" w14:textId="77777777" w:rsidR="001576B3" w:rsidRPr="00FF695F" w:rsidRDefault="001576B3" w:rsidP="009D6EF8">
      <w:pPr>
        <w:pStyle w:val="Default"/>
        <w:numPr>
          <w:ilvl w:val="0"/>
          <w:numId w:val="15"/>
        </w:numPr>
        <w:ind w:left="567" w:hanging="141"/>
        <w:jc w:val="both"/>
        <w:rPr>
          <w:sz w:val="22"/>
          <w:szCs w:val="22"/>
        </w:rPr>
      </w:pPr>
      <w:r>
        <w:rPr>
          <w:rFonts w:eastAsia="Times New Roman"/>
          <w:color w:val="333333"/>
          <w:sz w:val="22"/>
          <w:szCs w:val="22"/>
          <w:lang w:eastAsia="es-MX"/>
        </w:rPr>
        <w:t>Activos fijos.</w:t>
      </w:r>
    </w:p>
    <w:p w14:paraId="337EE314" w14:textId="77777777" w:rsidR="001576B3" w:rsidRPr="00FF695F" w:rsidRDefault="001576B3" w:rsidP="009D6EF8">
      <w:pPr>
        <w:pStyle w:val="Default"/>
        <w:numPr>
          <w:ilvl w:val="0"/>
          <w:numId w:val="15"/>
        </w:numPr>
        <w:ind w:left="567" w:hanging="141"/>
        <w:jc w:val="both"/>
        <w:rPr>
          <w:sz w:val="22"/>
          <w:szCs w:val="22"/>
        </w:rPr>
      </w:pPr>
      <w:r w:rsidRPr="00FF695F">
        <w:rPr>
          <w:rFonts w:eastAsia="Times New Roman"/>
          <w:color w:val="333333"/>
          <w:sz w:val="22"/>
          <w:szCs w:val="22"/>
          <w:lang w:eastAsia="es-MX"/>
        </w:rPr>
        <w:t>Características generales de la</w:t>
      </w:r>
      <w:r w:rsidR="00F00864">
        <w:rPr>
          <w:rFonts w:eastAsia="Times New Roman"/>
          <w:color w:val="333333"/>
          <w:sz w:val="22"/>
          <w:szCs w:val="22"/>
          <w:lang w:eastAsia="es-MX"/>
        </w:rPr>
        <w:t>s empresas.</w:t>
      </w:r>
    </w:p>
    <w:p w14:paraId="25DA3296" w14:textId="77777777" w:rsidR="001576B3" w:rsidRPr="001A5344" w:rsidRDefault="001576B3" w:rsidP="001576B3">
      <w:pPr>
        <w:keepLines/>
        <w:shd w:val="clear" w:color="auto" w:fill="FFFFFF"/>
        <w:spacing w:after="0" w:line="240" w:lineRule="auto"/>
        <w:rPr>
          <w:rFonts w:ascii="Helvetica" w:eastAsia="Times New Roman" w:hAnsi="Helvetica" w:cs="Helvetica"/>
          <w:color w:val="333333"/>
          <w:sz w:val="21"/>
          <w:szCs w:val="21"/>
          <w:lang w:eastAsia="es-MX"/>
        </w:rPr>
      </w:pPr>
    </w:p>
    <w:p w14:paraId="3ED3606F" w14:textId="77777777" w:rsidR="001576B3" w:rsidRPr="00612E35" w:rsidRDefault="001576B3" w:rsidP="001576B3">
      <w:pPr>
        <w:widowControl w:val="0"/>
        <w:autoSpaceDE w:val="0"/>
        <w:autoSpaceDN w:val="0"/>
        <w:adjustRightInd w:val="0"/>
        <w:spacing w:after="0" w:line="240" w:lineRule="auto"/>
        <w:jc w:val="both"/>
        <w:rPr>
          <w:rFonts w:ascii="Arial" w:eastAsiaTheme="minorEastAsia" w:hAnsi="Arial" w:cs="Arial"/>
          <w:lang w:eastAsia="es-MX"/>
        </w:rPr>
      </w:pPr>
      <w:r w:rsidRPr="00612E35">
        <w:rPr>
          <w:rFonts w:ascii="Arial" w:eastAsiaTheme="minorEastAsia" w:hAnsi="Arial" w:cs="Arial"/>
          <w:lang w:eastAsia="es-MX"/>
        </w:rPr>
        <w:t>La cobertura</w:t>
      </w:r>
      <w:r w:rsidR="00A32418">
        <w:rPr>
          <w:rFonts w:ascii="Arial" w:eastAsiaTheme="minorEastAsia" w:hAnsi="Arial" w:cs="Arial"/>
          <w:lang w:eastAsia="es-MX"/>
        </w:rPr>
        <w:t xml:space="preserve"> geográfica es nacional y por entidad federativa, así como por sector y subsector de actividad SCIAN, ambos de manera independiente.</w:t>
      </w:r>
    </w:p>
    <w:p w14:paraId="4E276827" w14:textId="77777777" w:rsidR="001576B3" w:rsidRPr="005110B8" w:rsidRDefault="001576B3" w:rsidP="001576B3">
      <w:pPr>
        <w:pStyle w:val="Default"/>
        <w:jc w:val="both"/>
        <w:rPr>
          <w:color w:val="auto"/>
          <w:sz w:val="22"/>
          <w:szCs w:val="22"/>
          <w:lang w:val="es-ES_tradnl" w:eastAsia="es-MX"/>
        </w:rPr>
      </w:pPr>
    </w:p>
    <w:p w14:paraId="58D3743C" w14:textId="77777777" w:rsidR="00A32418" w:rsidRDefault="00A32418" w:rsidP="00A32418">
      <w:pPr>
        <w:pStyle w:val="Default"/>
        <w:jc w:val="both"/>
        <w:rPr>
          <w:rStyle w:val="A1"/>
          <w:sz w:val="22"/>
          <w:szCs w:val="22"/>
        </w:rPr>
      </w:pPr>
      <w:r w:rsidRPr="00A341C6">
        <w:rPr>
          <w:rStyle w:val="A1"/>
          <w:sz w:val="22"/>
          <w:szCs w:val="22"/>
        </w:rPr>
        <w:t xml:space="preserve">Para la serie 2013, el marco de la encuesta se conformó </w:t>
      </w:r>
      <w:r>
        <w:rPr>
          <w:rStyle w:val="A1"/>
          <w:sz w:val="22"/>
          <w:szCs w:val="22"/>
        </w:rPr>
        <w:t xml:space="preserve">con el directorio de </w:t>
      </w:r>
      <w:r w:rsidRPr="00A341C6">
        <w:rPr>
          <w:rStyle w:val="A1"/>
          <w:sz w:val="22"/>
          <w:szCs w:val="22"/>
        </w:rPr>
        <w:t>los resultados definitivos de los Censos Económicos 2014 (datos de 2013), actualizado por el Registro Estadístico de Negocios de México (RENEM).</w:t>
      </w:r>
    </w:p>
    <w:p w14:paraId="431F1A5B" w14:textId="77777777" w:rsidR="00861B99" w:rsidRDefault="00861B99" w:rsidP="00A32418">
      <w:pPr>
        <w:pStyle w:val="Default"/>
        <w:jc w:val="both"/>
        <w:rPr>
          <w:rStyle w:val="A1"/>
          <w:sz w:val="22"/>
          <w:szCs w:val="22"/>
        </w:rPr>
      </w:pPr>
    </w:p>
    <w:p w14:paraId="1B42F8DE" w14:textId="77777777" w:rsidR="00A32418" w:rsidRDefault="00A32418" w:rsidP="001576B3">
      <w:pPr>
        <w:widowControl w:val="0"/>
        <w:autoSpaceDE w:val="0"/>
        <w:autoSpaceDN w:val="0"/>
        <w:adjustRightInd w:val="0"/>
        <w:spacing w:after="0" w:line="240" w:lineRule="auto"/>
        <w:jc w:val="both"/>
        <w:rPr>
          <w:rFonts w:ascii="Arial" w:eastAsiaTheme="minorEastAsia" w:hAnsi="Arial" w:cs="Arial"/>
          <w:lang w:eastAsia="es-MX"/>
        </w:rPr>
      </w:pPr>
    </w:p>
    <w:p w14:paraId="73520E06" w14:textId="77777777" w:rsidR="001576B3" w:rsidRPr="00943755" w:rsidRDefault="001576B3" w:rsidP="00363AD4">
      <w:pPr>
        <w:widowControl w:val="0"/>
        <w:autoSpaceDE w:val="0"/>
        <w:autoSpaceDN w:val="0"/>
        <w:adjustRightInd w:val="0"/>
        <w:spacing w:after="0" w:line="240" w:lineRule="auto"/>
        <w:jc w:val="center"/>
        <w:rPr>
          <w:rFonts w:ascii="Arial" w:eastAsiaTheme="minorEastAsia" w:hAnsi="Arial" w:cs="Arial"/>
          <w:b/>
          <w:bCs/>
          <w:lang w:eastAsia="es-MX"/>
        </w:rPr>
      </w:pPr>
      <w:r w:rsidRPr="00943755">
        <w:rPr>
          <w:rFonts w:ascii="Arial" w:eastAsiaTheme="minorEastAsia" w:hAnsi="Arial" w:cs="Arial"/>
          <w:b/>
          <w:bCs/>
          <w:lang w:eastAsia="es-MX"/>
        </w:rPr>
        <w:lastRenderedPageBreak/>
        <w:t xml:space="preserve">Cuadro número </w:t>
      </w:r>
      <w:r w:rsidR="002C2D13">
        <w:rPr>
          <w:rFonts w:ascii="Arial" w:eastAsiaTheme="minorEastAsia" w:hAnsi="Arial" w:cs="Arial"/>
          <w:b/>
          <w:bCs/>
          <w:lang w:eastAsia="es-MX"/>
        </w:rPr>
        <w:t>10</w:t>
      </w:r>
    </w:p>
    <w:p w14:paraId="2DF0F0EB" w14:textId="77777777" w:rsidR="001576B3" w:rsidRDefault="001576B3" w:rsidP="00363AD4">
      <w:pPr>
        <w:widowControl w:val="0"/>
        <w:autoSpaceDE w:val="0"/>
        <w:autoSpaceDN w:val="0"/>
        <w:adjustRightInd w:val="0"/>
        <w:spacing w:after="0" w:line="240" w:lineRule="auto"/>
        <w:jc w:val="center"/>
        <w:rPr>
          <w:rFonts w:ascii="Arial" w:eastAsiaTheme="minorEastAsia" w:hAnsi="Arial" w:cs="Arial"/>
          <w:b/>
          <w:bCs/>
          <w:lang w:eastAsia="es-MX"/>
        </w:rPr>
      </w:pPr>
      <w:r w:rsidRPr="00943755">
        <w:rPr>
          <w:rFonts w:ascii="Arial" w:eastAsiaTheme="minorEastAsia" w:hAnsi="Arial" w:cs="Arial"/>
          <w:b/>
          <w:bCs/>
          <w:lang w:eastAsia="es-MX"/>
        </w:rPr>
        <w:t>Marco de muestreo de la EAEC</w:t>
      </w:r>
    </w:p>
    <w:tbl>
      <w:tblPr>
        <w:tblStyle w:val="Tablaconcuadrcula"/>
        <w:tblW w:w="6682" w:type="dxa"/>
        <w:jc w:val="center"/>
        <w:tblLayout w:type="fixed"/>
        <w:tblLook w:val="04A0" w:firstRow="1" w:lastRow="0" w:firstColumn="1" w:lastColumn="0" w:noHBand="0" w:noVBand="1"/>
      </w:tblPr>
      <w:tblGrid>
        <w:gridCol w:w="2180"/>
        <w:gridCol w:w="2102"/>
        <w:gridCol w:w="2400"/>
      </w:tblGrid>
      <w:tr w:rsidR="00E742D9" w14:paraId="138D45CA" w14:textId="77777777" w:rsidTr="00363AD4">
        <w:trPr>
          <w:trHeight w:val="529"/>
          <w:jc w:val="center"/>
        </w:trPr>
        <w:tc>
          <w:tcPr>
            <w:tcW w:w="2180" w:type="dxa"/>
            <w:shd w:val="clear" w:color="auto" w:fill="FFD966" w:themeFill="accent4" w:themeFillTint="99"/>
            <w:vAlign w:val="center"/>
          </w:tcPr>
          <w:p w14:paraId="0F574137" w14:textId="77777777" w:rsidR="00E742D9" w:rsidRDefault="00E742D9" w:rsidP="00E742D9">
            <w:pPr>
              <w:widowControl w:val="0"/>
              <w:autoSpaceDE w:val="0"/>
              <w:autoSpaceDN w:val="0"/>
              <w:adjustRightInd w:val="0"/>
              <w:jc w:val="center"/>
              <w:rPr>
                <w:rFonts w:ascii="Arial" w:eastAsiaTheme="minorEastAsia" w:hAnsi="Arial" w:cs="Arial"/>
                <w:b/>
                <w:bCs/>
                <w:lang w:eastAsia="es-MX"/>
              </w:rPr>
            </w:pPr>
            <w:r w:rsidRPr="00637355">
              <w:rPr>
                <w:rFonts w:ascii="Arial" w:hAnsi="Arial" w:cs="Arial"/>
                <w:b/>
                <w:bCs/>
                <w:sz w:val="20"/>
                <w:szCs w:val="20"/>
              </w:rPr>
              <w:t>Unidades económicas</w:t>
            </w:r>
          </w:p>
        </w:tc>
        <w:tc>
          <w:tcPr>
            <w:tcW w:w="2102" w:type="dxa"/>
            <w:shd w:val="clear" w:color="auto" w:fill="FFD966" w:themeFill="accent4" w:themeFillTint="99"/>
            <w:vAlign w:val="center"/>
          </w:tcPr>
          <w:p w14:paraId="216D864B" w14:textId="77777777" w:rsidR="00E742D9" w:rsidRDefault="00E742D9" w:rsidP="00E742D9">
            <w:pPr>
              <w:widowControl w:val="0"/>
              <w:autoSpaceDE w:val="0"/>
              <w:autoSpaceDN w:val="0"/>
              <w:adjustRightInd w:val="0"/>
              <w:jc w:val="center"/>
              <w:rPr>
                <w:rFonts w:ascii="Arial" w:eastAsiaTheme="minorEastAsia" w:hAnsi="Arial" w:cs="Arial"/>
                <w:b/>
                <w:bCs/>
                <w:lang w:eastAsia="es-MX"/>
              </w:rPr>
            </w:pPr>
            <w:r w:rsidRPr="00637355">
              <w:rPr>
                <w:rFonts w:ascii="Arial" w:hAnsi="Arial" w:cs="Arial"/>
                <w:b/>
                <w:bCs/>
                <w:sz w:val="20"/>
                <w:szCs w:val="20"/>
              </w:rPr>
              <w:t>Personal Ocupado</w:t>
            </w:r>
          </w:p>
        </w:tc>
        <w:tc>
          <w:tcPr>
            <w:tcW w:w="2400" w:type="dxa"/>
            <w:shd w:val="clear" w:color="auto" w:fill="FFD966" w:themeFill="accent4" w:themeFillTint="99"/>
            <w:vAlign w:val="center"/>
          </w:tcPr>
          <w:p w14:paraId="01C59E47" w14:textId="77777777" w:rsidR="00E742D9" w:rsidRPr="00637355" w:rsidRDefault="00E742D9" w:rsidP="00E742D9">
            <w:pPr>
              <w:autoSpaceDE w:val="0"/>
              <w:autoSpaceDN w:val="0"/>
              <w:adjustRightInd w:val="0"/>
              <w:jc w:val="center"/>
              <w:rPr>
                <w:rFonts w:ascii="Arial" w:hAnsi="Arial" w:cs="Arial"/>
                <w:b/>
                <w:bCs/>
                <w:sz w:val="20"/>
                <w:szCs w:val="20"/>
              </w:rPr>
            </w:pPr>
            <w:r w:rsidRPr="00637355">
              <w:rPr>
                <w:rFonts w:ascii="Arial" w:hAnsi="Arial" w:cs="Arial"/>
                <w:b/>
                <w:bCs/>
                <w:sz w:val="20"/>
                <w:szCs w:val="20"/>
              </w:rPr>
              <w:t>Valor de la producción</w:t>
            </w:r>
          </w:p>
          <w:p w14:paraId="1555B1A8" w14:textId="77777777" w:rsidR="00E742D9" w:rsidRDefault="00E742D9" w:rsidP="00E742D9">
            <w:pPr>
              <w:widowControl w:val="0"/>
              <w:autoSpaceDE w:val="0"/>
              <w:autoSpaceDN w:val="0"/>
              <w:adjustRightInd w:val="0"/>
              <w:jc w:val="center"/>
              <w:rPr>
                <w:rFonts w:ascii="Arial" w:eastAsiaTheme="minorEastAsia" w:hAnsi="Arial" w:cs="Arial"/>
                <w:b/>
                <w:bCs/>
                <w:lang w:eastAsia="es-MX"/>
              </w:rPr>
            </w:pPr>
            <w:r w:rsidRPr="00637355">
              <w:rPr>
                <w:rFonts w:ascii="Arial" w:hAnsi="Arial" w:cs="Arial"/>
                <w:b/>
                <w:bCs/>
                <w:sz w:val="20"/>
                <w:szCs w:val="20"/>
              </w:rPr>
              <w:t>(miles de pesos)</w:t>
            </w:r>
          </w:p>
        </w:tc>
      </w:tr>
      <w:tr w:rsidR="00A32418" w14:paraId="0D4BF228" w14:textId="77777777" w:rsidTr="00363AD4">
        <w:trPr>
          <w:trHeight w:val="459"/>
          <w:jc w:val="center"/>
        </w:trPr>
        <w:tc>
          <w:tcPr>
            <w:tcW w:w="2180" w:type="dxa"/>
            <w:vAlign w:val="center"/>
          </w:tcPr>
          <w:p w14:paraId="2DBB1300" w14:textId="77777777" w:rsidR="00A32418" w:rsidRDefault="00A32418" w:rsidP="002652BF">
            <w:pPr>
              <w:widowControl w:val="0"/>
              <w:autoSpaceDE w:val="0"/>
              <w:autoSpaceDN w:val="0"/>
              <w:adjustRightInd w:val="0"/>
              <w:jc w:val="center"/>
              <w:rPr>
                <w:rFonts w:ascii="Arial" w:eastAsiaTheme="minorEastAsia" w:hAnsi="Arial" w:cs="Arial"/>
                <w:b/>
                <w:bCs/>
                <w:lang w:eastAsia="es-MX"/>
              </w:rPr>
            </w:pPr>
            <w:r w:rsidRPr="00637355">
              <w:rPr>
                <w:rFonts w:ascii="Arial" w:hAnsi="Arial" w:cs="Arial"/>
                <w:sz w:val="20"/>
                <w:szCs w:val="20"/>
              </w:rPr>
              <w:t>17</w:t>
            </w:r>
            <w:r w:rsidR="00861B99">
              <w:rPr>
                <w:rFonts w:ascii="Arial" w:hAnsi="Arial" w:cs="Arial"/>
                <w:sz w:val="20"/>
                <w:szCs w:val="20"/>
              </w:rPr>
              <w:t xml:space="preserve"> </w:t>
            </w:r>
            <w:r w:rsidRPr="00637355">
              <w:rPr>
                <w:rFonts w:ascii="Arial" w:hAnsi="Arial" w:cs="Arial"/>
                <w:sz w:val="20"/>
                <w:szCs w:val="20"/>
              </w:rPr>
              <w:t>895</w:t>
            </w:r>
          </w:p>
        </w:tc>
        <w:tc>
          <w:tcPr>
            <w:tcW w:w="2102" w:type="dxa"/>
            <w:vAlign w:val="center"/>
          </w:tcPr>
          <w:p w14:paraId="7CD4BED0" w14:textId="77777777" w:rsidR="00A32418" w:rsidRPr="00637355" w:rsidRDefault="00A32418" w:rsidP="002652BF">
            <w:pPr>
              <w:autoSpaceDE w:val="0"/>
              <w:autoSpaceDN w:val="0"/>
              <w:adjustRightInd w:val="0"/>
              <w:jc w:val="center"/>
              <w:rPr>
                <w:rFonts w:ascii="Arial" w:hAnsi="Arial" w:cs="Arial"/>
                <w:sz w:val="20"/>
                <w:szCs w:val="20"/>
              </w:rPr>
            </w:pPr>
          </w:p>
          <w:p w14:paraId="08A92D46" w14:textId="77777777" w:rsidR="00A32418" w:rsidRPr="00637355" w:rsidRDefault="00A32418" w:rsidP="002652BF">
            <w:pPr>
              <w:autoSpaceDE w:val="0"/>
              <w:autoSpaceDN w:val="0"/>
              <w:adjustRightInd w:val="0"/>
              <w:jc w:val="center"/>
              <w:rPr>
                <w:rFonts w:ascii="Arial" w:hAnsi="Arial" w:cs="Arial"/>
                <w:sz w:val="20"/>
                <w:szCs w:val="20"/>
              </w:rPr>
            </w:pPr>
            <w:r w:rsidRPr="00637355">
              <w:rPr>
                <w:rFonts w:ascii="Arial" w:hAnsi="Arial" w:cs="Arial"/>
                <w:sz w:val="20"/>
                <w:szCs w:val="20"/>
              </w:rPr>
              <w:t>622</w:t>
            </w:r>
            <w:r w:rsidR="00861B99">
              <w:rPr>
                <w:rFonts w:ascii="Arial" w:hAnsi="Arial" w:cs="Arial"/>
                <w:sz w:val="20"/>
                <w:szCs w:val="20"/>
              </w:rPr>
              <w:t xml:space="preserve"> </w:t>
            </w:r>
            <w:r w:rsidRPr="00637355">
              <w:rPr>
                <w:rFonts w:ascii="Arial" w:hAnsi="Arial" w:cs="Arial"/>
                <w:sz w:val="20"/>
                <w:szCs w:val="20"/>
              </w:rPr>
              <w:t>030</w:t>
            </w:r>
          </w:p>
          <w:p w14:paraId="5D3A85B5" w14:textId="77777777" w:rsidR="00A32418" w:rsidRDefault="00A32418" w:rsidP="002652BF">
            <w:pPr>
              <w:widowControl w:val="0"/>
              <w:autoSpaceDE w:val="0"/>
              <w:autoSpaceDN w:val="0"/>
              <w:adjustRightInd w:val="0"/>
              <w:jc w:val="center"/>
              <w:rPr>
                <w:rFonts w:ascii="Arial" w:eastAsiaTheme="minorEastAsia" w:hAnsi="Arial" w:cs="Arial"/>
                <w:b/>
                <w:bCs/>
                <w:lang w:eastAsia="es-MX"/>
              </w:rPr>
            </w:pPr>
          </w:p>
        </w:tc>
        <w:tc>
          <w:tcPr>
            <w:tcW w:w="2400" w:type="dxa"/>
            <w:vAlign w:val="center"/>
          </w:tcPr>
          <w:p w14:paraId="29286232" w14:textId="77777777" w:rsidR="00A32418" w:rsidRDefault="00A32418" w:rsidP="002652BF">
            <w:pPr>
              <w:widowControl w:val="0"/>
              <w:autoSpaceDE w:val="0"/>
              <w:autoSpaceDN w:val="0"/>
              <w:adjustRightInd w:val="0"/>
              <w:jc w:val="center"/>
              <w:rPr>
                <w:rFonts w:ascii="Arial" w:eastAsiaTheme="minorEastAsia" w:hAnsi="Arial" w:cs="Arial"/>
                <w:b/>
                <w:bCs/>
                <w:lang w:eastAsia="es-MX"/>
              </w:rPr>
            </w:pPr>
            <w:r w:rsidRPr="00637355">
              <w:rPr>
                <w:rFonts w:ascii="Arial" w:hAnsi="Arial" w:cs="Arial"/>
                <w:sz w:val="20"/>
                <w:szCs w:val="20"/>
              </w:rPr>
              <w:t>333</w:t>
            </w:r>
            <w:r w:rsidR="00861B99">
              <w:rPr>
                <w:rFonts w:ascii="Arial" w:hAnsi="Arial" w:cs="Arial"/>
                <w:sz w:val="20"/>
                <w:szCs w:val="20"/>
              </w:rPr>
              <w:t xml:space="preserve"> </w:t>
            </w:r>
            <w:r w:rsidRPr="00637355">
              <w:rPr>
                <w:rFonts w:ascii="Arial" w:hAnsi="Arial" w:cs="Arial"/>
                <w:sz w:val="20"/>
                <w:szCs w:val="20"/>
              </w:rPr>
              <w:t>560</w:t>
            </w:r>
            <w:r w:rsidR="00861B99">
              <w:rPr>
                <w:rFonts w:ascii="Arial" w:hAnsi="Arial" w:cs="Arial"/>
                <w:sz w:val="20"/>
                <w:szCs w:val="20"/>
              </w:rPr>
              <w:t xml:space="preserve"> </w:t>
            </w:r>
            <w:r w:rsidRPr="00637355">
              <w:rPr>
                <w:rFonts w:ascii="Arial" w:hAnsi="Arial" w:cs="Arial"/>
                <w:sz w:val="20"/>
                <w:szCs w:val="20"/>
              </w:rPr>
              <w:t>006</w:t>
            </w:r>
          </w:p>
        </w:tc>
      </w:tr>
    </w:tbl>
    <w:p w14:paraId="3595A1C7" w14:textId="77777777" w:rsidR="001576B3" w:rsidRDefault="001576B3" w:rsidP="001576B3">
      <w:pPr>
        <w:pStyle w:val="Default"/>
        <w:jc w:val="both"/>
        <w:rPr>
          <w:rStyle w:val="A1"/>
          <w:sz w:val="22"/>
          <w:szCs w:val="22"/>
        </w:rPr>
      </w:pPr>
    </w:p>
    <w:p w14:paraId="486C2071" w14:textId="77777777" w:rsidR="00A32418" w:rsidRPr="00DE3DA6" w:rsidRDefault="00DE3DA6" w:rsidP="00DE3DA6">
      <w:pPr>
        <w:pStyle w:val="Default"/>
        <w:jc w:val="both"/>
        <w:rPr>
          <w:rFonts w:eastAsiaTheme="minorEastAsia"/>
          <w:color w:val="auto"/>
          <w:sz w:val="22"/>
          <w:szCs w:val="22"/>
          <w:lang w:eastAsia="es-MX"/>
        </w:rPr>
      </w:pPr>
      <w:r w:rsidRPr="00DE3DA6">
        <w:rPr>
          <w:rFonts w:eastAsiaTheme="minorEastAsia"/>
          <w:color w:val="auto"/>
          <w:sz w:val="22"/>
          <w:szCs w:val="22"/>
          <w:lang w:eastAsia="es-MX"/>
        </w:rPr>
        <w:t>Las variables de selección de las empresas en muestra son el valor de producción y el personal ocupado.</w:t>
      </w:r>
    </w:p>
    <w:p w14:paraId="77255E06" w14:textId="77777777" w:rsidR="00DE3DA6" w:rsidRPr="00DE3DA6" w:rsidRDefault="00DE3DA6" w:rsidP="00DE3DA6">
      <w:pPr>
        <w:pStyle w:val="Default"/>
        <w:jc w:val="both"/>
        <w:rPr>
          <w:rStyle w:val="A1"/>
          <w:sz w:val="22"/>
          <w:szCs w:val="22"/>
        </w:rPr>
      </w:pPr>
    </w:p>
    <w:p w14:paraId="6F94F740" w14:textId="77777777" w:rsidR="001576B3" w:rsidRDefault="001576B3" w:rsidP="001576B3">
      <w:pPr>
        <w:widowControl w:val="0"/>
        <w:autoSpaceDE w:val="0"/>
        <w:autoSpaceDN w:val="0"/>
        <w:adjustRightInd w:val="0"/>
        <w:spacing w:after="0" w:line="240" w:lineRule="auto"/>
        <w:ind w:right="49"/>
        <w:jc w:val="both"/>
        <w:rPr>
          <w:rFonts w:ascii="Arial" w:eastAsiaTheme="minorEastAsia" w:hAnsi="Arial" w:cs="Arial"/>
          <w:lang w:eastAsia="es-MX"/>
        </w:rPr>
      </w:pPr>
      <w:r w:rsidRPr="00DE3DA6">
        <w:rPr>
          <w:rFonts w:ascii="Arial" w:eastAsiaTheme="minorEastAsia" w:hAnsi="Arial" w:cs="Arial"/>
          <w:lang w:eastAsia="es-MX"/>
        </w:rPr>
        <w:t xml:space="preserve">El esquema de muestreo es probabilístico y estratificado, con selección independiente para cada </w:t>
      </w:r>
      <w:r w:rsidR="005A120F" w:rsidRPr="00DE3DA6">
        <w:rPr>
          <w:rFonts w:ascii="Arial" w:eastAsiaTheme="minorEastAsia" w:hAnsi="Arial" w:cs="Arial"/>
          <w:lang w:eastAsia="es-MX"/>
        </w:rPr>
        <w:t xml:space="preserve">estrato por dominio de estudio. </w:t>
      </w:r>
      <w:r w:rsidR="00F00864">
        <w:rPr>
          <w:rFonts w:ascii="Arial" w:eastAsiaTheme="minorEastAsia" w:hAnsi="Arial" w:cs="Arial"/>
          <w:lang w:eastAsia="es-MX"/>
        </w:rPr>
        <w:t>Considera</w:t>
      </w:r>
      <w:r w:rsidR="005A120F" w:rsidRPr="00DE3DA6">
        <w:rPr>
          <w:rFonts w:ascii="Arial" w:eastAsiaTheme="minorEastAsia" w:hAnsi="Arial" w:cs="Arial"/>
          <w:lang w:eastAsia="es-MX"/>
        </w:rPr>
        <w:t xml:space="preserve"> a las empresas del estrato uno con certeza</w:t>
      </w:r>
      <w:r w:rsidR="005A120F" w:rsidRPr="005A120F">
        <w:rPr>
          <w:rFonts w:ascii="Arial" w:eastAsiaTheme="minorEastAsia" w:hAnsi="Arial" w:cs="Arial"/>
          <w:lang w:eastAsia="es-MX"/>
        </w:rPr>
        <w:t>.</w:t>
      </w:r>
    </w:p>
    <w:p w14:paraId="40DE41D2" w14:textId="77777777" w:rsidR="00A32418" w:rsidRDefault="00A32418" w:rsidP="001576B3">
      <w:pPr>
        <w:widowControl w:val="0"/>
        <w:autoSpaceDE w:val="0"/>
        <w:autoSpaceDN w:val="0"/>
        <w:adjustRightInd w:val="0"/>
        <w:spacing w:after="0" w:line="240" w:lineRule="auto"/>
        <w:jc w:val="both"/>
        <w:rPr>
          <w:rFonts w:ascii="Arial" w:eastAsiaTheme="minorEastAsia" w:hAnsi="Arial" w:cs="Arial"/>
          <w:lang w:eastAsia="es-MX"/>
        </w:rPr>
      </w:pPr>
    </w:p>
    <w:p w14:paraId="298FDA99" w14:textId="77777777" w:rsidR="001576B3" w:rsidRPr="00943755" w:rsidRDefault="001576B3" w:rsidP="001576B3">
      <w:pPr>
        <w:widowControl w:val="0"/>
        <w:autoSpaceDE w:val="0"/>
        <w:autoSpaceDN w:val="0"/>
        <w:adjustRightInd w:val="0"/>
        <w:spacing w:after="0" w:line="240" w:lineRule="auto"/>
        <w:jc w:val="both"/>
        <w:rPr>
          <w:rFonts w:ascii="Arial" w:eastAsiaTheme="minorEastAsia" w:hAnsi="Arial" w:cs="Arial"/>
          <w:lang w:eastAsia="es-MX"/>
        </w:rPr>
      </w:pPr>
      <w:r w:rsidRPr="00943755">
        <w:rPr>
          <w:rFonts w:ascii="Arial" w:eastAsiaTheme="minorEastAsia" w:hAnsi="Arial" w:cs="Arial"/>
          <w:lang w:eastAsia="es-MX"/>
        </w:rPr>
        <w:t xml:space="preserve">Para </w:t>
      </w:r>
      <w:r>
        <w:rPr>
          <w:rFonts w:ascii="Arial" w:eastAsiaTheme="minorEastAsia" w:hAnsi="Arial" w:cs="Arial"/>
          <w:lang w:eastAsia="es-MX"/>
        </w:rPr>
        <w:t xml:space="preserve">la selección del </w:t>
      </w:r>
      <w:r w:rsidRPr="00943755">
        <w:rPr>
          <w:rFonts w:ascii="Arial" w:eastAsiaTheme="minorEastAsia" w:hAnsi="Arial" w:cs="Arial"/>
          <w:lang w:eastAsia="es-MX"/>
        </w:rPr>
        <w:t>tamaño de muestra se utilizó un nivel de confianza de 95%, error relativo de 4.</w:t>
      </w:r>
      <w:r>
        <w:rPr>
          <w:rFonts w:ascii="Arial" w:eastAsiaTheme="minorEastAsia" w:hAnsi="Arial" w:cs="Arial"/>
          <w:lang w:eastAsia="es-MX"/>
        </w:rPr>
        <w:t>8% a 9.1</w:t>
      </w:r>
      <w:r w:rsidRPr="00943755">
        <w:rPr>
          <w:rFonts w:ascii="Arial" w:eastAsiaTheme="minorEastAsia" w:hAnsi="Arial" w:cs="Arial"/>
          <w:lang w:eastAsia="es-MX"/>
        </w:rPr>
        <w:t>%</w:t>
      </w:r>
      <w:r>
        <w:rPr>
          <w:rFonts w:ascii="Arial" w:eastAsiaTheme="minorEastAsia" w:hAnsi="Arial" w:cs="Arial"/>
          <w:lang w:eastAsia="es-MX"/>
        </w:rPr>
        <w:t xml:space="preserve"> calculado según la entidad federativa</w:t>
      </w:r>
      <w:r w:rsidRPr="00943755">
        <w:rPr>
          <w:rFonts w:ascii="Arial" w:eastAsiaTheme="minorEastAsia" w:hAnsi="Arial" w:cs="Arial"/>
          <w:lang w:eastAsia="es-MX"/>
        </w:rPr>
        <w:t xml:space="preserve"> y una tasa de no respuesta esperada de 20 por c</w:t>
      </w:r>
      <w:r w:rsidR="005A120F">
        <w:rPr>
          <w:rFonts w:ascii="Arial" w:eastAsiaTheme="minorEastAsia" w:hAnsi="Arial" w:cs="Arial"/>
          <w:lang w:eastAsia="es-MX"/>
        </w:rPr>
        <w:t>iento.</w:t>
      </w:r>
      <w:r w:rsidR="005A120F" w:rsidRPr="005A120F">
        <w:rPr>
          <w:rStyle w:val="A1"/>
          <w:sz w:val="22"/>
          <w:szCs w:val="22"/>
        </w:rPr>
        <w:t xml:space="preserve"> </w:t>
      </w:r>
    </w:p>
    <w:p w14:paraId="0EC1FA19" w14:textId="77777777" w:rsidR="001576B3" w:rsidRPr="00943755" w:rsidRDefault="001576B3" w:rsidP="001576B3">
      <w:pPr>
        <w:widowControl w:val="0"/>
        <w:autoSpaceDE w:val="0"/>
        <w:autoSpaceDN w:val="0"/>
        <w:adjustRightInd w:val="0"/>
        <w:spacing w:after="0" w:line="240" w:lineRule="auto"/>
        <w:jc w:val="both"/>
        <w:rPr>
          <w:rFonts w:ascii="Arial" w:eastAsiaTheme="minorEastAsia" w:hAnsi="Arial" w:cs="Arial"/>
          <w:lang w:eastAsia="es-MX"/>
        </w:rPr>
      </w:pPr>
      <w:r w:rsidRPr="00943755">
        <w:rPr>
          <w:rFonts w:ascii="Arial" w:eastAsiaTheme="minorEastAsia" w:hAnsi="Arial" w:cs="Arial"/>
          <w:lang w:eastAsia="es-MX"/>
        </w:rPr>
        <w:t xml:space="preserve"> </w:t>
      </w:r>
    </w:p>
    <w:p w14:paraId="42A454BE" w14:textId="77777777" w:rsidR="001576B3" w:rsidRDefault="001576B3" w:rsidP="001576B3">
      <w:pPr>
        <w:widowControl w:val="0"/>
        <w:autoSpaceDE w:val="0"/>
        <w:autoSpaceDN w:val="0"/>
        <w:adjustRightInd w:val="0"/>
        <w:spacing w:after="0" w:line="240" w:lineRule="auto"/>
        <w:jc w:val="both"/>
        <w:rPr>
          <w:rFonts w:ascii="Arial" w:eastAsiaTheme="minorEastAsia" w:hAnsi="Arial" w:cs="Arial"/>
          <w:lang w:eastAsia="es-MX"/>
        </w:rPr>
      </w:pPr>
      <w:r w:rsidRPr="00943755">
        <w:rPr>
          <w:rFonts w:ascii="Arial" w:eastAsiaTheme="minorEastAsia" w:hAnsi="Arial" w:cs="Arial"/>
          <w:lang w:eastAsia="es-MX"/>
        </w:rPr>
        <w:t xml:space="preserve">El tamaño de muestra total es </w:t>
      </w:r>
      <w:r w:rsidRPr="00A9182F">
        <w:rPr>
          <w:rFonts w:ascii="Arial" w:eastAsiaTheme="minorEastAsia" w:hAnsi="Arial" w:cs="Arial"/>
          <w:lang w:eastAsia="es-MX"/>
        </w:rPr>
        <w:t>de 3</w:t>
      </w:r>
      <w:r w:rsidR="00861B99">
        <w:rPr>
          <w:rFonts w:ascii="Arial" w:eastAsiaTheme="minorEastAsia" w:hAnsi="Arial" w:cs="Arial"/>
          <w:lang w:eastAsia="es-MX"/>
        </w:rPr>
        <w:t xml:space="preserve"> </w:t>
      </w:r>
      <w:r>
        <w:rPr>
          <w:rFonts w:ascii="Arial" w:eastAsiaTheme="minorEastAsia" w:hAnsi="Arial" w:cs="Arial"/>
          <w:lang w:eastAsia="es-MX"/>
        </w:rPr>
        <w:t>492</w:t>
      </w:r>
      <w:r w:rsidR="005A120F">
        <w:rPr>
          <w:rFonts w:ascii="Arial" w:eastAsiaTheme="minorEastAsia" w:hAnsi="Arial" w:cs="Arial"/>
          <w:lang w:eastAsia="es-MX"/>
        </w:rPr>
        <w:t xml:space="preserve"> empresas</w:t>
      </w:r>
      <w:r w:rsidRPr="00943755">
        <w:rPr>
          <w:rFonts w:ascii="Arial" w:eastAsiaTheme="minorEastAsia" w:hAnsi="Arial" w:cs="Arial"/>
          <w:lang w:eastAsia="es-MX"/>
        </w:rPr>
        <w:t>. Los siguientes cuadros presentan la conformación de la muestra por subsector y entidad federativa, respectivamente.</w:t>
      </w:r>
      <w:r w:rsidRPr="00612E35">
        <w:rPr>
          <w:rFonts w:ascii="Arial" w:eastAsiaTheme="minorEastAsia" w:hAnsi="Arial" w:cs="Arial"/>
          <w:lang w:eastAsia="es-MX"/>
        </w:rPr>
        <w:t xml:space="preserve"> </w:t>
      </w:r>
    </w:p>
    <w:p w14:paraId="3553D7B0" w14:textId="77777777" w:rsidR="001576B3" w:rsidRDefault="001576B3" w:rsidP="001576B3">
      <w:pPr>
        <w:widowControl w:val="0"/>
        <w:autoSpaceDE w:val="0"/>
        <w:autoSpaceDN w:val="0"/>
        <w:adjustRightInd w:val="0"/>
        <w:spacing w:after="0" w:line="240" w:lineRule="auto"/>
        <w:jc w:val="both"/>
        <w:rPr>
          <w:rFonts w:ascii="Arial" w:eastAsiaTheme="minorEastAsia" w:hAnsi="Arial" w:cs="Arial"/>
          <w:lang w:eastAsia="es-MX"/>
        </w:rPr>
      </w:pPr>
    </w:p>
    <w:p w14:paraId="6C864C88" w14:textId="77777777" w:rsidR="001576B3" w:rsidRPr="009B1E80" w:rsidRDefault="001576B3" w:rsidP="001576B3">
      <w:pPr>
        <w:widowControl w:val="0"/>
        <w:autoSpaceDE w:val="0"/>
        <w:autoSpaceDN w:val="0"/>
        <w:adjustRightInd w:val="0"/>
        <w:spacing w:after="0" w:line="240" w:lineRule="auto"/>
        <w:jc w:val="center"/>
        <w:rPr>
          <w:rFonts w:ascii="Arial" w:eastAsiaTheme="minorEastAsia" w:hAnsi="Arial" w:cs="Arial"/>
          <w:lang w:eastAsia="es-MX"/>
        </w:rPr>
      </w:pPr>
      <w:r w:rsidRPr="009B1E80">
        <w:rPr>
          <w:rFonts w:ascii="Arial" w:hAnsi="Arial" w:cs="Arial"/>
          <w:b/>
          <w:bCs/>
          <w:color w:val="000000"/>
        </w:rPr>
        <w:t xml:space="preserve">Cuadro número </w:t>
      </w:r>
      <w:r w:rsidR="002C2D13">
        <w:rPr>
          <w:rFonts w:ascii="Arial" w:hAnsi="Arial" w:cs="Arial"/>
          <w:b/>
          <w:bCs/>
          <w:color w:val="000000"/>
        </w:rPr>
        <w:t>11</w:t>
      </w:r>
    </w:p>
    <w:p w14:paraId="7732F630" w14:textId="77777777" w:rsidR="001576B3" w:rsidRDefault="001576B3" w:rsidP="001576B3">
      <w:pPr>
        <w:pStyle w:val="Default"/>
        <w:jc w:val="center"/>
        <w:rPr>
          <w:b/>
          <w:bCs/>
          <w:sz w:val="22"/>
          <w:szCs w:val="22"/>
        </w:rPr>
      </w:pPr>
      <w:r>
        <w:rPr>
          <w:b/>
          <w:bCs/>
          <w:sz w:val="22"/>
          <w:szCs w:val="22"/>
        </w:rPr>
        <w:t>T</w:t>
      </w:r>
      <w:r w:rsidRPr="00F812F8">
        <w:rPr>
          <w:b/>
          <w:bCs/>
          <w:sz w:val="22"/>
          <w:szCs w:val="22"/>
        </w:rPr>
        <w:t xml:space="preserve">amaño de muestra por </w:t>
      </w:r>
      <w:r>
        <w:rPr>
          <w:b/>
          <w:bCs/>
          <w:sz w:val="22"/>
          <w:szCs w:val="22"/>
        </w:rPr>
        <w:t>sector y subsector</w:t>
      </w:r>
      <w:r w:rsidR="00B32F20">
        <w:rPr>
          <w:b/>
          <w:bCs/>
          <w:sz w:val="22"/>
          <w:szCs w:val="22"/>
        </w:rPr>
        <w:t xml:space="preserve"> de la EAEC</w:t>
      </w:r>
    </w:p>
    <w:tbl>
      <w:tblPr>
        <w:tblW w:w="7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655"/>
        <w:gridCol w:w="1573"/>
      </w:tblGrid>
      <w:tr w:rsidR="005A120F" w:rsidRPr="007F53F2" w14:paraId="1161EB86" w14:textId="77777777" w:rsidTr="005A120F">
        <w:trPr>
          <w:trHeight w:val="561"/>
          <w:jc w:val="center"/>
        </w:trPr>
        <w:tc>
          <w:tcPr>
            <w:tcW w:w="5655" w:type="dxa"/>
            <w:shd w:val="clear" w:color="auto" w:fill="FFD966" w:themeFill="accent4" w:themeFillTint="99"/>
            <w:tcMar>
              <w:top w:w="15" w:type="dxa"/>
              <w:left w:w="15" w:type="dxa"/>
              <w:bottom w:w="0" w:type="dxa"/>
              <w:right w:w="15" w:type="dxa"/>
            </w:tcMar>
            <w:vAlign w:val="center"/>
          </w:tcPr>
          <w:p w14:paraId="791B8825" w14:textId="77777777" w:rsidR="005A120F" w:rsidRPr="00E742D9" w:rsidRDefault="00E742D9" w:rsidP="002652BF">
            <w:pPr>
              <w:pStyle w:val="Default"/>
              <w:jc w:val="center"/>
              <w:rPr>
                <w:b/>
                <w:bCs/>
                <w:color w:val="auto"/>
                <w:sz w:val="20"/>
                <w:szCs w:val="20"/>
              </w:rPr>
            </w:pPr>
            <w:r w:rsidRPr="00E742D9">
              <w:rPr>
                <w:b/>
                <w:bCs/>
                <w:color w:val="auto"/>
                <w:sz w:val="20"/>
                <w:szCs w:val="20"/>
              </w:rPr>
              <w:t>Dominio de estudio</w:t>
            </w:r>
          </w:p>
        </w:tc>
        <w:tc>
          <w:tcPr>
            <w:tcW w:w="1573" w:type="dxa"/>
            <w:shd w:val="clear" w:color="auto" w:fill="FFD966" w:themeFill="accent4" w:themeFillTint="99"/>
            <w:vAlign w:val="center"/>
          </w:tcPr>
          <w:p w14:paraId="3042E542" w14:textId="77777777" w:rsidR="005A120F" w:rsidRPr="00E742D9" w:rsidRDefault="00E742D9" w:rsidP="002652BF">
            <w:pPr>
              <w:pStyle w:val="Default"/>
              <w:jc w:val="center"/>
              <w:rPr>
                <w:b/>
                <w:bCs/>
                <w:color w:val="auto"/>
                <w:sz w:val="20"/>
                <w:szCs w:val="20"/>
              </w:rPr>
            </w:pPr>
            <w:r w:rsidRPr="00E742D9">
              <w:rPr>
                <w:b/>
                <w:bCs/>
                <w:color w:val="auto"/>
                <w:sz w:val="20"/>
                <w:szCs w:val="20"/>
              </w:rPr>
              <w:t>Número de empresas</w:t>
            </w:r>
          </w:p>
        </w:tc>
      </w:tr>
      <w:tr w:rsidR="001576B3" w:rsidRPr="007F53F2" w14:paraId="0E10F42C" w14:textId="77777777" w:rsidTr="005A120F">
        <w:trPr>
          <w:trHeight w:val="910"/>
          <w:jc w:val="center"/>
        </w:trPr>
        <w:tc>
          <w:tcPr>
            <w:tcW w:w="5655" w:type="dxa"/>
            <w:shd w:val="clear" w:color="auto" w:fill="auto"/>
            <w:tcMar>
              <w:top w:w="15" w:type="dxa"/>
              <w:left w:w="15" w:type="dxa"/>
              <w:bottom w:w="0" w:type="dxa"/>
              <w:right w:w="15" w:type="dxa"/>
            </w:tcMar>
            <w:hideMark/>
          </w:tcPr>
          <w:p w14:paraId="74951F49" w14:textId="77777777" w:rsidR="001576B3" w:rsidRDefault="005A120F" w:rsidP="002652BF">
            <w:pPr>
              <w:pStyle w:val="NormalWeb"/>
              <w:spacing w:before="0" w:beforeAutospacing="0" w:after="0" w:afterAutospacing="0"/>
              <w:textAlignment w:val="bottom"/>
              <w:rPr>
                <w:rFonts w:ascii="Arial" w:eastAsiaTheme="minorHAnsi" w:hAnsi="Arial" w:cs="Arial"/>
                <w:b/>
                <w:bCs/>
                <w:sz w:val="20"/>
                <w:szCs w:val="20"/>
                <w:lang w:eastAsia="en-US"/>
              </w:rPr>
            </w:pPr>
            <w:r>
              <w:rPr>
                <w:rFonts w:ascii="Arial" w:eastAsiaTheme="minorHAnsi" w:hAnsi="Arial" w:cs="Arial"/>
                <w:b/>
                <w:bCs/>
                <w:sz w:val="20"/>
                <w:szCs w:val="20"/>
                <w:lang w:eastAsia="en-US"/>
              </w:rPr>
              <w:t xml:space="preserve">23 </w:t>
            </w:r>
            <w:proofErr w:type="gramStart"/>
            <w:r w:rsidR="001576B3" w:rsidRPr="009F01A7">
              <w:rPr>
                <w:rFonts w:ascii="Arial" w:eastAsiaTheme="minorHAnsi" w:hAnsi="Arial" w:cs="Arial"/>
                <w:b/>
                <w:bCs/>
                <w:sz w:val="20"/>
                <w:szCs w:val="20"/>
                <w:lang w:eastAsia="en-US"/>
              </w:rPr>
              <w:t>Construcción</w:t>
            </w:r>
            <w:proofErr w:type="gramEnd"/>
          </w:p>
          <w:p w14:paraId="17DE28C9" w14:textId="77777777" w:rsidR="001576B3" w:rsidRDefault="001576B3" w:rsidP="00E742D9">
            <w:pPr>
              <w:pStyle w:val="NormalWeb"/>
              <w:spacing w:before="0" w:beforeAutospacing="0" w:after="0" w:afterAutospacing="0"/>
              <w:textAlignment w:val="bottom"/>
              <w:rPr>
                <w:rFonts w:ascii="Arial" w:eastAsiaTheme="minorHAnsi" w:hAnsi="Arial" w:cs="Arial"/>
                <w:bCs/>
                <w:sz w:val="20"/>
                <w:szCs w:val="20"/>
                <w:lang w:eastAsia="en-US"/>
              </w:rPr>
            </w:pPr>
            <w:r w:rsidRPr="009F01A7">
              <w:rPr>
                <w:rFonts w:ascii="Arial" w:eastAsiaTheme="minorHAnsi" w:hAnsi="Arial" w:cs="Arial"/>
                <w:bCs/>
                <w:sz w:val="20"/>
                <w:szCs w:val="20"/>
                <w:lang w:eastAsia="en-US"/>
              </w:rPr>
              <w:t xml:space="preserve">236 </w:t>
            </w:r>
            <w:proofErr w:type="gramStart"/>
            <w:r w:rsidRPr="009F01A7">
              <w:rPr>
                <w:rFonts w:ascii="Arial" w:eastAsiaTheme="minorHAnsi" w:hAnsi="Arial" w:cs="Arial"/>
                <w:bCs/>
                <w:sz w:val="20"/>
                <w:szCs w:val="20"/>
                <w:lang w:eastAsia="en-US"/>
              </w:rPr>
              <w:t>Edificación</w:t>
            </w:r>
            <w:proofErr w:type="gramEnd"/>
          </w:p>
          <w:p w14:paraId="40CF64D6" w14:textId="77777777" w:rsidR="001576B3" w:rsidRDefault="001576B3" w:rsidP="00E742D9">
            <w:pPr>
              <w:pStyle w:val="NormalWeb"/>
              <w:spacing w:before="0" w:beforeAutospacing="0" w:after="0" w:afterAutospacing="0"/>
              <w:textAlignment w:val="bottom"/>
              <w:rPr>
                <w:rFonts w:ascii="Arial" w:eastAsiaTheme="minorHAnsi" w:hAnsi="Arial" w:cs="Arial"/>
                <w:bCs/>
                <w:sz w:val="20"/>
                <w:szCs w:val="20"/>
                <w:lang w:eastAsia="en-US"/>
              </w:rPr>
            </w:pPr>
            <w:r>
              <w:rPr>
                <w:rFonts w:ascii="Arial" w:eastAsiaTheme="minorHAnsi" w:hAnsi="Arial" w:cs="Arial"/>
                <w:bCs/>
                <w:sz w:val="20"/>
                <w:szCs w:val="20"/>
                <w:lang w:eastAsia="en-US"/>
              </w:rPr>
              <w:t xml:space="preserve">237 </w:t>
            </w:r>
            <w:proofErr w:type="gramStart"/>
            <w:r>
              <w:rPr>
                <w:rFonts w:ascii="Arial" w:eastAsiaTheme="minorHAnsi" w:hAnsi="Arial" w:cs="Arial"/>
                <w:bCs/>
                <w:sz w:val="20"/>
                <w:szCs w:val="20"/>
                <w:lang w:eastAsia="en-US"/>
              </w:rPr>
              <w:t>Construcción</w:t>
            </w:r>
            <w:proofErr w:type="gramEnd"/>
            <w:r>
              <w:rPr>
                <w:rFonts w:ascii="Arial" w:eastAsiaTheme="minorHAnsi" w:hAnsi="Arial" w:cs="Arial"/>
                <w:bCs/>
                <w:sz w:val="20"/>
                <w:szCs w:val="20"/>
                <w:lang w:eastAsia="en-US"/>
              </w:rPr>
              <w:t xml:space="preserve"> de obras de ingeniería civil</w:t>
            </w:r>
          </w:p>
          <w:p w14:paraId="6F5C39F6" w14:textId="77777777" w:rsidR="001576B3" w:rsidRPr="009F01A7" w:rsidRDefault="001576B3" w:rsidP="00E742D9">
            <w:pPr>
              <w:pStyle w:val="NormalWeb"/>
              <w:spacing w:before="0" w:beforeAutospacing="0" w:after="0" w:afterAutospacing="0"/>
              <w:textAlignment w:val="bottom"/>
              <w:rPr>
                <w:rFonts w:ascii="Arial" w:eastAsiaTheme="minorHAnsi" w:hAnsi="Arial" w:cs="Arial"/>
                <w:bCs/>
                <w:sz w:val="20"/>
                <w:szCs w:val="20"/>
                <w:lang w:eastAsia="en-US"/>
              </w:rPr>
            </w:pPr>
            <w:r>
              <w:rPr>
                <w:rFonts w:ascii="Arial" w:eastAsiaTheme="minorHAnsi" w:hAnsi="Arial" w:cs="Arial"/>
                <w:bCs/>
                <w:sz w:val="20"/>
                <w:szCs w:val="20"/>
                <w:lang w:eastAsia="en-US"/>
              </w:rPr>
              <w:t xml:space="preserve">238 </w:t>
            </w:r>
            <w:proofErr w:type="gramStart"/>
            <w:r>
              <w:rPr>
                <w:rFonts w:ascii="Arial" w:eastAsiaTheme="minorHAnsi" w:hAnsi="Arial" w:cs="Arial"/>
                <w:bCs/>
                <w:sz w:val="20"/>
                <w:szCs w:val="20"/>
                <w:lang w:eastAsia="en-US"/>
              </w:rPr>
              <w:t>Trabajos</w:t>
            </w:r>
            <w:proofErr w:type="gramEnd"/>
            <w:r>
              <w:rPr>
                <w:rFonts w:ascii="Arial" w:eastAsiaTheme="minorHAnsi" w:hAnsi="Arial" w:cs="Arial"/>
                <w:bCs/>
                <w:sz w:val="20"/>
                <w:szCs w:val="20"/>
                <w:lang w:eastAsia="en-US"/>
              </w:rPr>
              <w:t xml:space="preserve"> especializados para la construcción</w:t>
            </w:r>
          </w:p>
        </w:tc>
        <w:tc>
          <w:tcPr>
            <w:tcW w:w="1573" w:type="dxa"/>
            <w:shd w:val="clear" w:color="auto" w:fill="auto"/>
            <w:tcMar>
              <w:top w:w="15" w:type="dxa"/>
              <w:left w:w="15" w:type="dxa"/>
              <w:bottom w:w="0" w:type="dxa"/>
              <w:right w:w="15" w:type="dxa"/>
            </w:tcMar>
            <w:vAlign w:val="center"/>
          </w:tcPr>
          <w:p w14:paraId="40287280" w14:textId="77777777" w:rsidR="001576B3" w:rsidRDefault="001576B3" w:rsidP="002652BF">
            <w:pPr>
              <w:pStyle w:val="Default"/>
              <w:jc w:val="center"/>
              <w:rPr>
                <w:b/>
                <w:bCs/>
                <w:color w:val="auto"/>
                <w:sz w:val="20"/>
                <w:szCs w:val="20"/>
              </w:rPr>
            </w:pPr>
            <w:r w:rsidRPr="009F01A7">
              <w:rPr>
                <w:b/>
                <w:bCs/>
                <w:color w:val="auto"/>
                <w:sz w:val="20"/>
                <w:szCs w:val="20"/>
              </w:rPr>
              <w:t>3</w:t>
            </w:r>
            <w:r w:rsidR="00861B99">
              <w:rPr>
                <w:b/>
                <w:bCs/>
                <w:color w:val="auto"/>
                <w:sz w:val="20"/>
                <w:szCs w:val="20"/>
              </w:rPr>
              <w:t xml:space="preserve"> </w:t>
            </w:r>
            <w:r w:rsidRPr="009F01A7">
              <w:rPr>
                <w:b/>
                <w:bCs/>
                <w:color w:val="auto"/>
                <w:sz w:val="20"/>
                <w:szCs w:val="20"/>
              </w:rPr>
              <w:t>492</w:t>
            </w:r>
          </w:p>
          <w:p w14:paraId="6ABD7423" w14:textId="77777777" w:rsidR="001576B3" w:rsidRDefault="001576B3" w:rsidP="002652BF">
            <w:pPr>
              <w:pStyle w:val="Default"/>
              <w:jc w:val="center"/>
              <w:rPr>
                <w:bCs/>
                <w:color w:val="auto"/>
                <w:sz w:val="20"/>
                <w:szCs w:val="20"/>
              </w:rPr>
            </w:pPr>
            <w:r w:rsidRPr="009F01A7">
              <w:rPr>
                <w:bCs/>
                <w:color w:val="auto"/>
                <w:sz w:val="20"/>
                <w:szCs w:val="20"/>
              </w:rPr>
              <w:t>1</w:t>
            </w:r>
            <w:r w:rsidR="00861B99">
              <w:rPr>
                <w:bCs/>
                <w:color w:val="auto"/>
                <w:sz w:val="20"/>
                <w:szCs w:val="20"/>
              </w:rPr>
              <w:t xml:space="preserve"> </w:t>
            </w:r>
            <w:r w:rsidRPr="009F01A7">
              <w:rPr>
                <w:bCs/>
                <w:color w:val="auto"/>
                <w:sz w:val="20"/>
                <w:szCs w:val="20"/>
              </w:rPr>
              <w:t>227</w:t>
            </w:r>
          </w:p>
          <w:p w14:paraId="011D422D" w14:textId="77777777" w:rsidR="001576B3" w:rsidRDefault="001576B3" w:rsidP="002652BF">
            <w:pPr>
              <w:pStyle w:val="Default"/>
              <w:jc w:val="center"/>
              <w:rPr>
                <w:bCs/>
                <w:color w:val="auto"/>
                <w:sz w:val="20"/>
                <w:szCs w:val="20"/>
              </w:rPr>
            </w:pPr>
            <w:r>
              <w:rPr>
                <w:bCs/>
                <w:color w:val="auto"/>
                <w:sz w:val="20"/>
                <w:szCs w:val="20"/>
              </w:rPr>
              <w:t>1</w:t>
            </w:r>
            <w:r w:rsidR="00861B99">
              <w:rPr>
                <w:bCs/>
                <w:color w:val="auto"/>
                <w:sz w:val="20"/>
                <w:szCs w:val="20"/>
              </w:rPr>
              <w:t xml:space="preserve"> </w:t>
            </w:r>
            <w:r>
              <w:rPr>
                <w:bCs/>
                <w:color w:val="auto"/>
                <w:sz w:val="20"/>
                <w:szCs w:val="20"/>
              </w:rPr>
              <w:t>049</w:t>
            </w:r>
          </w:p>
          <w:p w14:paraId="5A807B8F" w14:textId="77777777" w:rsidR="001576B3" w:rsidRPr="009F01A7" w:rsidRDefault="001576B3" w:rsidP="002652BF">
            <w:pPr>
              <w:pStyle w:val="Default"/>
              <w:jc w:val="center"/>
              <w:rPr>
                <w:bCs/>
                <w:color w:val="auto"/>
                <w:sz w:val="20"/>
                <w:szCs w:val="20"/>
              </w:rPr>
            </w:pPr>
            <w:r>
              <w:rPr>
                <w:bCs/>
                <w:color w:val="auto"/>
                <w:sz w:val="20"/>
                <w:szCs w:val="20"/>
              </w:rPr>
              <w:t>1</w:t>
            </w:r>
            <w:r w:rsidR="00861B99">
              <w:rPr>
                <w:bCs/>
                <w:color w:val="auto"/>
                <w:sz w:val="20"/>
                <w:szCs w:val="20"/>
              </w:rPr>
              <w:t xml:space="preserve"> </w:t>
            </w:r>
            <w:r>
              <w:rPr>
                <w:bCs/>
                <w:color w:val="auto"/>
                <w:sz w:val="20"/>
                <w:szCs w:val="20"/>
              </w:rPr>
              <w:t>216</w:t>
            </w:r>
          </w:p>
        </w:tc>
      </w:tr>
    </w:tbl>
    <w:p w14:paraId="3B73E50C" w14:textId="77777777" w:rsidR="001576B3" w:rsidRDefault="001576B3" w:rsidP="001576B3">
      <w:pPr>
        <w:widowControl w:val="0"/>
        <w:autoSpaceDE w:val="0"/>
        <w:autoSpaceDN w:val="0"/>
        <w:adjustRightInd w:val="0"/>
        <w:spacing w:after="0" w:line="240" w:lineRule="auto"/>
        <w:jc w:val="center"/>
        <w:rPr>
          <w:rFonts w:ascii="Arial" w:hAnsi="Arial" w:cs="Arial"/>
          <w:b/>
          <w:bCs/>
          <w:color w:val="000000"/>
        </w:rPr>
      </w:pPr>
    </w:p>
    <w:p w14:paraId="6826C583"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32742FB9"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2E578CB9"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6FBE57BE"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7438F940"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48BEF560"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60D837B8"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61DE717F"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2DB5054E"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149957F5" w14:textId="77777777" w:rsidR="00861B99" w:rsidRDefault="00861B99" w:rsidP="001576B3">
      <w:pPr>
        <w:widowControl w:val="0"/>
        <w:autoSpaceDE w:val="0"/>
        <w:autoSpaceDN w:val="0"/>
        <w:adjustRightInd w:val="0"/>
        <w:spacing w:after="0" w:line="240" w:lineRule="auto"/>
        <w:jc w:val="center"/>
        <w:rPr>
          <w:rFonts w:ascii="Arial" w:hAnsi="Arial" w:cs="Arial"/>
          <w:b/>
          <w:bCs/>
          <w:color w:val="000000"/>
        </w:rPr>
      </w:pPr>
    </w:p>
    <w:p w14:paraId="59D00494"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1C4C92E9"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40ACB2C3"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3C52AC92"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4AB32CB0"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56C638FF"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0D857F68"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55757A6B"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16E63935"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192D7408"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7FC91F35" w14:textId="77777777" w:rsidR="00351F4E" w:rsidRDefault="00351F4E" w:rsidP="001576B3">
      <w:pPr>
        <w:widowControl w:val="0"/>
        <w:autoSpaceDE w:val="0"/>
        <w:autoSpaceDN w:val="0"/>
        <w:adjustRightInd w:val="0"/>
        <w:spacing w:after="0" w:line="240" w:lineRule="auto"/>
        <w:jc w:val="center"/>
        <w:rPr>
          <w:rFonts w:ascii="Arial" w:hAnsi="Arial" w:cs="Arial"/>
          <w:b/>
          <w:bCs/>
          <w:color w:val="000000"/>
        </w:rPr>
      </w:pPr>
    </w:p>
    <w:p w14:paraId="61BF3F52" w14:textId="77777777" w:rsidR="001576B3" w:rsidRDefault="001576B3" w:rsidP="001576B3">
      <w:pPr>
        <w:widowControl w:val="0"/>
        <w:autoSpaceDE w:val="0"/>
        <w:autoSpaceDN w:val="0"/>
        <w:adjustRightInd w:val="0"/>
        <w:spacing w:after="0" w:line="240" w:lineRule="auto"/>
        <w:jc w:val="center"/>
        <w:rPr>
          <w:rFonts w:ascii="Arial" w:hAnsi="Arial" w:cs="Arial"/>
          <w:b/>
          <w:bCs/>
          <w:color w:val="000000"/>
          <w:sz w:val="24"/>
          <w:szCs w:val="24"/>
        </w:rPr>
      </w:pPr>
      <w:r w:rsidRPr="009B1E80">
        <w:rPr>
          <w:rFonts w:ascii="Arial" w:hAnsi="Arial" w:cs="Arial"/>
          <w:b/>
          <w:bCs/>
          <w:color w:val="000000"/>
        </w:rPr>
        <w:lastRenderedPageBreak/>
        <w:t xml:space="preserve">Cuadro número </w:t>
      </w:r>
      <w:r w:rsidR="00D8658F">
        <w:rPr>
          <w:rFonts w:ascii="Arial" w:hAnsi="Arial" w:cs="Arial"/>
          <w:b/>
          <w:bCs/>
          <w:color w:val="000000"/>
        </w:rPr>
        <w:t>1</w:t>
      </w:r>
      <w:r w:rsidR="002C2D13">
        <w:rPr>
          <w:rFonts w:ascii="Arial" w:hAnsi="Arial" w:cs="Arial"/>
          <w:b/>
          <w:bCs/>
          <w:color w:val="000000"/>
        </w:rPr>
        <w:t>2</w:t>
      </w:r>
      <w:r w:rsidRPr="00F812F8">
        <w:rPr>
          <w:rFonts w:ascii="Arial" w:hAnsi="Arial" w:cs="Arial"/>
          <w:b/>
          <w:bCs/>
          <w:color w:val="000000"/>
          <w:sz w:val="24"/>
          <w:szCs w:val="24"/>
        </w:rPr>
        <w:t xml:space="preserve">                                </w:t>
      </w:r>
    </w:p>
    <w:p w14:paraId="00ED0B6D" w14:textId="77777777" w:rsidR="001576B3" w:rsidRPr="00612E35" w:rsidRDefault="001576B3" w:rsidP="001576B3">
      <w:pPr>
        <w:widowControl w:val="0"/>
        <w:autoSpaceDE w:val="0"/>
        <w:autoSpaceDN w:val="0"/>
        <w:adjustRightInd w:val="0"/>
        <w:spacing w:after="0" w:line="240" w:lineRule="auto"/>
        <w:jc w:val="center"/>
      </w:pPr>
      <w:r>
        <w:rPr>
          <w:rFonts w:ascii="Arial" w:hAnsi="Arial" w:cs="Arial"/>
          <w:b/>
          <w:bCs/>
        </w:rPr>
        <w:t>T</w:t>
      </w:r>
      <w:r w:rsidRPr="008C216B">
        <w:rPr>
          <w:rFonts w:ascii="Arial" w:hAnsi="Arial" w:cs="Arial"/>
          <w:b/>
          <w:bCs/>
        </w:rPr>
        <w:t>amaño de muestra por entidad federativa</w:t>
      </w:r>
      <w:r w:rsidR="00B32F20">
        <w:rPr>
          <w:rFonts w:ascii="Arial" w:hAnsi="Arial" w:cs="Arial"/>
          <w:b/>
          <w:bCs/>
        </w:rPr>
        <w:t xml:space="preserve"> de la EAEC</w:t>
      </w:r>
    </w:p>
    <w:tbl>
      <w:tblPr>
        <w:tblStyle w:val="Tablaconcuadrcula2"/>
        <w:tblW w:w="7225" w:type="dxa"/>
        <w:jc w:val="center"/>
        <w:tblLook w:val="04A0" w:firstRow="1" w:lastRow="0" w:firstColumn="1" w:lastColumn="0" w:noHBand="0" w:noVBand="1"/>
      </w:tblPr>
      <w:tblGrid>
        <w:gridCol w:w="5807"/>
        <w:gridCol w:w="1418"/>
      </w:tblGrid>
      <w:tr w:rsidR="00E742D9" w:rsidRPr="00612E35" w14:paraId="5DC33D39" w14:textId="77777777" w:rsidTr="00E742D9">
        <w:trPr>
          <w:trHeight w:val="483"/>
          <w:jc w:val="center"/>
        </w:trPr>
        <w:tc>
          <w:tcPr>
            <w:tcW w:w="5807" w:type="dxa"/>
            <w:tcBorders>
              <w:bottom w:val="single" w:sz="4" w:space="0" w:color="auto"/>
            </w:tcBorders>
            <w:shd w:val="clear" w:color="auto" w:fill="FFD966" w:themeFill="accent4" w:themeFillTint="99"/>
            <w:vAlign w:val="center"/>
          </w:tcPr>
          <w:p w14:paraId="20DC17E3" w14:textId="77777777" w:rsidR="00E742D9" w:rsidRPr="00E742D9" w:rsidRDefault="00E742D9" w:rsidP="002652BF">
            <w:pPr>
              <w:widowControl w:val="0"/>
              <w:autoSpaceDE w:val="0"/>
              <w:autoSpaceDN w:val="0"/>
              <w:adjustRightInd w:val="0"/>
              <w:jc w:val="center"/>
              <w:rPr>
                <w:rFonts w:ascii="Arial" w:hAnsi="Arial" w:cs="Arial"/>
                <w:b/>
                <w:color w:val="000000"/>
                <w:sz w:val="20"/>
                <w:szCs w:val="20"/>
              </w:rPr>
            </w:pPr>
            <w:r w:rsidRPr="00E742D9">
              <w:rPr>
                <w:rFonts w:ascii="Arial" w:hAnsi="Arial" w:cs="Arial"/>
                <w:b/>
                <w:color w:val="000000"/>
                <w:sz w:val="20"/>
                <w:szCs w:val="20"/>
              </w:rPr>
              <w:t>Dominio de estudio</w:t>
            </w:r>
          </w:p>
        </w:tc>
        <w:tc>
          <w:tcPr>
            <w:tcW w:w="1418" w:type="dxa"/>
            <w:tcBorders>
              <w:bottom w:val="single" w:sz="4" w:space="0" w:color="auto"/>
            </w:tcBorders>
            <w:shd w:val="clear" w:color="auto" w:fill="FFD966" w:themeFill="accent4" w:themeFillTint="99"/>
            <w:vAlign w:val="center"/>
          </w:tcPr>
          <w:p w14:paraId="368D174A" w14:textId="77777777" w:rsidR="00E742D9" w:rsidRPr="00E742D9" w:rsidRDefault="00E742D9" w:rsidP="002652BF">
            <w:pPr>
              <w:widowControl w:val="0"/>
              <w:autoSpaceDE w:val="0"/>
              <w:autoSpaceDN w:val="0"/>
              <w:adjustRightInd w:val="0"/>
              <w:jc w:val="center"/>
              <w:rPr>
                <w:rFonts w:ascii="Arial" w:hAnsi="Arial" w:cs="Arial"/>
                <w:b/>
                <w:color w:val="000000"/>
                <w:sz w:val="20"/>
                <w:szCs w:val="20"/>
              </w:rPr>
            </w:pPr>
            <w:r w:rsidRPr="00E742D9">
              <w:rPr>
                <w:rFonts w:ascii="Arial" w:hAnsi="Arial" w:cs="Arial"/>
                <w:b/>
                <w:color w:val="000000"/>
                <w:sz w:val="20"/>
                <w:szCs w:val="20"/>
              </w:rPr>
              <w:t>Número de empresas</w:t>
            </w:r>
          </w:p>
        </w:tc>
      </w:tr>
      <w:tr w:rsidR="001576B3" w:rsidRPr="00612E35" w14:paraId="5E4F6A08" w14:textId="77777777" w:rsidTr="002652BF">
        <w:trPr>
          <w:trHeight w:val="117"/>
          <w:jc w:val="center"/>
        </w:trPr>
        <w:tc>
          <w:tcPr>
            <w:tcW w:w="5807" w:type="dxa"/>
            <w:tcBorders>
              <w:top w:val="single" w:sz="4" w:space="0" w:color="auto"/>
              <w:left w:val="single" w:sz="4" w:space="0" w:color="auto"/>
              <w:bottom w:val="nil"/>
              <w:right w:val="single" w:sz="4" w:space="0" w:color="auto"/>
            </w:tcBorders>
          </w:tcPr>
          <w:p w14:paraId="261092DE" w14:textId="77777777" w:rsidR="001576B3" w:rsidRPr="002E75D6" w:rsidRDefault="001576B3" w:rsidP="002652BF">
            <w:pPr>
              <w:widowControl w:val="0"/>
              <w:autoSpaceDE w:val="0"/>
              <w:autoSpaceDN w:val="0"/>
              <w:adjustRightInd w:val="0"/>
              <w:jc w:val="both"/>
              <w:rPr>
                <w:rFonts w:ascii="Arial" w:hAnsi="Arial" w:cs="Arial"/>
                <w:b/>
                <w:color w:val="000000"/>
                <w:sz w:val="20"/>
                <w:szCs w:val="20"/>
              </w:rPr>
            </w:pPr>
            <w:r w:rsidRPr="002E75D6">
              <w:rPr>
                <w:rFonts w:ascii="Arial" w:hAnsi="Arial" w:cs="Arial"/>
                <w:b/>
                <w:color w:val="000000"/>
                <w:sz w:val="20"/>
                <w:szCs w:val="20"/>
              </w:rPr>
              <w:t>Nacional</w:t>
            </w:r>
          </w:p>
        </w:tc>
        <w:tc>
          <w:tcPr>
            <w:tcW w:w="1418" w:type="dxa"/>
            <w:tcBorders>
              <w:top w:val="single" w:sz="4" w:space="0" w:color="auto"/>
              <w:left w:val="single" w:sz="4" w:space="0" w:color="auto"/>
              <w:bottom w:val="nil"/>
              <w:right w:val="single" w:sz="4" w:space="0" w:color="auto"/>
            </w:tcBorders>
            <w:shd w:val="clear" w:color="auto" w:fill="auto"/>
            <w:vAlign w:val="center"/>
          </w:tcPr>
          <w:p w14:paraId="64DF1C59" w14:textId="77777777" w:rsidR="001576B3" w:rsidRPr="002E75D6" w:rsidRDefault="001576B3" w:rsidP="002652BF">
            <w:pPr>
              <w:widowControl w:val="0"/>
              <w:autoSpaceDE w:val="0"/>
              <w:autoSpaceDN w:val="0"/>
              <w:adjustRightInd w:val="0"/>
              <w:jc w:val="right"/>
              <w:rPr>
                <w:rFonts w:ascii="Arial" w:hAnsi="Arial" w:cs="Arial"/>
                <w:b/>
                <w:sz w:val="20"/>
                <w:szCs w:val="20"/>
              </w:rPr>
            </w:pPr>
            <w:r w:rsidRPr="002E75D6">
              <w:rPr>
                <w:rFonts w:ascii="Arial" w:hAnsi="Arial" w:cs="Arial"/>
                <w:b/>
                <w:color w:val="000000"/>
                <w:sz w:val="20"/>
                <w:szCs w:val="20"/>
              </w:rPr>
              <w:t>3</w:t>
            </w:r>
            <w:r w:rsidR="00861B99">
              <w:rPr>
                <w:rFonts w:ascii="Arial" w:hAnsi="Arial" w:cs="Arial"/>
                <w:b/>
                <w:color w:val="000000"/>
                <w:sz w:val="20"/>
                <w:szCs w:val="20"/>
              </w:rPr>
              <w:t xml:space="preserve"> </w:t>
            </w:r>
            <w:r w:rsidRPr="002E75D6">
              <w:rPr>
                <w:rFonts w:ascii="Arial" w:hAnsi="Arial" w:cs="Arial"/>
                <w:b/>
                <w:color w:val="000000"/>
                <w:sz w:val="20"/>
                <w:szCs w:val="20"/>
              </w:rPr>
              <w:t>492</w:t>
            </w:r>
          </w:p>
        </w:tc>
      </w:tr>
      <w:tr w:rsidR="001576B3" w:rsidRPr="00612E35" w14:paraId="18265DF9" w14:textId="77777777" w:rsidTr="002652BF">
        <w:trPr>
          <w:jc w:val="center"/>
        </w:trPr>
        <w:tc>
          <w:tcPr>
            <w:tcW w:w="5807" w:type="dxa"/>
            <w:tcBorders>
              <w:top w:val="nil"/>
              <w:left w:val="single" w:sz="4" w:space="0" w:color="auto"/>
              <w:bottom w:val="nil"/>
              <w:right w:val="single" w:sz="4" w:space="0" w:color="auto"/>
            </w:tcBorders>
            <w:vAlign w:val="center"/>
          </w:tcPr>
          <w:p w14:paraId="27A39DBC"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Aguascalientes</w:t>
            </w:r>
          </w:p>
        </w:tc>
        <w:tc>
          <w:tcPr>
            <w:tcW w:w="1418" w:type="dxa"/>
            <w:tcBorders>
              <w:top w:val="nil"/>
              <w:left w:val="single" w:sz="4" w:space="0" w:color="auto"/>
              <w:bottom w:val="nil"/>
              <w:right w:val="single" w:sz="4" w:space="0" w:color="auto"/>
            </w:tcBorders>
            <w:vAlign w:val="center"/>
          </w:tcPr>
          <w:p w14:paraId="4AE6ED31"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90</w:t>
            </w:r>
          </w:p>
        </w:tc>
      </w:tr>
      <w:tr w:rsidR="001576B3" w:rsidRPr="00612E35" w14:paraId="4151A51E" w14:textId="77777777" w:rsidTr="002652BF">
        <w:trPr>
          <w:jc w:val="center"/>
        </w:trPr>
        <w:tc>
          <w:tcPr>
            <w:tcW w:w="5807" w:type="dxa"/>
            <w:tcBorders>
              <w:top w:val="nil"/>
              <w:left w:val="single" w:sz="4" w:space="0" w:color="auto"/>
              <w:bottom w:val="nil"/>
              <w:right w:val="single" w:sz="4" w:space="0" w:color="auto"/>
            </w:tcBorders>
            <w:vAlign w:val="center"/>
          </w:tcPr>
          <w:p w14:paraId="12EFE5E3"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Baja California</w:t>
            </w:r>
          </w:p>
        </w:tc>
        <w:tc>
          <w:tcPr>
            <w:tcW w:w="1418" w:type="dxa"/>
            <w:tcBorders>
              <w:top w:val="nil"/>
              <w:left w:val="single" w:sz="4" w:space="0" w:color="auto"/>
              <w:bottom w:val="nil"/>
              <w:right w:val="single" w:sz="4" w:space="0" w:color="auto"/>
            </w:tcBorders>
            <w:vAlign w:val="center"/>
          </w:tcPr>
          <w:p w14:paraId="1852F36F"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112</w:t>
            </w:r>
          </w:p>
        </w:tc>
      </w:tr>
      <w:tr w:rsidR="001576B3" w:rsidRPr="00612E35" w14:paraId="26533A1D" w14:textId="77777777" w:rsidTr="002652BF">
        <w:trPr>
          <w:jc w:val="center"/>
        </w:trPr>
        <w:tc>
          <w:tcPr>
            <w:tcW w:w="5807" w:type="dxa"/>
            <w:tcBorders>
              <w:top w:val="nil"/>
              <w:left w:val="single" w:sz="4" w:space="0" w:color="auto"/>
              <w:bottom w:val="nil"/>
              <w:right w:val="single" w:sz="4" w:space="0" w:color="auto"/>
            </w:tcBorders>
            <w:vAlign w:val="center"/>
          </w:tcPr>
          <w:p w14:paraId="743847C9"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Baja California Sur</w:t>
            </w:r>
          </w:p>
        </w:tc>
        <w:tc>
          <w:tcPr>
            <w:tcW w:w="1418" w:type="dxa"/>
            <w:tcBorders>
              <w:top w:val="nil"/>
              <w:left w:val="single" w:sz="4" w:space="0" w:color="auto"/>
              <w:bottom w:val="nil"/>
              <w:right w:val="single" w:sz="4" w:space="0" w:color="auto"/>
            </w:tcBorders>
            <w:vAlign w:val="center"/>
          </w:tcPr>
          <w:p w14:paraId="2E26ECB2"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69</w:t>
            </w:r>
          </w:p>
        </w:tc>
      </w:tr>
      <w:tr w:rsidR="001576B3" w:rsidRPr="00612E35" w14:paraId="0CB2396A" w14:textId="77777777" w:rsidTr="002652BF">
        <w:trPr>
          <w:jc w:val="center"/>
        </w:trPr>
        <w:tc>
          <w:tcPr>
            <w:tcW w:w="5807" w:type="dxa"/>
            <w:tcBorders>
              <w:top w:val="nil"/>
              <w:left w:val="single" w:sz="4" w:space="0" w:color="auto"/>
              <w:bottom w:val="nil"/>
              <w:right w:val="single" w:sz="4" w:space="0" w:color="auto"/>
            </w:tcBorders>
            <w:vAlign w:val="center"/>
          </w:tcPr>
          <w:p w14:paraId="61E92F05"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Campeche</w:t>
            </w:r>
          </w:p>
        </w:tc>
        <w:tc>
          <w:tcPr>
            <w:tcW w:w="1418" w:type="dxa"/>
            <w:tcBorders>
              <w:top w:val="nil"/>
              <w:left w:val="single" w:sz="4" w:space="0" w:color="auto"/>
              <w:bottom w:val="nil"/>
              <w:right w:val="single" w:sz="4" w:space="0" w:color="auto"/>
            </w:tcBorders>
            <w:vAlign w:val="center"/>
          </w:tcPr>
          <w:p w14:paraId="49BDAD68"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91</w:t>
            </w:r>
          </w:p>
        </w:tc>
      </w:tr>
      <w:tr w:rsidR="001576B3" w:rsidRPr="00612E35" w14:paraId="0FEE458C" w14:textId="77777777" w:rsidTr="002652BF">
        <w:trPr>
          <w:jc w:val="center"/>
        </w:trPr>
        <w:tc>
          <w:tcPr>
            <w:tcW w:w="5807" w:type="dxa"/>
            <w:tcBorders>
              <w:top w:val="nil"/>
              <w:left w:val="single" w:sz="4" w:space="0" w:color="auto"/>
              <w:bottom w:val="nil"/>
              <w:right w:val="single" w:sz="4" w:space="0" w:color="auto"/>
            </w:tcBorders>
            <w:vAlign w:val="center"/>
          </w:tcPr>
          <w:p w14:paraId="2C5147B0"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Coahuila de Zaragoza</w:t>
            </w:r>
          </w:p>
        </w:tc>
        <w:tc>
          <w:tcPr>
            <w:tcW w:w="1418" w:type="dxa"/>
            <w:tcBorders>
              <w:top w:val="nil"/>
              <w:left w:val="single" w:sz="4" w:space="0" w:color="auto"/>
              <w:bottom w:val="nil"/>
              <w:right w:val="single" w:sz="4" w:space="0" w:color="auto"/>
            </w:tcBorders>
            <w:vAlign w:val="center"/>
          </w:tcPr>
          <w:p w14:paraId="4537FCE9"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133</w:t>
            </w:r>
          </w:p>
        </w:tc>
      </w:tr>
      <w:tr w:rsidR="001576B3" w:rsidRPr="00612E35" w14:paraId="1963F06C" w14:textId="77777777" w:rsidTr="002652BF">
        <w:trPr>
          <w:jc w:val="center"/>
        </w:trPr>
        <w:tc>
          <w:tcPr>
            <w:tcW w:w="5807" w:type="dxa"/>
            <w:tcBorders>
              <w:top w:val="nil"/>
              <w:left w:val="single" w:sz="4" w:space="0" w:color="auto"/>
              <w:bottom w:val="nil"/>
              <w:right w:val="single" w:sz="4" w:space="0" w:color="auto"/>
            </w:tcBorders>
            <w:vAlign w:val="center"/>
          </w:tcPr>
          <w:p w14:paraId="42EEC99A"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Colima</w:t>
            </w:r>
          </w:p>
        </w:tc>
        <w:tc>
          <w:tcPr>
            <w:tcW w:w="1418" w:type="dxa"/>
            <w:tcBorders>
              <w:top w:val="nil"/>
              <w:left w:val="single" w:sz="4" w:space="0" w:color="auto"/>
              <w:bottom w:val="nil"/>
              <w:right w:val="single" w:sz="4" w:space="0" w:color="auto"/>
            </w:tcBorders>
            <w:vAlign w:val="center"/>
          </w:tcPr>
          <w:p w14:paraId="5DB8E632"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76</w:t>
            </w:r>
          </w:p>
        </w:tc>
      </w:tr>
      <w:tr w:rsidR="001576B3" w:rsidRPr="00612E35" w14:paraId="4A140DCE" w14:textId="77777777" w:rsidTr="002652BF">
        <w:trPr>
          <w:jc w:val="center"/>
        </w:trPr>
        <w:tc>
          <w:tcPr>
            <w:tcW w:w="5807" w:type="dxa"/>
            <w:tcBorders>
              <w:top w:val="nil"/>
              <w:left w:val="single" w:sz="4" w:space="0" w:color="auto"/>
              <w:bottom w:val="nil"/>
              <w:right w:val="single" w:sz="4" w:space="0" w:color="auto"/>
            </w:tcBorders>
            <w:vAlign w:val="center"/>
          </w:tcPr>
          <w:p w14:paraId="2A0B140F"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Chiapas</w:t>
            </w:r>
          </w:p>
        </w:tc>
        <w:tc>
          <w:tcPr>
            <w:tcW w:w="1418" w:type="dxa"/>
            <w:tcBorders>
              <w:top w:val="nil"/>
              <w:left w:val="single" w:sz="4" w:space="0" w:color="auto"/>
              <w:bottom w:val="nil"/>
              <w:right w:val="single" w:sz="4" w:space="0" w:color="auto"/>
            </w:tcBorders>
            <w:vAlign w:val="center"/>
          </w:tcPr>
          <w:p w14:paraId="060D5F77"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97</w:t>
            </w:r>
          </w:p>
        </w:tc>
      </w:tr>
      <w:tr w:rsidR="001576B3" w:rsidRPr="00612E35" w14:paraId="703EA3E3" w14:textId="77777777" w:rsidTr="002652BF">
        <w:trPr>
          <w:jc w:val="center"/>
        </w:trPr>
        <w:tc>
          <w:tcPr>
            <w:tcW w:w="5807" w:type="dxa"/>
            <w:tcBorders>
              <w:top w:val="nil"/>
              <w:left w:val="single" w:sz="4" w:space="0" w:color="auto"/>
              <w:bottom w:val="nil"/>
              <w:right w:val="single" w:sz="4" w:space="0" w:color="auto"/>
            </w:tcBorders>
            <w:vAlign w:val="center"/>
          </w:tcPr>
          <w:p w14:paraId="7E626CCD"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Chihuahua</w:t>
            </w:r>
          </w:p>
        </w:tc>
        <w:tc>
          <w:tcPr>
            <w:tcW w:w="1418" w:type="dxa"/>
            <w:tcBorders>
              <w:top w:val="nil"/>
              <w:left w:val="single" w:sz="4" w:space="0" w:color="auto"/>
              <w:bottom w:val="nil"/>
              <w:right w:val="single" w:sz="4" w:space="0" w:color="auto"/>
            </w:tcBorders>
            <w:vAlign w:val="center"/>
          </w:tcPr>
          <w:p w14:paraId="20F4F3EE"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123</w:t>
            </w:r>
          </w:p>
        </w:tc>
      </w:tr>
      <w:tr w:rsidR="001576B3" w:rsidRPr="00612E35" w14:paraId="7BE59172" w14:textId="77777777" w:rsidTr="002652BF">
        <w:trPr>
          <w:jc w:val="center"/>
        </w:trPr>
        <w:tc>
          <w:tcPr>
            <w:tcW w:w="5807" w:type="dxa"/>
            <w:tcBorders>
              <w:top w:val="nil"/>
              <w:left w:val="single" w:sz="4" w:space="0" w:color="auto"/>
              <w:bottom w:val="nil"/>
              <w:right w:val="single" w:sz="4" w:space="0" w:color="auto"/>
            </w:tcBorders>
            <w:vAlign w:val="center"/>
          </w:tcPr>
          <w:p w14:paraId="2E221EAC"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Ciudad de México</w:t>
            </w:r>
          </w:p>
        </w:tc>
        <w:tc>
          <w:tcPr>
            <w:tcW w:w="1418" w:type="dxa"/>
            <w:tcBorders>
              <w:top w:val="nil"/>
              <w:left w:val="single" w:sz="4" w:space="0" w:color="auto"/>
              <w:bottom w:val="nil"/>
              <w:right w:val="single" w:sz="4" w:space="0" w:color="auto"/>
            </w:tcBorders>
            <w:vAlign w:val="center"/>
          </w:tcPr>
          <w:p w14:paraId="6DFF72D7"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246</w:t>
            </w:r>
          </w:p>
        </w:tc>
      </w:tr>
      <w:tr w:rsidR="001576B3" w:rsidRPr="00612E35" w14:paraId="1A11552D" w14:textId="77777777" w:rsidTr="002652BF">
        <w:trPr>
          <w:jc w:val="center"/>
        </w:trPr>
        <w:tc>
          <w:tcPr>
            <w:tcW w:w="5807" w:type="dxa"/>
            <w:tcBorders>
              <w:top w:val="nil"/>
              <w:left w:val="single" w:sz="4" w:space="0" w:color="auto"/>
              <w:bottom w:val="nil"/>
              <w:right w:val="single" w:sz="4" w:space="0" w:color="auto"/>
            </w:tcBorders>
            <w:vAlign w:val="center"/>
          </w:tcPr>
          <w:p w14:paraId="3109BF9F"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Durango</w:t>
            </w:r>
          </w:p>
        </w:tc>
        <w:tc>
          <w:tcPr>
            <w:tcW w:w="1418" w:type="dxa"/>
            <w:tcBorders>
              <w:top w:val="nil"/>
              <w:left w:val="single" w:sz="4" w:space="0" w:color="auto"/>
              <w:bottom w:val="nil"/>
              <w:right w:val="single" w:sz="4" w:space="0" w:color="auto"/>
            </w:tcBorders>
            <w:vAlign w:val="center"/>
          </w:tcPr>
          <w:p w14:paraId="5E08FE51"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86</w:t>
            </w:r>
          </w:p>
        </w:tc>
      </w:tr>
      <w:tr w:rsidR="001576B3" w:rsidRPr="00612E35" w14:paraId="0A5B8C65" w14:textId="77777777" w:rsidTr="002652BF">
        <w:trPr>
          <w:jc w:val="center"/>
        </w:trPr>
        <w:tc>
          <w:tcPr>
            <w:tcW w:w="5807" w:type="dxa"/>
            <w:tcBorders>
              <w:top w:val="nil"/>
              <w:left w:val="single" w:sz="4" w:space="0" w:color="auto"/>
              <w:bottom w:val="nil"/>
              <w:right w:val="single" w:sz="4" w:space="0" w:color="auto"/>
            </w:tcBorders>
            <w:vAlign w:val="center"/>
          </w:tcPr>
          <w:p w14:paraId="25FD5A78"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Guanajuato</w:t>
            </w:r>
          </w:p>
        </w:tc>
        <w:tc>
          <w:tcPr>
            <w:tcW w:w="1418" w:type="dxa"/>
            <w:tcBorders>
              <w:top w:val="nil"/>
              <w:left w:val="single" w:sz="4" w:space="0" w:color="auto"/>
              <w:bottom w:val="nil"/>
              <w:right w:val="single" w:sz="4" w:space="0" w:color="auto"/>
            </w:tcBorders>
            <w:vAlign w:val="center"/>
          </w:tcPr>
          <w:p w14:paraId="03846D23"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128</w:t>
            </w:r>
          </w:p>
        </w:tc>
      </w:tr>
      <w:tr w:rsidR="001576B3" w:rsidRPr="00612E35" w14:paraId="48DD3EE0" w14:textId="77777777" w:rsidTr="002652BF">
        <w:trPr>
          <w:jc w:val="center"/>
        </w:trPr>
        <w:tc>
          <w:tcPr>
            <w:tcW w:w="5807" w:type="dxa"/>
            <w:tcBorders>
              <w:top w:val="nil"/>
              <w:left w:val="single" w:sz="4" w:space="0" w:color="auto"/>
              <w:bottom w:val="nil"/>
              <w:right w:val="single" w:sz="4" w:space="0" w:color="auto"/>
            </w:tcBorders>
            <w:vAlign w:val="center"/>
          </w:tcPr>
          <w:p w14:paraId="7525A667"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Guerrero</w:t>
            </w:r>
          </w:p>
        </w:tc>
        <w:tc>
          <w:tcPr>
            <w:tcW w:w="1418" w:type="dxa"/>
            <w:tcBorders>
              <w:top w:val="nil"/>
              <w:left w:val="single" w:sz="4" w:space="0" w:color="auto"/>
              <w:bottom w:val="nil"/>
              <w:right w:val="single" w:sz="4" w:space="0" w:color="auto"/>
            </w:tcBorders>
            <w:vAlign w:val="center"/>
          </w:tcPr>
          <w:p w14:paraId="406DA199"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77</w:t>
            </w:r>
          </w:p>
        </w:tc>
      </w:tr>
      <w:tr w:rsidR="001576B3" w:rsidRPr="00612E35" w14:paraId="20E8C2B5" w14:textId="77777777" w:rsidTr="002652BF">
        <w:trPr>
          <w:jc w:val="center"/>
        </w:trPr>
        <w:tc>
          <w:tcPr>
            <w:tcW w:w="5807" w:type="dxa"/>
            <w:tcBorders>
              <w:top w:val="nil"/>
              <w:left w:val="single" w:sz="4" w:space="0" w:color="auto"/>
              <w:bottom w:val="nil"/>
              <w:right w:val="single" w:sz="4" w:space="0" w:color="auto"/>
            </w:tcBorders>
            <w:vAlign w:val="center"/>
          </w:tcPr>
          <w:p w14:paraId="6AC1FE79"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Hidalgo</w:t>
            </w:r>
          </w:p>
        </w:tc>
        <w:tc>
          <w:tcPr>
            <w:tcW w:w="1418" w:type="dxa"/>
            <w:tcBorders>
              <w:top w:val="nil"/>
              <w:left w:val="single" w:sz="4" w:space="0" w:color="auto"/>
              <w:bottom w:val="nil"/>
              <w:right w:val="single" w:sz="4" w:space="0" w:color="auto"/>
            </w:tcBorders>
            <w:vAlign w:val="center"/>
          </w:tcPr>
          <w:p w14:paraId="2F4C65C3"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100</w:t>
            </w:r>
          </w:p>
        </w:tc>
      </w:tr>
      <w:tr w:rsidR="001576B3" w:rsidRPr="00612E35" w14:paraId="1922EB5E" w14:textId="77777777" w:rsidTr="002652BF">
        <w:trPr>
          <w:jc w:val="center"/>
        </w:trPr>
        <w:tc>
          <w:tcPr>
            <w:tcW w:w="5807" w:type="dxa"/>
            <w:tcBorders>
              <w:top w:val="nil"/>
              <w:left w:val="single" w:sz="4" w:space="0" w:color="auto"/>
              <w:bottom w:val="nil"/>
              <w:right w:val="single" w:sz="4" w:space="0" w:color="auto"/>
            </w:tcBorders>
            <w:vAlign w:val="center"/>
          </w:tcPr>
          <w:p w14:paraId="1C825D91"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Jalisco</w:t>
            </w:r>
          </w:p>
        </w:tc>
        <w:tc>
          <w:tcPr>
            <w:tcW w:w="1418" w:type="dxa"/>
            <w:tcBorders>
              <w:top w:val="nil"/>
              <w:left w:val="single" w:sz="4" w:space="0" w:color="auto"/>
              <w:bottom w:val="nil"/>
              <w:right w:val="single" w:sz="4" w:space="0" w:color="auto"/>
            </w:tcBorders>
            <w:vAlign w:val="center"/>
          </w:tcPr>
          <w:p w14:paraId="504C45E9"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161</w:t>
            </w:r>
          </w:p>
        </w:tc>
      </w:tr>
      <w:tr w:rsidR="001576B3" w:rsidRPr="00612E35" w14:paraId="12E3C24F" w14:textId="77777777" w:rsidTr="002652BF">
        <w:trPr>
          <w:jc w:val="center"/>
        </w:trPr>
        <w:tc>
          <w:tcPr>
            <w:tcW w:w="5807" w:type="dxa"/>
            <w:tcBorders>
              <w:top w:val="nil"/>
              <w:left w:val="single" w:sz="4" w:space="0" w:color="auto"/>
              <w:bottom w:val="nil"/>
              <w:right w:val="single" w:sz="4" w:space="0" w:color="auto"/>
            </w:tcBorders>
            <w:vAlign w:val="center"/>
          </w:tcPr>
          <w:p w14:paraId="6BAC21F4"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México</w:t>
            </w:r>
          </w:p>
        </w:tc>
        <w:tc>
          <w:tcPr>
            <w:tcW w:w="1418" w:type="dxa"/>
            <w:tcBorders>
              <w:top w:val="nil"/>
              <w:left w:val="single" w:sz="4" w:space="0" w:color="auto"/>
              <w:bottom w:val="nil"/>
              <w:right w:val="single" w:sz="4" w:space="0" w:color="auto"/>
            </w:tcBorders>
            <w:vAlign w:val="center"/>
          </w:tcPr>
          <w:p w14:paraId="459F7F4F"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132</w:t>
            </w:r>
          </w:p>
        </w:tc>
      </w:tr>
      <w:tr w:rsidR="001576B3" w:rsidRPr="00612E35" w14:paraId="0E121EAA" w14:textId="77777777" w:rsidTr="002652BF">
        <w:trPr>
          <w:jc w:val="center"/>
        </w:trPr>
        <w:tc>
          <w:tcPr>
            <w:tcW w:w="5807" w:type="dxa"/>
            <w:tcBorders>
              <w:top w:val="nil"/>
              <w:left w:val="single" w:sz="4" w:space="0" w:color="auto"/>
              <w:bottom w:val="nil"/>
              <w:right w:val="single" w:sz="4" w:space="0" w:color="auto"/>
            </w:tcBorders>
            <w:vAlign w:val="center"/>
          </w:tcPr>
          <w:p w14:paraId="46A2048D"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Michoacán de Ocampo</w:t>
            </w:r>
          </w:p>
        </w:tc>
        <w:tc>
          <w:tcPr>
            <w:tcW w:w="1418" w:type="dxa"/>
            <w:tcBorders>
              <w:top w:val="nil"/>
              <w:left w:val="single" w:sz="4" w:space="0" w:color="auto"/>
              <w:bottom w:val="nil"/>
              <w:right w:val="single" w:sz="4" w:space="0" w:color="auto"/>
            </w:tcBorders>
            <w:vAlign w:val="center"/>
          </w:tcPr>
          <w:p w14:paraId="5095635F"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100</w:t>
            </w:r>
          </w:p>
        </w:tc>
      </w:tr>
      <w:tr w:rsidR="001576B3" w:rsidRPr="00612E35" w14:paraId="6A002D32" w14:textId="77777777" w:rsidTr="002652BF">
        <w:trPr>
          <w:jc w:val="center"/>
        </w:trPr>
        <w:tc>
          <w:tcPr>
            <w:tcW w:w="5807" w:type="dxa"/>
            <w:tcBorders>
              <w:top w:val="nil"/>
              <w:left w:val="single" w:sz="4" w:space="0" w:color="auto"/>
              <w:bottom w:val="nil"/>
              <w:right w:val="single" w:sz="4" w:space="0" w:color="auto"/>
            </w:tcBorders>
            <w:vAlign w:val="center"/>
          </w:tcPr>
          <w:p w14:paraId="682F097E"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Morelos</w:t>
            </w:r>
          </w:p>
        </w:tc>
        <w:tc>
          <w:tcPr>
            <w:tcW w:w="1418" w:type="dxa"/>
            <w:tcBorders>
              <w:top w:val="nil"/>
              <w:left w:val="single" w:sz="4" w:space="0" w:color="auto"/>
              <w:bottom w:val="nil"/>
              <w:right w:val="single" w:sz="4" w:space="0" w:color="auto"/>
            </w:tcBorders>
            <w:vAlign w:val="center"/>
          </w:tcPr>
          <w:p w14:paraId="6F8C0747"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70</w:t>
            </w:r>
          </w:p>
        </w:tc>
      </w:tr>
      <w:tr w:rsidR="001576B3" w:rsidRPr="00612E35" w14:paraId="5C31439A" w14:textId="77777777" w:rsidTr="002652BF">
        <w:trPr>
          <w:jc w:val="center"/>
        </w:trPr>
        <w:tc>
          <w:tcPr>
            <w:tcW w:w="5807" w:type="dxa"/>
            <w:tcBorders>
              <w:top w:val="nil"/>
              <w:left w:val="single" w:sz="4" w:space="0" w:color="auto"/>
              <w:bottom w:val="nil"/>
              <w:right w:val="single" w:sz="4" w:space="0" w:color="auto"/>
            </w:tcBorders>
            <w:vAlign w:val="center"/>
          </w:tcPr>
          <w:p w14:paraId="23D2C17D"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Nayarit</w:t>
            </w:r>
          </w:p>
        </w:tc>
        <w:tc>
          <w:tcPr>
            <w:tcW w:w="1418" w:type="dxa"/>
            <w:tcBorders>
              <w:top w:val="nil"/>
              <w:left w:val="single" w:sz="4" w:space="0" w:color="auto"/>
              <w:bottom w:val="nil"/>
              <w:right w:val="single" w:sz="4" w:space="0" w:color="auto"/>
            </w:tcBorders>
            <w:vAlign w:val="center"/>
          </w:tcPr>
          <w:p w14:paraId="6755A895"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81</w:t>
            </w:r>
          </w:p>
        </w:tc>
      </w:tr>
      <w:tr w:rsidR="001576B3" w:rsidRPr="00612E35" w14:paraId="08F60E5A" w14:textId="77777777" w:rsidTr="002652BF">
        <w:trPr>
          <w:jc w:val="center"/>
        </w:trPr>
        <w:tc>
          <w:tcPr>
            <w:tcW w:w="5807" w:type="dxa"/>
            <w:tcBorders>
              <w:top w:val="nil"/>
              <w:left w:val="single" w:sz="4" w:space="0" w:color="auto"/>
              <w:bottom w:val="nil"/>
              <w:right w:val="single" w:sz="4" w:space="0" w:color="auto"/>
            </w:tcBorders>
            <w:vAlign w:val="center"/>
          </w:tcPr>
          <w:p w14:paraId="68FB653A"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Nuevo León</w:t>
            </w:r>
          </w:p>
        </w:tc>
        <w:tc>
          <w:tcPr>
            <w:tcW w:w="1418" w:type="dxa"/>
            <w:tcBorders>
              <w:top w:val="nil"/>
              <w:left w:val="single" w:sz="4" w:space="0" w:color="auto"/>
              <w:bottom w:val="nil"/>
              <w:right w:val="single" w:sz="4" w:space="0" w:color="auto"/>
            </w:tcBorders>
            <w:vAlign w:val="center"/>
          </w:tcPr>
          <w:p w14:paraId="0F674CB2"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173</w:t>
            </w:r>
          </w:p>
        </w:tc>
      </w:tr>
      <w:tr w:rsidR="001576B3" w:rsidRPr="00612E35" w14:paraId="53136993" w14:textId="77777777" w:rsidTr="002652BF">
        <w:trPr>
          <w:jc w:val="center"/>
        </w:trPr>
        <w:tc>
          <w:tcPr>
            <w:tcW w:w="5807" w:type="dxa"/>
            <w:tcBorders>
              <w:top w:val="nil"/>
              <w:left w:val="single" w:sz="4" w:space="0" w:color="auto"/>
              <w:bottom w:val="nil"/>
              <w:right w:val="single" w:sz="4" w:space="0" w:color="auto"/>
            </w:tcBorders>
            <w:vAlign w:val="center"/>
          </w:tcPr>
          <w:p w14:paraId="62914352"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Oaxaca</w:t>
            </w:r>
          </w:p>
        </w:tc>
        <w:tc>
          <w:tcPr>
            <w:tcW w:w="1418" w:type="dxa"/>
            <w:tcBorders>
              <w:top w:val="nil"/>
              <w:left w:val="single" w:sz="4" w:space="0" w:color="auto"/>
              <w:bottom w:val="nil"/>
              <w:right w:val="single" w:sz="4" w:space="0" w:color="auto"/>
            </w:tcBorders>
            <w:vAlign w:val="center"/>
          </w:tcPr>
          <w:p w14:paraId="79D09C91"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121</w:t>
            </w:r>
          </w:p>
        </w:tc>
      </w:tr>
      <w:tr w:rsidR="001576B3" w:rsidRPr="00612E35" w14:paraId="5A62B72F" w14:textId="77777777" w:rsidTr="002652BF">
        <w:trPr>
          <w:jc w:val="center"/>
        </w:trPr>
        <w:tc>
          <w:tcPr>
            <w:tcW w:w="5807" w:type="dxa"/>
            <w:tcBorders>
              <w:top w:val="nil"/>
              <w:left w:val="single" w:sz="4" w:space="0" w:color="auto"/>
              <w:bottom w:val="nil"/>
              <w:right w:val="single" w:sz="4" w:space="0" w:color="auto"/>
            </w:tcBorders>
            <w:vAlign w:val="center"/>
          </w:tcPr>
          <w:p w14:paraId="2AC612D5"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Puebla</w:t>
            </w:r>
          </w:p>
        </w:tc>
        <w:tc>
          <w:tcPr>
            <w:tcW w:w="1418" w:type="dxa"/>
            <w:tcBorders>
              <w:top w:val="nil"/>
              <w:left w:val="single" w:sz="4" w:space="0" w:color="auto"/>
              <w:bottom w:val="nil"/>
              <w:right w:val="single" w:sz="4" w:space="0" w:color="auto"/>
            </w:tcBorders>
            <w:vAlign w:val="center"/>
          </w:tcPr>
          <w:p w14:paraId="0BCD3479"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112</w:t>
            </w:r>
          </w:p>
        </w:tc>
      </w:tr>
      <w:tr w:rsidR="001576B3" w:rsidRPr="00612E35" w14:paraId="62852CAF" w14:textId="77777777" w:rsidTr="002652BF">
        <w:trPr>
          <w:jc w:val="center"/>
        </w:trPr>
        <w:tc>
          <w:tcPr>
            <w:tcW w:w="5807" w:type="dxa"/>
            <w:tcBorders>
              <w:top w:val="nil"/>
              <w:left w:val="single" w:sz="4" w:space="0" w:color="auto"/>
              <w:bottom w:val="nil"/>
              <w:right w:val="single" w:sz="4" w:space="0" w:color="auto"/>
            </w:tcBorders>
            <w:vAlign w:val="center"/>
          </w:tcPr>
          <w:p w14:paraId="181A6CE1"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 xml:space="preserve">Querétaro </w:t>
            </w:r>
          </w:p>
        </w:tc>
        <w:tc>
          <w:tcPr>
            <w:tcW w:w="1418" w:type="dxa"/>
            <w:tcBorders>
              <w:top w:val="nil"/>
              <w:left w:val="single" w:sz="4" w:space="0" w:color="auto"/>
              <w:bottom w:val="nil"/>
              <w:right w:val="single" w:sz="4" w:space="0" w:color="auto"/>
            </w:tcBorders>
            <w:vAlign w:val="center"/>
          </w:tcPr>
          <w:p w14:paraId="48CFAF4E"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108</w:t>
            </w:r>
          </w:p>
        </w:tc>
      </w:tr>
      <w:tr w:rsidR="001576B3" w:rsidRPr="00612E35" w14:paraId="145DCF74" w14:textId="77777777" w:rsidTr="002652BF">
        <w:trPr>
          <w:jc w:val="center"/>
        </w:trPr>
        <w:tc>
          <w:tcPr>
            <w:tcW w:w="5807" w:type="dxa"/>
            <w:tcBorders>
              <w:top w:val="nil"/>
              <w:left w:val="single" w:sz="4" w:space="0" w:color="auto"/>
              <w:bottom w:val="nil"/>
              <w:right w:val="single" w:sz="4" w:space="0" w:color="auto"/>
            </w:tcBorders>
            <w:vAlign w:val="center"/>
          </w:tcPr>
          <w:p w14:paraId="2A101E40"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Quintana Roo</w:t>
            </w:r>
          </w:p>
        </w:tc>
        <w:tc>
          <w:tcPr>
            <w:tcW w:w="1418" w:type="dxa"/>
            <w:tcBorders>
              <w:top w:val="nil"/>
              <w:left w:val="single" w:sz="4" w:space="0" w:color="auto"/>
              <w:bottom w:val="nil"/>
              <w:right w:val="single" w:sz="4" w:space="0" w:color="auto"/>
            </w:tcBorders>
            <w:vAlign w:val="center"/>
          </w:tcPr>
          <w:p w14:paraId="47654D93"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79</w:t>
            </w:r>
          </w:p>
        </w:tc>
      </w:tr>
      <w:tr w:rsidR="001576B3" w:rsidRPr="00612E35" w14:paraId="7CAFD1AF" w14:textId="77777777" w:rsidTr="002652BF">
        <w:trPr>
          <w:jc w:val="center"/>
        </w:trPr>
        <w:tc>
          <w:tcPr>
            <w:tcW w:w="5807" w:type="dxa"/>
            <w:tcBorders>
              <w:top w:val="nil"/>
              <w:left w:val="single" w:sz="4" w:space="0" w:color="auto"/>
              <w:bottom w:val="nil"/>
              <w:right w:val="single" w:sz="4" w:space="0" w:color="auto"/>
            </w:tcBorders>
            <w:vAlign w:val="center"/>
          </w:tcPr>
          <w:p w14:paraId="6DEC60D1"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San Luis Potosí</w:t>
            </w:r>
          </w:p>
        </w:tc>
        <w:tc>
          <w:tcPr>
            <w:tcW w:w="1418" w:type="dxa"/>
            <w:tcBorders>
              <w:top w:val="nil"/>
              <w:left w:val="single" w:sz="4" w:space="0" w:color="auto"/>
              <w:bottom w:val="nil"/>
              <w:right w:val="single" w:sz="4" w:space="0" w:color="auto"/>
            </w:tcBorders>
            <w:vAlign w:val="center"/>
          </w:tcPr>
          <w:p w14:paraId="204B1D4D"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105</w:t>
            </w:r>
          </w:p>
        </w:tc>
      </w:tr>
      <w:tr w:rsidR="001576B3" w:rsidRPr="00612E35" w14:paraId="7C25F242" w14:textId="77777777" w:rsidTr="002652BF">
        <w:trPr>
          <w:jc w:val="center"/>
        </w:trPr>
        <w:tc>
          <w:tcPr>
            <w:tcW w:w="5807" w:type="dxa"/>
            <w:tcBorders>
              <w:top w:val="nil"/>
              <w:left w:val="single" w:sz="4" w:space="0" w:color="auto"/>
              <w:bottom w:val="nil"/>
              <w:right w:val="single" w:sz="4" w:space="0" w:color="auto"/>
            </w:tcBorders>
            <w:vAlign w:val="center"/>
          </w:tcPr>
          <w:p w14:paraId="000C280E"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Sinaloa</w:t>
            </w:r>
          </w:p>
        </w:tc>
        <w:tc>
          <w:tcPr>
            <w:tcW w:w="1418" w:type="dxa"/>
            <w:tcBorders>
              <w:top w:val="nil"/>
              <w:left w:val="single" w:sz="4" w:space="0" w:color="auto"/>
              <w:bottom w:val="nil"/>
              <w:right w:val="single" w:sz="4" w:space="0" w:color="auto"/>
            </w:tcBorders>
            <w:vAlign w:val="center"/>
          </w:tcPr>
          <w:p w14:paraId="6D694FC4"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105</w:t>
            </w:r>
          </w:p>
        </w:tc>
      </w:tr>
      <w:tr w:rsidR="001576B3" w:rsidRPr="00612E35" w14:paraId="48C16C66" w14:textId="77777777" w:rsidTr="002652BF">
        <w:trPr>
          <w:jc w:val="center"/>
        </w:trPr>
        <w:tc>
          <w:tcPr>
            <w:tcW w:w="5807" w:type="dxa"/>
            <w:tcBorders>
              <w:top w:val="nil"/>
              <w:left w:val="single" w:sz="4" w:space="0" w:color="auto"/>
              <w:bottom w:val="nil"/>
              <w:right w:val="single" w:sz="4" w:space="0" w:color="auto"/>
            </w:tcBorders>
            <w:vAlign w:val="center"/>
          </w:tcPr>
          <w:p w14:paraId="56CBD6B8"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Sonora</w:t>
            </w:r>
          </w:p>
        </w:tc>
        <w:tc>
          <w:tcPr>
            <w:tcW w:w="1418" w:type="dxa"/>
            <w:tcBorders>
              <w:top w:val="nil"/>
              <w:left w:val="single" w:sz="4" w:space="0" w:color="auto"/>
              <w:bottom w:val="nil"/>
              <w:right w:val="single" w:sz="4" w:space="0" w:color="auto"/>
            </w:tcBorders>
            <w:vAlign w:val="center"/>
          </w:tcPr>
          <w:p w14:paraId="64F93DB6"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131</w:t>
            </w:r>
          </w:p>
        </w:tc>
      </w:tr>
      <w:tr w:rsidR="001576B3" w:rsidRPr="00612E35" w14:paraId="78E2404A" w14:textId="77777777" w:rsidTr="002652BF">
        <w:trPr>
          <w:jc w:val="center"/>
        </w:trPr>
        <w:tc>
          <w:tcPr>
            <w:tcW w:w="5807" w:type="dxa"/>
            <w:tcBorders>
              <w:top w:val="nil"/>
              <w:left w:val="single" w:sz="4" w:space="0" w:color="auto"/>
              <w:bottom w:val="nil"/>
              <w:right w:val="single" w:sz="4" w:space="0" w:color="auto"/>
            </w:tcBorders>
            <w:vAlign w:val="center"/>
          </w:tcPr>
          <w:p w14:paraId="3F685381"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Tabasco</w:t>
            </w:r>
          </w:p>
        </w:tc>
        <w:tc>
          <w:tcPr>
            <w:tcW w:w="1418" w:type="dxa"/>
            <w:tcBorders>
              <w:top w:val="nil"/>
              <w:left w:val="single" w:sz="4" w:space="0" w:color="auto"/>
              <w:bottom w:val="nil"/>
              <w:right w:val="single" w:sz="4" w:space="0" w:color="auto"/>
            </w:tcBorders>
            <w:vAlign w:val="center"/>
          </w:tcPr>
          <w:p w14:paraId="20585C86"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99</w:t>
            </w:r>
          </w:p>
        </w:tc>
      </w:tr>
      <w:tr w:rsidR="001576B3" w:rsidRPr="00612E35" w14:paraId="5E9A413A" w14:textId="77777777" w:rsidTr="002652BF">
        <w:trPr>
          <w:jc w:val="center"/>
        </w:trPr>
        <w:tc>
          <w:tcPr>
            <w:tcW w:w="5807" w:type="dxa"/>
            <w:tcBorders>
              <w:top w:val="nil"/>
              <w:left w:val="single" w:sz="4" w:space="0" w:color="auto"/>
              <w:bottom w:val="nil"/>
              <w:right w:val="single" w:sz="4" w:space="0" w:color="auto"/>
            </w:tcBorders>
            <w:vAlign w:val="center"/>
          </w:tcPr>
          <w:p w14:paraId="1AC95F41"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Tamaulipas</w:t>
            </w:r>
          </w:p>
        </w:tc>
        <w:tc>
          <w:tcPr>
            <w:tcW w:w="1418" w:type="dxa"/>
            <w:tcBorders>
              <w:top w:val="nil"/>
              <w:left w:val="single" w:sz="4" w:space="0" w:color="auto"/>
              <w:bottom w:val="nil"/>
              <w:right w:val="single" w:sz="4" w:space="0" w:color="auto"/>
            </w:tcBorders>
            <w:vAlign w:val="center"/>
          </w:tcPr>
          <w:p w14:paraId="3A580A91"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121</w:t>
            </w:r>
          </w:p>
        </w:tc>
      </w:tr>
      <w:tr w:rsidR="001576B3" w:rsidRPr="00612E35" w14:paraId="2034392D" w14:textId="77777777" w:rsidTr="002652BF">
        <w:trPr>
          <w:jc w:val="center"/>
        </w:trPr>
        <w:tc>
          <w:tcPr>
            <w:tcW w:w="5807" w:type="dxa"/>
            <w:tcBorders>
              <w:top w:val="nil"/>
              <w:left w:val="single" w:sz="4" w:space="0" w:color="auto"/>
              <w:bottom w:val="nil"/>
              <w:right w:val="single" w:sz="4" w:space="0" w:color="auto"/>
            </w:tcBorders>
            <w:vAlign w:val="center"/>
          </w:tcPr>
          <w:p w14:paraId="5EC54521"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Tlaxcala</w:t>
            </w:r>
          </w:p>
        </w:tc>
        <w:tc>
          <w:tcPr>
            <w:tcW w:w="1418" w:type="dxa"/>
            <w:tcBorders>
              <w:top w:val="nil"/>
              <w:left w:val="single" w:sz="4" w:space="0" w:color="auto"/>
              <w:bottom w:val="nil"/>
              <w:right w:val="single" w:sz="4" w:space="0" w:color="auto"/>
            </w:tcBorders>
            <w:vAlign w:val="center"/>
          </w:tcPr>
          <w:p w14:paraId="50F9F4E1"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53</w:t>
            </w:r>
          </w:p>
        </w:tc>
      </w:tr>
      <w:tr w:rsidR="001576B3" w:rsidRPr="00612E35" w14:paraId="7858F138" w14:textId="77777777" w:rsidTr="002652BF">
        <w:trPr>
          <w:jc w:val="center"/>
        </w:trPr>
        <w:tc>
          <w:tcPr>
            <w:tcW w:w="5807" w:type="dxa"/>
            <w:tcBorders>
              <w:top w:val="nil"/>
              <w:left w:val="single" w:sz="4" w:space="0" w:color="auto"/>
              <w:bottom w:val="nil"/>
              <w:right w:val="single" w:sz="4" w:space="0" w:color="auto"/>
            </w:tcBorders>
            <w:vAlign w:val="center"/>
          </w:tcPr>
          <w:p w14:paraId="0E823A3C"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Veracruz de Ignacio de la Llave</w:t>
            </w:r>
          </w:p>
        </w:tc>
        <w:tc>
          <w:tcPr>
            <w:tcW w:w="1418" w:type="dxa"/>
            <w:tcBorders>
              <w:top w:val="nil"/>
              <w:left w:val="single" w:sz="4" w:space="0" w:color="auto"/>
              <w:bottom w:val="nil"/>
              <w:right w:val="single" w:sz="4" w:space="0" w:color="auto"/>
            </w:tcBorders>
            <w:vAlign w:val="center"/>
          </w:tcPr>
          <w:p w14:paraId="3500BCD4"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132</w:t>
            </w:r>
          </w:p>
        </w:tc>
      </w:tr>
      <w:tr w:rsidR="001576B3" w:rsidRPr="00612E35" w14:paraId="163F6AFC" w14:textId="77777777" w:rsidTr="002652BF">
        <w:trPr>
          <w:jc w:val="center"/>
        </w:trPr>
        <w:tc>
          <w:tcPr>
            <w:tcW w:w="5807" w:type="dxa"/>
            <w:tcBorders>
              <w:top w:val="nil"/>
              <w:left w:val="single" w:sz="4" w:space="0" w:color="auto"/>
              <w:bottom w:val="nil"/>
              <w:right w:val="single" w:sz="4" w:space="0" w:color="auto"/>
            </w:tcBorders>
            <w:vAlign w:val="center"/>
          </w:tcPr>
          <w:p w14:paraId="072AFA3E"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Yucatán</w:t>
            </w:r>
          </w:p>
        </w:tc>
        <w:tc>
          <w:tcPr>
            <w:tcW w:w="1418" w:type="dxa"/>
            <w:tcBorders>
              <w:top w:val="nil"/>
              <w:left w:val="single" w:sz="4" w:space="0" w:color="auto"/>
              <w:bottom w:val="nil"/>
              <w:right w:val="single" w:sz="4" w:space="0" w:color="auto"/>
            </w:tcBorders>
            <w:vAlign w:val="center"/>
          </w:tcPr>
          <w:p w14:paraId="16CECA9B"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100</w:t>
            </w:r>
          </w:p>
        </w:tc>
      </w:tr>
      <w:tr w:rsidR="001576B3" w:rsidRPr="00612E35" w14:paraId="179F8C22" w14:textId="77777777" w:rsidTr="002652BF">
        <w:trPr>
          <w:jc w:val="center"/>
        </w:trPr>
        <w:tc>
          <w:tcPr>
            <w:tcW w:w="5807" w:type="dxa"/>
            <w:tcBorders>
              <w:top w:val="nil"/>
              <w:left w:val="single" w:sz="4" w:space="0" w:color="auto"/>
              <w:bottom w:val="single" w:sz="4" w:space="0" w:color="auto"/>
              <w:right w:val="single" w:sz="4" w:space="0" w:color="auto"/>
            </w:tcBorders>
            <w:vAlign w:val="center"/>
          </w:tcPr>
          <w:p w14:paraId="19F814C0" w14:textId="77777777" w:rsidR="001576B3" w:rsidRPr="002E75D6" w:rsidRDefault="001576B3" w:rsidP="00E742D9">
            <w:pPr>
              <w:widowControl w:val="0"/>
              <w:autoSpaceDE w:val="0"/>
              <w:autoSpaceDN w:val="0"/>
              <w:adjustRightInd w:val="0"/>
              <w:ind w:firstLine="25"/>
              <w:jc w:val="both"/>
              <w:rPr>
                <w:rFonts w:ascii="Arial" w:hAnsi="Arial" w:cs="Arial"/>
                <w:color w:val="000000"/>
                <w:sz w:val="20"/>
                <w:szCs w:val="20"/>
                <w:lang w:val="es-ES"/>
              </w:rPr>
            </w:pPr>
            <w:r w:rsidRPr="002E75D6">
              <w:rPr>
                <w:rFonts w:ascii="Arial" w:hAnsi="Arial" w:cs="Arial"/>
                <w:color w:val="000000"/>
                <w:sz w:val="20"/>
                <w:szCs w:val="20"/>
                <w:lang w:val="es-ES"/>
              </w:rPr>
              <w:t>Zacatecas</w:t>
            </w:r>
          </w:p>
        </w:tc>
        <w:tc>
          <w:tcPr>
            <w:tcW w:w="1418" w:type="dxa"/>
            <w:tcBorders>
              <w:top w:val="nil"/>
              <w:left w:val="single" w:sz="4" w:space="0" w:color="auto"/>
              <w:bottom w:val="single" w:sz="4" w:space="0" w:color="auto"/>
              <w:right w:val="single" w:sz="4" w:space="0" w:color="auto"/>
            </w:tcBorders>
            <w:vAlign w:val="center"/>
          </w:tcPr>
          <w:p w14:paraId="5D40BD00" w14:textId="77777777" w:rsidR="001576B3" w:rsidRPr="002E75D6" w:rsidRDefault="001576B3" w:rsidP="002652BF">
            <w:pPr>
              <w:widowControl w:val="0"/>
              <w:autoSpaceDE w:val="0"/>
              <w:autoSpaceDN w:val="0"/>
              <w:adjustRightInd w:val="0"/>
              <w:jc w:val="right"/>
              <w:rPr>
                <w:rFonts w:ascii="Arial" w:hAnsi="Arial" w:cs="Arial"/>
                <w:sz w:val="20"/>
                <w:szCs w:val="20"/>
              </w:rPr>
            </w:pPr>
            <w:r w:rsidRPr="002E75D6">
              <w:rPr>
                <w:rFonts w:ascii="Arial" w:hAnsi="Arial" w:cs="Arial"/>
                <w:color w:val="000000"/>
                <w:sz w:val="20"/>
                <w:szCs w:val="20"/>
              </w:rPr>
              <w:t>81</w:t>
            </w:r>
          </w:p>
        </w:tc>
      </w:tr>
    </w:tbl>
    <w:p w14:paraId="5ECFB3BD" w14:textId="77777777" w:rsidR="00BA741A" w:rsidRDefault="00BA741A" w:rsidP="00BA741A">
      <w:pPr>
        <w:pStyle w:val="Pa29"/>
        <w:spacing w:line="240" w:lineRule="auto"/>
        <w:jc w:val="both"/>
        <w:rPr>
          <w:rStyle w:val="A1"/>
          <w:sz w:val="22"/>
          <w:lang w:val="es-MX"/>
        </w:rPr>
      </w:pPr>
    </w:p>
    <w:p w14:paraId="612F4D1F" w14:textId="77777777" w:rsidR="00BA741A" w:rsidRPr="00BA741A" w:rsidRDefault="00BA741A" w:rsidP="00BA741A">
      <w:pPr>
        <w:pStyle w:val="Pa29"/>
        <w:spacing w:line="240" w:lineRule="auto"/>
        <w:jc w:val="both"/>
        <w:rPr>
          <w:rStyle w:val="A1"/>
          <w:sz w:val="22"/>
          <w:szCs w:val="22"/>
          <w:lang w:val="es-MX"/>
        </w:rPr>
      </w:pPr>
      <w:r w:rsidRPr="00BA741A">
        <w:rPr>
          <w:rStyle w:val="A1"/>
          <w:sz w:val="22"/>
          <w:szCs w:val="22"/>
          <w:lang w:val="es-MX"/>
        </w:rPr>
        <w:t>Se utilizan dos modalidades para la captación de la información: Cuestionario impreso (en papel) y cuestionario electrónico en el Sitio del INEGI en Internet.</w:t>
      </w:r>
    </w:p>
    <w:p w14:paraId="6EAE9AF1" w14:textId="77777777" w:rsidR="00BA741A" w:rsidRPr="00BA741A" w:rsidRDefault="00BA741A" w:rsidP="00BA741A">
      <w:pPr>
        <w:pStyle w:val="Pa10"/>
        <w:spacing w:line="240" w:lineRule="auto"/>
        <w:jc w:val="both"/>
        <w:rPr>
          <w:rStyle w:val="A1"/>
          <w:sz w:val="22"/>
          <w:szCs w:val="22"/>
          <w:lang w:val="es-MX"/>
        </w:rPr>
      </w:pPr>
    </w:p>
    <w:p w14:paraId="3B7AF2FB" w14:textId="77777777" w:rsidR="00BA741A" w:rsidRPr="00861B99" w:rsidRDefault="00BA741A" w:rsidP="00861B99">
      <w:pPr>
        <w:pStyle w:val="Pa10"/>
        <w:spacing w:line="240" w:lineRule="auto"/>
        <w:jc w:val="both"/>
        <w:rPr>
          <w:color w:val="000000"/>
          <w:sz w:val="22"/>
          <w:szCs w:val="22"/>
          <w:lang w:val="es-MX"/>
        </w:rPr>
      </w:pPr>
      <w:r w:rsidRPr="00BA741A">
        <w:rPr>
          <w:rStyle w:val="A1"/>
          <w:sz w:val="22"/>
          <w:szCs w:val="22"/>
          <w:lang w:val="es-MX"/>
        </w:rPr>
        <w:t xml:space="preserve">Los resultados se difunden a los 12 meses de concluido el año de referencia de la información. </w:t>
      </w:r>
      <w:r w:rsidRPr="00BA741A">
        <w:rPr>
          <w:color w:val="000000"/>
          <w:sz w:val="22"/>
          <w:szCs w:val="22"/>
          <w:lang w:val="es-MX"/>
        </w:rPr>
        <w:t>La fecha de difusión de dicha encuesta se encuentra establecida en el Calendario de difusión de información estadística y geográfica y de Interés Nacional del INEGI, publicado en el Sitio del INEGI en Internet en la siguiente liga electrónica:</w:t>
      </w:r>
    </w:p>
    <w:p w14:paraId="76C86285" w14:textId="77777777" w:rsidR="00BA741A" w:rsidRPr="00A341C6" w:rsidRDefault="00D243EB" w:rsidP="00BA741A">
      <w:pPr>
        <w:autoSpaceDE w:val="0"/>
        <w:autoSpaceDN w:val="0"/>
        <w:adjustRightInd w:val="0"/>
        <w:spacing w:after="0" w:line="240" w:lineRule="auto"/>
        <w:jc w:val="both"/>
        <w:rPr>
          <w:rStyle w:val="Hipervnculo"/>
          <w:rFonts w:ascii="Arial" w:hAnsi="Arial" w:cs="Arial"/>
        </w:rPr>
      </w:pPr>
      <w:hyperlink r:id="rId36" w:history="1">
        <w:r w:rsidR="00BA741A" w:rsidRPr="00A341C6">
          <w:rPr>
            <w:rStyle w:val="Hipervnculo"/>
            <w:rFonts w:ascii="Arial" w:hAnsi="Arial" w:cs="Arial"/>
          </w:rPr>
          <w:t>https://www.inegi.org.mx/app/saladeprensa/calendario/default.html</w:t>
        </w:r>
      </w:hyperlink>
    </w:p>
    <w:p w14:paraId="00787245" w14:textId="77777777" w:rsidR="001576B3" w:rsidRDefault="001576B3" w:rsidP="001576B3">
      <w:pPr>
        <w:widowControl w:val="0"/>
        <w:autoSpaceDE w:val="0"/>
        <w:autoSpaceDN w:val="0"/>
        <w:adjustRightInd w:val="0"/>
        <w:spacing w:after="0" w:line="240" w:lineRule="auto"/>
        <w:jc w:val="both"/>
        <w:rPr>
          <w:rFonts w:ascii="Arial" w:eastAsiaTheme="minorEastAsia" w:hAnsi="Arial" w:cs="Arial"/>
          <w:lang w:eastAsia="es-MX"/>
        </w:rPr>
      </w:pPr>
    </w:p>
    <w:p w14:paraId="27C46E8D" w14:textId="77777777" w:rsidR="001576B3" w:rsidRDefault="001576B3" w:rsidP="001576B3">
      <w:pPr>
        <w:widowControl w:val="0"/>
        <w:autoSpaceDE w:val="0"/>
        <w:autoSpaceDN w:val="0"/>
        <w:adjustRightInd w:val="0"/>
        <w:spacing w:after="0" w:line="240" w:lineRule="auto"/>
        <w:jc w:val="both"/>
        <w:rPr>
          <w:rFonts w:ascii="Arial" w:eastAsiaTheme="minorEastAsia" w:hAnsi="Arial" w:cs="Arial"/>
          <w:lang w:eastAsia="es-MX"/>
        </w:rPr>
      </w:pPr>
      <w:r w:rsidRPr="00711D3B">
        <w:rPr>
          <w:rFonts w:ascii="Arial" w:eastAsiaTheme="minorEastAsia" w:hAnsi="Arial" w:cs="Arial"/>
          <w:lang w:eastAsia="es-MX"/>
        </w:rPr>
        <w:t xml:space="preserve">Con el objetivo de brindar mayores elementos que permitan determinar la precisión de los datos generados por la EAEC, el INEGI publica en su página </w:t>
      </w:r>
      <w:r>
        <w:rPr>
          <w:rFonts w:ascii="Arial" w:eastAsiaTheme="minorEastAsia" w:hAnsi="Arial" w:cs="Arial"/>
          <w:lang w:eastAsia="es-MX"/>
        </w:rPr>
        <w:t>los i</w:t>
      </w:r>
      <w:r w:rsidRPr="00711D3B">
        <w:rPr>
          <w:rFonts w:ascii="Arial" w:eastAsiaTheme="minorEastAsia" w:hAnsi="Arial" w:cs="Arial"/>
          <w:lang w:eastAsia="es-MX"/>
        </w:rPr>
        <w:t xml:space="preserve">ndicadores de </w:t>
      </w:r>
      <w:r>
        <w:rPr>
          <w:rFonts w:ascii="Arial" w:eastAsiaTheme="minorEastAsia" w:hAnsi="Arial" w:cs="Arial"/>
          <w:lang w:eastAsia="es-MX"/>
        </w:rPr>
        <w:t>precisión e</w:t>
      </w:r>
      <w:r w:rsidRPr="00711D3B">
        <w:rPr>
          <w:rFonts w:ascii="Arial" w:eastAsiaTheme="minorEastAsia" w:hAnsi="Arial" w:cs="Arial"/>
          <w:lang w:eastAsia="es-MX"/>
        </w:rPr>
        <w:t xml:space="preserve">stadística del valor de producción y personal ocupado por sector, subsector y entidad federativa, los cuales son una medida relativa de su exactitud. </w:t>
      </w:r>
    </w:p>
    <w:p w14:paraId="35D1D484" w14:textId="77777777" w:rsidR="00F00864" w:rsidRDefault="00F00864" w:rsidP="001576B3">
      <w:pPr>
        <w:widowControl w:val="0"/>
        <w:autoSpaceDE w:val="0"/>
        <w:autoSpaceDN w:val="0"/>
        <w:adjustRightInd w:val="0"/>
        <w:spacing w:after="0" w:line="240" w:lineRule="auto"/>
        <w:jc w:val="both"/>
        <w:rPr>
          <w:rFonts w:ascii="Arial" w:eastAsiaTheme="minorEastAsia" w:hAnsi="Arial" w:cs="Arial"/>
          <w:color w:val="0562C1"/>
          <w:lang w:eastAsia="es-MX"/>
        </w:rPr>
      </w:pPr>
    </w:p>
    <w:p w14:paraId="4DD2A142" w14:textId="77777777" w:rsidR="007456DC" w:rsidRPr="00861B99" w:rsidRDefault="001576B3" w:rsidP="00861B99">
      <w:pPr>
        <w:widowControl w:val="0"/>
        <w:autoSpaceDE w:val="0"/>
        <w:autoSpaceDN w:val="0"/>
        <w:adjustRightInd w:val="0"/>
        <w:spacing w:after="0" w:line="240" w:lineRule="auto"/>
        <w:jc w:val="both"/>
        <w:rPr>
          <w:rFonts w:ascii="Arial" w:eastAsiaTheme="minorEastAsia" w:hAnsi="Arial" w:cs="Arial"/>
          <w:color w:val="0562C1"/>
          <w:lang w:eastAsia="es-MX"/>
        </w:rPr>
      </w:pPr>
      <w:r w:rsidRPr="00711D3B">
        <w:rPr>
          <w:rFonts w:ascii="Arial" w:eastAsiaTheme="minorEastAsia" w:hAnsi="Arial" w:cs="Arial"/>
          <w:color w:val="000000"/>
          <w:lang w:eastAsia="es-MX"/>
        </w:rPr>
        <w:t xml:space="preserve">Todos los resultados pueden ser consultados en la página del INEGI en Internet en la siguiente liga: Programa: </w:t>
      </w:r>
      <w:hyperlink r:id="rId37" w:history="1">
        <w:r w:rsidRPr="00711D3B">
          <w:rPr>
            <w:rFonts w:ascii="Arial" w:eastAsiaTheme="minorEastAsia" w:hAnsi="Arial" w:cs="Arial"/>
            <w:color w:val="0562C1"/>
            <w:lang w:eastAsia="es-MX"/>
          </w:rPr>
          <w:t>https://www.inegi.org.mx/programas/eaec/</w:t>
        </w:r>
      </w:hyperlink>
      <w:r w:rsidRPr="00711D3B">
        <w:rPr>
          <w:rFonts w:ascii="Arial" w:eastAsiaTheme="minorEastAsia" w:hAnsi="Arial" w:cs="Arial"/>
          <w:color w:val="0562C1"/>
          <w:lang w:eastAsia="es-MX"/>
        </w:rPr>
        <w:t xml:space="preserve">2013/ </w:t>
      </w:r>
    </w:p>
    <w:sectPr w:rsidR="007456DC" w:rsidRPr="00861B99" w:rsidSect="009F1076">
      <w:headerReference w:type="default" r:id="rId38"/>
      <w:footerReference w:type="default" r:id="rId39"/>
      <w:type w:val="continuous"/>
      <w:pgSz w:w="12240" w:h="15840"/>
      <w:pgMar w:top="1702" w:right="1701" w:bottom="1134" w:left="1701" w:header="426"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DAE34" w14:textId="77777777" w:rsidR="00D243EB" w:rsidRDefault="00D243EB" w:rsidP="00F47EF4">
      <w:pPr>
        <w:spacing w:after="0" w:line="240" w:lineRule="auto"/>
      </w:pPr>
      <w:r>
        <w:separator/>
      </w:r>
    </w:p>
  </w:endnote>
  <w:endnote w:type="continuationSeparator" w:id="0">
    <w:p w14:paraId="7812A945" w14:textId="77777777" w:rsidR="00D243EB" w:rsidRDefault="00D243EB" w:rsidP="00F4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577836"/>
      <w:docPartObj>
        <w:docPartGallery w:val="Page Numbers (Bottom of Page)"/>
        <w:docPartUnique/>
      </w:docPartObj>
    </w:sdtPr>
    <w:sdtEndPr>
      <w:rPr>
        <w:b/>
        <w:color w:val="002060"/>
        <w:sz w:val="20"/>
        <w:szCs w:val="20"/>
      </w:rPr>
    </w:sdtEndPr>
    <w:sdtContent>
      <w:p w14:paraId="6E49DA02" w14:textId="77777777" w:rsidR="005F76D1" w:rsidRPr="00787C13" w:rsidRDefault="005F76D1" w:rsidP="00787C13">
        <w:pPr>
          <w:pStyle w:val="Piedepgina"/>
          <w:ind w:left="-426" w:right="-233"/>
          <w:jc w:val="center"/>
          <w:rPr>
            <w:b/>
            <w:color w:val="002060"/>
            <w:sz w:val="20"/>
            <w:szCs w:val="20"/>
          </w:rPr>
        </w:pPr>
        <w:r w:rsidRPr="00787C13">
          <w:rPr>
            <w:b/>
            <w:color w:val="002060"/>
            <w:sz w:val="20"/>
            <w:szCs w:val="20"/>
          </w:rPr>
          <w:t>COMUNICACIÓN SOCIAL</w:t>
        </w:r>
      </w:p>
    </w:sdtContent>
  </w:sdt>
  <w:p w14:paraId="223D5EB6" w14:textId="77777777" w:rsidR="005F76D1" w:rsidRDefault="005F76D1" w:rsidP="003076C4">
    <w:pPr>
      <w:pStyle w:val="Piedepgina"/>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4925417"/>
      <w:docPartObj>
        <w:docPartGallery w:val="Page Numbers (Bottom of Page)"/>
        <w:docPartUnique/>
      </w:docPartObj>
    </w:sdtPr>
    <w:sdtEndPr>
      <w:rPr>
        <w:rFonts w:ascii="Arial" w:hAnsi="Arial" w:cs="Arial"/>
        <w:b/>
        <w:color w:val="002060"/>
        <w:sz w:val="20"/>
        <w:szCs w:val="20"/>
      </w:rPr>
    </w:sdtEndPr>
    <w:sdtContent>
      <w:p w14:paraId="587D4089" w14:textId="77777777" w:rsidR="009C017E" w:rsidRPr="00C63DD9" w:rsidRDefault="00C63DD9" w:rsidP="00C63DD9">
        <w:pPr>
          <w:pStyle w:val="Piedepgina"/>
          <w:tabs>
            <w:tab w:val="clear" w:pos="4419"/>
            <w:tab w:val="clear" w:pos="8838"/>
          </w:tabs>
          <w:ind w:left="-567" w:right="-518"/>
          <w:jc w:val="center"/>
          <w:rPr>
            <w:rFonts w:ascii="Arial" w:hAnsi="Arial" w:cs="Arial"/>
            <w:b/>
            <w:color w:val="002060"/>
            <w:sz w:val="20"/>
            <w:szCs w:val="20"/>
          </w:rPr>
        </w:pPr>
        <w:r w:rsidRPr="00C63DD9">
          <w:rPr>
            <w:rFonts w:ascii="Arial" w:hAnsi="Arial" w:cs="Arial"/>
            <w:b/>
            <w:color w:val="002060"/>
            <w:sz w:val="20"/>
            <w:szCs w:val="20"/>
          </w:rPr>
          <w:t>COMUNICACIÓN SOCIAL</w:t>
        </w:r>
      </w:p>
    </w:sdtContent>
  </w:sdt>
  <w:p w14:paraId="5821B4F0" w14:textId="77777777" w:rsidR="009C017E" w:rsidRDefault="009C01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26A2C" w14:textId="77777777" w:rsidR="00D243EB" w:rsidRDefault="00D243EB" w:rsidP="00F47EF4">
      <w:pPr>
        <w:spacing w:after="0" w:line="240" w:lineRule="auto"/>
      </w:pPr>
      <w:r>
        <w:separator/>
      </w:r>
    </w:p>
  </w:footnote>
  <w:footnote w:type="continuationSeparator" w:id="0">
    <w:p w14:paraId="63D0FCC1" w14:textId="77777777" w:rsidR="00D243EB" w:rsidRDefault="00D243EB" w:rsidP="00F47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DBE0" w14:textId="77777777" w:rsidR="005F76D1" w:rsidRPr="009F1076" w:rsidRDefault="005F76D1" w:rsidP="0053064C">
    <w:pPr>
      <w:pStyle w:val="Encabezado"/>
      <w:framePr w:w="5398" w:hSpace="141" w:wrap="auto" w:vAnchor="text" w:hAnchor="page" w:x="5695" w:y="31"/>
      <w:ind w:left="567" w:hanging="11"/>
      <w:jc w:val="right"/>
      <w:rPr>
        <w:rFonts w:ascii="Arial" w:hAnsi="Arial" w:cs="Arial"/>
        <w:b/>
        <w:color w:val="002060"/>
        <w:sz w:val="24"/>
        <w:szCs w:val="24"/>
      </w:rPr>
    </w:pPr>
    <w:r w:rsidRPr="009F1076">
      <w:rPr>
        <w:rFonts w:ascii="Arial" w:hAnsi="Arial" w:cs="Arial"/>
        <w:b/>
        <w:color w:val="002060"/>
        <w:sz w:val="24"/>
        <w:szCs w:val="24"/>
      </w:rPr>
      <w:t>COMUNICADO DE PRENSA NÚM. 76</w:t>
    </w:r>
    <w:r w:rsidR="009F1076">
      <w:rPr>
        <w:rFonts w:ascii="Arial" w:hAnsi="Arial" w:cs="Arial"/>
        <w:b/>
        <w:color w:val="002060"/>
        <w:sz w:val="24"/>
        <w:szCs w:val="24"/>
      </w:rPr>
      <w:t>9</w:t>
    </w:r>
    <w:r w:rsidRPr="009F1076">
      <w:rPr>
        <w:rFonts w:ascii="Arial" w:hAnsi="Arial" w:cs="Arial"/>
        <w:b/>
        <w:color w:val="002060"/>
        <w:sz w:val="24"/>
        <w:szCs w:val="24"/>
      </w:rPr>
      <w:t>/21</w:t>
    </w:r>
  </w:p>
  <w:p w14:paraId="3807E3F6" w14:textId="77777777" w:rsidR="005F76D1" w:rsidRPr="009F1076" w:rsidRDefault="005F76D1" w:rsidP="0053064C">
    <w:pPr>
      <w:pStyle w:val="Encabezado"/>
      <w:framePr w:w="5398" w:hSpace="141" w:wrap="auto" w:vAnchor="text" w:hAnchor="page" w:x="5695" w:y="31"/>
      <w:ind w:left="567" w:hanging="11"/>
      <w:jc w:val="right"/>
      <w:rPr>
        <w:rFonts w:ascii="Arial" w:hAnsi="Arial" w:cs="Arial"/>
        <w:b/>
        <w:color w:val="002060"/>
        <w:sz w:val="24"/>
        <w:szCs w:val="24"/>
        <w:lang w:val="pt-BR"/>
      </w:rPr>
    </w:pPr>
    <w:r w:rsidRPr="009F1076">
      <w:rPr>
        <w:rFonts w:ascii="Arial" w:hAnsi="Arial" w:cs="Arial"/>
        <w:b/>
        <w:color w:val="002060"/>
        <w:sz w:val="24"/>
        <w:szCs w:val="24"/>
        <w:lang w:val="pt-BR"/>
      </w:rPr>
      <w:t>1</w:t>
    </w:r>
    <w:r w:rsidR="009F1076">
      <w:rPr>
        <w:rFonts w:ascii="Arial" w:hAnsi="Arial" w:cs="Arial"/>
        <w:b/>
        <w:color w:val="002060"/>
        <w:sz w:val="24"/>
        <w:szCs w:val="24"/>
        <w:lang w:val="pt-BR"/>
      </w:rPr>
      <w:t>4</w:t>
    </w:r>
    <w:r w:rsidRPr="009F1076">
      <w:rPr>
        <w:rFonts w:ascii="Arial" w:hAnsi="Arial" w:cs="Arial"/>
        <w:b/>
        <w:color w:val="002060"/>
        <w:sz w:val="24"/>
        <w:szCs w:val="24"/>
        <w:lang w:val="pt-BR"/>
      </w:rPr>
      <w:t xml:space="preserve"> DE DICIEMBRE DE 2021</w:t>
    </w:r>
  </w:p>
  <w:p w14:paraId="21C12810" w14:textId="77777777" w:rsidR="005F76D1" w:rsidRPr="009F1076" w:rsidRDefault="005F76D1" w:rsidP="0053064C">
    <w:pPr>
      <w:pStyle w:val="Encabezado"/>
      <w:framePr w:w="5398" w:hSpace="141" w:wrap="auto" w:vAnchor="text" w:hAnchor="page" w:x="5695" w:y="31"/>
      <w:ind w:left="567" w:hanging="11"/>
      <w:jc w:val="right"/>
      <w:rPr>
        <w:rFonts w:ascii="Arial" w:hAnsi="Arial" w:cs="Arial"/>
        <w:b/>
        <w:color w:val="002060"/>
        <w:sz w:val="24"/>
        <w:szCs w:val="24"/>
        <w:lang w:val="pt-BR"/>
      </w:rPr>
    </w:pPr>
    <w:r w:rsidRPr="009F1076">
      <w:rPr>
        <w:rFonts w:ascii="Arial" w:hAnsi="Arial" w:cs="Arial"/>
        <w:b/>
        <w:color w:val="002060"/>
        <w:sz w:val="24"/>
        <w:szCs w:val="24"/>
        <w:lang w:val="pt-BR"/>
      </w:rPr>
      <w:t xml:space="preserve">PÁGINA </w:t>
    </w:r>
    <w:r w:rsidRPr="009F1076">
      <w:rPr>
        <w:rFonts w:ascii="Arial" w:hAnsi="Arial" w:cs="Arial"/>
        <w:b/>
        <w:color w:val="002060"/>
        <w:sz w:val="24"/>
        <w:szCs w:val="24"/>
      </w:rPr>
      <w:fldChar w:fldCharType="begin"/>
    </w:r>
    <w:r w:rsidRPr="009F1076">
      <w:rPr>
        <w:rFonts w:ascii="Arial" w:hAnsi="Arial" w:cs="Arial"/>
        <w:b/>
        <w:color w:val="002060"/>
        <w:sz w:val="24"/>
        <w:szCs w:val="24"/>
        <w:lang w:val="pt-BR"/>
      </w:rPr>
      <w:instrText xml:space="preserve">\PAGE </w:instrText>
    </w:r>
    <w:r w:rsidRPr="009F1076">
      <w:rPr>
        <w:rFonts w:ascii="Arial" w:hAnsi="Arial" w:cs="Arial"/>
        <w:color w:val="002060"/>
        <w:sz w:val="24"/>
        <w:szCs w:val="24"/>
      </w:rPr>
      <w:fldChar w:fldCharType="separate"/>
    </w:r>
    <w:r w:rsidRPr="009F1076">
      <w:rPr>
        <w:rFonts w:ascii="Arial" w:hAnsi="Arial" w:cs="Arial"/>
        <w:color w:val="002060"/>
        <w:sz w:val="24"/>
        <w:szCs w:val="24"/>
      </w:rPr>
      <w:t>1</w:t>
    </w:r>
    <w:r w:rsidRPr="009F1076">
      <w:rPr>
        <w:rFonts w:ascii="Arial" w:hAnsi="Arial" w:cs="Arial"/>
        <w:color w:val="002060"/>
        <w:sz w:val="24"/>
        <w:szCs w:val="24"/>
      </w:rPr>
      <w:fldChar w:fldCharType="end"/>
    </w:r>
    <w:r w:rsidRPr="009F1076">
      <w:rPr>
        <w:rFonts w:ascii="Arial" w:hAnsi="Arial" w:cs="Arial"/>
        <w:b/>
        <w:color w:val="002060"/>
        <w:sz w:val="24"/>
        <w:szCs w:val="24"/>
        <w:lang w:val="pt-BR"/>
      </w:rPr>
      <w:t>/2</w:t>
    </w:r>
  </w:p>
  <w:p w14:paraId="0A2AC389" w14:textId="77777777" w:rsidR="005F76D1" w:rsidRDefault="005F76D1" w:rsidP="00787C13">
    <w:pPr>
      <w:pStyle w:val="Encabezado"/>
      <w:tabs>
        <w:tab w:val="center" w:pos="1713"/>
      </w:tabs>
      <w:ind w:left="-426"/>
    </w:pPr>
    <w:r w:rsidRPr="008309F1">
      <w:rPr>
        <w:noProof/>
      </w:rPr>
      <w:drawing>
        <wp:inline distT="0" distB="0" distL="0" distR="0" wp14:anchorId="2B9417F6" wp14:editId="6B681041">
          <wp:extent cx="742950" cy="769466"/>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1EEA1" w14:textId="77777777" w:rsidR="00C63DD9" w:rsidRDefault="00C63DD9" w:rsidP="009F1076">
    <w:pPr>
      <w:pStyle w:val="Encabezado"/>
      <w:tabs>
        <w:tab w:val="center" w:pos="1713"/>
      </w:tabs>
      <w:ind w:left="-567" w:firstLine="567"/>
      <w:jc w:val="center"/>
    </w:pPr>
    <w:r w:rsidRPr="008309F1">
      <w:rPr>
        <w:noProof/>
      </w:rPr>
      <w:drawing>
        <wp:inline distT="0" distB="0" distL="0" distR="0" wp14:anchorId="1244904B" wp14:editId="6B603854">
          <wp:extent cx="742950" cy="769466"/>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993E65"/>
    <w:multiLevelType w:val="hybridMultilevel"/>
    <w:tmpl w:val="603E24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A35A6"/>
    <w:multiLevelType w:val="hybridMultilevel"/>
    <w:tmpl w:val="7A8AA692"/>
    <w:lvl w:ilvl="0" w:tplc="AB6A7156">
      <w:start w:val="1"/>
      <w:numFmt w:val="upperRoman"/>
      <w:lvlText w:val="%1."/>
      <w:lvlJc w:val="left"/>
      <w:pPr>
        <w:ind w:left="1080" w:hanging="720"/>
      </w:pPr>
      <w:rPr>
        <w:rFonts w:eastAsiaTheme="minorHAns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45225B"/>
    <w:multiLevelType w:val="hybridMultilevel"/>
    <w:tmpl w:val="798A019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9025B0"/>
    <w:multiLevelType w:val="hybridMultilevel"/>
    <w:tmpl w:val="F4A4DCC2"/>
    <w:lvl w:ilvl="0" w:tplc="8E4471F2">
      <w:start w:val="1"/>
      <w:numFmt w:val="upperRoman"/>
      <w:lvlText w:val="%1."/>
      <w:lvlJc w:val="left"/>
      <w:pPr>
        <w:ind w:left="578" w:hanging="720"/>
      </w:pPr>
      <w:rPr>
        <w:rFonts w:eastAsiaTheme="minorHAnsi" w:hint="default"/>
        <w:b/>
        <w:sz w:val="22"/>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4" w15:restartNumberingAfterBreak="0">
    <w:nsid w:val="48A35F74"/>
    <w:multiLevelType w:val="hybridMultilevel"/>
    <w:tmpl w:val="3FF645CE"/>
    <w:lvl w:ilvl="0" w:tplc="080A0001">
      <w:start w:val="1"/>
      <w:numFmt w:val="bullet"/>
      <w:lvlText w:val=""/>
      <w:lvlJc w:val="left"/>
      <w:pPr>
        <w:ind w:left="2707" w:hanging="360"/>
      </w:pPr>
      <w:rPr>
        <w:rFonts w:ascii="Symbol" w:hAnsi="Symbol" w:hint="default"/>
      </w:rPr>
    </w:lvl>
    <w:lvl w:ilvl="1" w:tplc="080A0003" w:tentative="1">
      <w:start w:val="1"/>
      <w:numFmt w:val="bullet"/>
      <w:lvlText w:val="o"/>
      <w:lvlJc w:val="left"/>
      <w:pPr>
        <w:ind w:left="3427" w:hanging="360"/>
      </w:pPr>
      <w:rPr>
        <w:rFonts w:ascii="Courier New" w:hAnsi="Courier New" w:cs="Courier New" w:hint="default"/>
      </w:rPr>
    </w:lvl>
    <w:lvl w:ilvl="2" w:tplc="080A0005" w:tentative="1">
      <w:start w:val="1"/>
      <w:numFmt w:val="bullet"/>
      <w:lvlText w:val=""/>
      <w:lvlJc w:val="left"/>
      <w:pPr>
        <w:ind w:left="4147" w:hanging="360"/>
      </w:pPr>
      <w:rPr>
        <w:rFonts w:ascii="Wingdings" w:hAnsi="Wingdings" w:hint="default"/>
      </w:rPr>
    </w:lvl>
    <w:lvl w:ilvl="3" w:tplc="080A0001" w:tentative="1">
      <w:start w:val="1"/>
      <w:numFmt w:val="bullet"/>
      <w:lvlText w:val=""/>
      <w:lvlJc w:val="left"/>
      <w:pPr>
        <w:ind w:left="4867" w:hanging="360"/>
      </w:pPr>
      <w:rPr>
        <w:rFonts w:ascii="Symbol" w:hAnsi="Symbol" w:hint="default"/>
      </w:rPr>
    </w:lvl>
    <w:lvl w:ilvl="4" w:tplc="080A0003" w:tentative="1">
      <w:start w:val="1"/>
      <w:numFmt w:val="bullet"/>
      <w:lvlText w:val="o"/>
      <w:lvlJc w:val="left"/>
      <w:pPr>
        <w:ind w:left="5587" w:hanging="360"/>
      </w:pPr>
      <w:rPr>
        <w:rFonts w:ascii="Courier New" w:hAnsi="Courier New" w:cs="Courier New" w:hint="default"/>
      </w:rPr>
    </w:lvl>
    <w:lvl w:ilvl="5" w:tplc="080A0005" w:tentative="1">
      <w:start w:val="1"/>
      <w:numFmt w:val="bullet"/>
      <w:lvlText w:val=""/>
      <w:lvlJc w:val="left"/>
      <w:pPr>
        <w:ind w:left="6307" w:hanging="360"/>
      </w:pPr>
      <w:rPr>
        <w:rFonts w:ascii="Wingdings" w:hAnsi="Wingdings" w:hint="default"/>
      </w:rPr>
    </w:lvl>
    <w:lvl w:ilvl="6" w:tplc="080A0001" w:tentative="1">
      <w:start w:val="1"/>
      <w:numFmt w:val="bullet"/>
      <w:lvlText w:val=""/>
      <w:lvlJc w:val="left"/>
      <w:pPr>
        <w:ind w:left="7027" w:hanging="360"/>
      </w:pPr>
      <w:rPr>
        <w:rFonts w:ascii="Symbol" w:hAnsi="Symbol" w:hint="default"/>
      </w:rPr>
    </w:lvl>
    <w:lvl w:ilvl="7" w:tplc="080A0003" w:tentative="1">
      <w:start w:val="1"/>
      <w:numFmt w:val="bullet"/>
      <w:lvlText w:val="o"/>
      <w:lvlJc w:val="left"/>
      <w:pPr>
        <w:ind w:left="7747" w:hanging="360"/>
      </w:pPr>
      <w:rPr>
        <w:rFonts w:ascii="Courier New" w:hAnsi="Courier New" w:cs="Courier New" w:hint="default"/>
      </w:rPr>
    </w:lvl>
    <w:lvl w:ilvl="8" w:tplc="080A0005" w:tentative="1">
      <w:start w:val="1"/>
      <w:numFmt w:val="bullet"/>
      <w:lvlText w:val=""/>
      <w:lvlJc w:val="left"/>
      <w:pPr>
        <w:ind w:left="8467" w:hanging="360"/>
      </w:pPr>
      <w:rPr>
        <w:rFonts w:ascii="Wingdings" w:hAnsi="Wingdings" w:hint="default"/>
      </w:rPr>
    </w:lvl>
  </w:abstractNum>
  <w:abstractNum w:abstractNumId="5" w15:restartNumberingAfterBreak="0">
    <w:nsid w:val="4EEB58A9"/>
    <w:multiLevelType w:val="hybridMultilevel"/>
    <w:tmpl w:val="BD920C78"/>
    <w:lvl w:ilvl="0" w:tplc="A2E80B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16720C7"/>
    <w:multiLevelType w:val="hybridMultilevel"/>
    <w:tmpl w:val="CD445878"/>
    <w:lvl w:ilvl="0" w:tplc="A6C4516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B976F3"/>
    <w:multiLevelType w:val="hybridMultilevel"/>
    <w:tmpl w:val="1F1CC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CA21E3"/>
    <w:multiLevelType w:val="hybridMultilevel"/>
    <w:tmpl w:val="959C0A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8A72EC"/>
    <w:multiLevelType w:val="multilevel"/>
    <w:tmpl w:val="16E0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D40485"/>
    <w:multiLevelType w:val="hybridMultilevel"/>
    <w:tmpl w:val="5D366252"/>
    <w:lvl w:ilvl="0" w:tplc="DDB6398E">
      <w:start w:val="1"/>
      <w:numFmt w:val="upperRoman"/>
      <w:lvlText w:val="%1."/>
      <w:lvlJc w:val="left"/>
      <w:pPr>
        <w:ind w:left="1080" w:hanging="720"/>
      </w:pPr>
      <w:rPr>
        <w:rFonts w:eastAsiaTheme="minorHAns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55068DE"/>
    <w:multiLevelType w:val="hybridMultilevel"/>
    <w:tmpl w:val="9B42CC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472DA7"/>
    <w:multiLevelType w:val="hybridMultilevel"/>
    <w:tmpl w:val="40AEB0EE"/>
    <w:lvl w:ilvl="0" w:tplc="6CAC81A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25544D"/>
    <w:multiLevelType w:val="hybridMultilevel"/>
    <w:tmpl w:val="88A000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A8763EA"/>
    <w:multiLevelType w:val="hybridMultilevel"/>
    <w:tmpl w:val="90DE1A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2"/>
  </w:num>
  <w:num w:numId="5">
    <w:abstractNumId w:val="1"/>
  </w:num>
  <w:num w:numId="6">
    <w:abstractNumId w:val="10"/>
  </w:num>
  <w:num w:numId="7">
    <w:abstractNumId w:val="3"/>
  </w:num>
  <w:num w:numId="8">
    <w:abstractNumId w:val="5"/>
  </w:num>
  <w:num w:numId="9">
    <w:abstractNumId w:val="11"/>
  </w:num>
  <w:num w:numId="10">
    <w:abstractNumId w:val="13"/>
  </w:num>
  <w:num w:numId="11">
    <w:abstractNumId w:val="8"/>
  </w:num>
  <w:num w:numId="12">
    <w:abstractNumId w:val="6"/>
  </w:num>
  <w:num w:numId="13">
    <w:abstractNumId w:val="9"/>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6" w:nlCheck="1" w:checkStyle="0"/>
  <w:activeWritingStyle w:appName="MSWord" w:lang="es-MX" w:vendorID="64" w:dllVersion="4096" w:nlCheck="1" w:checkStyle="0"/>
  <w:activeWritingStyle w:appName="MSWord" w:lang="es-ES"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4"/>
    <w:rsid w:val="00000CB1"/>
    <w:rsid w:val="00000E6D"/>
    <w:rsid w:val="000022AA"/>
    <w:rsid w:val="0000241E"/>
    <w:rsid w:val="000042EB"/>
    <w:rsid w:val="00007A43"/>
    <w:rsid w:val="00007DE5"/>
    <w:rsid w:val="00014502"/>
    <w:rsid w:val="00015AC6"/>
    <w:rsid w:val="000161B1"/>
    <w:rsid w:val="00021D00"/>
    <w:rsid w:val="000265A0"/>
    <w:rsid w:val="00027462"/>
    <w:rsid w:val="00037E53"/>
    <w:rsid w:val="00041CCC"/>
    <w:rsid w:val="00042FFC"/>
    <w:rsid w:val="00043729"/>
    <w:rsid w:val="0004589D"/>
    <w:rsid w:val="00045EDC"/>
    <w:rsid w:val="000470C0"/>
    <w:rsid w:val="000479F8"/>
    <w:rsid w:val="00047D22"/>
    <w:rsid w:val="0005283F"/>
    <w:rsid w:val="00054764"/>
    <w:rsid w:val="00056DE9"/>
    <w:rsid w:val="000667A9"/>
    <w:rsid w:val="00067436"/>
    <w:rsid w:val="00070EAB"/>
    <w:rsid w:val="00070F02"/>
    <w:rsid w:val="00075E07"/>
    <w:rsid w:val="000761DA"/>
    <w:rsid w:val="0007762A"/>
    <w:rsid w:val="00081748"/>
    <w:rsid w:val="00084D08"/>
    <w:rsid w:val="00084E03"/>
    <w:rsid w:val="0008507F"/>
    <w:rsid w:val="0009443E"/>
    <w:rsid w:val="000956B9"/>
    <w:rsid w:val="0009716C"/>
    <w:rsid w:val="000971AD"/>
    <w:rsid w:val="00097EF8"/>
    <w:rsid w:val="000A08B7"/>
    <w:rsid w:val="000A0DA1"/>
    <w:rsid w:val="000A2F48"/>
    <w:rsid w:val="000A3FCD"/>
    <w:rsid w:val="000B00F7"/>
    <w:rsid w:val="000C2347"/>
    <w:rsid w:val="000C2AEF"/>
    <w:rsid w:val="000C6BB7"/>
    <w:rsid w:val="000D23CE"/>
    <w:rsid w:val="000D51B5"/>
    <w:rsid w:val="000D575D"/>
    <w:rsid w:val="000D5D34"/>
    <w:rsid w:val="000E393F"/>
    <w:rsid w:val="000E3AF7"/>
    <w:rsid w:val="000E79B5"/>
    <w:rsid w:val="000F394E"/>
    <w:rsid w:val="000F6216"/>
    <w:rsid w:val="00100E6F"/>
    <w:rsid w:val="00103D5A"/>
    <w:rsid w:val="0010465A"/>
    <w:rsid w:val="0010772A"/>
    <w:rsid w:val="00110305"/>
    <w:rsid w:val="00111772"/>
    <w:rsid w:val="00111B5D"/>
    <w:rsid w:val="0011241B"/>
    <w:rsid w:val="00113322"/>
    <w:rsid w:val="00114E3F"/>
    <w:rsid w:val="001236F4"/>
    <w:rsid w:val="00123ABF"/>
    <w:rsid w:val="001304E6"/>
    <w:rsid w:val="00132EA4"/>
    <w:rsid w:val="0014062A"/>
    <w:rsid w:val="00142E0B"/>
    <w:rsid w:val="0014693B"/>
    <w:rsid w:val="00151E63"/>
    <w:rsid w:val="001546DE"/>
    <w:rsid w:val="001576B3"/>
    <w:rsid w:val="00157823"/>
    <w:rsid w:val="00161482"/>
    <w:rsid w:val="00163D66"/>
    <w:rsid w:val="0016478B"/>
    <w:rsid w:val="0016491D"/>
    <w:rsid w:val="00170421"/>
    <w:rsid w:val="001723B4"/>
    <w:rsid w:val="00172C39"/>
    <w:rsid w:val="00172E22"/>
    <w:rsid w:val="00176B7E"/>
    <w:rsid w:val="001806ED"/>
    <w:rsid w:val="001877BA"/>
    <w:rsid w:val="00192150"/>
    <w:rsid w:val="00193899"/>
    <w:rsid w:val="001942A1"/>
    <w:rsid w:val="0019470E"/>
    <w:rsid w:val="00195DA0"/>
    <w:rsid w:val="001A3337"/>
    <w:rsid w:val="001A3D39"/>
    <w:rsid w:val="001A5344"/>
    <w:rsid w:val="001A5436"/>
    <w:rsid w:val="001A6054"/>
    <w:rsid w:val="001A622A"/>
    <w:rsid w:val="001A7DDA"/>
    <w:rsid w:val="001B5401"/>
    <w:rsid w:val="001C0C2B"/>
    <w:rsid w:val="001C2696"/>
    <w:rsid w:val="001D05A8"/>
    <w:rsid w:val="001D300C"/>
    <w:rsid w:val="001D3A52"/>
    <w:rsid w:val="001D4B18"/>
    <w:rsid w:val="001D7DC5"/>
    <w:rsid w:val="001E2B26"/>
    <w:rsid w:val="001E2DC5"/>
    <w:rsid w:val="001E37C1"/>
    <w:rsid w:val="001E6323"/>
    <w:rsid w:val="001F0194"/>
    <w:rsid w:val="001F060E"/>
    <w:rsid w:val="001F543B"/>
    <w:rsid w:val="002008B8"/>
    <w:rsid w:val="002016C5"/>
    <w:rsid w:val="002046F5"/>
    <w:rsid w:val="002059CD"/>
    <w:rsid w:val="00205D19"/>
    <w:rsid w:val="0021228C"/>
    <w:rsid w:val="0021293B"/>
    <w:rsid w:val="00214402"/>
    <w:rsid w:val="00217050"/>
    <w:rsid w:val="00220489"/>
    <w:rsid w:val="00220504"/>
    <w:rsid w:val="0022201E"/>
    <w:rsid w:val="00224D4D"/>
    <w:rsid w:val="00224E48"/>
    <w:rsid w:val="00225872"/>
    <w:rsid w:val="00227F2D"/>
    <w:rsid w:val="00233AEF"/>
    <w:rsid w:val="00234530"/>
    <w:rsid w:val="00234F9C"/>
    <w:rsid w:val="00237472"/>
    <w:rsid w:val="00245951"/>
    <w:rsid w:val="0024691C"/>
    <w:rsid w:val="002530A1"/>
    <w:rsid w:val="00262FEF"/>
    <w:rsid w:val="002652BF"/>
    <w:rsid w:val="00267F9D"/>
    <w:rsid w:val="002720EB"/>
    <w:rsid w:val="0027244E"/>
    <w:rsid w:val="00273F9B"/>
    <w:rsid w:val="00274128"/>
    <w:rsid w:val="00283D84"/>
    <w:rsid w:val="00283D9D"/>
    <w:rsid w:val="002848DD"/>
    <w:rsid w:val="00290078"/>
    <w:rsid w:val="002938EA"/>
    <w:rsid w:val="00294143"/>
    <w:rsid w:val="0029689D"/>
    <w:rsid w:val="002A2645"/>
    <w:rsid w:val="002A72B5"/>
    <w:rsid w:val="002B5876"/>
    <w:rsid w:val="002B5D3C"/>
    <w:rsid w:val="002B63E5"/>
    <w:rsid w:val="002B7B03"/>
    <w:rsid w:val="002C2D13"/>
    <w:rsid w:val="002C799B"/>
    <w:rsid w:val="002D04F7"/>
    <w:rsid w:val="002D0A5E"/>
    <w:rsid w:val="002D6B8A"/>
    <w:rsid w:val="002D7900"/>
    <w:rsid w:val="002E2FF3"/>
    <w:rsid w:val="002E3518"/>
    <w:rsid w:val="002E57DB"/>
    <w:rsid w:val="002E5DAD"/>
    <w:rsid w:val="002E6038"/>
    <w:rsid w:val="002E6B57"/>
    <w:rsid w:val="002E6E49"/>
    <w:rsid w:val="002F46A6"/>
    <w:rsid w:val="002F5482"/>
    <w:rsid w:val="003024B3"/>
    <w:rsid w:val="00307E5B"/>
    <w:rsid w:val="0031078C"/>
    <w:rsid w:val="003132B4"/>
    <w:rsid w:val="00317C6E"/>
    <w:rsid w:val="0032121F"/>
    <w:rsid w:val="0032308A"/>
    <w:rsid w:val="00323663"/>
    <w:rsid w:val="00325858"/>
    <w:rsid w:val="0032613B"/>
    <w:rsid w:val="003268AA"/>
    <w:rsid w:val="003268FC"/>
    <w:rsid w:val="003300CF"/>
    <w:rsid w:val="00332A2B"/>
    <w:rsid w:val="00332E98"/>
    <w:rsid w:val="00333234"/>
    <w:rsid w:val="003358DD"/>
    <w:rsid w:val="0034223C"/>
    <w:rsid w:val="003423D6"/>
    <w:rsid w:val="00345B40"/>
    <w:rsid w:val="00350BEA"/>
    <w:rsid w:val="00351F4E"/>
    <w:rsid w:val="003566BC"/>
    <w:rsid w:val="00356A76"/>
    <w:rsid w:val="00360633"/>
    <w:rsid w:val="00363AD0"/>
    <w:rsid w:val="00363AD4"/>
    <w:rsid w:val="00373063"/>
    <w:rsid w:val="00373A26"/>
    <w:rsid w:val="00384087"/>
    <w:rsid w:val="00384825"/>
    <w:rsid w:val="003861E3"/>
    <w:rsid w:val="00390D56"/>
    <w:rsid w:val="0039258C"/>
    <w:rsid w:val="00396EC7"/>
    <w:rsid w:val="003A449D"/>
    <w:rsid w:val="003A575A"/>
    <w:rsid w:val="003A5BE7"/>
    <w:rsid w:val="003A6549"/>
    <w:rsid w:val="003B3D3F"/>
    <w:rsid w:val="003C00C4"/>
    <w:rsid w:val="003C1C11"/>
    <w:rsid w:val="003C6430"/>
    <w:rsid w:val="003C7BBF"/>
    <w:rsid w:val="003D0D54"/>
    <w:rsid w:val="003D3C67"/>
    <w:rsid w:val="003D4661"/>
    <w:rsid w:val="003D4DF1"/>
    <w:rsid w:val="003D604A"/>
    <w:rsid w:val="003E3838"/>
    <w:rsid w:val="003E4974"/>
    <w:rsid w:val="003E6102"/>
    <w:rsid w:val="003F2424"/>
    <w:rsid w:val="003F2BF8"/>
    <w:rsid w:val="003F4844"/>
    <w:rsid w:val="003F5AF8"/>
    <w:rsid w:val="00400914"/>
    <w:rsid w:val="0040250E"/>
    <w:rsid w:val="00403C0A"/>
    <w:rsid w:val="00404186"/>
    <w:rsid w:val="00404868"/>
    <w:rsid w:val="0040640C"/>
    <w:rsid w:val="00407597"/>
    <w:rsid w:val="004106FB"/>
    <w:rsid w:val="00410F40"/>
    <w:rsid w:val="00411F9D"/>
    <w:rsid w:val="004128F9"/>
    <w:rsid w:val="00417011"/>
    <w:rsid w:val="00420CD3"/>
    <w:rsid w:val="00424800"/>
    <w:rsid w:val="00424A1F"/>
    <w:rsid w:val="00425D73"/>
    <w:rsid w:val="00431047"/>
    <w:rsid w:val="00432749"/>
    <w:rsid w:val="00433BDD"/>
    <w:rsid w:val="004352F9"/>
    <w:rsid w:val="00435C9F"/>
    <w:rsid w:val="004363AC"/>
    <w:rsid w:val="004412D3"/>
    <w:rsid w:val="00443E20"/>
    <w:rsid w:val="0044483C"/>
    <w:rsid w:val="00445659"/>
    <w:rsid w:val="0045183E"/>
    <w:rsid w:val="00460EBE"/>
    <w:rsid w:val="00462962"/>
    <w:rsid w:val="00466274"/>
    <w:rsid w:val="00472E47"/>
    <w:rsid w:val="00473912"/>
    <w:rsid w:val="00474ADE"/>
    <w:rsid w:val="00475C62"/>
    <w:rsid w:val="00482554"/>
    <w:rsid w:val="00483DE2"/>
    <w:rsid w:val="004939AC"/>
    <w:rsid w:val="00493D52"/>
    <w:rsid w:val="0049501A"/>
    <w:rsid w:val="004A130B"/>
    <w:rsid w:val="004A2BFD"/>
    <w:rsid w:val="004A6509"/>
    <w:rsid w:val="004B2425"/>
    <w:rsid w:val="004B7609"/>
    <w:rsid w:val="004B7765"/>
    <w:rsid w:val="004C02D2"/>
    <w:rsid w:val="004C3ED9"/>
    <w:rsid w:val="004C690D"/>
    <w:rsid w:val="004D30F8"/>
    <w:rsid w:val="004D69B4"/>
    <w:rsid w:val="004E37D0"/>
    <w:rsid w:val="004E4271"/>
    <w:rsid w:val="004E45EE"/>
    <w:rsid w:val="004E7780"/>
    <w:rsid w:val="004E7B4B"/>
    <w:rsid w:val="004F2981"/>
    <w:rsid w:val="004F4327"/>
    <w:rsid w:val="0050400D"/>
    <w:rsid w:val="00513162"/>
    <w:rsid w:val="00515A33"/>
    <w:rsid w:val="00517ACC"/>
    <w:rsid w:val="00523D1C"/>
    <w:rsid w:val="005334B8"/>
    <w:rsid w:val="00534C43"/>
    <w:rsid w:val="0054312A"/>
    <w:rsid w:val="00546228"/>
    <w:rsid w:val="00546378"/>
    <w:rsid w:val="00546ADF"/>
    <w:rsid w:val="00550CE4"/>
    <w:rsid w:val="00551E3F"/>
    <w:rsid w:val="005525E5"/>
    <w:rsid w:val="005548AB"/>
    <w:rsid w:val="005554D6"/>
    <w:rsid w:val="00561E80"/>
    <w:rsid w:val="00565ADB"/>
    <w:rsid w:val="00566AFB"/>
    <w:rsid w:val="00566C76"/>
    <w:rsid w:val="00570DCA"/>
    <w:rsid w:val="0057210D"/>
    <w:rsid w:val="00572B22"/>
    <w:rsid w:val="00572C80"/>
    <w:rsid w:val="00574328"/>
    <w:rsid w:val="00575E59"/>
    <w:rsid w:val="00581849"/>
    <w:rsid w:val="0058713A"/>
    <w:rsid w:val="0059171B"/>
    <w:rsid w:val="00593E43"/>
    <w:rsid w:val="005A0A56"/>
    <w:rsid w:val="005A120F"/>
    <w:rsid w:val="005A12BA"/>
    <w:rsid w:val="005A154B"/>
    <w:rsid w:val="005A1E42"/>
    <w:rsid w:val="005A2367"/>
    <w:rsid w:val="005A24DA"/>
    <w:rsid w:val="005A3130"/>
    <w:rsid w:val="005A3C05"/>
    <w:rsid w:val="005B1A25"/>
    <w:rsid w:val="005B3654"/>
    <w:rsid w:val="005B6881"/>
    <w:rsid w:val="005C2459"/>
    <w:rsid w:val="005C6401"/>
    <w:rsid w:val="005C76BD"/>
    <w:rsid w:val="005C7BD0"/>
    <w:rsid w:val="005C7C09"/>
    <w:rsid w:val="005D5154"/>
    <w:rsid w:val="005E148F"/>
    <w:rsid w:val="005E1F1D"/>
    <w:rsid w:val="005E5BED"/>
    <w:rsid w:val="005F047E"/>
    <w:rsid w:val="005F190E"/>
    <w:rsid w:val="005F38B2"/>
    <w:rsid w:val="005F3983"/>
    <w:rsid w:val="005F52E0"/>
    <w:rsid w:val="005F76D1"/>
    <w:rsid w:val="00601B32"/>
    <w:rsid w:val="00606A93"/>
    <w:rsid w:val="00606F10"/>
    <w:rsid w:val="00610D26"/>
    <w:rsid w:val="00612E35"/>
    <w:rsid w:val="00613338"/>
    <w:rsid w:val="00622A33"/>
    <w:rsid w:val="00623833"/>
    <w:rsid w:val="0062753C"/>
    <w:rsid w:val="00633D73"/>
    <w:rsid w:val="00637355"/>
    <w:rsid w:val="00637DDE"/>
    <w:rsid w:val="006407D9"/>
    <w:rsid w:val="006414A8"/>
    <w:rsid w:val="00642B91"/>
    <w:rsid w:val="00647E8F"/>
    <w:rsid w:val="0065129E"/>
    <w:rsid w:val="0065272E"/>
    <w:rsid w:val="00652848"/>
    <w:rsid w:val="00652F58"/>
    <w:rsid w:val="006547B3"/>
    <w:rsid w:val="00663620"/>
    <w:rsid w:val="00664593"/>
    <w:rsid w:val="00664CE3"/>
    <w:rsid w:val="00664DB4"/>
    <w:rsid w:val="00664E67"/>
    <w:rsid w:val="00670214"/>
    <w:rsid w:val="00673FAE"/>
    <w:rsid w:val="00681F5E"/>
    <w:rsid w:val="0069160E"/>
    <w:rsid w:val="006923AF"/>
    <w:rsid w:val="006A097E"/>
    <w:rsid w:val="006A193B"/>
    <w:rsid w:val="006A3245"/>
    <w:rsid w:val="006B1C4F"/>
    <w:rsid w:val="006B20D2"/>
    <w:rsid w:val="006B259C"/>
    <w:rsid w:val="006C0600"/>
    <w:rsid w:val="006C6C23"/>
    <w:rsid w:val="006C7A87"/>
    <w:rsid w:val="006D0618"/>
    <w:rsid w:val="006D3E8C"/>
    <w:rsid w:val="006D5E4D"/>
    <w:rsid w:val="006D6E36"/>
    <w:rsid w:val="006D78E9"/>
    <w:rsid w:val="006E3ACE"/>
    <w:rsid w:val="006F28FE"/>
    <w:rsid w:val="006F3159"/>
    <w:rsid w:val="006F3F89"/>
    <w:rsid w:val="006F761C"/>
    <w:rsid w:val="007016AE"/>
    <w:rsid w:val="00703F27"/>
    <w:rsid w:val="00705295"/>
    <w:rsid w:val="00705D90"/>
    <w:rsid w:val="00706727"/>
    <w:rsid w:val="0071019C"/>
    <w:rsid w:val="00711D3B"/>
    <w:rsid w:val="00713652"/>
    <w:rsid w:val="00723C6C"/>
    <w:rsid w:val="00726A25"/>
    <w:rsid w:val="0073060C"/>
    <w:rsid w:val="00732F31"/>
    <w:rsid w:val="007339B0"/>
    <w:rsid w:val="00734393"/>
    <w:rsid w:val="00735227"/>
    <w:rsid w:val="00736E76"/>
    <w:rsid w:val="00737B2E"/>
    <w:rsid w:val="00742195"/>
    <w:rsid w:val="00743E5C"/>
    <w:rsid w:val="00744974"/>
    <w:rsid w:val="007456DC"/>
    <w:rsid w:val="00745963"/>
    <w:rsid w:val="007462C5"/>
    <w:rsid w:val="00750ABF"/>
    <w:rsid w:val="007547AE"/>
    <w:rsid w:val="00754C28"/>
    <w:rsid w:val="00766867"/>
    <w:rsid w:val="00767EF3"/>
    <w:rsid w:val="00771018"/>
    <w:rsid w:val="00772B0D"/>
    <w:rsid w:val="00773130"/>
    <w:rsid w:val="00773BBF"/>
    <w:rsid w:val="0078604F"/>
    <w:rsid w:val="00786EB2"/>
    <w:rsid w:val="00790150"/>
    <w:rsid w:val="007902EF"/>
    <w:rsid w:val="007908C9"/>
    <w:rsid w:val="00795AB5"/>
    <w:rsid w:val="007A176F"/>
    <w:rsid w:val="007A1FBE"/>
    <w:rsid w:val="007A4186"/>
    <w:rsid w:val="007A43EA"/>
    <w:rsid w:val="007A76B2"/>
    <w:rsid w:val="007B03E0"/>
    <w:rsid w:val="007B515A"/>
    <w:rsid w:val="007C4F13"/>
    <w:rsid w:val="007C5C0E"/>
    <w:rsid w:val="007C6797"/>
    <w:rsid w:val="007C6995"/>
    <w:rsid w:val="007D067F"/>
    <w:rsid w:val="007D06A1"/>
    <w:rsid w:val="007D0EC2"/>
    <w:rsid w:val="007D74F7"/>
    <w:rsid w:val="007D7E07"/>
    <w:rsid w:val="007E0230"/>
    <w:rsid w:val="007E08AC"/>
    <w:rsid w:val="007E10D9"/>
    <w:rsid w:val="007E2AD9"/>
    <w:rsid w:val="007F2D93"/>
    <w:rsid w:val="007F53F2"/>
    <w:rsid w:val="007F61BC"/>
    <w:rsid w:val="007F6D60"/>
    <w:rsid w:val="007F7AE4"/>
    <w:rsid w:val="008008C3"/>
    <w:rsid w:val="0080211A"/>
    <w:rsid w:val="00803443"/>
    <w:rsid w:val="008065ED"/>
    <w:rsid w:val="00814956"/>
    <w:rsid w:val="008166AD"/>
    <w:rsid w:val="00817469"/>
    <w:rsid w:val="00822010"/>
    <w:rsid w:val="0082210E"/>
    <w:rsid w:val="00824C29"/>
    <w:rsid w:val="00827E8A"/>
    <w:rsid w:val="00831A50"/>
    <w:rsid w:val="00834215"/>
    <w:rsid w:val="00835C09"/>
    <w:rsid w:val="008379A9"/>
    <w:rsid w:val="00845CA7"/>
    <w:rsid w:val="00846B2E"/>
    <w:rsid w:val="00847CF1"/>
    <w:rsid w:val="0085051F"/>
    <w:rsid w:val="008506DB"/>
    <w:rsid w:val="008541B1"/>
    <w:rsid w:val="0085509C"/>
    <w:rsid w:val="0085526B"/>
    <w:rsid w:val="00855A28"/>
    <w:rsid w:val="00860DAA"/>
    <w:rsid w:val="008610EF"/>
    <w:rsid w:val="008615D3"/>
    <w:rsid w:val="00861B99"/>
    <w:rsid w:val="008718AB"/>
    <w:rsid w:val="00874864"/>
    <w:rsid w:val="00877043"/>
    <w:rsid w:val="00880312"/>
    <w:rsid w:val="00881304"/>
    <w:rsid w:val="00883E3B"/>
    <w:rsid w:val="00890DDC"/>
    <w:rsid w:val="0089369A"/>
    <w:rsid w:val="00897052"/>
    <w:rsid w:val="0089721E"/>
    <w:rsid w:val="008A1AE6"/>
    <w:rsid w:val="008A3A61"/>
    <w:rsid w:val="008A49BE"/>
    <w:rsid w:val="008A5101"/>
    <w:rsid w:val="008A6568"/>
    <w:rsid w:val="008B0399"/>
    <w:rsid w:val="008B56DB"/>
    <w:rsid w:val="008B65EF"/>
    <w:rsid w:val="008C03E9"/>
    <w:rsid w:val="008C0D4F"/>
    <w:rsid w:val="008C1355"/>
    <w:rsid w:val="008C216B"/>
    <w:rsid w:val="008C2BFD"/>
    <w:rsid w:val="008C698D"/>
    <w:rsid w:val="008D1423"/>
    <w:rsid w:val="008D3D3C"/>
    <w:rsid w:val="008E07DE"/>
    <w:rsid w:val="008E0E59"/>
    <w:rsid w:val="008E148E"/>
    <w:rsid w:val="008E3533"/>
    <w:rsid w:val="008E3647"/>
    <w:rsid w:val="008E5688"/>
    <w:rsid w:val="008E609F"/>
    <w:rsid w:val="008E7190"/>
    <w:rsid w:val="008E775C"/>
    <w:rsid w:val="008F010E"/>
    <w:rsid w:val="008F3E12"/>
    <w:rsid w:val="009018C0"/>
    <w:rsid w:val="00903256"/>
    <w:rsid w:val="00903A81"/>
    <w:rsid w:val="00905092"/>
    <w:rsid w:val="00910752"/>
    <w:rsid w:val="00912401"/>
    <w:rsid w:val="00912BC2"/>
    <w:rsid w:val="00912C62"/>
    <w:rsid w:val="00912F3A"/>
    <w:rsid w:val="0091411F"/>
    <w:rsid w:val="00915EAD"/>
    <w:rsid w:val="00916A4F"/>
    <w:rsid w:val="00917604"/>
    <w:rsid w:val="00923416"/>
    <w:rsid w:val="009261B1"/>
    <w:rsid w:val="00926F71"/>
    <w:rsid w:val="0092743A"/>
    <w:rsid w:val="009349ED"/>
    <w:rsid w:val="009376C1"/>
    <w:rsid w:val="00943755"/>
    <w:rsid w:val="009470B9"/>
    <w:rsid w:val="00954BB9"/>
    <w:rsid w:val="00954CE1"/>
    <w:rsid w:val="00956FF0"/>
    <w:rsid w:val="00964B6B"/>
    <w:rsid w:val="009731DF"/>
    <w:rsid w:val="0097351A"/>
    <w:rsid w:val="00975BF5"/>
    <w:rsid w:val="00977478"/>
    <w:rsid w:val="00981E69"/>
    <w:rsid w:val="00982528"/>
    <w:rsid w:val="0098390A"/>
    <w:rsid w:val="0098408D"/>
    <w:rsid w:val="00985F98"/>
    <w:rsid w:val="00986657"/>
    <w:rsid w:val="00986762"/>
    <w:rsid w:val="0099037F"/>
    <w:rsid w:val="00992465"/>
    <w:rsid w:val="00994C7F"/>
    <w:rsid w:val="00997EFF"/>
    <w:rsid w:val="009A0BEE"/>
    <w:rsid w:val="009A103D"/>
    <w:rsid w:val="009A129F"/>
    <w:rsid w:val="009A40C0"/>
    <w:rsid w:val="009A4943"/>
    <w:rsid w:val="009B029C"/>
    <w:rsid w:val="009B1E80"/>
    <w:rsid w:val="009B2285"/>
    <w:rsid w:val="009B3786"/>
    <w:rsid w:val="009B3F1E"/>
    <w:rsid w:val="009B4496"/>
    <w:rsid w:val="009B479B"/>
    <w:rsid w:val="009B4AD6"/>
    <w:rsid w:val="009B5ADE"/>
    <w:rsid w:val="009B77D1"/>
    <w:rsid w:val="009C017E"/>
    <w:rsid w:val="009C09D4"/>
    <w:rsid w:val="009C283D"/>
    <w:rsid w:val="009D1530"/>
    <w:rsid w:val="009D5DBC"/>
    <w:rsid w:val="009D6EF8"/>
    <w:rsid w:val="009E2AB1"/>
    <w:rsid w:val="009E3FBB"/>
    <w:rsid w:val="009E4142"/>
    <w:rsid w:val="009F0269"/>
    <w:rsid w:val="009F1076"/>
    <w:rsid w:val="009F1088"/>
    <w:rsid w:val="009F19AE"/>
    <w:rsid w:val="009F32F6"/>
    <w:rsid w:val="00A00450"/>
    <w:rsid w:val="00A00D4D"/>
    <w:rsid w:val="00A0312A"/>
    <w:rsid w:val="00A0356E"/>
    <w:rsid w:val="00A03802"/>
    <w:rsid w:val="00A039A4"/>
    <w:rsid w:val="00A03A5C"/>
    <w:rsid w:val="00A051F0"/>
    <w:rsid w:val="00A068BE"/>
    <w:rsid w:val="00A106CD"/>
    <w:rsid w:val="00A111C2"/>
    <w:rsid w:val="00A1122B"/>
    <w:rsid w:val="00A12836"/>
    <w:rsid w:val="00A145A3"/>
    <w:rsid w:val="00A15878"/>
    <w:rsid w:val="00A15E53"/>
    <w:rsid w:val="00A241D2"/>
    <w:rsid w:val="00A2530A"/>
    <w:rsid w:val="00A2691F"/>
    <w:rsid w:val="00A32418"/>
    <w:rsid w:val="00A33670"/>
    <w:rsid w:val="00A349ED"/>
    <w:rsid w:val="00A42211"/>
    <w:rsid w:val="00A44F59"/>
    <w:rsid w:val="00A4586E"/>
    <w:rsid w:val="00A4775E"/>
    <w:rsid w:val="00A47BA9"/>
    <w:rsid w:val="00A511D4"/>
    <w:rsid w:val="00A53440"/>
    <w:rsid w:val="00A53939"/>
    <w:rsid w:val="00A5523F"/>
    <w:rsid w:val="00A55B2E"/>
    <w:rsid w:val="00A56183"/>
    <w:rsid w:val="00A578C9"/>
    <w:rsid w:val="00A738F7"/>
    <w:rsid w:val="00A75BA6"/>
    <w:rsid w:val="00A76F29"/>
    <w:rsid w:val="00A805A9"/>
    <w:rsid w:val="00A81DB5"/>
    <w:rsid w:val="00A84A9E"/>
    <w:rsid w:val="00A857BE"/>
    <w:rsid w:val="00A8620B"/>
    <w:rsid w:val="00A87007"/>
    <w:rsid w:val="00A9182F"/>
    <w:rsid w:val="00A927A7"/>
    <w:rsid w:val="00A9585D"/>
    <w:rsid w:val="00A96DBC"/>
    <w:rsid w:val="00AA0654"/>
    <w:rsid w:val="00AB3DD9"/>
    <w:rsid w:val="00AB4899"/>
    <w:rsid w:val="00AB4AA1"/>
    <w:rsid w:val="00AC19EB"/>
    <w:rsid w:val="00AD1D88"/>
    <w:rsid w:val="00AD1DD3"/>
    <w:rsid w:val="00AD411E"/>
    <w:rsid w:val="00AD63A1"/>
    <w:rsid w:val="00AE05A4"/>
    <w:rsid w:val="00AE5F72"/>
    <w:rsid w:val="00AE7AAC"/>
    <w:rsid w:val="00AF0FF0"/>
    <w:rsid w:val="00AF5895"/>
    <w:rsid w:val="00AF6C56"/>
    <w:rsid w:val="00B00B6F"/>
    <w:rsid w:val="00B06FFB"/>
    <w:rsid w:val="00B11FB0"/>
    <w:rsid w:val="00B14B1C"/>
    <w:rsid w:val="00B164D0"/>
    <w:rsid w:val="00B201C8"/>
    <w:rsid w:val="00B2292D"/>
    <w:rsid w:val="00B243DE"/>
    <w:rsid w:val="00B3030B"/>
    <w:rsid w:val="00B309AB"/>
    <w:rsid w:val="00B32F20"/>
    <w:rsid w:val="00B32FF4"/>
    <w:rsid w:val="00B35569"/>
    <w:rsid w:val="00B36026"/>
    <w:rsid w:val="00B374D2"/>
    <w:rsid w:val="00B37805"/>
    <w:rsid w:val="00B401FA"/>
    <w:rsid w:val="00B40383"/>
    <w:rsid w:val="00B40A26"/>
    <w:rsid w:val="00B42BBD"/>
    <w:rsid w:val="00B43431"/>
    <w:rsid w:val="00B47857"/>
    <w:rsid w:val="00B53633"/>
    <w:rsid w:val="00B56427"/>
    <w:rsid w:val="00B604D8"/>
    <w:rsid w:val="00B662CC"/>
    <w:rsid w:val="00B67AAE"/>
    <w:rsid w:val="00B70CDD"/>
    <w:rsid w:val="00B73A98"/>
    <w:rsid w:val="00B73D9A"/>
    <w:rsid w:val="00B74A58"/>
    <w:rsid w:val="00B75F56"/>
    <w:rsid w:val="00B763A1"/>
    <w:rsid w:val="00B76FC1"/>
    <w:rsid w:val="00B844A3"/>
    <w:rsid w:val="00B8734A"/>
    <w:rsid w:val="00B875D8"/>
    <w:rsid w:val="00B90002"/>
    <w:rsid w:val="00B9111C"/>
    <w:rsid w:val="00B946CD"/>
    <w:rsid w:val="00BA3352"/>
    <w:rsid w:val="00BA40B4"/>
    <w:rsid w:val="00BA5D1B"/>
    <w:rsid w:val="00BA67A8"/>
    <w:rsid w:val="00BA6E95"/>
    <w:rsid w:val="00BA741A"/>
    <w:rsid w:val="00BB1A7D"/>
    <w:rsid w:val="00BB2950"/>
    <w:rsid w:val="00BB304C"/>
    <w:rsid w:val="00BB32E4"/>
    <w:rsid w:val="00BB77F2"/>
    <w:rsid w:val="00BC06C5"/>
    <w:rsid w:val="00BC7340"/>
    <w:rsid w:val="00BD264E"/>
    <w:rsid w:val="00BD35FE"/>
    <w:rsid w:val="00BD416C"/>
    <w:rsid w:val="00BD5A29"/>
    <w:rsid w:val="00BD6C8A"/>
    <w:rsid w:val="00BD6F81"/>
    <w:rsid w:val="00BE1CAA"/>
    <w:rsid w:val="00BE5E65"/>
    <w:rsid w:val="00BF4B40"/>
    <w:rsid w:val="00BF4C58"/>
    <w:rsid w:val="00BF72CA"/>
    <w:rsid w:val="00C019B6"/>
    <w:rsid w:val="00C064E0"/>
    <w:rsid w:val="00C06D88"/>
    <w:rsid w:val="00C10898"/>
    <w:rsid w:val="00C131A5"/>
    <w:rsid w:val="00C151BE"/>
    <w:rsid w:val="00C2070A"/>
    <w:rsid w:val="00C21824"/>
    <w:rsid w:val="00C22924"/>
    <w:rsid w:val="00C22A0B"/>
    <w:rsid w:val="00C23B19"/>
    <w:rsid w:val="00C2419D"/>
    <w:rsid w:val="00C25DEA"/>
    <w:rsid w:val="00C26349"/>
    <w:rsid w:val="00C27E9D"/>
    <w:rsid w:val="00C30D8B"/>
    <w:rsid w:val="00C34EE5"/>
    <w:rsid w:val="00C3722A"/>
    <w:rsid w:val="00C41F4C"/>
    <w:rsid w:val="00C42711"/>
    <w:rsid w:val="00C42F05"/>
    <w:rsid w:val="00C50FDC"/>
    <w:rsid w:val="00C51441"/>
    <w:rsid w:val="00C53D64"/>
    <w:rsid w:val="00C57ABD"/>
    <w:rsid w:val="00C57FC4"/>
    <w:rsid w:val="00C60C87"/>
    <w:rsid w:val="00C6116C"/>
    <w:rsid w:val="00C618C5"/>
    <w:rsid w:val="00C630F1"/>
    <w:rsid w:val="00C63DD9"/>
    <w:rsid w:val="00C64878"/>
    <w:rsid w:val="00C64931"/>
    <w:rsid w:val="00C7007D"/>
    <w:rsid w:val="00C73CD8"/>
    <w:rsid w:val="00C810D1"/>
    <w:rsid w:val="00C819EC"/>
    <w:rsid w:val="00C84140"/>
    <w:rsid w:val="00C841C8"/>
    <w:rsid w:val="00C8741C"/>
    <w:rsid w:val="00C91122"/>
    <w:rsid w:val="00C92D0F"/>
    <w:rsid w:val="00C949F2"/>
    <w:rsid w:val="00C96014"/>
    <w:rsid w:val="00C97E5E"/>
    <w:rsid w:val="00CA0C5A"/>
    <w:rsid w:val="00CA10B6"/>
    <w:rsid w:val="00CA5454"/>
    <w:rsid w:val="00CA6C3C"/>
    <w:rsid w:val="00CA7B0D"/>
    <w:rsid w:val="00CB160A"/>
    <w:rsid w:val="00CB2543"/>
    <w:rsid w:val="00CB44B3"/>
    <w:rsid w:val="00CB50B0"/>
    <w:rsid w:val="00CB50C5"/>
    <w:rsid w:val="00CB7E5B"/>
    <w:rsid w:val="00CC1307"/>
    <w:rsid w:val="00CC3A0A"/>
    <w:rsid w:val="00CC4101"/>
    <w:rsid w:val="00CD0B14"/>
    <w:rsid w:val="00CD1A4E"/>
    <w:rsid w:val="00CD24FC"/>
    <w:rsid w:val="00CD7DE4"/>
    <w:rsid w:val="00CE1AAF"/>
    <w:rsid w:val="00CE2F37"/>
    <w:rsid w:val="00CE3342"/>
    <w:rsid w:val="00CE44EC"/>
    <w:rsid w:val="00CE46F4"/>
    <w:rsid w:val="00CE5755"/>
    <w:rsid w:val="00CE7830"/>
    <w:rsid w:val="00CF07EB"/>
    <w:rsid w:val="00CF0806"/>
    <w:rsid w:val="00CF2AD8"/>
    <w:rsid w:val="00CF2D87"/>
    <w:rsid w:val="00CF4417"/>
    <w:rsid w:val="00CF7384"/>
    <w:rsid w:val="00D00388"/>
    <w:rsid w:val="00D009A4"/>
    <w:rsid w:val="00D108C8"/>
    <w:rsid w:val="00D10D4E"/>
    <w:rsid w:val="00D13BBC"/>
    <w:rsid w:val="00D1429B"/>
    <w:rsid w:val="00D17FA2"/>
    <w:rsid w:val="00D22E74"/>
    <w:rsid w:val="00D231CE"/>
    <w:rsid w:val="00D241C8"/>
    <w:rsid w:val="00D243EB"/>
    <w:rsid w:val="00D24B74"/>
    <w:rsid w:val="00D260EA"/>
    <w:rsid w:val="00D26405"/>
    <w:rsid w:val="00D3208B"/>
    <w:rsid w:val="00D3464A"/>
    <w:rsid w:val="00D40FB1"/>
    <w:rsid w:val="00D4222F"/>
    <w:rsid w:val="00D47085"/>
    <w:rsid w:val="00D47598"/>
    <w:rsid w:val="00D5077A"/>
    <w:rsid w:val="00D50EA2"/>
    <w:rsid w:val="00D5158F"/>
    <w:rsid w:val="00D65F15"/>
    <w:rsid w:val="00D662B9"/>
    <w:rsid w:val="00D67688"/>
    <w:rsid w:val="00D67714"/>
    <w:rsid w:val="00D72996"/>
    <w:rsid w:val="00D741E2"/>
    <w:rsid w:val="00D7522B"/>
    <w:rsid w:val="00D8014D"/>
    <w:rsid w:val="00D801C6"/>
    <w:rsid w:val="00D803F7"/>
    <w:rsid w:val="00D80625"/>
    <w:rsid w:val="00D813F4"/>
    <w:rsid w:val="00D83F5B"/>
    <w:rsid w:val="00D8620E"/>
    <w:rsid w:val="00D8658F"/>
    <w:rsid w:val="00D91DE2"/>
    <w:rsid w:val="00D93423"/>
    <w:rsid w:val="00D93DBE"/>
    <w:rsid w:val="00D96CC6"/>
    <w:rsid w:val="00DA1180"/>
    <w:rsid w:val="00DA3773"/>
    <w:rsid w:val="00DA37B3"/>
    <w:rsid w:val="00DA72EB"/>
    <w:rsid w:val="00DB1297"/>
    <w:rsid w:val="00DB12BF"/>
    <w:rsid w:val="00DB1317"/>
    <w:rsid w:val="00DB284A"/>
    <w:rsid w:val="00DB55E3"/>
    <w:rsid w:val="00DB761A"/>
    <w:rsid w:val="00DC0178"/>
    <w:rsid w:val="00DC0B97"/>
    <w:rsid w:val="00DC21CA"/>
    <w:rsid w:val="00DC50C5"/>
    <w:rsid w:val="00DC6763"/>
    <w:rsid w:val="00DC6911"/>
    <w:rsid w:val="00DC692C"/>
    <w:rsid w:val="00DC71A6"/>
    <w:rsid w:val="00DD362B"/>
    <w:rsid w:val="00DD6B8D"/>
    <w:rsid w:val="00DE2FFE"/>
    <w:rsid w:val="00DE3DA6"/>
    <w:rsid w:val="00DE4AD0"/>
    <w:rsid w:val="00DE5673"/>
    <w:rsid w:val="00DF12A9"/>
    <w:rsid w:val="00DF305E"/>
    <w:rsid w:val="00DF5758"/>
    <w:rsid w:val="00DF5F71"/>
    <w:rsid w:val="00DF6C25"/>
    <w:rsid w:val="00DF7052"/>
    <w:rsid w:val="00E005B2"/>
    <w:rsid w:val="00E01794"/>
    <w:rsid w:val="00E01FB1"/>
    <w:rsid w:val="00E02413"/>
    <w:rsid w:val="00E0420F"/>
    <w:rsid w:val="00E06B67"/>
    <w:rsid w:val="00E10539"/>
    <w:rsid w:val="00E13FB8"/>
    <w:rsid w:val="00E2025A"/>
    <w:rsid w:val="00E27FC6"/>
    <w:rsid w:val="00E3050B"/>
    <w:rsid w:val="00E3076E"/>
    <w:rsid w:val="00E32269"/>
    <w:rsid w:val="00E322AD"/>
    <w:rsid w:val="00E45BD6"/>
    <w:rsid w:val="00E4621D"/>
    <w:rsid w:val="00E4761C"/>
    <w:rsid w:val="00E478CF"/>
    <w:rsid w:val="00E5004A"/>
    <w:rsid w:val="00E50062"/>
    <w:rsid w:val="00E508D2"/>
    <w:rsid w:val="00E50C91"/>
    <w:rsid w:val="00E5405D"/>
    <w:rsid w:val="00E570FF"/>
    <w:rsid w:val="00E57F6D"/>
    <w:rsid w:val="00E60FE5"/>
    <w:rsid w:val="00E61795"/>
    <w:rsid w:val="00E61C1B"/>
    <w:rsid w:val="00E62221"/>
    <w:rsid w:val="00E6362A"/>
    <w:rsid w:val="00E63A0A"/>
    <w:rsid w:val="00E6514B"/>
    <w:rsid w:val="00E65C9B"/>
    <w:rsid w:val="00E73CD1"/>
    <w:rsid w:val="00E742D9"/>
    <w:rsid w:val="00E75E17"/>
    <w:rsid w:val="00E76BB3"/>
    <w:rsid w:val="00E76F78"/>
    <w:rsid w:val="00E82C79"/>
    <w:rsid w:val="00E83B4F"/>
    <w:rsid w:val="00E869ED"/>
    <w:rsid w:val="00E86EC0"/>
    <w:rsid w:val="00E87FC0"/>
    <w:rsid w:val="00E90513"/>
    <w:rsid w:val="00E91D90"/>
    <w:rsid w:val="00E935A7"/>
    <w:rsid w:val="00E943C0"/>
    <w:rsid w:val="00E96F99"/>
    <w:rsid w:val="00EA0C51"/>
    <w:rsid w:val="00EA1B0E"/>
    <w:rsid w:val="00EA35D5"/>
    <w:rsid w:val="00EA45DE"/>
    <w:rsid w:val="00EA4D7A"/>
    <w:rsid w:val="00EA5E7A"/>
    <w:rsid w:val="00EB0892"/>
    <w:rsid w:val="00EB1CA7"/>
    <w:rsid w:val="00ED63CA"/>
    <w:rsid w:val="00ED64AE"/>
    <w:rsid w:val="00EE1D91"/>
    <w:rsid w:val="00EE5B65"/>
    <w:rsid w:val="00EE64CF"/>
    <w:rsid w:val="00EE6E8F"/>
    <w:rsid w:val="00EF109D"/>
    <w:rsid w:val="00EF33A8"/>
    <w:rsid w:val="00EF4539"/>
    <w:rsid w:val="00F00845"/>
    <w:rsid w:val="00F00864"/>
    <w:rsid w:val="00F01CF9"/>
    <w:rsid w:val="00F06D7B"/>
    <w:rsid w:val="00F111EC"/>
    <w:rsid w:val="00F151CA"/>
    <w:rsid w:val="00F1622E"/>
    <w:rsid w:val="00F16295"/>
    <w:rsid w:val="00F1718D"/>
    <w:rsid w:val="00F20CAB"/>
    <w:rsid w:val="00F22DA1"/>
    <w:rsid w:val="00F269F3"/>
    <w:rsid w:val="00F3232E"/>
    <w:rsid w:val="00F32AD5"/>
    <w:rsid w:val="00F416E7"/>
    <w:rsid w:val="00F4227E"/>
    <w:rsid w:val="00F44919"/>
    <w:rsid w:val="00F45E07"/>
    <w:rsid w:val="00F47EF4"/>
    <w:rsid w:val="00F56234"/>
    <w:rsid w:val="00F562A2"/>
    <w:rsid w:val="00F57FC0"/>
    <w:rsid w:val="00F61231"/>
    <w:rsid w:val="00F665F9"/>
    <w:rsid w:val="00F67857"/>
    <w:rsid w:val="00F708A6"/>
    <w:rsid w:val="00F71320"/>
    <w:rsid w:val="00F74959"/>
    <w:rsid w:val="00F76B93"/>
    <w:rsid w:val="00F773BB"/>
    <w:rsid w:val="00F812F8"/>
    <w:rsid w:val="00F842C4"/>
    <w:rsid w:val="00F85E92"/>
    <w:rsid w:val="00F86745"/>
    <w:rsid w:val="00F870E0"/>
    <w:rsid w:val="00F94299"/>
    <w:rsid w:val="00F95B51"/>
    <w:rsid w:val="00F96003"/>
    <w:rsid w:val="00F96BC3"/>
    <w:rsid w:val="00F978DA"/>
    <w:rsid w:val="00FA3650"/>
    <w:rsid w:val="00FA691B"/>
    <w:rsid w:val="00FB0181"/>
    <w:rsid w:val="00FB3AF7"/>
    <w:rsid w:val="00FB53B7"/>
    <w:rsid w:val="00FB6042"/>
    <w:rsid w:val="00FB748F"/>
    <w:rsid w:val="00FC35FC"/>
    <w:rsid w:val="00FC7AC9"/>
    <w:rsid w:val="00FD1D6A"/>
    <w:rsid w:val="00FD34FF"/>
    <w:rsid w:val="00FD4EFD"/>
    <w:rsid w:val="00FE37EE"/>
    <w:rsid w:val="00FF42EB"/>
    <w:rsid w:val="00FF5C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BB277"/>
  <w15:chartTrackingRefBased/>
  <w15:docId w15:val="{9F4831DB-209F-4019-A9CD-2A8A581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EF4"/>
    <w:pPr>
      <w:ind w:left="720"/>
      <w:contextualSpacing/>
    </w:pPr>
  </w:style>
  <w:style w:type="character" w:styleId="Hipervnculo">
    <w:name w:val="Hyperlink"/>
    <w:basedOn w:val="Fuentedeprrafopredeter"/>
    <w:uiPriority w:val="99"/>
    <w:unhideWhenUsed/>
    <w:rsid w:val="00F47EF4"/>
    <w:rPr>
      <w:color w:val="0563C1" w:themeColor="hyperlink"/>
      <w:u w:val="single"/>
    </w:rPr>
  </w:style>
  <w:style w:type="table" w:styleId="Tablaconcuadrcula">
    <w:name w:val="Table Grid"/>
    <w:basedOn w:val="Tablanormal"/>
    <w:uiPriority w:val="39"/>
    <w:rsid w:val="00F4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EF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F47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EF4"/>
    <w:rPr>
      <w:sz w:val="20"/>
      <w:szCs w:val="20"/>
    </w:rPr>
  </w:style>
  <w:style w:type="character" w:styleId="Refdenotaalpie">
    <w:name w:val="footnote reference"/>
    <w:basedOn w:val="Fuentedeprrafopredeter"/>
    <w:semiHidden/>
    <w:unhideWhenUsed/>
    <w:rsid w:val="00F47EF4"/>
    <w:rPr>
      <w:vertAlign w:val="superscript"/>
    </w:rPr>
  </w:style>
  <w:style w:type="paragraph" w:styleId="Encabezado">
    <w:name w:val="header"/>
    <w:basedOn w:val="Normal"/>
    <w:link w:val="EncabezadoCar"/>
    <w:unhideWhenUsed/>
    <w:rsid w:val="00F47EF4"/>
    <w:pPr>
      <w:tabs>
        <w:tab w:val="center" w:pos="4419"/>
        <w:tab w:val="right" w:pos="8838"/>
      </w:tabs>
      <w:spacing w:after="0" w:line="240" w:lineRule="auto"/>
    </w:pPr>
  </w:style>
  <w:style w:type="character" w:customStyle="1" w:styleId="EncabezadoCar">
    <w:name w:val="Encabezado Car"/>
    <w:basedOn w:val="Fuentedeprrafopredeter"/>
    <w:link w:val="Encabezado"/>
    <w:rsid w:val="00F47EF4"/>
  </w:style>
  <w:style w:type="paragraph" w:styleId="Piedepgina">
    <w:name w:val="footer"/>
    <w:basedOn w:val="Normal"/>
    <w:link w:val="PiedepginaCar"/>
    <w:uiPriority w:val="99"/>
    <w:unhideWhenUsed/>
    <w:rsid w:val="00F4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EF4"/>
  </w:style>
  <w:style w:type="character" w:customStyle="1" w:styleId="Mencinsinresolver1">
    <w:name w:val="Mención sin resolver1"/>
    <w:basedOn w:val="Fuentedeprrafopredeter"/>
    <w:uiPriority w:val="99"/>
    <w:semiHidden/>
    <w:unhideWhenUsed/>
    <w:rsid w:val="00F47EF4"/>
    <w:rPr>
      <w:color w:val="605E5C"/>
      <w:shd w:val="clear" w:color="auto" w:fill="E1DFDD"/>
    </w:rPr>
  </w:style>
  <w:style w:type="paragraph" w:styleId="Textodeglobo">
    <w:name w:val="Balloon Text"/>
    <w:basedOn w:val="Normal"/>
    <w:link w:val="TextodegloboCar"/>
    <w:uiPriority w:val="99"/>
    <w:semiHidden/>
    <w:unhideWhenUsed/>
    <w:rsid w:val="00C6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87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9018C0"/>
    <w:rPr>
      <w:color w:val="605E5C"/>
      <w:shd w:val="clear" w:color="auto" w:fill="E1DFDD"/>
    </w:rPr>
  </w:style>
  <w:style w:type="character" w:styleId="Hipervnculovisitado">
    <w:name w:val="FollowedHyperlink"/>
    <w:basedOn w:val="Fuentedeprrafopredeter"/>
    <w:uiPriority w:val="99"/>
    <w:semiHidden/>
    <w:unhideWhenUsed/>
    <w:rsid w:val="00E73CD1"/>
    <w:rPr>
      <w:color w:val="954F72" w:themeColor="followedHyperlink"/>
      <w:u w:val="single"/>
    </w:rPr>
  </w:style>
  <w:style w:type="character" w:styleId="nfasissutil">
    <w:name w:val="Subtle Emphasis"/>
    <w:basedOn w:val="Fuentedeprrafopredeter"/>
    <w:uiPriority w:val="19"/>
    <w:qFormat/>
    <w:rsid w:val="008E07DE"/>
    <w:rPr>
      <w:i/>
      <w:iCs/>
      <w:color w:val="404040" w:themeColor="text1" w:themeTint="BF"/>
    </w:rPr>
  </w:style>
  <w:style w:type="paragraph" w:customStyle="1" w:styleId="Default">
    <w:name w:val="Default"/>
    <w:rsid w:val="0014062A"/>
    <w:pPr>
      <w:autoSpaceDE w:val="0"/>
      <w:autoSpaceDN w:val="0"/>
      <w:adjustRightInd w:val="0"/>
      <w:spacing w:after="0" w:line="240" w:lineRule="auto"/>
    </w:pPr>
    <w:rPr>
      <w:rFonts w:ascii="Arial" w:hAnsi="Arial" w:cs="Arial"/>
      <w:color w:val="000000"/>
      <w:sz w:val="24"/>
      <w:szCs w:val="24"/>
    </w:rPr>
  </w:style>
  <w:style w:type="paragraph" w:customStyle="1" w:styleId="Pa27">
    <w:name w:val="Pa27"/>
    <w:basedOn w:val="Default"/>
    <w:next w:val="Default"/>
    <w:uiPriority w:val="99"/>
    <w:rsid w:val="00D26405"/>
    <w:pPr>
      <w:spacing w:line="221" w:lineRule="atLeast"/>
    </w:pPr>
    <w:rPr>
      <w:color w:val="auto"/>
      <w:lang w:val="en-US"/>
    </w:rPr>
  </w:style>
  <w:style w:type="character" w:customStyle="1" w:styleId="A1">
    <w:name w:val="A1"/>
    <w:uiPriority w:val="99"/>
    <w:rsid w:val="00D26405"/>
    <w:rPr>
      <w:color w:val="000000"/>
      <w:sz w:val="20"/>
      <w:szCs w:val="20"/>
    </w:rPr>
  </w:style>
  <w:style w:type="paragraph" w:customStyle="1" w:styleId="Pa10">
    <w:name w:val="Pa10"/>
    <w:basedOn w:val="Default"/>
    <w:next w:val="Default"/>
    <w:uiPriority w:val="99"/>
    <w:rsid w:val="00D26405"/>
    <w:pPr>
      <w:spacing w:line="221" w:lineRule="atLeast"/>
    </w:pPr>
    <w:rPr>
      <w:color w:val="auto"/>
      <w:lang w:val="en-US"/>
    </w:rPr>
  </w:style>
  <w:style w:type="paragraph" w:customStyle="1" w:styleId="texto">
    <w:name w:val="texto"/>
    <w:basedOn w:val="Normal"/>
    <w:uiPriority w:val="99"/>
    <w:rsid w:val="00D26405"/>
    <w:pPr>
      <w:keepLines/>
      <w:widowControl w:val="0"/>
      <w:spacing w:before="240" w:after="0" w:line="240" w:lineRule="auto"/>
      <w:jc w:val="both"/>
    </w:pPr>
    <w:rPr>
      <w:rFonts w:ascii="Arial" w:eastAsia="Times New Roman" w:hAnsi="Arial" w:cs="Times New Roman"/>
      <w:snapToGrid w:val="0"/>
      <w:color w:val="000080"/>
      <w:sz w:val="24"/>
      <w:szCs w:val="20"/>
      <w:lang w:eastAsia="es-ES"/>
    </w:rPr>
  </w:style>
  <w:style w:type="paragraph" w:customStyle="1" w:styleId="Pa9">
    <w:name w:val="Pa9"/>
    <w:basedOn w:val="Default"/>
    <w:next w:val="Default"/>
    <w:uiPriority w:val="99"/>
    <w:rsid w:val="00D26405"/>
    <w:pPr>
      <w:spacing w:line="221" w:lineRule="atLeast"/>
    </w:pPr>
    <w:rPr>
      <w:color w:val="auto"/>
      <w:lang w:val="en-US"/>
    </w:rPr>
  </w:style>
  <w:style w:type="paragraph" w:customStyle="1" w:styleId="Pa29">
    <w:name w:val="Pa29"/>
    <w:basedOn w:val="Default"/>
    <w:next w:val="Default"/>
    <w:uiPriority w:val="99"/>
    <w:rsid w:val="00D26405"/>
    <w:pPr>
      <w:spacing w:line="221" w:lineRule="atLeast"/>
    </w:pPr>
    <w:rPr>
      <w:color w:val="auto"/>
      <w:lang w:val="en-US"/>
    </w:rPr>
  </w:style>
  <w:style w:type="table" w:styleId="Tabladelista1clara-nfasis6">
    <w:name w:val="List Table 1 Light Accent 6"/>
    <w:basedOn w:val="Tablanormal"/>
    <w:uiPriority w:val="46"/>
    <w:rsid w:val="00D009A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E0420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Mencinsinresolver3">
    <w:name w:val="Mención sin resolver3"/>
    <w:basedOn w:val="Fuentedeprrafopredeter"/>
    <w:uiPriority w:val="99"/>
    <w:semiHidden/>
    <w:unhideWhenUsed/>
    <w:rsid w:val="00C21824"/>
    <w:rPr>
      <w:color w:val="605E5C"/>
      <w:shd w:val="clear" w:color="auto" w:fill="E1DFDD"/>
    </w:rPr>
  </w:style>
  <w:style w:type="table" w:customStyle="1" w:styleId="Tablaconcuadrcula1">
    <w:name w:val="Tabla con cuadrícula1"/>
    <w:basedOn w:val="Tablanormal"/>
    <w:next w:val="Tablaconcuadrcula"/>
    <w:uiPriority w:val="59"/>
    <w:rsid w:val="00612E35"/>
    <w:pPr>
      <w:spacing w:after="0" w:line="240" w:lineRule="auto"/>
    </w:pPr>
    <w:rPr>
      <w:rFonts w:eastAsiaTheme="minorEastAsia"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12E35"/>
    <w:pPr>
      <w:spacing w:after="0" w:line="240" w:lineRule="auto"/>
    </w:pPr>
    <w:rPr>
      <w:rFonts w:eastAsiaTheme="minorEastAsia"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DB55E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encinsinresolver4">
    <w:name w:val="Mención sin resolver4"/>
    <w:basedOn w:val="Fuentedeprrafopredeter"/>
    <w:uiPriority w:val="99"/>
    <w:semiHidden/>
    <w:unhideWhenUsed/>
    <w:rsid w:val="00997EFF"/>
    <w:rPr>
      <w:color w:val="605E5C"/>
      <w:shd w:val="clear" w:color="auto" w:fill="E1DFDD"/>
    </w:rPr>
  </w:style>
  <w:style w:type="character" w:styleId="Mencinsinresolver">
    <w:name w:val="Unresolved Mention"/>
    <w:basedOn w:val="Fuentedeprrafopredeter"/>
    <w:uiPriority w:val="99"/>
    <w:semiHidden/>
    <w:unhideWhenUsed/>
    <w:rsid w:val="00F9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633">
      <w:bodyDiv w:val="1"/>
      <w:marLeft w:val="0"/>
      <w:marRight w:val="0"/>
      <w:marTop w:val="0"/>
      <w:marBottom w:val="0"/>
      <w:divBdr>
        <w:top w:val="none" w:sz="0" w:space="0" w:color="auto"/>
        <w:left w:val="none" w:sz="0" w:space="0" w:color="auto"/>
        <w:bottom w:val="none" w:sz="0" w:space="0" w:color="auto"/>
        <w:right w:val="none" w:sz="0" w:space="0" w:color="auto"/>
      </w:divBdr>
    </w:div>
    <w:div w:id="12153876">
      <w:bodyDiv w:val="1"/>
      <w:marLeft w:val="0"/>
      <w:marRight w:val="0"/>
      <w:marTop w:val="0"/>
      <w:marBottom w:val="0"/>
      <w:divBdr>
        <w:top w:val="none" w:sz="0" w:space="0" w:color="auto"/>
        <w:left w:val="none" w:sz="0" w:space="0" w:color="auto"/>
        <w:bottom w:val="none" w:sz="0" w:space="0" w:color="auto"/>
        <w:right w:val="none" w:sz="0" w:space="0" w:color="auto"/>
      </w:divBdr>
    </w:div>
    <w:div w:id="58603225">
      <w:bodyDiv w:val="1"/>
      <w:marLeft w:val="0"/>
      <w:marRight w:val="0"/>
      <w:marTop w:val="0"/>
      <w:marBottom w:val="0"/>
      <w:divBdr>
        <w:top w:val="none" w:sz="0" w:space="0" w:color="auto"/>
        <w:left w:val="none" w:sz="0" w:space="0" w:color="auto"/>
        <w:bottom w:val="none" w:sz="0" w:space="0" w:color="auto"/>
        <w:right w:val="none" w:sz="0" w:space="0" w:color="auto"/>
      </w:divBdr>
    </w:div>
    <w:div w:id="164323883">
      <w:bodyDiv w:val="1"/>
      <w:marLeft w:val="0"/>
      <w:marRight w:val="0"/>
      <w:marTop w:val="0"/>
      <w:marBottom w:val="0"/>
      <w:divBdr>
        <w:top w:val="none" w:sz="0" w:space="0" w:color="auto"/>
        <w:left w:val="none" w:sz="0" w:space="0" w:color="auto"/>
        <w:bottom w:val="none" w:sz="0" w:space="0" w:color="auto"/>
        <w:right w:val="none" w:sz="0" w:space="0" w:color="auto"/>
      </w:divBdr>
    </w:div>
    <w:div w:id="187762878">
      <w:bodyDiv w:val="1"/>
      <w:marLeft w:val="0"/>
      <w:marRight w:val="0"/>
      <w:marTop w:val="0"/>
      <w:marBottom w:val="0"/>
      <w:divBdr>
        <w:top w:val="none" w:sz="0" w:space="0" w:color="auto"/>
        <w:left w:val="none" w:sz="0" w:space="0" w:color="auto"/>
        <w:bottom w:val="none" w:sz="0" w:space="0" w:color="auto"/>
        <w:right w:val="none" w:sz="0" w:space="0" w:color="auto"/>
      </w:divBdr>
    </w:div>
    <w:div w:id="227344425">
      <w:bodyDiv w:val="1"/>
      <w:marLeft w:val="0"/>
      <w:marRight w:val="0"/>
      <w:marTop w:val="0"/>
      <w:marBottom w:val="0"/>
      <w:divBdr>
        <w:top w:val="none" w:sz="0" w:space="0" w:color="auto"/>
        <w:left w:val="none" w:sz="0" w:space="0" w:color="auto"/>
        <w:bottom w:val="none" w:sz="0" w:space="0" w:color="auto"/>
        <w:right w:val="none" w:sz="0" w:space="0" w:color="auto"/>
      </w:divBdr>
    </w:div>
    <w:div w:id="236979993">
      <w:bodyDiv w:val="1"/>
      <w:marLeft w:val="0"/>
      <w:marRight w:val="0"/>
      <w:marTop w:val="0"/>
      <w:marBottom w:val="0"/>
      <w:divBdr>
        <w:top w:val="none" w:sz="0" w:space="0" w:color="auto"/>
        <w:left w:val="none" w:sz="0" w:space="0" w:color="auto"/>
        <w:bottom w:val="none" w:sz="0" w:space="0" w:color="auto"/>
        <w:right w:val="none" w:sz="0" w:space="0" w:color="auto"/>
      </w:divBdr>
    </w:div>
    <w:div w:id="251357680">
      <w:bodyDiv w:val="1"/>
      <w:marLeft w:val="0"/>
      <w:marRight w:val="0"/>
      <w:marTop w:val="0"/>
      <w:marBottom w:val="0"/>
      <w:divBdr>
        <w:top w:val="none" w:sz="0" w:space="0" w:color="auto"/>
        <w:left w:val="none" w:sz="0" w:space="0" w:color="auto"/>
        <w:bottom w:val="none" w:sz="0" w:space="0" w:color="auto"/>
        <w:right w:val="none" w:sz="0" w:space="0" w:color="auto"/>
      </w:divBdr>
    </w:div>
    <w:div w:id="255793152">
      <w:bodyDiv w:val="1"/>
      <w:marLeft w:val="0"/>
      <w:marRight w:val="0"/>
      <w:marTop w:val="0"/>
      <w:marBottom w:val="0"/>
      <w:divBdr>
        <w:top w:val="none" w:sz="0" w:space="0" w:color="auto"/>
        <w:left w:val="none" w:sz="0" w:space="0" w:color="auto"/>
        <w:bottom w:val="none" w:sz="0" w:space="0" w:color="auto"/>
        <w:right w:val="none" w:sz="0" w:space="0" w:color="auto"/>
      </w:divBdr>
    </w:div>
    <w:div w:id="258568870">
      <w:bodyDiv w:val="1"/>
      <w:marLeft w:val="0"/>
      <w:marRight w:val="0"/>
      <w:marTop w:val="0"/>
      <w:marBottom w:val="0"/>
      <w:divBdr>
        <w:top w:val="none" w:sz="0" w:space="0" w:color="auto"/>
        <w:left w:val="none" w:sz="0" w:space="0" w:color="auto"/>
        <w:bottom w:val="none" w:sz="0" w:space="0" w:color="auto"/>
        <w:right w:val="none" w:sz="0" w:space="0" w:color="auto"/>
      </w:divBdr>
    </w:div>
    <w:div w:id="320279457">
      <w:bodyDiv w:val="1"/>
      <w:marLeft w:val="0"/>
      <w:marRight w:val="0"/>
      <w:marTop w:val="0"/>
      <w:marBottom w:val="0"/>
      <w:divBdr>
        <w:top w:val="none" w:sz="0" w:space="0" w:color="auto"/>
        <w:left w:val="none" w:sz="0" w:space="0" w:color="auto"/>
        <w:bottom w:val="none" w:sz="0" w:space="0" w:color="auto"/>
        <w:right w:val="none" w:sz="0" w:space="0" w:color="auto"/>
      </w:divBdr>
    </w:div>
    <w:div w:id="322662005">
      <w:bodyDiv w:val="1"/>
      <w:marLeft w:val="0"/>
      <w:marRight w:val="0"/>
      <w:marTop w:val="0"/>
      <w:marBottom w:val="0"/>
      <w:divBdr>
        <w:top w:val="none" w:sz="0" w:space="0" w:color="auto"/>
        <w:left w:val="none" w:sz="0" w:space="0" w:color="auto"/>
        <w:bottom w:val="none" w:sz="0" w:space="0" w:color="auto"/>
        <w:right w:val="none" w:sz="0" w:space="0" w:color="auto"/>
      </w:divBdr>
    </w:div>
    <w:div w:id="332877313">
      <w:bodyDiv w:val="1"/>
      <w:marLeft w:val="0"/>
      <w:marRight w:val="0"/>
      <w:marTop w:val="0"/>
      <w:marBottom w:val="0"/>
      <w:divBdr>
        <w:top w:val="none" w:sz="0" w:space="0" w:color="auto"/>
        <w:left w:val="none" w:sz="0" w:space="0" w:color="auto"/>
        <w:bottom w:val="none" w:sz="0" w:space="0" w:color="auto"/>
        <w:right w:val="none" w:sz="0" w:space="0" w:color="auto"/>
      </w:divBdr>
    </w:div>
    <w:div w:id="343556457">
      <w:bodyDiv w:val="1"/>
      <w:marLeft w:val="0"/>
      <w:marRight w:val="0"/>
      <w:marTop w:val="0"/>
      <w:marBottom w:val="0"/>
      <w:divBdr>
        <w:top w:val="none" w:sz="0" w:space="0" w:color="auto"/>
        <w:left w:val="none" w:sz="0" w:space="0" w:color="auto"/>
        <w:bottom w:val="none" w:sz="0" w:space="0" w:color="auto"/>
        <w:right w:val="none" w:sz="0" w:space="0" w:color="auto"/>
      </w:divBdr>
    </w:div>
    <w:div w:id="349184510">
      <w:bodyDiv w:val="1"/>
      <w:marLeft w:val="0"/>
      <w:marRight w:val="0"/>
      <w:marTop w:val="0"/>
      <w:marBottom w:val="0"/>
      <w:divBdr>
        <w:top w:val="none" w:sz="0" w:space="0" w:color="auto"/>
        <w:left w:val="none" w:sz="0" w:space="0" w:color="auto"/>
        <w:bottom w:val="none" w:sz="0" w:space="0" w:color="auto"/>
        <w:right w:val="none" w:sz="0" w:space="0" w:color="auto"/>
      </w:divBdr>
    </w:div>
    <w:div w:id="421486644">
      <w:bodyDiv w:val="1"/>
      <w:marLeft w:val="0"/>
      <w:marRight w:val="0"/>
      <w:marTop w:val="0"/>
      <w:marBottom w:val="0"/>
      <w:divBdr>
        <w:top w:val="none" w:sz="0" w:space="0" w:color="auto"/>
        <w:left w:val="none" w:sz="0" w:space="0" w:color="auto"/>
        <w:bottom w:val="none" w:sz="0" w:space="0" w:color="auto"/>
        <w:right w:val="none" w:sz="0" w:space="0" w:color="auto"/>
      </w:divBdr>
    </w:div>
    <w:div w:id="457841128">
      <w:bodyDiv w:val="1"/>
      <w:marLeft w:val="0"/>
      <w:marRight w:val="0"/>
      <w:marTop w:val="0"/>
      <w:marBottom w:val="0"/>
      <w:divBdr>
        <w:top w:val="none" w:sz="0" w:space="0" w:color="auto"/>
        <w:left w:val="none" w:sz="0" w:space="0" w:color="auto"/>
        <w:bottom w:val="none" w:sz="0" w:space="0" w:color="auto"/>
        <w:right w:val="none" w:sz="0" w:space="0" w:color="auto"/>
      </w:divBdr>
    </w:div>
    <w:div w:id="460923913">
      <w:bodyDiv w:val="1"/>
      <w:marLeft w:val="0"/>
      <w:marRight w:val="0"/>
      <w:marTop w:val="0"/>
      <w:marBottom w:val="0"/>
      <w:divBdr>
        <w:top w:val="none" w:sz="0" w:space="0" w:color="auto"/>
        <w:left w:val="none" w:sz="0" w:space="0" w:color="auto"/>
        <w:bottom w:val="none" w:sz="0" w:space="0" w:color="auto"/>
        <w:right w:val="none" w:sz="0" w:space="0" w:color="auto"/>
      </w:divBdr>
    </w:div>
    <w:div w:id="468547950">
      <w:bodyDiv w:val="1"/>
      <w:marLeft w:val="0"/>
      <w:marRight w:val="0"/>
      <w:marTop w:val="0"/>
      <w:marBottom w:val="0"/>
      <w:divBdr>
        <w:top w:val="none" w:sz="0" w:space="0" w:color="auto"/>
        <w:left w:val="none" w:sz="0" w:space="0" w:color="auto"/>
        <w:bottom w:val="none" w:sz="0" w:space="0" w:color="auto"/>
        <w:right w:val="none" w:sz="0" w:space="0" w:color="auto"/>
      </w:divBdr>
    </w:div>
    <w:div w:id="470683052">
      <w:bodyDiv w:val="1"/>
      <w:marLeft w:val="0"/>
      <w:marRight w:val="0"/>
      <w:marTop w:val="0"/>
      <w:marBottom w:val="0"/>
      <w:divBdr>
        <w:top w:val="none" w:sz="0" w:space="0" w:color="auto"/>
        <w:left w:val="none" w:sz="0" w:space="0" w:color="auto"/>
        <w:bottom w:val="none" w:sz="0" w:space="0" w:color="auto"/>
        <w:right w:val="none" w:sz="0" w:space="0" w:color="auto"/>
      </w:divBdr>
    </w:div>
    <w:div w:id="518274137">
      <w:bodyDiv w:val="1"/>
      <w:marLeft w:val="0"/>
      <w:marRight w:val="0"/>
      <w:marTop w:val="0"/>
      <w:marBottom w:val="0"/>
      <w:divBdr>
        <w:top w:val="none" w:sz="0" w:space="0" w:color="auto"/>
        <w:left w:val="none" w:sz="0" w:space="0" w:color="auto"/>
        <w:bottom w:val="none" w:sz="0" w:space="0" w:color="auto"/>
        <w:right w:val="none" w:sz="0" w:space="0" w:color="auto"/>
      </w:divBdr>
    </w:div>
    <w:div w:id="531458402">
      <w:bodyDiv w:val="1"/>
      <w:marLeft w:val="0"/>
      <w:marRight w:val="0"/>
      <w:marTop w:val="0"/>
      <w:marBottom w:val="0"/>
      <w:divBdr>
        <w:top w:val="none" w:sz="0" w:space="0" w:color="auto"/>
        <w:left w:val="none" w:sz="0" w:space="0" w:color="auto"/>
        <w:bottom w:val="none" w:sz="0" w:space="0" w:color="auto"/>
        <w:right w:val="none" w:sz="0" w:space="0" w:color="auto"/>
      </w:divBdr>
    </w:div>
    <w:div w:id="559099776">
      <w:bodyDiv w:val="1"/>
      <w:marLeft w:val="0"/>
      <w:marRight w:val="0"/>
      <w:marTop w:val="0"/>
      <w:marBottom w:val="0"/>
      <w:divBdr>
        <w:top w:val="none" w:sz="0" w:space="0" w:color="auto"/>
        <w:left w:val="none" w:sz="0" w:space="0" w:color="auto"/>
        <w:bottom w:val="none" w:sz="0" w:space="0" w:color="auto"/>
        <w:right w:val="none" w:sz="0" w:space="0" w:color="auto"/>
      </w:divBdr>
    </w:div>
    <w:div w:id="605163069">
      <w:bodyDiv w:val="1"/>
      <w:marLeft w:val="0"/>
      <w:marRight w:val="0"/>
      <w:marTop w:val="0"/>
      <w:marBottom w:val="0"/>
      <w:divBdr>
        <w:top w:val="none" w:sz="0" w:space="0" w:color="auto"/>
        <w:left w:val="none" w:sz="0" w:space="0" w:color="auto"/>
        <w:bottom w:val="none" w:sz="0" w:space="0" w:color="auto"/>
        <w:right w:val="none" w:sz="0" w:space="0" w:color="auto"/>
      </w:divBdr>
    </w:div>
    <w:div w:id="632902138">
      <w:bodyDiv w:val="1"/>
      <w:marLeft w:val="0"/>
      <w:marRight w:val="0"/>
      <w:marTop w:val="0"/>
      <w:marBottom w:val="0"/>
      <w:divBdr>
        <w:top w:val="none" w:sz="0" w:space="0" w:color="auto"/>
        <w:left w:val="none" w:sz="0" w:space="0" w:color="auto"/>
        <w:bottom w:val="none" w:sz="0" w:space="0" w:color="auto"/>
        <w:right w:val="none" w:sz="0" w:space="0" w:color="auto"/>
      </w:divBdr>
    </w:div>
    <w:div w:id="643778372">
      <w:bodyDiv w:val="1"/>
      <w:marLeft w:val="0"/>
      <w:marRight w:val="0"/>
      <w:marTop w:val="0"/>
      <w:marBottom w:val="0"/>
      <w:divBdr>
        <w:top w:val="none" w:sz="0" w:space="0" w:color="auto"/>
        <w:left w:val="none" w:sz="0" w:space="0" w:color="auto"/>
        <w:bottom w:val="none" w:sz="0" w:space="0" w:color="auto"/>
        <w:right w:val="none" w:sz="0" w:space="0" w:color="auto"/>
      </w:divBdr>
    </w:div>
    <w:div w:id="670832684">
      <w:bodyDiv w:val="1"/>
      <w:marLeft w:val="0"/>
      <w:marRight w:val="0"/>
      <w:marTop w:val="0"/>
      <w:marBottom w:val="0"/>
      <w:divBdr>
        <w:top w:val="none" w:sz="0" w:space="0" w:color="auto"/>
        <w:left w:val="none" w:sz="0" w:space="0" w:color="auto"/>
        <w:bottom w:val="none" w:sz="0" w:space="0" w:color="auto"/>
        <w:right w:val="none" w:sz="0" w:space="0" w:color="auto"/>
      </w:divBdr>
    </w:div>
    <w:div w:id="670837320">
      <w:bodyDiv w:val="1"/>
      <w:marLeft w:val="0"/>
      <w:marRight w:val="0"/>
      <w:marTop w:val="0"/>
      <w:marBottom w:val="0"/>
      <w:divBdr>
        <w:top w:val="none" w:sz="0" w:space="0" w:color="auto"/>
        <w:left w:val="none" w:sz="0" w:space="0" w:color="auto"/>
        <w:bottom w:val="none" w:sz="0" w:space="0" w:color="auto"/>
        <w:right w:val="none" w:sz="0" w:space="0" w:color="auto"/>
      </w:divBdr>
    </w:div>
    <w:div w:id="700788508">
      <w:bodyDiv w:val="1"/>
      <w:marLeft w:val="0"/>
      <w:marRight w:val="0"/>
      <w:marTop w:val="0"/>
      <w:marBottom w:val="0"/>
      <w:divBdr>
        <w:top w:val="none" w:sz="0" w:space="0" w:color="auto"/>
        <w:left w:val="none" w:sz="0" w:space="0" w:color="auto"/>
        <w:bottom w:val="none" w:sz="0" w:space="0" w:color="auto"/>
        <w:right w:val="none" w:sz="0" w:space="0" w:color="auto"/>
      </w:divBdr>
    </w:div>
    <w:div w:id="704913981">
      <w:bodyDiv w:val="1"/>
      <w:marLeft w:val="0"/>
      <w:marRight w:val="0"/>
      <w:marTop w:val="0"/>
      <w:marBottom w:val="0"/>
      <w:divBdr>
        <w:top w:val="none" w:sz="0" w:space="0" w:color="auto"/>
        <w:left w:val="none" w:sz="0" w:space="0" w:color="auto"/>
        <w:bottom w:val="none" w:sz="0" w:space="0" w:color="auto"/>
        <w:right w:val="none" w:sz="0" w:space="0" w:color="auto"/>
      </w:divBdr>
    </w:div>
    <w:div w:id="728771879">
      <w:bodyDiv w:val="1"/>
      <w:marLeft w:val="0"/>
      <w:marRight w:val="0"/>
      <w:marTop w:val="0"/>
      <w:marBottom w:val="0"/>
      <w:divBdr>
        <w:top w:val="none" w:sz="0" w:space="0" w:color="auto"/>
        <w:left w:val="none" w:sz="0" w:space="0" w:color="auto"/>
        <w:bottom w:val="none" w:sz="0" w:space="0" w:color="auto"/>
        <w:right w:val="none" w:sz="0" w:space="0" w:color="auto"/>
      </w:divBdr>
    </w:div>
    <w:div w:id="736712299">
      <w:bodyDiv w:val="1"/>
      <w:marLeft w:val="0"/>
      <w:marRight w:val="0"/>
      <w:marTop w:val="0"/>
      <w:marBottom w:val="0"/>
      <w:divBdr>
        <w:top w:val="none" w:sz="0" w:space="0" w:color="auto"/>
        <w:left w:val="none" w:sz="0" w:space="0" w:color="auto"/>
        <w:bottom w:val="none" w:sz="0" w:space="0" w:color="auto"/>
        <w:right w:val="none" w:sz="0" w:space="0" w:color="auto"/>
      </w:divBdr>
    </w:div>
    <w:div w:id="750657203">
      <w:bodyDiv w:val="1"/>
      <w:marLeft w:val="0"/>
      <w:marRight w:val="0"/>
      <w:marTop w:val="0"/>
      <w:marBottom w:val="0"/>
      <w:divBdr>
        <w:top w:val="none" w:sz="0" w:space="0" w:color="auto"/>
        <w:left w:val="none" w:sz="0" w:space="0" w:color="auto"/>
        <w:bottom w:val="none" w:sz="0" w:space="0" w:color="auto"/>
        <w:right w:val="none" w:sz="0" w:space="0" w:color="auto"/>
      </w:divBdr>
    </w:div>
    <w:div w:id="769667588">
      <w:bodyDiv w:val="1"/>
      <w:marLeft w:val="0"/>
      <w:marRight w:val="0"/>
      <w:marTop w:val="0"/>
      <w:marBottom w:val="0"/>
      <w:divBdr>
        <w:top w:val="none" w:sz="0" w:space="0" w:color="auto"/>
        <w:left w:val="none" w:sz="0" w:space="0" w:color="auto"/>
        <w:bottom w:val="none" w:sz="0" w:space="0" w:color="auto"/>
        <w:right w:val="none" w:sz="0" w:space="0" w:color="auto"/>
      </w:divBdr>
    </w:div>
    <w:div w:id="792673889">
      <w:bodyDiv w:val="1"/>
      <w:marLeft w:val="0"/>
      <w:marRight w:val="0"/>
      <w:marTop w:val="0"/>
      <w:marBottom w:val="0"/>
      <w:divBdr>
        <w:top w:val="none" w:sz="0" w:space="0" w:color="auto"/>
        <w:left w:val="none" w:sz="0" w:space="0" w:color="auto"/>
        <w:bottom w:val="none" w:sz="0" w:space="0" w:color="auto"/>
        <w:right w:val="none" w:sz="0" w:space="0" w:color="auto"/>
      </w:divBdr>
    </w:div>
    <w:div w:id="796292828">
      <w:bodyDiv w:val="1"/>
      <w:marLeft w:val="0"/>
      <w:marRight w:val="0"/>
      <w:marTop w:val="0"/>
      <w:marBottom w:val="0"/>
      <w:divBdr>
        <w:top w:val="none" w:sz="0" w:space="0" w:color="auto"/>
        <w:left w:val="none" w:sz="0" w:space="0" w:color="auto"/>
        <w:bottom w:val="none" w:sz="0" w:space="0" w:color="auto"/>
        <w:right w:val="none" w:sz="0" w:space="0" w:color="auto"/>
      </w:divBdr>
    </w:div>
    <w:div w:id="813446588">
      <w:bodyDiv w:val="1"/>
      <w:marLeft w:val="0"/>
      <w:marRight w:val="0"/>
      <w:marTop w:val="0"/>
      <w:marBottom w:val="0"/>
      <w:divBdr>
        <w:top w:val="none" w:sz="0" w:space="0" w:color="auto"/>
        <w:left w:val="none" w:sz="0" w:space="0" w:color="auto"/>
        <w:bottom w:val="none" w:sz="0" w:space="0" w:color="auto"/>
        <w:right w:val="none" w:sz="0" w:space="0" w:color="auto"/>
      </w:divBdr>
    </w:div>
    <w:div w:id="832909924">
      <w:bodyDiv w:val="1"/>
      <w:marLeft w:val="0"/>
      <w:marRight w:val="0"/>
      <w:marTop w:val="0"/>
      <w:marBottom w:val="0"/>
      <w:divBdr>
        <w:top w:val="none" w:sz="0" w:space="0" w:color="auto"/>
        <w:left w:val="none" w:sz="0" w:space="0" w:color="auto"/>
        <w:bottom w:val="none" w:sz="0" w:space="0" w:color="auto"/>
        <w:right w:val="none" w:sz="0" w:space="0" w:color="auto"/>
      </w:divBdr>
    </w:div>
    <w:div w:id="846596868">
      <w:bodyDiv w:val="1"/>
      <w:marLeft w:val="0"/>
      <w:marRight w:val="0"/>
      <w:marTop w:val="0"/>
      <w:marBottom w:val="0"/>
      <w:divBdr>
        <w:top w:val="none" w:sz="0" w:space="0" w:color="auto"/>
        <w:left w:val="none" w:sz="0" w:space="0" w:color="auto"/>
        <w:bottom w:val="none" w:sz="0" w:space="0" w:color="auto"/>
        <w:right w:val="none" w:sz="0" w:space="0" w:color="auto"/>
      </w:divBdr>
    </w:div>
    <w:div w:id="854272836">
      <w:bodyDiv w:val="1"/>
      <w:marLeft w:val="0"/>
      <w:marRight w:val="0"/>
      <w:marTop w:val="0"/>
      <w:marBottom w:val="0"/>
      <w:divBdr>
        <w:top w:val="none" w:sz="0" w:space="0" w:color="auto"/>
        <w:left w:val="none" w:sz="0" w:space="0" w:color="auto"/>
        <w:bottom w:val="none" w:sz="0" w:space="0" w:color="auto"/>
        <w:right w:val="none" w:sz="0" w:space="0" w:color="auto"/>
      </w:divBdr>
    </w:div>
    <w:div w:id="881481518">
      <w:bodyDiv w:val="1"/>
      <w:marLeft w:val="0"/>
      <w:marRight w:val="0"/>
      <w:marTop w:val="0"/>
      <w:marBottom w:val="0"/>
      <w:divBdr>
        <w:top w:val="none" w:sz="0" w:space="0" w:color="auto"/>
        <w:left w:val="none" w:sz="0" w:space="0" w:color="auto"/>
        <w:bottom w:val="none" w:sz="0" w:space="0" w:color="auto"/>
        <w:right w:val="none" w:sz="0" w:space="0" w:color="auto"/>
      </w:divBdr>
    </w:div>
    <w:div w:id="905997840">
      <w:bodyDiv w:val="1"/>
      <w:marLeft w:val="0"/>
      <w:marRight w:val="0"/>
      <w:marTop w:val="0"/>
      <w:marBottom w:val="0"/>
      <w:divBdr>
        <w:top w:val="none" w:sz="0" w:space="0" w:color="auto"/>
        <w:left w:val="none" w:sz="0" w:space="0" w:color="auto"/>
        <w:bottom w:val="none" w:sz="0" w:space="0" w:color="auto"/>
        <w:right w:val="none" w:sz="0" w:space="0" w:color="auto"/>
      </w:divBdr>
    </w:div>
    <w:div w:id="918442161">
      <w:bodyDiv w:val="1"/>
      <w:marLeft w:val="0"/>
      <w:marRight w:val="0"/>
      <w:marTop w:val="0"/>
      <w:marBottom w:val="0"/>
      <w:divBdr>
        <w:top w:val="none" w:sz="0" w:space="0" w:color="auto"/>
        <w:left w:val="none" w:sz="0" w:space="0" w:color="auto"/>
        <w:bottom w:val="none" w:sz="0" w:space="0" w:color="auto"/>
        <w:right w:val="none" w:sz="0" w:space="0" w:color="auto"/>
      </w:divBdr>
    </w:div>
    <w:div w:id="929309556">
      <w:bodyDiv w:val="1"/>
      <w:marLeft w:val="0"/>
      <w:marRight w:val="0"/>
      <w:marTop w:val="0"/>
      <w:marBottom w:val="0"/>
      <w:divBdr>
        <w:top w:val="none" w:sz="0" w:space="0" w:color="auto"/>
        <w:left w:val="none" w:sz="0" w:space="0" w:color="auto"/>
        <w:bottom w:val="none" w:sz="0" w:space="0" w:color="auto"/>
        <w:right w:val="none" w:sz="0" w:space="0" w:color="auto"/>
      </w:divBdr>
    </w:div>
    <w:div w:id="964114656">
      <w:bodyDiv w:val="1"/>
      <w:marLeft w:val="0"/>
      <w:marRight w:val="0"/>
      <w:marTop w:val="0"/>
      <w:marBottom w:val="0"/>
      <w:divBdr>
        <w:top w:val="none" w:sz="0" w:space="0" w:color="auto"/>
        <w:left w:val="none" w:sz="0" w:space="0" w:color="auto"/>
        <w:bottom w:val="none" w:sz="0" w:space="0" w:color="auto"/>
        <w:right w:val="none" w:sz="0" w:space="0" w:color="auto"/>
      </w:divBdr>
    </w:div>
    <w:div w:id="981039832">
      <w:bodyDiv w:val="1"/>
      <w:marLeft w:val="0"/>
      <w:marRight w:val="0"/>
      <w:marTop w:val="0"/>
      <w:marBottom w:val="0"/>
      <w:divBdr>
        <w:top w:val="none" w:sz="0" w:space="0" w:color="auto"/>
        <w:left w:val="none" w:sz="0" w:space="0" w:color="auto"/>
        <w:bottom w:val="none" w:sz="0" w:space="0" w:color="auto"/>
        <w:right w:val="none" w:sz="0" w:space="0" w:color="auto"/>
      </w:divBdr>
    </w:div>
    <w:div w:id="1001155363">
      <w:bodyDiv w:val="1"/>
      <w:marLeft w:val="0"/>
      <w:marRight w:val="0"/>
      <w:marTop w:val="0"/>
      <w:marBottom w:val="0"/>
      <w:divBdr>
        <w:top w:val="none" w:sz="0" w:space="0" w:color="auto"/>
        <w:left w:val="none" w:sz="0" w:space="0" w:color="auto"/>
        <w:bottom w:val="none" w:sz="0" w:space="0" w:color="auto"/>
        <w:right w:val="none" w:sz="0" w:space="0" w:color="auto"/>
      </w:divBdr>
    </w:div>
    <w:div w:id="1017074456">
      <w:bodyDiv w:val="1"/>
      <w:marLeft w:val="0"/>
      <w:marRight w:val="0"/>
      <w:marTop w:val="0"/>
      <w:marBottom w:val="0"/>
      <w:divBdr>
        <w:top w:val="none" w:sz="0" w:space="0" w:color="auto"/>
        <w:left w:val="none" w:sz="0" w:space="0" w:color="auto"/>
        <w:bottom w:val="none" w:sz="0" w:space="0" w:color="auto"/>
        <w:right w:val="none" w:sz="0" w:space="0" w:color="auto"/>
      </w:divBdr>
    </w:div>
    <w:div w:id="1025907783">
      <w:bodyDiv w:val="1"/>
      <w:marLeft w:val="0"/>
      <w:marRight w:val="0"/>
      <w:marTop w:val="0"/>
      <w:marBottom w:val="0"/>
      <w:divBdr>
        <w:top w:val="none" w:sz="0" w:space="0" w:color="auto"/>
        <w:left w:val="none" w:sz="0" w:space="0" w:color="auto"/>
        <w:bottom w:val="none" w:sz="0" w:space="0" w:color="auto"/>
        <w:right w:val="none" w:sz="0" w:space="0" w:color="auto"/>
      </w:divBdr>
    </w:div>
    <w:div w:id="1036388519">
      <w:bodyDiv w:val="1"/>
      <w:marLeft w:val="0"/>
      <w:marRight w:val="0"/>
      <w:marTop w:val="0"/>
      <w:marBottom w:val="0"/>
      <w:divBdr>
        <w:top w:val="none" w:sz="0" w:space="0" w:color="auto"/>
        <w:left w:val="none" w:sz="0" w:space="0" w:color="auto"/>
        <w:bottom w:val="none" w:sz="0" w:space="0" w:color="auto"/>
        <w:right w:val="none" w:sz="0" w:space="0" w:color="auto"/>
      </w:divBdr>
    </w:div>
    <w:div w:id="1100567421">
      <w:bodyDiv w:val="1"/>
      <w:marLeft w:val="0"/>
      <w:marRight w:val="0"/>
      <w:marTop w:val="0"/>
      <w:marBottom w:val="0"/>
      <w:divBdr>
        <w:top w:val="none" w:sz="0" w:space="0" w:color="auto"/>
        <w:left w:val="none" w:sz="0" w:space="0" w:color="auto"/>
        <w:bottom w:val="none" w:sz="0" w:space="0" w:color="auto"/>
        <w:right w:val="none" w:sz="0" w:space="0" w:color="auto"/>
      </w:divBdr>
    </w:div>
    <w:div w:id="1110778213">
      <w:bodyDiv w:val="1"/>
      <w:marLeft w:val="0"/>
      <w:marRight w:val="0"/>
      <w:marTop w:val="0"/>
      <w:marBottom w:val="0"/>
      <w:divBdr>
        <w:top w:val="none" w:sz="0" w:space="0" w:color="auto"/>
        <w:left w:val="none" w:sz="0" w:space="0" w:color="auto"/>
        <w:bottom w:val="none" w:sz="0" w:space="0" w:color="auto"/>
        <w:right w:val="none" w:sz="0" w:space="0" w:color="auto"/>
      </w:divBdr>
    </w:div>
    <w:div w:id="1140347222">
      <w:bodyDiv w:val="1"/>
      <w:marLeft w:val="0"/>
      <w:marRight w:val="0"/>
      <w:marTop w:val="0"/>
      <w:marBottom w:val="0"/>
      <w:divBdr>
        <w:top w:val="none" w:sz="0" w:space="0" w:color="auto"/>
        <w:left w:val="none" w:sz="0" w:space="0" w:color="auto"/>
        <w:bottom w:val="none" w:sz="0" w:space="0" w:color="auto"/>
        <w:right w:val="none" w:sz="0" w:space="0" w:color="auto"/>
      </w:divBdr>
    </w:div>
    <w:div w:id="1162819536">
      <w:bodyDiv w:val="1"/>
      <w:marLeft w:val="0"/>
      <w:marRight w:val="0"/>
      <w:marTop w:val="0"/>
      <w:marBottom w:val="0"/>
      <w:divBdr>
        <w:top w:val="none" w:sz="0" w:space="0" w:color="auto"/>
        <w:left w:val="none" w:sz="0" w:space="0" w:color="auto"/>
        <w:bottom w:val="none" w:sz="0" w:space="0" w:color="auto"/>
        <w:right w:val="none" w:sz="0" w:space="0" w:color="auto"/>
      </w:divBdr>
    </w:div>
    <w:div w:id="1180703116">
      <w:bodyDiv w:val="1"/>
      <w:marLeft w:val="0"/>
      <w:marRight w:val="0"/>
      <w:marTop w:val="0"/>
      <w:marBottom w:val="0"/>
      <w:divBdr>
        <w:top w:val="none" w:sz="0" w:space="0" w:color="auto"/>
        <w:left w:val="none" w:sz="0" w:space="0" w:color="auto"/>
        <w:bottom w:val="none" w:sz="0" w:space="0" w:color="auto"/>
        <w:right w:val="none" w:sz="0" w:space="0" w:color="auto"/>
      </w:divBdr>
    </w:div>
    <w:div w:id="1182205842">
      <w:bodyDiv w:val="1"/>
      <w:marLeft w:val="0"/>
      <w:marRight w:val="0"/>
      <w:marTop w:val="0"/>
      <w:marBottom w:val="0"/>
      <w:divBdr>
        <w:top w:val="none" w:sz="0" w:space="0" w:color="auto"/>
        <w:left w:val="none" w:sz="0" w:space="0" w:color="auto"/>
        <w:bottom w:val="none" w:sz="0" w:space="0" w:color="auto"/>
        <w:right w:val="none" w:sz="0" w:space="0" w:color="auto"/>
      </w:divBdr>
    </w:div>
    <w:div w:id="1242981271">
      <w:bodyDiv w:val="1"/>
      <w:marLeft w:val="0"/>
      <w:marRight w:val="0"/>
      <w:marTop w:val="0"/>
      <w:marBottom w:val="0"/>
      <w:divBdr>
        <w:top w:val="none" w:sz="0" w:space="0" w:color="auto"/>
        <w:left w:val="none" w:sz="0" w:space="0" w:color="auto"/>
        <w:bottom w:val="none" w:sz="0" w:space="0" w:color="auto"/>
        <w:right w:val="none" w:sz="0" w:space="0" w:color="auto"/>
      </w:divBdr>
    </w:div>
    <w:div w:id="1254975016">
      <w:bodyDiv w:val="1"/>
      <w:marLeft w:val="0"/>
      <w:marRight w:val="0"/>
      <w:marTop w:val="0"/>
      <w:marBottom w:val="0"/>
      <w:divBdr>
        <w:top w:val="none" w:sz="0" w:space="0" w:color="auto"/>
        <w:left w:val="none" w:sz="0" w:space="0" w:color="auto"/>
        <w:bottom w:val="none" w:sz="0" w:space="0" w:color="auto"/>
        <w:right w:val="none" w:sz="0" w:space="0" w:color="auto"/>
      </w:divBdr>
    </w:div>
    <w:div w:id="1264462093">
      <w:bodyDiv w:val="1"/>
      <w:marLeft w:val="0"/>
      <w:marRight w:val="0"/>
      <w:marTop w:val="0"/>
      <w:marBottom w:val="0"/>
      <w:divBdr>
        <w:top w:val="none" w:sz="0" w:space="0" w:color="auto"/>
        <w:left w:val="none" w:sz="0" w:space="0" w:color="auto"/>
        <w:bottom w:val="none" w:sz="0" w:space="0" w:color="auto"/>
        <w:right w:val="none" w:sz="0" w:space="0" w:color="auto"/>
      </w:divBdr>
    </w:div>
    <w:div w:id="1278373669">
      <w:bodyDiv w:val="1"/>
      <w:marLeft w:val="0"/>
      <w:marRight w:val="0"/>
      <w:marTop w:val="0"/>
      <w:marBottom w:val="0"/>
      <w:divBdr>
        <w:top w:val="none" w:sz="0" w:space="0" w:color="auto"/>
        <w:left w:val="none" w:sz="0" w:space="0" w:color="auto"/>
        <w:bottom w:val="none" w:sz="0" w:space="0" w:color="auto"/>
        <w:right w:val="none" w:sz="0" w:space="0" w:color="auto"/>
      </w:divBdr>
    </w:div>
    <w:div w:id="1323780647">
      <w:bodyDiv w:val="1"/>
      <w:marLeft w:val="0"/>
      <w:marRight w:val="0"/>
      <w:marTop w:val="0"/>
      <w:marBottom w:val="0"/>
      <w:divBdr>
        <w:top w:val="none" w:sz="0" w:space="0" w:color="auto"/>
        <w:left w:val="none" w:sz="0" w:space="0" w:color="auto"/>
        <w:bottom w:val="none" w:sz="0" w:space="0" w:color="auto"/>
        <w:right w:val="none" w:sz="0" w:space="0" w:color="auto"/>
      </w:divBdr>
    </w:div>
    <w:div w:id="1399670496">
      <w:bodyDiv w:val="1"/>
      <w:marLeft w:val="0"/>
      <w:marRight w:val="0"/>
      <w:marTop w:val="0"/>
      <w:marBottom w:val="0"/>
      <w:divBdr>
        <w:top w:val="none" w:sz="0" w:space="0" w:color="auto"/>
        <w:left w:val="none" w:sz="0" w:space="0" w:color="auto"/>
        <w:bottom w:val="none" w:sz="0" w:space="0" w:color="auto"/>
        <w:right w:val="none" w:sz="0" w:space="0" w:color="auto"/>
      </w:divBdr>
    </w:div>
    <w:div w:id="1451390095">
      <w:bodyDiv w:val="1"/>
      <w:marLeft w:val="0"/>
      <w:marRight w:val="0"/>
      <w:marTop w:val="0"/>
      <w:marBottom w:val="0"/>
      <w:divBdr>
        <w:top w:val="none" w:sz="0" w:space="0" w:color="auto"/>
        <w:left w:val="none" w:sz="0" w:space="0" w:color="auto"/>
        <w:bottom w:val="none" w:sz="0" w:space="0" w:color="auto"/>
        <w:right w:val="none" w:sz="0" w:space="0" w:color="auto"/>
      </w:divBdr>
    </w:div>
    <w:div w:id="1460955975">
      <w:bodyDiv w:val="1"/>
      <w:marLeft w:val="0"/>
      <w:marRight w:val="0"/>
      <w:marTop w:val="0"/>
      <w:marBottom w:val="0"/>
      <w:divBdr>
        <w:top w:val="none" w:sz="0" w:space="0" w:color="auto"/>
        <w:left w:val="none" w:sz="0" w:space="0" w:color="auto"/>
        <w:bottom w:val="none" w:sz="0" w:space="0" w:color="auto"/>
        <w:right w:val="none" w:sz="0" w:space="0" w:color="auto"/>
      </w:divBdr>
    </w:div>
    <w:div w:id="1466192366">
      <w:bodyDiv w:val="1"/>
      <w:marLeft w:val="0"/>
      <w:marRight w:val="0"/>
      <w:marTop w:val="0"/>
      <w:marBottom w:val="0"/>
      <w:divBdr>
        <w:top w:val="none" w:sz="0" w:space="0" w:color="auto"/>
        <w:left w:val="none" w:sz="0" w:space="0" w:color="auto"/>
        <w:bottom w:val="none" w:sz="0" w:space="0" w:color="auto"/>
        <w:right w:val="none" w:sz="0" w:space="0" w:color="auto"/>
      </w:divBdr>
    </w:div>
    <w:div w:id="1471820207">
      <w:bodyDiv w:val="1"/>
      <w:marLeft w:val="0"/>
      <w:marRight w:val="0"/>
      <w:marTop w:val="0"/>
      <w:marBottom w:val="0"/>
      <w:divBdr>
        <w:top w:val="none" w:sz="0" w:space="0" w:color="auto"/>
        <w:left w:val="none" w:sz="0" w:space="0" w:color="auto"/>
        <w:bottom w:val="none" w:sz="0" w:space="0" w:color="auto"/>
        <w:right w:val="none" w:sz="0" w:space="0" w:color="auto"/>
      </w:divBdr>
    </w:div>
    <w:div w:id="1472284929">
      <w:bodyDiv w:val="1"/>
      <w:marLeft w:val="0"/>
      <w:marRight w:val="0"/>
      <w:marTop w:val="0"/>
      <w:marBottom w:val="0"/>
      <w:divBdr>
        <w:top w:val="none" w:sz="0" w:space="0" w:color="auto"/>
        <w:left w:val="none" w:sz="0" w:space="0" w:color="auto"/>
        <w:bottom w:val="none" w:sz="0" w:space="0" w:color="auto"/>
        <w:right w:val="none" w:sz="0" w:space="0" w:color="auto"/>
      </w:divBdr>
    </w:div>
    <w:div w:id="1480148571">
      <w:bodyDiv w:val="1"/>
      <w:marLeft w:val="0"/>
      <w:marRight w:val="0"/>
      <w:marTop w:val="0"/>
      <w:marBottom w:val="0"/>
      <w:divBdr>
        <w:top w:val="none" w:sz="0" w:space="0" w:color="auto"/>
        <w:left w:val="none" w:sz="0" w:space="0" w:color="auto"/>
        <w:bottom w:val="none" w:sz="0" w:space="0" w:color="auto"/>
        <w:right w:val="none" w:sz="0" w:space="0" w:color="auto"/>
      </w:divBdr>
    </w:div>
    <w:div w:id="1486776985">
      <w:bodyDiv w:val="1"/>
      <w:marLeft w:val="0"/>
      <w:marRight w:val="0"/>
      <w:marTop w:val="0"/>
      <w:marBottom w:val="0"/>
      <w:divBdr>
        <w:top w:val="none" w:sz="0" w:space="0" w:color="auto"/>
        <w:left w:val="none" w:sz="0" w:space="0" w:color="auto"/>
        <w:bottom w:val="none" w:sz="0" w:space="0" w:color="auto"/>
        <w:right w:val="none" w:sz="0" w:space="0" w:color="auto"/>
      </w:divBdr>
    </w:div>
    <w:div w:id="1501310171">
      <w:bodyDiv w:val="1"/>
      <w:marLeft w:val="0"/>
      <w:marRight w:val="0"/>
      <w:marTop w:val="0"/>
      <w:marBottom w:val="0"/>
      <w:divBdr>
        <w:top w:val="none" w:sz="0" w:space="0" w:color="auto"/>
        <w:left w:val="none" w:sz="0" w:space="0" w:color="auto"/>
        <w:bottom w:val="none" w:sz="0" w:space="0" w:color="auto"/>
        <w:right w:val="none" w:sz="0" w:space="0" w:color="auto"/>
      </w:divBdr>
    </w:div>
    <w:div w:id="1550535976">
      <w:bodyDiv w:val="1"/>
      <w:marLeft w:val="0"/>
      <w:marRight w:val="0"/>
      <w:marTop w:val="0"/>
      <w:marBottom w:val="0"/>
      <w:divBdr>
        <w:top w:val="none" w:sz="0" w:space="0" w:color="auto"/>
        <w:left w:val="none" w:sz="0" w:space="0" w:color="auto"/>
        <w:bottom w:val="none" w:sz="0" w:space="0" w:color="auto"/>
        <w:right w:val="none" w:sz="0" w:space="0" w:color="auto"/>
      </w:divBdr>
    </w:div>
    <w:div w:id="1562247326">
      <w:bodyDiv w:val="1"/>
      <w:marLeft w:val="0"/>
      <w:marRight w:val="0"/>
      <w:marTop w:val="0"/>
      <w:marBottom w:val="0"/>
      <w:divBdr>
        <w:top w:val="none" w:sz="0" w:space="0" w:color="auto"/>
        <w:left w:val="none" w:sz="0" w:space="0" w:color="auto"/>
        <w:bottom w:val="none" w:sz="0" w:space="0" w:color="auto"/>
        <w:right w:val="none" w:sz="0" w:space="0" w:color="auto"/>
      </w:divBdr>
    </w:div>
    <w:div w:id="1562598669">
      <w:bodyDiv w:val="1"/>
      <w:marLeft w:val="0"/>
      <w:marRight w:val="0"/>
      <w:marTop w:val="0"/>
      <w:marBottom w:val="0"/>
      <w:divBdr>
        <w:top w:val="none" w:sz="0" w:space="0" w:color="auto"/>
        <w:left w:val="none" w:sz="0" w:space="0" w:color="auto"/>
        <w:bottom w:val="none" w:sz="0" w:space="0" w:color="auto"/>
        <w:right w:val="none" w:sz="0" w:space="0" w:color="auto"/>
      </w:divBdr>
    </w:div>
    <w:div w:id="1578441928">
      <w:bodyDiv w:val="1"/>
      <w:marLeft w:val="0"/>
      <w:marRight w:val="0"/>
      <w:marTop w:val="0"/>
      <w:marBottom w:val="0"/>
      <w:divBdr>
        <w:top w:val="none" w:sz="0" w:space="0" w:color="auto"/>
        <w:left w:val="none" w:sz="0" w:space="0" w:color="auto"/>
        <w:bottom w:val="none" w:sz="0" w:space="0" w:color="auto"/>
        <w:right w:val="none" w:sz="0" w:space="0" w:color="auto"/>
      </w:divBdr>
    </w:div>
    <w:div w:id="1591962987">
      <w:bodyDiv w:val="1"/>
      <w:marLeft w:val="0"/>
      <w:marRight w:val="0"/>
      <w:marTop w:val="0"/>
      <w:marBottom w:val="0"/>
      <w:divBdr>
        <w:top w:val="none" w:sz="0" w:space="0" w:color="auto"/>
        <w:left w:val="none" w:sz="0" w:space="0" w:color="auto"/>
        <w:bottom w:val="none" w:sz="0" w:space="0" w:color="auto"/>
        <w:right w:val="none" w:sz="0" w:space="0" w:color="auto"/>
      </w:divBdr>
    </w:div>
    <w:div w:id="1609004451">
      <w:bodyDiv w:val="1"/>
      <w:marLeft w:val="0"/>
      <w:marRight w:val="0"/>
      <w:marTop w:val="0"/>
      <w:marBottom w:val="0"/>
      <w:divBdr>
        <w:top w:val="none" w:sz="0" w:space="0" w:color="auto"/>
        <w:left w:val="none" w:sz="0" w:space="0" w:color="auto"/>
        <w:bottom w:val="none" w:sz="0" w:space="0" w:color="auto"/>
        <w:right w:val="none" w:sz="0" w:space="0" w:color="auto"/>
      </w:divBdr>
    </w:div>
    <w:div w:id="1654287791">
      <w:bodyDiv w:val="1"/>
      <w:marLeft w:val="0"/>
      <w:marRight w:val="0"/>
      <w:marTop w:val="0"/>
      <w:marBottom w:val="0"/>
      <w:divBdr>
        <w:top w:val="none" w:sz="0" w:space="0" w:color="auto"/>
        <w:left w:val="none" w:sz="0" w:space="0" w:color="auto"/>
        <w:bottom w:val="none" w:sz="0" w:space="0" w:color="auto"/>
        <w:right w:val="none" w:sz="0" w:space="0" w:color="auto"/>
      </w:divBdr>
    </w:div>
    <w:div w:id="1657956785">
      <w:bodyDiv w:val="1"/>
      <w:marLeft w:val="0"/>
      <w:marRight w:val="0"/>
      <w:marTop w:val="0"/>
      <w:marBottom w:val="0"/>
      <w:divBdr>
        <w:top w:val="none" w:sz="0" w:space="0" w:color="auto"/>
        <w:left w:val="none" w:sz="0" w:space="0" w:color="auto"/>
        <w:bottom w:val="none" w:sz="0" w:space="0" w:color="auto"/>
        <w:right w:val="none" w:sz="0" w:space="0" w:color="auto"/>
      </w:divBdr>
    </w:div>
    <w:div w:id="1676417300">
      <w:bodyDiv w:val="1"/>
      <w:marLeft w:val="0"/>
      <w:marRight w:val="0"/>
      <w:marTop w:val="0"/>
      <w:marBottom w:val="0"/>
      <w:divBdr>
        <w:top w:val="none" w:sz="0" w:space="0" w:color="auto"/>
        <w:left w:val="none" w:sz="0" w:space="0" w:color="auto"/>
        <w:bottom w:val="none" w:sz="0" w:space="0" w:color="auto"/>
        <w:right w:val="none" w:sz="0" w:space="0" w:color="auto"/>
      </w:divBdr>
      <w:divsChild>
        <w:div w:id="426195719">
          <w:marLeft w:val="0"/>
          <w:marRight w:val="0"/>
          <w:marTop w:val="0"/>
          <w:marBottom w:val="0"/>
          <w:divBdr>
            <w:top w:val="none" w:sz="0" w:space="0" w:color="auto"/>
            <w:left w:val="none" w:sz="0" w:space="0" w:color="auto"/>
            <w:bottom w:val="none" w:sz="0" w:space="0" w:color="auto"/>
            <w:right w:val="none" w:sz="0" w:space="0" w:color="auto"/>
          </w:divBdr>
          <w:divsChild>
            <w:div w:id="785393597">
              <w:marLeft w:val="0"/>
              <w:marRight w:val="0"/>
              <w:marTop w:val="0"/>
              <w:marBottom w:val="0"/>
              <w:divBdr>
                <w:top w:val="none" w:sz="0" w:space="0" w:color="auto"/>
                <w:left w:val="none" w:sz="0" w:space="0" w:color="auto"/>
                <w:bottom w:val="none" w:sz="0" w:space="0" w:color="auto"/>
                <w:right w:val="none" w:sz="0" w:space="0" w:color="auto"/>
              </w:divBdr>
              <w:divsChild>
                <w:div w:id="2133133320">
                  <w:marLeft w:val="0"/>
                  <w:marRight w:val="0"/>
                  <w:marTop w:val="0"/>
                  <w:marBottom w:val="0"/>
                  <w:divBdr>
                    <w:top w:val="none" w:sz="0" w:space="0" w:color="auto"/>
                    <w:left w:val="none" w:sz="0" w:space="0" w:color="auto"/>
                    <w:bottom w:val="none" w:sz="0" w:space="0" w:color="auto"/>
                    <w:right w:val="none" w:sz="0" w:space="0" w:color="auto"/>
                  </w:divBdr>
                  <w:divsChild>
                    <w:div w:id="1479883316">
                      <w:marLeft w:val="0"/>
                      <w:marRight w:val="0"/>
                      <w:marTop w:val="0"/>
                      <w:marBottom w:val="0"/>
                      <w:divBdr>
                        <w:top w:val="none" w:sz="0" w:space="0" w:color="auto"/>
                        <w:left w:val="none" w:sz="0" w:space="0" w:color="auto"/>
                        <w:bottom w:val="none" w:sz="0" w:space="0" w:color="auto"/>
                        <w:right w:val="none" w:sz="0" w:space="0" w:color="auto"/>
                      </w:divBdr>
                      <w:divsChild>
                        <w:div w:id="769853880">
                          <w:marLeft w:val="0"/>
                          <w:marRight w:val="0"/>
                          <w:marTop w:val="0"/>
                          <w:marBottom w:val="0"/>
                          <w:divBdr>
                            <w:top w:val="none" w:sz="0" w:space="0" w:color="auto"/>
                            <w:left w:val="none" w:sz="0" w:space="0" w:color="auto"/>
                            <w:bottom w:val="none" w:sz="0" w:space="0" w:color="auto"/>
                            <w:right w:val="none" w:sz="0" w:space="0" w:color="auto"/>
                          </w:divBdr>
                          <w:divsChild>
                            <w:div w:id="57561665">
                              <w:marLeft w:val="0"/>
                              <w:marRight w:val="0"/>
                              <w:marTop w:val="0"/>
                              <w:marBottom w:val="0"/>
                              <w:divBdr>
                                <w:top w:val="none" w:sz="0" w:space="0" w:color="auto"/>
                                <w:left w:val="none" w:sz="0" w:space="0" w:color="auto"/>
                                <w:bottom w:val="none" w:sz="0" w:space="0" w:color="auto"/>
                                <w:right w:val="none" w:sz="0" w:space="0" w:color="auto"/>
                              </w:divBdr>
                              <w:divsChild>
                                <w:div w:id="233005683">
                                  <w:marLeft w:val="0"/>
                                  <w:marRight w:val="0"/>
                                  <w:marTop w:val="0"/>
                                  <w:marBottom w:val="0"/>
                                  <w:divBdr>
                                    <w:top w:val="none" w:sz="0" w:space="0" w:color="auto"/>
                                    <w:left w:val="none" w:sz="0" w:space="0" w:color="auto"/>
                                    <w:bottom w:val="none" w:sz="0" w:space="0" w:color="auto"/>
                                    <w:right w:val="none" w:sz="0" w:space="0" w:color="auto"/>
                                  </w:divBdr>
                                  <w:divsChild>
                                    <w:div w:id="1826630476">
                                      <w:marLeft w:val="0"/>
                                      <w:marRight w:val="0"/>
                                      <w:marTop w:val="0"/>
                                      <w:marBottom w:val="0"/>
                                      <w:divBdr>
                                        <w:top w:val="none" w:sz="0" w:space="0" w:color="auto"/>
                                        <w:left w:val="none" w:sz="0" w:space="0" w:color="auto"/>
                                        <w:bottom w:val="none" w:sz="0" w:space="0" w:color="auto"/>
                                        <w:right w:val="none" w:sz="0" w:space="0" w:color="auto"/>
                                      </w:divBdr>
                                      <w:divsChild>
                                        <w:div w:id="9810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871388">
          <w:marLeft w:val="0"/>
          <w:marRight w:val="0"/>
          <w:marTop w:val="0"/>
          <w:marBottom w:val="0"/>
          <w:divBdr>
            <w:top w:val="none" w:sz="0" w:space="0" w:color="auto"/>
            <w:left w:val="none" w:sz="0" w:space="0" w:color="auto"/>
            <w:bottom w:val="none" w:sz="0" w:space="0" w:color="auto"/>
            <w:right w:val="none" w:sz="0" w:space="0" w:color="auto"/>
          </w:divBdr>
          <w:divsChild>
            <w:div w:id="1349866036">
              <w:marLeft w:val="0"/>
              <w:marRight w:val="0"/>
              <w:marTop w:val="0"/>
              <w:marBottom w:val="0"/>
              <w:divBdr>
                <w:top w:val="none" w:sz="0" w:space="0" w:color="auto"/>
                <w:left w:val="none" w:sz="0" w:space="0" w:color="auto"/>
                <w:bottom w:val="none" w:sz="0" w:space="0" w:color="auto"/>
                <w:right w:val="none" w:sz="0" w:space="0" w:color="auto"/>
              </w:divBdr>
              <w:divsChild>
                <w:div w:id="457451868">
                  <w:marLeft w:val="-15"/>
                  <w:marRight w:val="-15"/>
                  <w:marTop w:val="0"/>
                  <w:marBottom w:val="0"/>
                  <w:divBdr>
                    <w:top w:val="none" w:sz="0" w:space="0" w:color="auto"/>
                    <w:left w:val="none" w:sz="0" w:space="0" w:color="auto"/>
                    <w:bottom w:val="none" w:sz="0" w:space="0" w:color="auto"/>
                    <w:right w:val="none" w:sz="0" w:space="0" w:color="auto"/>
                  </w:divBdr>
                </w:div>
                <w:div w:id="1654606348">
                  <w:marLeft w:val="0"/>
                  <w:marRight w:val="0"/>
                  <w:marTop w:val="0"/>
                  <w:marBottom w:val="0"/>
                  <w:divBdr>
                    <w:top w:val="none" w:sz="0" w:space="0" w:color="auto"/>
                    <w:left w:val="none" w:sz="0" w:space="0" w:color="auto"/>
                    <w:bottom w:val="none" w:sz="0" w:space="0" w:color="auto"/>
                    <w:right w:val="none" w:sz="0" w:space="0" w:color="auto"/>
                  </w:divBdr>
                  <w:divsChild>
                    <w:div w:id="683359455">
                      <w:marLeft w:val="0"/>
                      <w:marRight w:val="0"/>
                      <w:marTop w:val="0"/>
                      <w:marBottom w:val="0"/>
                      <w:divBdr>
                        <w:top w:val="single" w:sz="24" w:space="0" w:color="0F0F0F"/>
                        <w:left w:val="single" w:sz="24" w:space="0" w:color="0F0F0F"/>
                        <w:bottom w:val="single" w:sz="24" w:space="0" w:color="0F0F0F"/>
                        <w:right w:val="single" w:sz="24" w:space="0" w:color="0F0F0F"/>
                      </w:divBdr>
                      <w:divsChild>
                        <w:div w:id="3322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048298">
      <w:bodyDiv w:val="1"/>
      <w:marLeft w:val="0"/>
      <w:marRight w:val="0"/>
      <w:marTop w:val="0"/>
      <w:marBottom w:val="0"/>
      <w:divBdr>
        <w:top w:val="none" w:sz="0" w:space="0" w:color="auto"/>
        <w:left w:val="none" w:sz="0" w:space="0" w:color="auto"/>
        <w:bottom w:val="none" w:sz="0" w:space="0" w:color="auto"/>
        <w:right w:val="none" w:sz="0" w:space="0" w:color="auto"/>
      </w:divBdr>
    </w:div>
    <w:div w:id="1699353735">
      <w:bodyDiv w:val="1"/>
      <w:marLeft w:val="0"/>
      <w:marRight w:val="0"/>
      <w:marTop w:val="0"/>
      <w:marBottom w:val="0"/>
      <w:divBdr>
        <w:top w:val="none" w:sz="0" w:space="0" w:color="auto"/>
        <w:left w:val="none" w:sz="0" w:space="0" w:color="auto"/>
        <w:bottom w:val="none" w:sz="0" w:space="0" w:color="auto"/>
        <w:right w:val="none" w:sz="0" w:space="0" w:color="auto"/>
      </w:divBdr>
    </w:div>
    <w:div w:id="1707025784">
      <w:bodyDiv w:val="1"/>
      <w:marLeft w:val="0"/>
      <w:marRight w:val="0"/>
      <w:marTop w:val="0"/>
      <w:marBottom w:val="0"/>
      <w:divBdr>
        <w:top w:val="none" w:sz="0" w:space="0" w:color="auto"/>
        <w:left w:val="none" w:sz="0" w:space="0" w:color="auto"/>
        <w:bottom w:val="none" w:sz="0" w:space="0" w:color="auto"/>
        <w:right w:val="none" w:sz="0" w:space="0" w:color="auto"/>
      </w:divBdr>
    </w:div>
    <w:div w:id="1720058074">
      <w:bodyDiv w:val="1"/>
      <w:marLeft w:val="0"/>
      <w:marRight w:val="0"/>
      <w:marTop w:val="0"/>
      <w:marBottom w:val="0"/>
      <w:divBdr>
        <w:top w:val="none" w:sz="0" w:space="0" w:color="auto"/>
        <w:left w:val="none" w:sz="0" w:space="0" w:color="auto"/>
        <w:bottom w:val="none" w:sz="0" w:space="0" w:color="auto"/>
        <w:right w:val="none" w:sz="0" w:space="0" w:color="auto"/>
      </w:divBdr>
    </w:div>
    <w:div w:id="1804886878">
      <w:bodyDiv w:val="1"/>
      <w:marLeft w:val="0"/>
      <w:marRight w:val="0"/>
      <w:marTop w:val="0"/>
      <w:marBottom w:val="0"/>
      <w:divBdr>
        <w:top w:val="none" w:sz="0" w:space="0" w:color="auto"/>
        <w:left w:val="none" w:sz="0" w:space="0" w:color="auto"/>
        <w:bottom w:val="none" w:sz="0" w:space="0" w:color="auto"/>
        <w:right w:val="none" w:sz="0" w:space="0" w:color="auto"/>
      </w:divBdr>
    </w:div>
    <w:div w:id="1806967728">
      <w:bodyDiv w:val="1"/>
      <w:marLeft w:val="0"/>
      <w:marRight w:val="0"/>
      <w:marTop w:val="0"/>
      <w:marBottom w:val="0"/>
      <w:divBdr>
        <w:top w:val="none" w:sz="0" w:space="0" w:color="auto"/>
        <w:left w:val="none" w:sz="0" w:space="0" w:color="auto"/>
        <w:bottom w:val="none" w:sz="0" w:space="0" w:color="auto"/>
        <w:right w:val="none" w:sz="0" w:space="0" w:color="auto"/>
      </w:divBdr>
    </w:div>
    <w:div w:id="1812402132">
      <w:bodyDiv w:val="1"/>
      <w:marLeft w:val="0"/>
      <w:marRight w:val="0"/>
      <w:marTop w:val="0"/>
      <w:marBottom w:val="0"/>
      <w:divBdr>
        <w:top w:val="none" w:sz="0" w:space="0" w:color="auto"/>
        <w:left w:val="none" w:sz="0" w:space="0" w:color="auto"/>
        <w:bottom w:val="none" w:sz="0" w:space="0" w:color="auto"/>
        <w:right w:val="none" w:sz="0" w:space="0" w:color="auto"/>
      </w:divBdr>
    </w:div>
    <w:div w:id="1835146021">
      <w:bodyDiv w:val="1"/>
      <w:marLeft w:val="0"/>
      <w:marRight w:val="0"/>
      <w:marTop w:val="0"/>
      <w:marBottom w:val="0"/>
      <w:divBdr>
        <w:top w:val="none" w:sz="0" w:space="0" w:color="auto"/>
        <w:left w:val="none" w:sz="0" w:space="0" w:color="auto"/>
        <w:bottom w:val="none" w:sz="0" w:space="0" w:color="auto"/>
        <w:right w:val="none" w:sz="0" w:space="0" w:color="auto"/>
      </w:divBdr>
    </w:div>
    <w:div w:id="1838110971">
      <w:bodyDiv w:val="1"/>
      <w:marLeft w:val="0"/>
      <w:marRight w:val="0"/>
      <w:marTop w:val="0"/>
      <w:marBottom w:val="0"/>
      <w:divBdr>
        <w:top w:val="none" w:sz="0" w:space="0" w:color="auto"/>
        <w:left w:val="none" w:sz="0" w:space="0" w:color="auto"/>
        <w:bottom w:val="none" w:sz="0" w:space="0" w:color="auto"/>
        <w:right w:val="none" w:sz="0" w:space="0" w:color="auto"/>
      </w:divBdr>
    </w:div>
    <w:div w:id="1866215827">
      <w:bodyDiv w:val="1"/>
      <w:marLeft w:val="0"/>
      <w:marRight w:val="0"/>
      <w:marTop w:val="0"/>
      <w:marBottom w:val="0"/>
      <w:divBdr>
        <w:top w:val="none" w:sz="0" w:space="0" w:color="auto"/>
        <w:left w:val="none" w:sz="0" w:space="0" w:color="auto"/>
        <w:bottom w:val="none" w:sz="0" w:space="0" w:color="auto"/>
        <w:right w:val="none" w:sz="0" w:space="0" w:color="auto"/>
      </w:divBdr>
    </w:div>
    <w:div w:id="1874338857">
      <w:bodyDiv w:val="1"/>
      <w:marLeft w:val="0"/>
      <w:marRight w:val="0"/>
      <w:marTop w:val="0"/>
      <w:marBottom w:val="0"/>
      <w:divBdr>
        <w:top w:val="none" w:sz="0" w:space="0" w:color="auto"/>
        <w:left w:val="none" w:sz="0" w:space="0" w:color="auto"/>
        <w:bottom w:val="none" w:sz="0" w:space="0" w:color="auto"/>
        <w:right w:val="none" w:sz="0" w:space="0" w:color="auto"/>
      </w:divBdr>
    </w:div>
    <w:div w:id="1883131748">
      <w:bodyDiv w:val="1"/>
      <w:marLeft w:val="0"/>
      <w:marRight w:val="0"/>
      <w:marTop w:val="0"/>
      <w:marBottom w:val="0"/>
      <w:divBdr>
        <w:top w:val="none" w:sz="0" w:space="0" w:color="auto"/>
        <w:left w:val="none" w:sz="0" w:space="0" w:color="auto"/>
        <w:bottom w:val="none" w:sz="0" w:space="0" w:color="auto"/>
        <w:right w:val="none" w:sz="0" w:space="0" w:color="auto"/>
      </w:divBdr>
    </w:div>
    <w:div w:id="1938177084">
      <w:bodyDiv w:val="1"/>
      <w:marLeft w:val="0"/>
      <w:marRight w:val="0"/>
      <w:marTop w:val="0"/>
      <w:marBottom w:val="0"/>
      <w:divBdr>
        <w:top w:val="none" w:sz="0" w:space="0" w:color="auto"/>
        <w:left w:val="none" w:sz="0" w:space="0" w:color="auto"/>
        <w:bottom w:val="none" w:sz="0" w:space="0" w:color="auto"/>
        <w:right w:val="none" w:sz="0" w:space="0" w:color="auto"/>
      </w:divBdr>
    </w:div>
    <w:div w:id="1948153064">
      <w:bodyDiv w:val="1"/>
      <w:marLeft w:val="0"/>
      <w:marRight w:val="0"/>
      <w:marTop w:val="0"/>
      <w:marBottom w:val="0"/>
      <w:divBdr>
        <w:top w:val="none" w:sz="0" w:space="0" w:color="auto"/>
        <w:left w:val="none" w:sz="0" w:space="0" w:color="auto"/>
        <w:bottom w:val="none" w:sz="0" w:space="0" w:color="auto"/>
        <w:right w:val="none" w:sz="0" w:space="0" w:color="auto"/>
      </w:divBdr>
    </w:div>
    <w:div w:id="1982493035">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1998460736">
      <w:bodyDiv w:val="1"/>
      <w:marLeft w:val="0"/>
      <w:marRight w:val="0"/>
      <w:marTop w:val="0"/>
      <w:marBottom w:val="0"/>
      <w:divBdr>
        <w:top w:val="none" w:sz="0" w:space="0" w:color="auto"/>
        <w:left w:val="none" w:sz="0" w:space="0" w:color="auto"/>
        <w:bottom w:val="none" w:sz="0" w:space="0" w:color="auto"/>
        <w:right w:val="none" w:sz="0" w:space="0" w:color="auto"/>
      </w:divBdr>
    </w:div>
    <w:div w:id="1998876084">
      <w:bodyDiv w:val="1"/>
      <w:marLeft w:val="0"/>
      <w:marRight w:val="0"/>
      <w:marTop w:val="0"/>
      <w:marBottom w:val="0"/>
      <w:divBdr>
        <w:top w:val="none" w:sz="0" w:space="0" w:color="auto"/>
        <w:left w:val="none" w:sz="0" w:space="0" w:color="auto"/>
        <w:bottom w:val="none" w:sz="0" w:space="0" w:color="auto"/>
        <w:right w:val="none" w:sz="0" w:space="0" w:color="auto"/>
      </w:divBdr>
    </w:div>
    <w:div w:id="2004355881">
      <w:bodyDiv w:val="1"/>
      <w:marLeft w:val="0"/>
      <w:marRight w:val="0"/>
      <w:marTop w:val="0"/>
      <w:marBottom w:val="0"/>
      <w:divBdr>
        <w:top w:val="none" w:sz="0" w:space="0" w:color="auto"/>
        <w:left w:val="none" w:sz="0" w:space="0" w:color="auto"/>
        <w:bottom w:val="none" w:sz="0" w:space="0" w:color="auto"/>
        <w:right w:val="none" w:sz="0" w:space="0" w:color="auto"/>
      </w:divBdr>
    </w:div>
    <w:div w:id="2007585600">
      <w:bodyDiv w:val="1"/>
      <w:marLeft w:val="0"/>
      <w:marRight w:val="0"/>
      <w:marTop w:val="0"/>
      <w:marBottom w:val="0"/>
      <w:divBdr>
        <w:top w:val="none" w:sz="0" w:space="0" w:color="auto"/>
        <w:left w:val="none" w:sz="0" w:space="0" w:color="auto"/>
        <w:bottom w:val="none" w:sz="0" w:space="0" w:color="auto"/>
        <w:right w:val="none" w:sz="0" w:space="0" w:color="auto"/>
      </w:divBdr>
    </w:div>
    <w:div w:id="2025280436">
      <w:bodyDiv w:val="1"/>
      <w:marLeft w:val="0"/>
      <w:marRight w:val="0"/>
      <w:marTop w:val="0"/>
      <w:marBottom w:val="0"/>
      <w:divBdr>
        <w:top w:val="none" w:sz="0" w:space="0" w:color="auto"/>
        <w:left w:val="none" w:sz="0" w:space="0" w:color="auto"/>
        <w:bottom w:val="none" w:sz="0" w:space="0" w:color="auto"/>
        <w:right w:val="none" w:sz="0" w:space="0" w:color="auto"/>
      </w:divBdr>
    </w:div>
    <w:div w:id="2040162770">
      <w:bodyDiv w:val="1"/>
      <w:marLeft w:val="0"/>
      <w:marRight w:val="0"/>
      <w:marTop w:val="0"/>
      <w:marBottom w:val="0"/>
      <w:divBdr>
        <w:top w:val="none" w:sz="0" w:space="0" w:color="auto"/>
        <w:left w:val="none" w:sz="0" w:space="0" w:color="auto"/>
        <w:bottom w:val="none" w:sz="0" w:space="0" w:color="auto"/>
        <w:right w:val="none" w:sz="0" w:space="0" w:color="auto"/>
      </w:divBdr>
    </w:div>
    <w:div w:id="2054959043">
      <w:bodyDiv w:val="1"/>
      <w:marLeft w:val="0"/>
      <w:marRight w:val="0"/>
      <w:marTop w:val="0"/>
      <w:marBottom w:val="0"/>
      <w:divBdr>
        <w:top w:val="none" w:sz="0" w:space="0" w:color="auto"/>
        <w:left w:val="none" w:sz="0" w:space="0" w:color="auto"/>
        <w:bottom w:val="none" w:sz="0" w:space="0" w:color="auto"/>
        <w:right w:val="none" w:sz="0" w:space="0" w:color="auto"/>
      </w:divBdr>
    </w:div>
    <w:div w:id="2083067363">
      <w:bodyDiv w:val="1"/>
      <w:marLeft w:val="0"/>
      <w:marRight w:val="0"/>
      <w:marTop w:val="0"/>
      <w:marBottom w:val="0"/>
      <w:divBdr>
        <w:top w:val="none" w:sz="0" w:space="0" w:color="auto"/>
        <w:left w:val="none" w:sz="0" w:space="0" w:color="auto"/>
        <w:bottom w:val="none" w:sz="0" w:space="0" w:color="auto"/>
        <w:right w:val="none" w:sz="0" w:space="0" w:color="auto"/>
      </w:divBdr>
    </w:div>
    <w:div w:id="2087876362">
      <w:bodyDiv w:val="1"/>
      <w:marLeft w:val="0"/>
      <w:marRight w:val="0"/>
      <w:marTop w:val="0"/>
      <w:marBottom w:val="0"/>
      <w:divBdr>
        <w:top w:val="none" w:sz="0" w:space="0" w:color="auto"/>
        <w:left w:val="none" w:sz="0" w:space="0" w:color="auto"/>
        <w:bottom w:val="none" w:sz="0" w:space="0" w:color="auto"/>
        <w:right w:val="none" w:sz="0" w:space="0" w:color="auto"/>
      </w:divBdr>
    </w:div>
    <w:div w:id="2121602342">
      <w:bodyDiv w:val="1"/>
      <w:marLeft w:val="0"/>
      <w:marRight w:val="0"/>
      <w:marTop w:val="0"/>
      <w:marBottom w:val="0"/>
      <w:divBdr>
        <w:top w:val="none" w:sz="0" w:space="0" w:color="auto"/>
        <w:left w:val="none" w:sz="0" w:space="0" w:color="auto"/>
        <w:bottom w:val="none" w:sz="0" w:space="0" w:color="auto"/>
        <w:right w:val="none" w:sz="0" w:space="0" w:color="auto"/>
      </w:divBdr>
    </w:div>
    <w:div w:id="2135248218">
      <w:bodyDiv w:val="1"/>
      <w:marLeft w:val="0"/>
      <w:marRight w:val="0"/>
      <w:marTop w:val="0"/>
      <w:marBottom w:val="0"/>
      <w:divBdr>
        <w:top w:val="none" w:sz="0" w:space="0" w:color="auto"/>
        <w:left w:val="none" w:sz="0" w:space="0" w:color="auto"/>
        <w:bottom w:val="none" w:sz="0" w:space="0" w:color="auto"/>
        <w:right w:val="none" w:sz="0" w:space="0" w:color="auto"/>
      </w:divBdr>
    </w:div>
    <w:div w:id="2137019936">
      <w:bodyDiv w:val="1"/>
      <w:marLeft w:val="0"/>
      <w:marRight w:val="0"/>
      <w:marTop w:val="0"/>
      <w:marBottom w:val="0"/>
      <w:divBdr>
        <w:top w:val="none" w:sz="0" w:space="0" w:color="auto"/>
        <w:left w:val="none" w:sz="0" w:space="0" w:color="auto"/>
        <w:bottom w:val="none" w:sz="0" w:space="0" w:color="auto"/>
        <w:right w:val="none" w:sz="0" w:space="0" w:color="auto"/>
      </w:divBdr>
    </w:div>
    <w:div w:id="2144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chart" Target="charts/chart3.xml"/><Relationship Id="rId39" Type="http://schemas.openxmlformats.org/officeDocument/2006/relationships/footer" Target="footer2.xml"/><Relationship Id="rId21" Type="http://schemas.openxmlformats.org/officeDocument/2006/relationships/hyperlink" Target="http://www.inegi.org.mx/" TargetMode="External"/><Relationship Id="rId34" Type="http://schemas.openxmlformats.org/officeDocument/2006/relationships/chart" Target="charts/chart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chart" Target="charts/chart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2.xml"/><Relationship Id="rId32" Type="http://schemas.openxmlformats.org/officeDocument/2006/relationships/chart" Target="charts/chart8.xml"/><Relationship Id="rId37" Type="http://schemas.openxmlformats.org/officeDocument/2006/relationships/hyperlink" Target="https://www.inegi.org.mx/programas/eae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stagram.com/inegi_informa/" TargetMode="External"/><Relationship Id="rId23" Type="http://schemas.openxmlformats.org/officeDocument/2006/relationships/chart" Target="charts/chart1.xml"/><Relationship Id="rId28" Type="http://schemas.openxmlformats.org/officeDocument/2006/relationships/image" Target="media/image8.png"/><Relationship Id="rId36" Type="http://schemas.openxmlformats.org/officeDocument/2006/relationships/hyperlink" Target="https://www.inegi.org.mx/app/saladeprensa/calendario/default.html" TargetMode="External"/><Relationship Id="rId10" Type="http://schemas.openxmlformats.org/officeDocument/2006/relationships/hyperlink" Target="mailto:comunicacionsocial@inegi.org.mx" TargetMode="External"/><Relationship Id="rId19" Type="http://schemas.openxmlformats.org/officeDocument/2006/relationships/hyperlink" Target="https://www.youtube.com/user/INEGIInforma" TargetMode="Externa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s://www.inegi.org.mx/programas/eaec/2013/" TargetMode="Externa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chart" Target="charts/chart4.xml"/><Relationship Id="rId30" Type="http://schemas.openxmlformats.org/officeDocument/2006/relationships/chart" Target="charts/chart6.xml"/><Relationship Id="rId35" Type="http://schemas.openxmlformats.org/officeDocument/2006/relationships/hyperlink" Target="http://www.inegi.org.mx" TargetMode="External"/><Relationship Id="rId8" Type="http://schemas.openxmlformats.org/officeDocument/2006/relationships/hyperlink" Target="http://www.inegi.org.mx"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7.png"/><Relationship Id="rId33" Type="http://schemas.openxmlformats.org/officeDocument/2006/relationships/chart" Target="charts/chart9.xm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E:\Encuestas%20de%20la%20Construcion%202021\Documentos%20de%20la%20EAEC\Presentacion%20y%20Nota%20Tecnica%20EAEC\Gaficas%20EAEC%20Nota%20tecnica%20y%20Presentaci&#243;n.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Encuestas%20de%20la%20Construcion%202021\Documentos%20de%20la%20EAEC\Presentacion%20y%20Nota%20Tecnica%20EAEC\Gaficas%20EAEC%20Nota%20tecnica%20y%20Presentaci&#243;n.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E:\Encuestas%20de%20la%20Construcion%202021\Documentos%20de%20la%20EAEC\Presentacion%20y%20Nota%20Tecnica%20EAEC\Gaficas%20EAEC%20Nota%20tecnica%20y%20Presentaci&#243;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oleObject" Target="file:///E:\Encuestas%20de%20la%20Construcion%202021\Documentos%20de%20la%20EAEC\Presentacion%20y%20Nota%20Tecnica%20EAEC\Gaficas%20EAEC%20Nota%20tecnica%20y%20Presentaci&#243;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Encuestas%20de%20la%20Construcion%202021\Documentos%20de%20la%20EAEC\Presentacion%20y%20Nota%20Tecnica%20EAEC\Gaficas%20EAEC%20Nota%20tecnica%20y%20Presentaci&#243;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Encuestas%20de%20la%20Construcion%202021\Documentos%20de%20la%20EAEC\Presentacion%20y%20Nota%20Tecnica%20EAEC\fuente2020%20Gaficas%20EAEC%20Nota%20tecnic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Encuestas%20de%20la%20Construcion%202021\Documentos%20de%20la%20EAEC\Presentacion%20y%20Nota%20Tecnica%20EAEC\Gaficas%20EAEC%20Nota%20tecnica%20y%20Presentaci&#243;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Encuestas%20de%20la%20Construcion%202021\Documentos%20de%20la%20EAEC\Presentacion%20y%20Nota%20Tecnica%20EAEC\Gaficas%20EAEC%20Nota%20tecnica%20y%20Presentaci&#243;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MX" sz="1100"/>
              <a:t>2019</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0.22442102825382121"/>
          <c:y val="0.17973970458536276"/>
          <c:w val="0.55978462251042149"/>
          <c:h val="0.63378238794822694"/>
        </c:manualLayout>
      </c:layout>
      <c:pieChart>
        <c:varyColors val="1"/>
        <c:ser>
          <c:idx val="0"/>
          <c:order val="0"/>
          <c:dPt>
            <c:idx val="0"/>
            <c:bubble3D val="0"/>
            <c:spPr>
              <a:solidFill>
                <a:schemeClr val="accent2">
                  <a:shade val="65000"/>
                </a:schemeClr>
              </a:solidFill>
              <a:ln w="19050">
                <a:solidFill>
                  <a:schemeClr val="lt1"/>
                </a:solidFill>
              </a:ln>
              <a:effectLst/>
            </c:spPr>
            <c:extLst>
              <c:ext xmlns:c16="http://schemas.microsoft.com/office/drawing/2014/chart" uri="{C3380CC4-5D6E-409C-BE32-E72D297353CC}">
                <c16:uniqueId val="{00000001-97A6-4712-A6D4-C0E7050D23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A6-4712-A6D4-C0E7050D2303}"/>
              </c:ext>
            </c:extLst>
          </c:dPt>
          <c:dPt>
            <c:idx val="2"/>
            <c:bubble3D val="0"/>
            <c:spPr>
              <a:solidFill>
                <a:schemeClr val="accent2">
                  <a:tint val="65000"/>
                </a:schemeClr>
              </a:solidFill>
              <a:ln w="19050">
                <a:solidFill>
                  <a:schemeClr val="lt1"/>
                </a:solidFill>
              </a:ln>
              <a:effectLst/>
            </c:spPr>
            <c:extLst>
              <c:ext xmlns:c16="http://schemas.microsoft.com/office/drawing/2014/chart" uri="{C3380CC4-5D6E-409C-BE32-E72D297353CC}">
                <c16:uniqueId val="{00000005-97A6-4712-A6D4-C0E7050D2303}"/>
              </c:ext>
            </c:extLst>
          </c:dPt>
          <c:dLbls>
            <c:dLbl>
              <c:idx val="0"/>
              <c:layout>
                <c:manualLayout>
                  <c:x val="-0.17368510905163403"/>
                  <c:y val="-3.8659114405969947E-2"/>
                </c:manualLayout>
              </c:layout>
              <c:tx>
                <c:rich>
                  <a:bodyPr/>
                  <a:lstStyle/>
                  <a:p>
                    <a:r>
                      <a:rPr lang="en-US"/>
                      <a:t>53.6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A6-4712-A6D4-C0E7050D2303}"/>
                </c:ext>
              </c:extLst>
            </c:dLbl>
            <c:dLbl>
              <c:idx val="1"/>
              <c:layout>
                <c:manualLayout>
                  <c:x val="0.16066406522193571"/>
                  <c:y val="-8.6069802880116023E-2"/>
                </c:manualLayout>
              </c:layout>
              <c:tx>
                <c:rich>
                  <a:bodyPr/>
                  <a:lstStyle/>
                  <a:p>
                    <a:r>
                      <a:rPr lang="en-US"/>
                      <a:t>32.8</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A6-4712-A6D4-C0E7050D2303}"/>
                </c:ext>
              </c:extLst>
            </c:dLbl>
            <c:dLbl>
              <c:idx val="2"/>
              <c:tx>
                <c:rich>
                  <a:bodyPr/>
                  <a:lstStyle/>
                  <a:p>
                    <a:r>
                      <a:rPr lang="en-US"/>
                      <a:t>13.6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A6-4712-A6D4-C0E7050D2303}"/>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po!$S$16:$S$18</c:f>
              <c:strCache>
                <c:ptCount val="3"/>
                <c:pt idx="0">
                  <c:v>236 Edificación</c:v>
                </c:pt>
                <c:pt idx="1">
                  <c:v>237 Construcción de obras de ingeniería civil</c:v>
                </c:pt>
                <c:pt idx="2">
                  <c:v>238 Trabajos especializados para la construcción</c:v>
                </c:pt>
              </c:strCache>
            </c:strRef>
          </c:cat>
          <c:val>
            <c:numRef>
              <c:f>po!$U$16:$U$18</c:f>
              <c:numCache>
                <c:formatCode>.\ \ #;0000000000000000000000000000000000000000000000000000000000000000000000000000000000000000000000000</c:formatCode>
                <c:ptCount val="3"/>
                <c:pt idx="0">
                  <c:v>53.649112413494528</c:v>
                </c:pt>
                <c:pt idx="1">
                  <c:v>32.750566603682373</c:v>
                </c:pt>
                <c:pt idx="2">
                  <c:v>13.600320982823098</c:v>
                </c:pt>
              </c:numCache>
            </c:numRef>
          </c:val>
          <c:extLst>
            <c:ext xmlns:c16="http://schemas.microsoft.com/office/drawing/2014/chart" uri="{C3380CC4-5D6E-409C-BE32-E72D297353CC}">
              <c16:uniqueId val="{00000006-97A6-4712-A6D4-C0E7050D2303}"/>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b="1">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Capacitación!$B$23</c:f>
              <c:strCache>
                <c:ptCount val="1"/>
                <c:pt idx="0">
                  <c:v>No</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Capacitación!$C$22:$D$22</c:f>
              <c:strCache>
                <c:ptCount val="2"/>
                <c:pt idx="0">
                  <c:v>2019</c:v>
                </c:pt>
                <c:pt idx="1">
                  <c:v>2020p/</c:v>
                </c:pt>
              </c:strCache>
            </c:strRef>
          </c:cat>
          <c:val>
            <c:numRef>
              <c:f>Capacitación!$C$23:$D$23</c:f>
              <c:numCache>
                <c:formatCode>General</c:formatCode>
                <c:ptCount val="2"/>
                <c:pt idx="0">
                  <c:v>78.3</c:v>
                </c:pt>
                <c:pt idx="1">
                  <c:v>74.599999999999994</c:v>
                </c:pt>
              </c:numCache>
            </c:numRef>
          </c:val>
          <c:extLst>
            <c:ext xmlns:c16="http://schemas.microsoft.com/office/drawing/2014/chart" uri="{C3380CC4-5D6E-409C-BE32-E72D297353CC}">
              <c16:uniqueId val="{00000000-DF49-4B10-A950-E58C04761875}"/>
            </c:ext>
          </c:extLst>
        </c:ser>
        <c:ser>
          <c:idx val="1"/>
          <c:order val="1"/>
          <c:tx>
            <c:strRef>
              <c:f>Capacitación!$B$24</c:f>
              <c:strCache>
                <c:ptCount val="1"/>
                <c:pt idx="0">
                  <c:v>Sí</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Capacitación!$C$22:$D$22</c:f>
              <c:strCache>
                <c:ptCount val="2"/>
                <c:pt idx="0">
                  <c:v>2019</c:v>
                </c:pt>
                <c:pt idx="1">
                  <c:v>2020p/</c:v>
                </c:pt>
              </c:strCache>
            </c:strRef>
          </c:cat>
          <c:val>
            <c:numRef>
              <c:f>Capacitación!$C$24:$D$24</c:f>
              <c:numCache>
                <c:formatCode>General</c:formatCode>
                <c:ptCount val="2"/>
                <c:pt idx="0">
                  <c:v>21.7</c:v>
                </c:pt>
                <c:pt idx="1">
                  <c:v>25.4</c:v>
                </c:pt>
              </c:numCache>
            </c:numRef>
          </c:val>
          <c:extLst>
            <c:ext xmlns:c16="http://schemas.microsoft.com/office/drawing/2014/chart" uri="{C3380CC4-5D6E-409C-BE32-E72D297353CC}">
              <c16:uniqueId val="{00000001-DF49-4B10-A950-E58C04761875}"/>
            </c:ext>
          </c:extLst>
        </c:ser>
        <c:dLbls>
          <c:dLblPos val="outEnd"/>
          <c:showLegendKey val="0"/>
          <c:showVal val="1"/>
          <c:showCatName val="0"/>
          <c:showSerName val="0"/>
          <c:showPercent val="0"/>
          <c:showBubbleSize val="0"/>
        </c:dLbls>
        <c:gapWidth val="219"/>
        <c:overlap val="-27"/>
        <c:axId val="32707471"/>
        <c:axId val="16850223"/>
      </c:barChart>
      <c:catAx>
        <c:axId val="32707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850223"/>
        <c:crosses val="autoZero"/>
        <c:auto val="1"/>
        <c:lblAlgn val="ctr"/>
        <c:lblOffset val="100"/>
        <c:noMultiLvlLbl val="0"/>
      </c:catAx>
      <c:valAx>
        <c:axId val="16850223"/>
        <c:scaling>
          <c:orientation val="minMax"/>
        </c:scaling>
        <c:delete val="1"/>
        <c:axPos val="l"/>
        <c:numFmt formatCode="General" sourceLinked="1"/>
        <c:majorTickMark val="none"/>
        <c:minorTickMark val="none"/>
        <c:tickLblPos val="nextTo"/>
        <c:crossAx val="32707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MX" sz="1100">
                <a:latin typeface="Arial" panose="020B0604020202020204" pitchFamily="34" charset="0"/>
                <a:cs typeface="Arial" panose="020B0604020202020204" pitchFamily="34" charset="0"/>
              </a:rPr>
              <a:t>2020</a:t>
            </a:r>
            <a:r>
              <a:rPr lang="es-MX" sz="1100" baseline="30000">
                <a:latin typeface="Arial" panose="020B0604020202020204" pitchFamily="34" charset="0"/>
                <a:cs typeface="Arial" panose="020B0604020202020204" pitchFamily="34" charset="0"/>
              </a:rPr>
              <a:t>p</a:t>
            </a:r>
            <a:r>
              <a:rPr lang="es-MX" sz="1200" baseline="30000">
                <a:latin typeface="Arial" panose="020B0604020202020204" pitchFamily="34" charset="0"/>
                <a:cs typeface="Arial" panose="020B0604020202020204" pitchFamily="34" charset="0"/>
              </a:rPr>
              <a:t>/</a:t>
            </a:r>
          </a:p>
        </c:rich>
      </c:tx>
      <c:layout>
        <c:manualLayout>
          <c:xMode val="edge"/>
          <c:yMode val="edge"/>
          <c:x val="0.43517679759056666"/>
          <c:y val="3.7336652146857496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0.20599188594679038"/>
          <c:y val="0.18154865622785746"/>
          <c:w val="0.63299373935079706"/>
          <c:h val="0.64213965649731042"/>
        </c:manualLayout>
      </c:layout>
      <c:pieChart>
        <c:varyColors val="1"/>
        <c:ser>
          <c:idx val="0"/>
          <c:order val="0"/>
          <c:dPt>
            <c:idx val="0"/>
            <c:bubble3D val="0"/>
            <c:spPr>
              <a:solidFill>
                <a:schemeClr val="accent2">
                  <a:shade val="65000"/>
                </a:schemeClr>
              </a:solidFill>
              <a:ln w="19050">
                <a:solidFill>
                  <a:schemeClr val="lt1"/>
                </a:solidFill>
              </a:ln>
              <a:effectLst/>
            </c:spPr>
            <c:extLst>
              <c:ext xmlns:c16="http://schemas.microsoft.com/office/drawing/2014/chart" uri="{C3380CC4-5D6E-409C-BE32-E72D297353CC}">
                <c16:uniqueId val="{00000001-169A-4B3D-A5DC-707D85F521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69A-4B3D-A5DC-707D85F521F2}"/>
              </c:ext>
            </c:extLst>
          </c:dPt>
          <c:dPt>
            <c:idx val="2"/>
            <c:bubble3D val="0"/>
            <c:spPr>
              <a:solidFill>
                <a:schemeClr val="accent2">
                  <a:tint val="65000"/>
                </a:schemeClr>
              </a:solidFill>
              <a:ln w="19050">
                <a:solidFill>
                  <a:schemeClr val="lt1"/>
                </a:solidFill>
              </a:ln>
              <a:effectLst/>
            </c:spPr>
            <c:extLst>
              <c:ext xmlns:c16="http://schemas.microsoft.com/office/drawing/2014/chart" uri="{C3380CC4-5D6E-409C-BE32-E72D297353CC}">
                <c16:uniqueId val="{00000005-169A-4B3D-A5DC-707D85F521F2}"/>
              </c:ext>
            </c:extLst>
          </c:dPt>
          <c:dLbls>
            <c:dLbl>
              <c:idx val="0"/>
              <c:layout>
                <c:manualLayout>
                  <c:x val="-0.2019305662013488"/>
                  <c:y val="-1.3683001043662324E-2"/>
                </c:manualLayout>
              </c:layout>
              <c:tx>
                <c:rich>
                  <a:bodyPr/>
                  <a:lstStyle/>
                  <a:p>
                    <a:r>
                      <a:rPr lang="en-US"/>
                      <a:t>53.0</a:t>
                    </a:r>
                  </a:p>
                </c:rich>
              </c:tx>
              <c:dLblPos val="bestFit"/>
              <c:showLegendKey val="0"/>
              <c:showVal val="1"/>
              <c:showCatName val="0"/>
              <c:showSerName val="0"/>
              <c:showPercent val="0"/>
              <c:showBubbleSize val="0"/>
              <c:extLst>
                <c:ext xmlns:c15="http://schemas.microsoft.com/office/drawing/2012/chart" uri="{CE6537A1-D6FC-4f65-9D91-7224C49458BB}">
                  <c15:layout>
                    <c:manualLayout>
                      <c:w val="0.13033431661750247"/>
                      <c:h val="8.3043182141124688E-2"/>
                    </c:manualLayout>
                  </c15:layout>
                </c:ext>
                <c:ext xmlns:c16="http://schemas.microsoft.com/office/drawing/2014/chart" uri="{C3380CC4-5D6E-409C-BE32-E72D297353CC}">
                  <c16:uniqueId val="{00000001-169A-4B3D-A5DC-707D85F521F2}"/>
                </c:ext>
              </c:extLst>
            </c:dLbl>
            <c:dLbl>
              <c:idx val="1"/>
              <c:layout>
                <c:manualLayout>
                  <c:x val="0.18215261809088024"/>
                  <c:y val="-8.1213098207154721E-2"/>
                </c:manualLayout>
              </c:layout>
              <c:tx>
                <c:rich>
                  <a:bodyPr/>
                  <a:lstStyle/>
                  <a:p>
                    <a:r>
                      <a:rPr lang="en-US"/>
                      <a:t>33.4</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69A-4B3D-A5DC-707D85F521F2}"/>
                </c:ext>
              </c:extLst>
            </c:dLbl>
            <c:dLbl>
              <c:idx val="2"/>
              <c:tx>
                <c:rich>
                  <a:bodyPr/>
                  <a:lstStyle/>
                  <a:p>
                    <a:r>
                      <a:rPr lang="en-US"/>
                      <a:t>13.6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69A-4B3D-A5DC-707D85F521F2}"/>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MX"/>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po!$S$16:$S$18</c:f>
              <c:strCache>
                <c:ptCount val="3"/>
                <c:pt idx="0">
                  <c:v>236 Edificación</c:v>
                </c:pt>
                <c:pt idx="1">
                  <c:v>237 Construcción de obras de ingeniería civil</c:v>
                </c:pt>
                <c:pt idx="2">
                  <c:v>238 Trabajos especializados para la construcción</c:v>
                </c:pt>
              </c:strCache>
            </c:strRef>
          </c:cat>
          <c:val>
            <c:numRef>
              <c:f>po!$W$16:$W$18</c:f>
              <c:numCache>
                <c:formatCode>.\ \ #;0000000000000000000000000000000000000000000000000000000000000000000000000000000000000000000000000</c:formatCode>
                <c:ptCount val="3"/>
                <c:pt idx="0">
                  <c:v>52.957755495742674</c:v>
                </c:pt>
                <c:pt idx="1">
                  <c:v>33.427538785525627</c:v>
                </c:pt>
                <c:pt idx="2">
                  <c:v>13.61470571873169</c:v>
                </c:pt>
              </c:numCache>
            </c:numRef>
          </c:val>
          <c:extLst>
            <c:ext xmlns:c16="http://schemas.microsoft.com/office/drawing/2014/chart" uri="{C3380CC4-5D6E-409C-BE32-E72D297353CC}">
              <c16:uniqueId val="{00000006-169A-4B3D-A5DC-707D85F521F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901791895983201"/>
          <c:y val="0.2129217688093171"/>
          <c:w val="0.59905660377358494"/>
          <c:h val="0.61650485436893199"/>
        </c:manualLayout>
      </c:layout>
      <c:doughnutChart>
        <c:varyColors val="1"/>
        <c:ser>
          <c:idx val="0"/>
          <c:order val="0"/>
          <c:dPt>
            <c:idx val="0"/>
            <c:bubble3D val="0"/>
            <c:spPr>
              <a:solidFill>
                <a:schemeClr val="accent6">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54BA-4D9D-A1A4-F7CFA4CE8BA8}"/>
              </c:ext>
            </c:extLst>
          </c:dPt>
          <c:dPt>
            <c:idx val="1"/>
            <c:bubble3D val="0"/>
            <c:spPr>
              <a:solidFill>
                <a:schemeClr val="accent4">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54BA-4D9D-A1A4-F7CFA4CE8BA8}"/>
              </c:ext>
            </c:extLst>
          </c:dPt>
          <c:dLbls>
            <c:dLbl>
              <c:idx val="0"/>
              <c:tx>
                <c:rich>
                  <a:bodyPr/>
                  <a:lstStyle/>
                  <a:p>
                    <a:r>
                      <a:rPr lang="en-US"/>
                      <a:t>88.4%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BA-4D9D-A1A4-F7CFA4CE8BA8}"/>
                </c:ext>
              </c:extLst>
            </c:dLbl>
            <c:dLbl>
              <c:idx val="1"/>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11.6%</a:t>
                    </a:r>
                  </a:p>
                </c:rich>
              </c:tx>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BA-4D9D-A1A4-F7CFA4CE8BA8}"/>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hm!$I$12:$J$12</c:f>
              <c:strCache>
                <c:ptCount val="2"/>
                <c:pt idx="0">
                  <c:v>Hombres</c:v>
                </c:pt>
                <c:pt idx="1">
                  <c:v>Mujeres</c:v>
                </c:pt>
              </c:strCache>
            </c:strRef>
          </c:cat>
          <c:val>
            <c:numRef>
              <c:f>hm!$I$13:$J$13</c:f>
              <c:numCache>
                <c:formatCode>0.0</c:formatCode>
                <c:ptCount val="2"/>
                <c:pt idx="0">
                  <c:v>88.2</c:v>
                </c:pt>
                <c:pt idx="1">
                  <c:v>11.8</c:v>
                </c:pt>
              </c:numCache>
            </c:numRef>
          </c:val>
          <c:extLst>
            <c:ext xmlns:c16="http://schemas.microsoft.com/office/drawing/2014/chart" uri="{C3380CC4-5D6E-409C-BE32-E72D297353CC}">
              <c16:uniqueId val="{00000004-54BA-4D9D-A1A4-F7CFA4CE8BA8}"/>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901791895983201"/>
          <c:y val="0.2129217688093171"/>
          <c:w val="0.59905660377358494"/>
          <c:h val="0.61650485436893199"/>
        </c:manualLayout>
      </c:layout>
      <c:doughnutChart>
        <c:varyColors val="1"/>
        <c:ser>
          <c:idx val="0"/>
          <c:order val="0"/>
          <c:dPt>
            <c:idx val="0"/>
            <c:bubble3D val="0"/>
            <c:spPr>
              <a:solidFill>
                <a:schemeClr val="accent6">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56A-496C-8076-0CB17303C8F4}"/>
              </c:ext>
            </c:extLst>
          </c:dPt>
          <c:dPt>
            <c:idx val="1"/>
            <c:bubble3D val="0"/>
            <c:spPr>
              <a:solidFill>
                <a:schemeClr val="accent4">
                  <a:lumMod val="60000"/>
                  <a:lumOff val="4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56A-496C-8076-0CB17303C8F4}"/>
              </c:ext>
            </c:extLst>
          </c:dPt>
          <c:dLbls>
            <c:dLbl>
              <c:idx val="0"/>
              <c:tx>
                <c:rich>
                  <a:bodyPr/>
                  <a:lstStyle/>
                  <a:p>
                    <a:fld id="{664FE12C-C1B6-4CB8-AB62-C1EE2D854A97}"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56A-496C-8076-0CB17303C8F4}"/>
                </c:ext>
              </c:extLst>
            </c:dLbl>
            <c:dLbl>
              <c:idx val="1"/>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11.8%</a:t>
                    </a:r>
                  </a:p>
                </c:rich>
              </c:tx>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56A-496C-8076-0CB17303C8F4}"/>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hm!$I$12:$J$12</c:f>
              <c:strCache>
                <c:ptCount val="2"/>
                <c:pt idx="0">
                  <c:v>Hombres</c:v>
                </c:pt>
                <c:pt idx="1">
                  <c:v>Mujeres</c:v>
                </c:pt>
              </c:strCache>
            </c:strRef>
          </c:cat>
          <c:val>
            <c:numRef>
              <c:f>hm!$I$13:$J$13</c:f>
              <c:numCache>
                <c:formatCode>0.0</c:formatCode>
                <c:ptCount val="2"/>
                <c:pt idx="0">
                  <c:v>88.2</c:v>
                </c:pt>
                <c:pt idx="1">
                  <c:v>11.8</c:v>
                </c:pt>
              </c:numCache>
            </c:numRef>
          </c:val>
          <c:extLst>
            <c:ext xmlns:c16="http://schemas.microsoft.com/office/drawing/2014/chart" uri="{C3380CC4-5D6E-409C-BE32-E72D297353CC}">
              <c16:uniqueId val="{00000004-856A-496C-8076-0CB17303C8F4}"/>
            </c:ext>
          </c:extLst>
        </c:ser>
        <c:dLbls>
          <c:showLegendKey val="0"/>
          <c:showVal val="1"/>
          <c:showCatName val="0"/>
          <c:showSerName val="0"/>
          <c:showPercent val="0"/>
          <c:showBubbleSize val="0"/>
          <c:showLeaderLines val="1"/>
        </c:dLbls>
        <c:firstSliceAng val="0"/>
        <c:holeSize val="50"/>
      </c:doughnut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4.329004329004329E-3"/>
          <c:w val="0.93888888888888888"/>
          <c:h val="0.71593175853018376"/>
        </c:manualLayout>
      </c:layout>
      <c:barChart>
        <c:barDir val="col"/>
        <c:grouping val="stacked"/>
        <c:varyColors val="0"/>
        <c:ser>
          <c:idx val="0"/>
          <c:order val="0"/>
          <c:tx>
            <c:strRef>
              <c:f>po!$B$3</c:f>
              <c:strCache>
                <c:ptCount val="1"/>
                <c:pt idx="0">
                  <c:v>Mujeres</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po!$A$4:$A$7</c:f>
              <c:strCache>
                <c:ptCount val="4"/>
                <c:pt idx="0">
                  <c:v>23 Construcción</c:v>
                </c:pt>
                <c:pt idx="1">
                  <c:v>236 Edificación</c:v>
                </c:pt>
                <c:pt idx="2">
                  <c:v>237 Construcción de obras de ingeniería civil </c:v>
                </c:pt>
                <c:pt idx="3">
                  <c:v>238 Trabajos especializados para la construcción</c:v>
                </c:pt>
              </c:strCache>
            </c:strRef>
          </c:cat>
          <c:val>
            <c:numRef>
              <c:f>po!$B$4:$B$7</c:f>
              <c:numCache>
                <c:formatCode>0.0</c:formatCode>
                <c:ptCount val="4"/>
                <c:pt idx="0">
                  <c:v>11.782372875457831</c:v>
                </c:pt>
                <c:pt idx="1">
                  <c:v>12.3</c:v>
                </c:pt>
                <c:pt idx="2">
                  <c:v>10.199999999999999</c:v>
                </c:pt>
                <c:pt idx="3">
                  <c:v>13.7</c:v>
                </c:pt>
              </c:numCache>
            </c:numRef>
          </c:val>
          <c:extLst>
            <c:ext xmlns:c16="http://schemas.microsoft.com/office/drawing/2014/chart" uri="{C3380CC4-5D6E-409C-BE32-E72D297353CC}">
              <c16:uniqueId val="{00000000-8CF5-4FC5-9723-7820F6D22B64}"/>
            </c:ext>
          </c:extLst>
        </c:ser>
        <c:ser>
          <c:idx val="1"/>
          <c:order val="1"/>
          <c:tx>
            <c:strRef>
              <c:f>po!$C$3</c:f>
              <c:strCache>
                <c:ptCount val="1"/>
                <c:pt idx="0">
                  <c:v>Hombres</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po!$A$4:$A$7</c:f>
              <c:strCache>
                <c:ptCount val="4"/>
                <c:pt idx="0">
                  <c:v>23 Construcción</c:v>
                </c:pt>
                <c:pt idx="1">
                  <c:v>236 Edificación</c:v>
                </c:pt>
                <c:pt idx="2">
                  <c:v>237 Construcción de obras de ingeniería civil </c:v>
                </c:pt>
                <c:pt idx="3">
                  <c:v>238 Trabajos especializados para la construcción</c:v>
                </c:pt>
              </c:strCache>
            </c:strRef>
          </c:cat>
          <c:val>
            <c:numRef>
              <c:f>po!$C$4:$C$7</c:f>
              <c:numCache>
                <c:formatCode>0.0</c:formatCode>
                <c:ptCount val="4"/>
                <c:pt idx="0">
                  <c:v>88.217627124542176</c:v>
                </c:pt>
                <c:pt idx="1">
                  <c:v>87.7</c:v>
                </c:pt>
                <c:pt idx="2">
                  <c:v>89.8</c:v>
                </c:pt>
                <c:pt idx="3">
                  <c:v>86.3</c:v>
                </c:pt>
              </c:numCache>
            </c:numRef>
          </c:val>
          <c:extLst>
            <c:ext xmlns:c16="http://schemas.microsoft.com/office/drawing/2014/chart" uri="{C3380CC4-5D6E-409C-BE32-E72D297353CC}">
              <c16:uniqueId val="{00000001-8CF5-4FC5-9723-7820F6D22B64}"/>
            </c:ext>
          </c:extLst>
        </c:ser>
        <c:dLbls>
          <c:dLblPos val="ctr"/>
          <c:showLegendKey val="0"/>
          <c:showVal val="1"/>
          <c:showCatName val="0"/>
          <c:showSerName val="0"/>
          <c:showPercent val="0"/>
          <c:showBubbleSize val="0"/>
        </c:dLbls>
        <c:gapWidth val="77"/>
        <c:overlap val="100"/>
        <c:axId val="440306479"/>
        <c:axId val="440308975"/>
      </c:barChart>
      <c:catAx>
        <c:axId val="440306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40308975"/>
        <c:crosses val="autoZero"/>
        <c:auto val="1"/>
        <c:lblAlgn val="ctr"/>
        <c:lblOffset val="100"/>
        <c:noMultiLvlLbl val="0"/>
      </c:catAx>
      <c:valAx>
        <c:axId val="440308975"/>
        <c:scaling>
          <c:orientation val="minMax"/>
        </c:scaling>
        <c:delete val="1"/>
        <c:axPos val="l"/>
        <c:numFmt formatCode="0.0" sourceLinked="1"/>
        <c:majorTickMark val="none"/>
        <c:minorTickMark val="none"/>
        <c:tickLblPos val="nextTo"/>
        <c:crossAx val="440306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vp!$G$3</c:f>
              <c:strCache>
                <c:ptCount val="1"/>
                <c:pt idx="0">
                  <c:v>2020p/</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vp!$F$4:$F$6</c:f>
              <c:strCache>
                <c:ptCount val="3"/>
                <c:pt idx="0">
                  <c:v>238 Trabajos especializados para la construcción</c:v>
                </c:pt>
                <c:pt idx="1">
                  <c:v>237 Construcción de obras de ingeniería civil </c:v>
                </c:pt>
                <c:pt idx="2">
                  <c:v>236 Edificación</c:v>
                </c:pt>
              </c:strCache>
            </c:strRef>
          </c:cat>
          <c:val>
            <c:numRef>
              <c:f>vp!$G$4:$G$6</c:f>
              <c:numCache>
                <c:formatCode>#,##0.0;\-#,##0.0</c:formatCode>
                <c:ptCount val="3"/>
                <c:pt idx="0">
                  <c:v>9.7391048114463867</c:v>
                </c:pt>
                <c:pt idx="1">
                  <c:v>44.466333881564879</c:v>
                </c:pt>
                <c:pt idx="2">
                  <c:v>45.794561306988733</c:v>
                </c:pt>
              </c:numCache>
            </c:numRef>
          </c:val>
          <c:extLst>
            <c:ext xmlns:c16="http://schemas.microsoft.com/office/drawing/2014/chart" uri="{C3380CC4-5D6E-409C-BE32-E72D297353CC}">
              <c16:uniqueId val="{00000000-BF09-4F51-9B8F-116D39C7B81C}"/>
            </c:ext>
          </c:extLst>
        </c:ser>
        <c:ser>
          <c:idx val="1"/>
          <c:order val="1"/>
          <c:tx>
            <c:strRef>
              <c:f>vp!$H$3</c:f>
              <c:strCache>
                <c:ptCount val="1"/>
                <c:pt idx="0">
                  <c:v>2019</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vp!$F$4:$F$6</c:f>
              <c:strCache>
                <c:ptCount val="3"/>
                <c:pt idx="0">
                  <c:v>238 Trabajos especializados para la construcción</c:v>
                </c:pt>
                <c:pt idx="1">
                  <c:v>237 Construcción de obras de ingeniería civil </c:v>
                </c:pt>
                <c:pt idx="2">
                  <c:v>236 Edificación</c:v>
                </c:pt>
              </c:strCache>
            </c:strRef>
          </c:cat>
          <c:val>
            <c:numRef>
              <c:f>vp!$H$4:$H$6</c:f>
              <c:numCache>
                <c:formatCode>#,##0.0;\-#,##0.0</c:formatCode>
                <c:ptCount val="3"/>
                <c:pt idx="0">
                  <c:v>10.01441254324139</c:v>
                </c:pt>
                <c:pt idx="1">
                  <c:v>41.914910810497709</c:v>
                </c:pt>
                <c:pt idx="2">
                  <c:v>48.0706766462609</c:v>
                </c:pt>
              </c:numCache>
            </c:numRef>
          </c:val>
          <c:extLst>
            <c:ext xmlns:c16="http://schemas.microsoft.com/office/drawing/2014/chart" uri="{C3380CC4-5D6E-409C-BE32-E72D297353CC}">
              <c16:uniqueId val="{00000001-BF09-4F51-9B8F-116D39C7B81C}"/>
            </c:ext>
          </c:extLst>
        </c:ser>
        <c:dLbls>
          <c:dLblPos val="outEnd"/>
          <c:showLegendKey val="0"/>
          <c:showVal val="1"/>
          <c:showCatName val="0"/>
          <c:showSerName val="0"/>
          <c:showPercent val="0"/>
          <c:showBubbleSize val="0"/>
        </c:dLbls>
        <c:gapWidth val="182"/>
        <c:axId val="1095575055"/>
        <c:axId val="1095562991"/>
      </c:barChart>
      <c:catAx>
        <c:axId val="10955750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95562991"/>
        <c:crosses val="autoZero"/>
        <c:auto val="1"/>
        <c:lblAlgn val="ctr"/>
        <c:lblOffset val="100"/>
        <c:noMultiLvlLbl val="0"/>
      </c:catAx>
      <c:valAx>
        <c:axId val="1095562991"/>
        <c:scaling>
          <c:orientation val="minMax"/>
        </c:scaling>
        <c:delete val="0"/>
        <c:axPos val="b"/>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095575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9.5082883669010021E-2"/>
          <c:y val="4.1798387918273221E-2"/>
          <c:w val="0.86432091653579146"/>
          <c:h val="0.46889561881687863"/>
        </c:manualLayout>
      </c:layout>
      <c:barChart>
        <c:barDir val="bar"/>
        <c:grouping val="stacked"/>
        <c:varyColors val="0"/>
        <c:ser>
          <c:idx val="0"/>
          <c:order val="0"/>
          <c:tx>
            <c:strRef>
              <c:f>activos!$B$3</c:f>
              <c:strCache>
                <c:ptCount val="1"/>
                <c:pt idx="0">
                  <c:v>Maquinaria y equipo para la construcción</c:v>
                </c:pt>
              </c:strCache>
            </c:strRef>
          </c:tx>
          <c:spPr>
            <a:solidFill>
              <a:schemeClr val="accent2">
                <a:tint val="54000"/>
              </a:schemeClr>
            </a:solidFill>
            <a:ln>
              <a:noFill/>
            </a:ln>
            <a:effectLst/>
          </c:spPr>
          <c:invertIfNegative val="0"/>
          <c:dLbls>
            <c:dLbl>
              <c:idx val="1"/>
              <c:tx>
                <c:rich>
                  <a:bodyPr/>
                  <a:lstStyle/>
                  <a:p>
                    <a:r>
                      <a:rPr lang="en-US"/>
                      <a:t>54.4</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39-40AD-B714-E8A675C1B0DC}"/>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activos!$A$4:$A$5</c:f>
              <c:strCache>
                <c:ptCount val="2"/>
                <c:pt idx="0">
                  <c:v>2020/p</c:v>
                </c:pt>
                <c:pt idx="1">
                  <c:v>2019</c:v>
                </c:pt>
              </c:strCache>
            </c:strRef>
          </c:cat>
          <c:val>
            <c:numRef>
              <c:f>activos!$B$4:$B$5</c:f>
              <c:numCache>
                <c:formatCode>0.0</c:formatCode>
                <c:ptCount val="2"/>
                <c:pt idx="0">
                  <c:v>54.519246642391963</c:v>
                </c:pt>
                <c:pt idx="1">
                  <c:v>54.491344833887325</c:v>
                </c:pt>
              </c:numCache>
            </c:numRef>
          </c:val>
          <c:extLst>
            <c:ext xmlns:c16="http://schemas.microsoft.com/office/drawing/2014/chart" uri="{C3380CC4-5D6E-409C-BE32-E72D297353CC}">
              <c16:uniqueId val="{00000000-70C4-49D1-A0E2-B663308F0D03}"/>
            </c:ext>
          </c:extLst>
        </c:ser>
        <c:ser>
          <c:idx val="1"/>
          <c:order val="1"/>
          <c:tx>
            <c:strRef>
              <c:f>activos!$C$3</c:f>
              <c:strCache>
                <c:ptCount val="1"/>
                <c:pt idx="0">
                  <c:v>Bienes inmuebles</c:v>
                </c:pt>
              </c:strCache>
            </c:strRef>
          </c:tx>
          <c:spPr>
            <a:solidFill>
              <a:schemeClr val="accent2">
                <a:tint val="77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activos!$A$4:$A$5</c:f>
              <c:strCache>
                <c:ptCount val="2"/>
                <c:pt idx="0">
                  <c:v>2020/p</c:v>
                </c:pt>
                <c:pt idx="1">
                  <c:v>2019</c:v>
                </c:pt>
              </c:strCache>
            </c:strRef>
          </c:cat>
          <c:val>
            <c:numRef>
              <c:f>activos!$C$4:$C$5</c:f>
              <c:numCache>
                <c:formatCode>0.0</c:formatCode>
                <c:ptCount val="2"/>
                <c:pt idx="0">
                  <c:v>17.774000607955696</c:v>
                </c:pt>
                <c:pt idx="1">
                  <c:v>17.878722303744354</c:v>
                </c:pt>
              </c:numCache>
            </c:numRef>
          </c:val>
          <c:extLst>
            <c:ext xmlns:c16="http://schemas.microsoft.com/office/drawing/2014/chart" uri="{C3380CC4-5D6E-409C-BE32-E72D297353CC}">
              <c16:uniqueId val="{00000001-70C4-49D1-A0E2-B663308F0D03}"/>
            </c:ext>
          </c:extLst>
        </c:ser>
        <c:ser>
          <c:idx val="2"/>
          <c:order val="2"/>
          <c:tx>
            <c:strRef>
              <c:f>activos!$D$3</c:f>
              <c:strCache>
                <c:ptCount val="1"/>
                <c:pt idx="0">
                  <c:v>Unidades y equipo de transporte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activos!$A$4:$A$5</c:f>
              <c:strCache>
                <c:ptCount val="2"/>
                <c:pt idx="0">
                  <c:v>2020/p</c:v>
                </c:pt>
                <c:pt idx="1">
                  <c:v>2019</c:v>
                </c:pt>
              </c:strCache>
            </c:strRef>
          </c:cat>
          <c:val>
            <c:numRef>
              <c:f>activos!$D$4:$D$5</c:f>
              <c:numCache>
                <c:formatCode>0.0</c:formatCode>
                <c:ptCount val="2"/>
                <c:pt idx="0">
                  <c:v>19.564883665303796</c:v>
                </c:pt>
                <c:pt idx="1">
                  <c:v>19.579738069817818</c:v>
                </c:pt>
              </c:numCache>
            </c:numRef>
          </c:val>
          <c:extLst>
            <c:ext xmlns:c16="http://schemas.microsoft.com/office/drawing/2014/chart" uri="{C3380CC4-5D6E-409C-BE32-E72D297353CC}">
              <c16:uniqueId val="{00000002-70C4-49D1-A0E2-B663308F0D03}"/>
            </c:ext>
          </c:extLst>
        </c:ser>
        <c:ser>
          <c:idx val="3"/>
          <c:order val="3"/>
          <c:tx>
            <c:strRef>
              <c:f>activos!$E$3</c:f>
              <c:strCache>
                <c:ptCount val="1"/>
                <c:pt idx="0">
                  <c:v>Equipo de cómputo y periféricos</c:v>
                </c:pt>
              </c:strCache>
            </c:strRef>
          </c:tx>
          <c:spPr>
            <a:solidFill>
              <a:schemeClr val="accent2">
                <a:shade val="76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activos!$A$4:$A$5</c:f>
              <c:strCache>
                <c:ptCount val="2"/>
                <c:pt idx="0">
                  <c:v>2020/p</c:v>
                </c:pt>
                <c:pt idx="1">
                  <c:v>2019</c:v>
                </c:pt>
              </c:strCache>
            </c:strRef>
          </c:cat>
          <c:val>
            <c:numRef>
              <c:f>activos!$E$4:$E$5</c:f>
              <c:numCache>
                <c:formatCode>0.0</c:formatCode>
                <c:ptCount val="2"/>
                <c:pt idx="0">
                  <c:v>3.7089738844683438</c:v>
                </c:pt>
                <c:pt idx="1">
                  <c:v>3.7503139603732869</c:v>
                </c:pt>
              </c:numCache>
            </c:numRef>
          </c:val>
          <c:extLst>
            <c:ext xmlns:c16="http://schemas.microsoft.com/office/drawing/2014/chart" uri="{C3380CC4-5D6E-409C-BE32-E72D297353CC}">
              <c16:uniqueId val="{00000003-70C4-49D1-A0E2-B663308F0D03}"/>
            </c:ext>
          </c:extLst>
        </c:ser>
        <c:ser>
          <c:idx val="4"/>
          <c:order val="4"/>
          <c:tx>
            <c:strRef>
              <c:f>activos!$F$3</c:f>
              <c:strCache>
                <c:ptCount val="1"/>
                <c:pt idx="0">
                  <c:v>Mobiliario, equipo de oficina y otros activos</c:v>
                </c:pt>
              </c:strCache>
            </c:strRef>
          </c:tx>
          <c:spPr>
            <a:solidFill>
              <a:schemeClr val="accent2">
                <a:shade val="53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activos!$A$4:$A$5</c:f>
              <c:strCache>
                <c:ptCount val="2"/>
                <c:pt idx="0">
                  <c:v>2020/p</c:v>
                </c:pt>
                <c:pt idx="1">
                  <c:v>2019</c:v>
                </c:pt>
              </c:strCache>
            </c:strRef>
          </c:cat>
          <c:val>
            <c:numRef>
              <c:f>activos!$F$4:$F$5</c:f>
              <c:numCache>
                <c:formatCode>0.0</c:formatCode>
                <c:ptCount val="2"/>
                <c:pt idx="0">
                  <c:v>4.4328951998802033</c:v>
                </c:pt>
                <c:pt idx="1">
                  <c:v>4.2998808321772106</c:v>
                </c:pt>
              </c:numCache>
            </c:numRef>
          </c:val>
          <c:extLst>
            <c:ext xmlns:c16="http://schemas.microsoft.com/office/drawing/2014/chart" uri="{C3380CC4-5D6E-409C-BE32-E72D297353CC}">
              <c16:uniqueId val="{00000004-70C4-49D1-A0E2-B663308F0D03}"/>
            </c:ext>
          </c:extLst>
        </c:ser>
        <c:dLbls>
          <c:dLblPos val="ctr"/>
          <c:showLegendKey val="0"/>
          <c:showVal val="1"/>
          <c:showCatName val="0"/>
          <c:showSerName val="0"/>
          <c:showPercent val="0"/>
          <c:showBubbleSize val="0"/>
        </c:dLbls>
        <c:gapWidth val="48"/>
        <c:overlap val="100"/>
        <c:axId val="514231512"/>
        <c:axId val="514232496"/>
      </c:barChart>
      <c:catAx>
        <c:axId val="514231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514232496"/>
        <c:crosses val="autoZero"/>
        <c:auto val="1"/>
        <c:lblAlgn val="ctr"/>
        <c:lblOffset val="100"/>
        <c:noMultiLvlLbl val="0"/>
      </c:catAx>
      <c:valAx>
        <c:axId val="514232496"/>
        <c:scaling>
          <c:orientation val="minMax"/>
          <c:max val="100"/>
          <c:min val="40"/>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crossAx val="514231512"/>
        <c:crosses val="autoZero"/>
        <c:crossBetween val="between"/>
      </c:valAx>
      <c:spPr>
        <a:noFill/>
        <a:ln>
          <a:noFill/>
        </a:ln>
        <a:effectLst/>
      </c:spPr>
    </c:plotArea>
    <c:legend>
      <c:legendPos val="b"/>
      <c:layout>
        <c:manualLayout>
          <c:xMode val="edge"/>
          <c:yMode val="edge"/>
          <c:x val="0.29077918622329446"/>
          <c:y val="0.65722465331418711"/>
          <c:w val="0.45257502443551928"/>
          <c:h val="0.2800347683812250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b="1">
          <a:solidFill>
            <a:sysClr val="windowText" lastClr="000000"/>
          </a:solidFill>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stacked"/>
        <c:varyColors val="0"/>
        <c:ser>
          <c:idx val="0"/>
          <c:order val="0"/>
          <c:tx>
            <c:strRef>
              <c:f>'gasto ing elec'!$A$3</c:f>
              <c:strCache>
                <c:ptCount val="1"/>
                <c:pt idx="0">
                  <c:v>2019</c:v>
                </c:pt>
              </c:strCache>
            </c:strRef>
          </c:tx>
          <c:spPr>
            <a:solidFill>
              <a:schemeClr val="accent2">
                <a:shade val="76000"/>
              </a:schemeClr>
            </a:solidFill>
            <a:ln w="19050">
              <a:solidFill>
                <a:schemeClr val="lt1"/>
              </a:solidFill>
            </a:ln>
            <a:effectLst/>
          </c:spPr>
          <c:invertIfNegative val="0"/>
          <c:dLbls>
            <c:dLbl>
              <c:idx val="0"/>
              <c:layout>
                <c:manualLayout>
                  <c:x val="-0.16192785023757092"/>
                  <c:y val="-1.437779296664430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CF-4205-BCDB-F51AD36EA914}"/>
                </c:ext>
              </c:extLst>
            </c:dLbl>
            <c:dLbl>
              <c:idx val="1"/>
              <c:layout>
                <c:manualLayout>
                  <c:x val="-3.1010364580339865E-2"/>
                  <c:y val="-3.67544537841796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CF-4205-BCDB-F51AD36EA914}"/>
                </c:ext>
              </c:extLst>
            </c:dLbl>
            <c:dLbl>
              <c:idx val="2"/>
              <c:layout>
                <c:manualLayout>
                  <c:x val="-4.486832576584861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CF-4205-BCDB-F51AD36EA914}"/>
                </c:ext>
              </c:extLst>
            </c:dLbl>
            <c:dLbl>
              <c:idx val="3"/>
              <c:layout>
                <c:manualLayout>
                  <c:x val="-0.1506264276528895"/>
                  <c:y val="-8.019381282972618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CF-4205-BCDB-F51AD36EA914}"/>
                </c:ext>
              </c:extLst>
            </c:dLbl>
            <c:dLbl>
              <c:idx val="4"/>
              <c:layout>
                <c:manualLayout>
                  <c:x val="-8.793531173030855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CF-4205-BCDB-F51AD36EA914}"/>
                </c:ext>
              </c:extLst>
            </c:dLbl>
            <c:numFmt formatCode="#,##0.0;#,##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 ing elec'!$B$2:$F$2</c:f>
              <c:strCache>
                <c:ptCount val="5"/>
                <c:pt idx="0">
                  <c:v>Páginas web de proveedores</c:v>
                </c:pt>
                <c:pt idx="1">
                  <c:v>Páginas web de intermediarios</c:v>
                </c:pt>
                <c:pt idx="2">
                  <c:v>Redes sociales</c:v>
                </c:pt>
                <c:pt idx="3">
                  <c:v>Correo electrónico</c:v>
                </c:pt>
                <c:pt idx="4">
                  <c:v>Otra modalidad informática</c:v>
                </c:pt>
              </c:strCache>
            </c:strRef>
          </c:cat>
          <c:val>
            <c:numRef>
              <c:f>'gasto ing elec'!$B$3:$F$3</c:f>
              <c:numCache>
                <c:formatCode>General</c:formatCode>
                <c:ptCount val="5"/>
                <c:pt idx="0">
                  <c:v>-37.1</c:v>
                </c:pt>
                <c:pt idx="1">
                  <c:v>-3.9</c:v>
                </c:pt>
                <c:pt idx="2">
                  <c:v>-6.3</c:v>
                </c:pt>
                <c:pt idx="3">
                  <c:v>-34.299999999999997</c:v>
                </c:pt>
                <c:pt idx="4">
                  <c:v>-18.399999999999999</c:v>
                </c:pt>
              </c:numCache>
            </c:numRef>
          </c:val>
          <c:extLst>
            <c:ext xmlns:c16="http://schemas.microsoft.com/office/drawing/2014/chart" uri="{C3380CC4-5D6E-409C-BE32-E72D297353CC}">
              <c16:uniqueId val="{00000005-CDCF-4205-BCDB-F51AD36EA914}"/>
            </c:ext>
          </c:extLst>
        </c:ser>
        <c:ser>
          <c:idx val="1"/>
          <c:order val="1"/>
          <c:tx>
            <c:strRef>
              <c:f>'gasto ing elec'!$A$4</c:f>
              <c:strCache>
                <c:ptCount val="1"/>
                <c:pt idx="0">
                  <c:v>2020p/</c:v>
                </c:pt>
              </c:strCache>
            </c:strRef>
          </c:tx>
          <c:spPr>
            <a:solidFill>
              <a:schemeClr val="accent2">
                <a:tint val="77000"/>
              </a:schemeClr>
            </a:solidFill>
            <a:ln w="19050">
              <a:solidFill>
                <a:schemeClr val="lt1"/>
              </a:solidFill>
            </a:ln>
            <a:effectLst/>
          </c:spPr>
          <c:invertIfNegative val="0"/>
          <c:dLbls>
            <c:dLbl>
              <c:idx val="0"/>
              <c:layout>
                <c:manualLayout>
                  <c:x val="0.1407785370246053"/>
                  <c:y val="9.8803440928633789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CF-4205-BCDB-F51AD36EA914}"/>
                </c:ext>
              </c:extLst>
            </c:dLbl>
            <c:dLbl>
              <c:idx val="1"/>
              <c:layout>
                <c:manualLayout>
                  <c:x val="2.5998888825028259E-2"/>
                  <c:y val="3.67544537841796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CF-4205-BCDB-F51AD36EA914}"/>
                </c:ext>
              </c:extLst>
            </c:dLbl>
            <c:dLbl>
              <c:idx val="2"/>
              <c:layout>
                <c:manualLayout>
                  <c:x val="3.6356112420254036E-2"/>
                  <c:y val="-8.019246190858095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DCF-4205-BCDB-F51AD36EA914}"/>
                </c:ext>
              </c:extLst>
            </c:dLbl>
            <c:dLbl>
              <c:idx val="3"/>
              <c:layout>
                <c:manualLayout>
                  <c:x val="0.12907398795109878"/>
                  <c:y val="-2.9056973938863702E-3"/>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7.0401968593029746E-2"/>
                      <c:h val="8.5159203584400434E-2"/>
                    </c:manualLayout>
                  </c15:layout>
                </c:ext>
                <c:ext xmlns:c16="http://schemas.microsoft.com/office/drawing/2014/chart" uri="{C3380CC4-5D6E-409C-BE32-E72D297353CC}">
                  <c16:uniqueId val="{00000009-CDCF-4205-BCDB-F51AD36EA914}"/>
                </c:ext>
              </c:extLst>
            </c:dLbl>
            <c:dLbl>
              <c:idx val="4"/>
              <c:layout>
                <c:manualLayout>
                  <c:x val="0.15535847690625948"/>
                  <c:y val="4.9401720464316895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DCF-4205-BCDB-F51AD36EA914}"/>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'gasto ing elec'!$B$2:$F$2</c:f>
              <c:strCache>
                <c:ptCount val="5"/>
                <c:pt idx="0">
                  <c:v>Páginas web de proveedores</c:v>
                </c:pt>
                <c:pt idx="1">
                  <c:v>Páginas web de intermediarios</c:v>
                </c:pt>
                <c:pt idx="2">
                  <c:v>Redes sociales</c:v>
                </c:pt>
                <c:pt idx="3">
                  <c:v>Correo electrónico</c:v>
                </c:pt>
                <c:pt idx="4">
                  <c:v>Otra modalidad informática</c:v>
                </c:pt>
              </c:strCache>
            </c:strRef>
          </c:cat>
          <c:val>
            <c:numRef>
              <c:f>'gasto ing elec'!$B$4:$F$4</c:f>
              <c:numCache>
                <c:formatCode>0.0</c:formatCode>
                <c:ptCount val="5"/>
                <c:pt idx="0">
                  <c:v>31</c:v>
                </c:pt>
                <c:pt idx="1">
                  <c:v>2.4</c:v>
                </c:pt>
                <c:pt idx="2">
                  <c:v>5.5</c:v>
                </c:pt>
                <c:pt idx="3">
                  <c:v>26.4</c:v>
                </c:pt>
                <c:pt idx="4">
                  <c:v>34.700000000000003</c:v>
                </c:pt>
              </c:numCache>
            </c:numRef>
          </c:val>
          <c:extLst>
            <c:ext xmlns:c16="http://schemas.microsoft.com/office/drawing/2014/chart" uri="{C3380CC4-5D6E-409C-BE32-E72D297353CC}">
              <c16:uniqueId val="{0000000B-CDCF-4205-BCDB-F51AD36EA914}"/>
            </c:ext>
          </c:extLst>
        </c:ser>
        <c:dLbls>
          <c:dLblPos val="inBase"/>
          <c:showLegendKey val="0"/>
          <c:showVal val="1"/>
          <c:showCatName val="0"/>
          <c:showSerName val="0"/>
          <c:showPercent val="0"/>
          <c:showBubbleSize val="0"/>
        </c:dLbls>
        <c:gapWidth val="32"/>
        <c:overlap val="100"/>
        <c:axId val="819455392"/>
        <c:axId val="819469120"/>
      </c:barChart>
      <c:catAx>
        <c:axId val="819455392"/>
        <c:scaling>
          <c:orientation val="maxMin"/>
        </c:scaling>
        <c:delete val="0"/>
        <c:axPos val="l"/>
        <c:numFmt formatCode="#,##0.00"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9469120"/>
        <c:crosses val="autoZero"/>
        <c:auto val="1"/>
        <c:lblAlgn val="ctr"/>
        <c:lblOffset val="100"/>
        <c:noMultiLvlLbl val="0"/>
      </c:catAx>
      <c:valAx>
        <c:axId val="819469120"/>
        <c:scaling>
          <c:orientation val="minMax"/>
        </c:scaling>
        <c:delete val="0"/>
        <c:axPos val="t"/>
        <c:numFmt formatCode="#,##0;#,##0" sourceLinked="0"/>
        <c:majorTickMark val="none"/>
        <c:minorTickMark val="none"/>
        <c:tickLblPos val="high"/>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9455392"/>
        <c:crosses val="autoZero"/>
        <c:crossBetween val="between"/>
      </c:valAx>
      <c:spPr>
        <a:noFill/>
        <a:ln>
          <a:noFill/>
        </a:ln>
        <a:effectLst/>
      </c:spPr>
    </c:plotArea>
    <c:legend>
      <c:legendPos val="b"/>
      <c:layout>
        <c:manualLayout>
          <c:xMode val="edge"/>
          <c:yMode val="edge"/>
          <c:x val="0.37815945104621596"/>
          <c:y val="0.87100729711981639"/>
          <c:w val="0.59737710993865067"/>
          <c:h val="6.7870190577762793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stacked"/>
        <c:varyColors val="0"/>
        <c:ser>
          <c:idx val="0"/>
          <c:order val="0"/>
          <c:tx>
            <c:strRef>
              <c:f>'gasto ing elec'!$A$30</c:f>
              <c:strCache>
                <c:ptCount val="1"/>
                <c:pt idx="0">
                  <c:v>2019</c:v>
                </c:pt>
              </c:strCache>
            </c:strRef>
          </c:tx>
          <c:spPr>
            <a:solidFill>
              <a:schemeClr val="accent2">
                <a:shade val="76000"/>
              </a:schemeClr>
            </a:solidFill>
            <a:ln w="19050">
              <a:solidFill>
                <a:schemeClr val="lt1"/>
              </a:solidFill>
            </a:ln>
            <a:effectLst/>
          </c:spPr>
          <c:invertIfNegative val="0"/>
          <c:dLbls>
            <c:dLbl>
              <c:idx val="0"/>
              <c:layout>
                <c:manualLayout>
                  <c:x val="-0.16969568220730644"/>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DD-4D8F-8875-34176F7C84BD}"/>
                </c:ext>
              </c:extLst>
            </c:dLbl>
            <c:dLbl>
              <c:idx val="1"/>
              <c:layout>
                <c:manualLayout>
                  <c:x val="-4.0082273147412154E-2"/>
                  <c:y val="-2.628402742637711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DD-4D8F-8875-34176F7C84BD}"/>
                </c:ext>
              </c:extLst>
            </c:dLbl>
            <c:dLbl>
              <c:idx val="2"/>
              <c:layout>
                <c:manualLayout>
                  <c:x val="-4.8111151243709217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DD-4D8F-8875-34176F7C84BD}"/>
                </c:ext>
              </c:extLst>
            </c:dLbl>
            <c:dLbl>
              <c:idx val="3"/>
              <c:layout>
                <c:manualLayout>
                  <c:x val="-0.155110628401962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DD-4D8F-8875-34176F7C84BD}"/>
                </c:ext>
              </c:extLst>
            </c:dLbl>
            <c:dLbl>
              <c:idx val="4"/>
              <c:layout>
                <c:manualLayout>
                  <c:x val="-0.13687843185805348"/>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DD-4D8F-8875-34176F7C84BD}"/>
                </c:ext>
              </c:extLst>
            </c:dLbl>
            <c:numFmt formatCode="#,##0.0;#,##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'gasto ing elec'!$B$29:$F$29</c:f>
              <c:strCache>
                <c:ptCount val="5"/>
                <c:pt idx="0">
                  <c:v>Página web de la empresa</c:v>
                </c:pt>
                <c:pt idx="1">
                  <c:v>Páginas web de terceros</c:v>
                </c:pt>
                <c:pt idx="2">
                  <c:v>Redes sociales</c:v>
                </c:pt>
                <c:pt idx="3">
                  <c:v>Correo electrónico </c:v>
                </c:pt>
                <c:pt idx="4">
                  <c:v>Otra modalidad informática</c:v>
                </c:pt>
              </c:strCache>
            </c:strRef>
          </c:cat>
          <c:val>
            <c:numRef>
              <c:f>'gasto ing elec'!$B$30:$F$30</c:f>
              <c:numCache>
                <c:formatCode>General</c:formatCode>
                <c:ptCount val="5"/>
                <c:pt idx="0">
                  <c:v>-33.200000000000003</c:v>
                </c:pt>
                <c:pt idx="1">
                  <c:v>-5.8</c:v>
                </c:pt>
                <c:pt idx="2">
                  <c:v>-6.4</c:v>
                </c:pt>
                <c:pt idx="3">
                  <c:v>-29</c:v>
                </c:pt>
                <c:pt idx="4">
                  <c:v>-25.6</c:v>
                </c:pt>
              </c:numCache>
            </c:numRef>
          </c:val>
          <c:extLst>
            <c:ext xmlns:c16="http://schemas.microsoft.com/office/drawing/2014/chart" uri="{C3380CC4-5D6E-409C-BE32-E72D297353CC}">
              <c16:uniqueId val="{00000005-5FDD-4D8F-8875-34176F7C84BD}"/>
            </c:ext>
          </c:extLst>
        </c:ser>
        <c:ser>
          <c:idx val="1"/>
          <c:order val="1"/>
          <c:tx>
            <c:strRef>
              <c:f>'gasto ing elec'!$A$31</c:f>
              <c:strCache>
                <c:ptCount val="1"/>
                <c:pt idx="0">
                  <c:v>2020p/</c:v>
                </c:pt>
              </c:strCache>
            </c:strRef>
          </c:tx>
          <c:spPr>
            <a:solidFill>
              <a:schemeClr val="accent2">
                <a:tint val="77000"/>
              </a:schemeClr>
            </a:solidFill>
            <a:ln w="19050">
              <a:solidFill>
                <a:schemeClr val="lt1"/>
              </a:solidFill>
            </a:ln>
            <a:effectLst/>
          </c:spPr>
          <c:invertIfNegative val="0"/>
          <c:dLbls>
            <c:dLbl>
              <c:idx val="0"/>
              <c:layout>
                <c:manualLayout>
                  <c:x val="0.16747622055618785"/>
                  <c:y val="9.03112305627654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FDD-4D8F-8875-34176F7C84BD}"/>
                </c:ext>
              </c:extLst>
            </c:dLbl>
            <c:dLbl>
              <c:idx val="1"/>
              <c:layout>
                <c:manualLayout>
                  <c:x val="2.3006188446627659E-2"/>
                  <c:y val="3.67544537841796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FDD-4D8F-8875-34176F7C84BD}"/>
                </c:ext>
              </c:extLst>
            </c:dLbl>
            <c:dLbl>
              <c:idx val="2"/>
              <c:layout>
                <c:manualLayout>
                  <c:x val="6.6835396023933499E-2"/>
                  <c:y val="4.5155615286639508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FDD-4D8F-8875-34176F7C84BD}"/>
                </c:ext>
              </c:extLst>
            </c:dLbl>
            <c:dLbl>
              <c:idx val="3"/>
              <c:layout>
                <c:manualLayout>
                  <c:x val="0.12832838353242729"/>
                  <c:y val="4.51556152813827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FDD-4D8F-8875-34176F7C84BD}"/>
                </c:ext>
              </c:extLst>
            </c:dLbl>
            <c:dLbl>
              <c:idx val="4"/>
              <c:layout>
                <c:manualLayout>
                  <c:x val="0.15750257103585663"/>
                  <c:y val="4.51556152813827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FDD-4D8F-8875-34176F7C84BD}"/>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'gasto ing elec'!$B$29:$F$29</c:f>
              <c:strCache>
                <c:ptCount val="5"/>
                <c:pt idx="0">
                  <c:v>Página web de la empresa</c:v>
                </c:pt>
                <c:pt idx="1">
                  <c:v>Páginas web de terceros</c:v>
                </c:pt>
                <c:pt idx="2">
                  <c:v>Redes sociales</c:v>
                </c:pt>
                <c:pt idx="3">
                  <c:v>Correo electrónico </c:v>
                </c:pt>
                <c:pt idx="4">
                  <c:v>Otra modalidad informática</c:v>
                </c:pt>
              </c:strCache>
            </c:strRef>
          </c:cat>
          <c:val>
            <c:numRef>
              <c:f>'gasto ing elec'!$B$31:$F$31</c:f>
              <c:numCache>
                <c:formatCode>0.0</c:formatCode>
                <c:ptCount val="5"/>
                <c:pt idx="0">
                  <c:v>32.5</c:v>
                </c:pt>
                <c:pt idx="1">
                  <c:v>1.8</c:v>
                </c:pt>
                <c:pt idx="2">
                  <c:v>11</c:v>
                </c:pt>
                <c:pt idx="3">
                  <c:v>24</c:v>
                </c:pt>
                <c:pt idx="4" formatCode="General">
                  <c:v>30.7</c:v>
                </c:pt>
              </c:numCache>
            </c:numRef>
          </c:val>
          <c:extLst>
            <c:ext xmlns:c16="http://schemas.microsoft.com/office/drawing/2014/chart" uri="{C3380CC4-5D6E-409C-BE32-E72D297353CC}">
              <c16:uniqueId val="{0000000B-5FDD-4D8F-8875-34176F7C84BD}"/>
            </c:ext>
          </c:extLst>
        </c:ser>
        <c:dLbls>
          <c:showLegendKey val="0"/>
          <c:showVal val="0"/>
          <c:showCatName val="0"/>
          <c:showSerName val="0"/>
          <c:showPercent val="0"/>
          <c:showBubbleSize val="0"/>
        </c:dLbls>
        <c:gapWidth val="32"/>
        <c:overlap val="100"/>
        <c:axId val="819455392"/>
        <c:axId val="819469120"/>
      </c:barChart>
      <c:catAx>
        <c:axId val="819455392"/>
        <c:scaling>
          <c:orientation val="maxMin"/>
        </c:scaling>
        <c:delete val="0"/>
        <c:axPos val="l"/>
        <c:numFmt formatCode="#,##0.00"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9469120"/>
        <c:crosses val="autoZero"/>
        <c:auto val="1"/>
        <c:lblAlgn val="ctr"/>
        <c:lblOffset val="100"/>
        <c:noMultiLvlLbl val="0"/>
      </c:catAx>
      <c:valAx>
        <c:axId val="819469120"/>
        <c:scaling>
          <c:orientation val="minMax"/>
        </c:scaling>
        <c:delete val="0"/>
        <c:axPos val="t"/>
        <c:numFmt formatCode="#,##0;#,##0" sourceLinked="0"/>
        <c:majorTickMark val="none"/>
        <c:minorTickMark val="none"/>
        <c:tickLblPos val="high"/>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9455392"/>
        <c:crosses val="autoZero"/>
        <c:crossBetween val="between"/>
      </c:valAx>
      <c:spPr>
        <a:noFill/>
        <a:ln>
          <a:noFill/>
        </a:ln>
        <a:effectLst/>
      </c:spPr>
    </c:plotArea>
    <c:legend>
      <c:legendPos val="b"/>
      <c:layout>
        <c:manualLayout>
          <c:xMode val="edge"/>
          <c:yMode val="edge"/>
          <c:x val="0.27060831200768709"/>
          <c:y val="0.91761403147527021"/>
          <c:w val="0.70492822905924712"/>
          <c:h val="6.7870190577762793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10.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Reversed" id="22">
  <a:schemeClr val="accent2"/>
</cs:colorStyle>
</file>

<file path=word/charts/colors8.xml><?xml version="1.0" encoding="utf-8"?>
<cs:colorStyle xmlns:cs="http://schemas.microsoft.com/office/drawing/2012/chartStyle" xmlns:a="http://schemas.openxmlformats.org/drawingml/2006/main" meth="withinLinear" id="15">
  <a:schemeClr val="accent2"/>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0.46936</cdr:x>
      <cdr:y>0.05278</cdr:y>
    </cdr:from>
    <cdr:to>
      <cdr:x>0.69006</cdr:x>
      <cdr:y>0.17718</cdr:y>
    </cdr:to>
    <cdr:sp macro="" textlink="">
      <cdr:nvSpPr>
        <cdr:cNvPr id="2" name="Cuadro de texto 1"/>
        <cdr:cNvSpPr txBox="1"/>
      </cdr:nvSpPr>
      <cdr:spPr>
        <a:xfrm xmlns:a="http://schemas.openxmlformats.org/drawingml/2006/main">
          <a:off x="1160288" y="107576"/>
          <a:ext cx="545567" cy="2535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1100" b="1">
              <a:latin typeface="Arial" panose="020B0604020202020204" pitchFamily="34" charset="0"/>
              <a:cs typeface="Arial" panose="020B0604020202020204" pitchFamily="34" charset="0"/>
            </a:rPr>
            <a:t>2019</a:t>
          </a:r>
        </a:p>
      </cdr:txBody>
    </cdr:sp>
  </cdr:relSizeAnchor>
</c:userShapes>
</file>

<file path=word/drawings/drawing2.xml><?xml version="1.0" encoding="utf-8"?>
<c:userShapes xmlns:c="http://schemas.openxmlformats.org/drawingml/2006/chart">
  <cdr:relSizeAnchor xmlns:cdr="http://schemas.openxmlformats.org/drawingml/2006/chartDrawing">
    <cdr:from>
      <cdr:x>0.48991</cdr:x>
      <cdr:y>0.0777</cdr:y>
    </cdr:from>
    <cdr:to>
      <cdr:x>0.82682</cdr:x>
      <cdr:y>0.2021</cdr:y>
    </cdr:to>
    <cdr:sp macro="" textlink="">
      <cdr:nvSpPr>
        <cdr:cNvPr id="2" name="Cuadro de texto 1"/>
        <cdr:cNvSpPr txBox="1"/>
      </cdr:nvSpPr>
      <cdr:spPr>
        <a:xfrm xmlns:a="http://schemas.openxmlformats.org/drawingml/2006/main">
          <a:off x="1211088" y="158376"/>
          <a:ext cx="832864" cy="2535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1100" b="1">
              <a:latin typeface="Arial" panose="020B0604020202020204" pitchFamily="34" charset="0"/>
              <a:cs typeface="Arial" panose="020B0604020202020204" pitchFamily="34" charset="0"/>
            </a:rPr>
            <a:t>2020</a:t>
          </a:r>
          <a:r>
            <a:rPr lang="es-MX" sz="1100" b="1" baseline="30000">
              <a:latin typeface="Arial" panose="020B0604020202020204" pitchFamily="34" charset="0"/>
              <a:cs typeface="Arial" panose="020B0604020202020204" pitchFamily="34" charset="0"/>
            </a:rPr>
            <a:t>p/</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DA4B3-9FB9-4D04-8F5B-766D5174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3977</Words>
  <Characters>21875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Comunicado. Encuesta Anual de Empresas Constructoras (EAEC) 2020 cifras preliminares.</vt:lpstr>
    </vt:vector>
  </TitlesOfParts>
  <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Encuesta Anual de Empresas Constructoras (EAEC) 2020 cifras preliminares.</dc:title>
  <dc:subject/>
  <dc:creator>INEGI</dc:creator>
  <cp:keywords/>
  <dc:description/>
  <cp:lastModifiedBy>GUILLEN MEDINA MOISES</cp:lastModifiedBy>
  <cp:revision>6</cp:revision>
  <cp:lastPrinted>2021-12-14T02:16:00Z</cp:lastPrinted>
  <dcterms:created xsi:type="dcterms:W3CDTF">2021-12-13T17:43:00Z</dcterms:created>
  <dcterms:modified xsi:type="dcterms:W3CDTF">2021-12-14T02:17:00Z</dcterms:modified>
</cp:coreProperties>
</file>